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E09" w:rsidRDefault="00DA2E09" w:rsidP="00DA2E09">
      <w:pPr>
        <w:spacing w:after="0"/>
        <w:rPr>
          <w:rFonts w:cstheme="minorHAnsi"/>
          <w:b/>
          <w:sz w:val="28"/>
          <w:szCs w:val="20"/>
          <w:lang w:val="en-US"/>
        </w:rPr>
      </w:pPr>
      <w:r>
        <w:rPr>
          <w:rFonts w:cstheme="minorHAnsi"/>
          <w:b/>
          <w:sz w:val="28"/>
          <w:szCs w:val="20"/>
          <w:lang w:val="en-US"/>
        </w:rPr>
        <w:t>S</w:t>
      </w:r>
      <w:r w:rsidRPr="00AC0B70">
        <w:rPr>
          <w:rFonts w:cstheme="minorHAnsi"/>
          <w:b/>
          <w:sz w:val="28"/>
          <w:szCs w:val="20"/>
          <w:lang w:val="en-US"/>
        </w:rPr>
        <w:t>upplementary material.</w:t>
      </w:r>
    </w:p>
    <w:p w:rsidR="00DA2E09" w:rsidRPr="00921AD9" w:rsidRDefault="00DA2E09" w:rsidP="00DA2E09">
      <w:pPr>
        <w:spacing w:after="0"/>
        <w:rPr>
          <w:rFonts w:cstheme="minorHAnsi"/>
          <w:sz w:val="20"/>
          <w:szCs w:val="20"/>
          <w:lang w:val="en-US"/>
        </w:rPr>
      </w:pPr>
      <w:r w:rsidRPr="00921AD9">
        <w:rPr>
          <w:rFonts w:cstheme="minorHAnsi"/>
          <w:b/>
          <w:sz w:val="20"/>
          <w:szCs w:val="20"/>
          <w:lang w:val="en-US"/>
        </w:rPr>
        <w:t xml:space="preserve">Supplementary Table 1. </w:t>
      </w:r>
      <w:r w:rsidRPr="00921AD9">
        <w:rPr>
          <w:rFonts w:cstheme="minorHAnsi"/>
          <w:sz w:val="20"/>
          <w:szCs w:val="20"/>
          <w:lang w:val="en-US"/>
        </w:rPr>
        <w:t>Baseline and tumor characteristics of patients ≥75 years in the propensity score matched sample.</w:t>
      </w:r>
    </w:p>
    <w:tbl>
      <w:tblPr>
        <w:tblStyle w:val="Tabelraster21"/>
        <w:tblW w:w="6232" w:type="dxa"/>
        <w:tblLook w:val="04A0" w:firstRow="1" w:lastRow="0" w:firstColumn="1" w:lastColumn="0" w:noHBand="0" w:noVBand="1"/>
      </w:tblPr>
      <w:tblGrid>
        <w:gridCol w:w="2466"/>
        <w:gridCol w:w="1447"/>
        <w:gridCol w:w="1469"/>
        <w:gridCol w:w="850"/>
      </w:tblGrid>
      <w:tr w:rsidR="00DA2E09" w:rsidRPr="00921AD9" w:rsidTr="00845FF4">
        <w:trPr>
          <w:trHeight w:val="317"/>
        </w:trPr>
        <w:tc>
          <w:tcPr>
            <w:tcW w:w="2466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bookmarkStart w:id="0" w:name="_GoBack"/>
          </w:p>
        </w:tc>
        <w:tc>
          <w:tcPr>
            <w:tcW w:w="2916" w:type="dxa"/>
            <w:gridSpan w:val="2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t>Matched comparison</w:t>
            </w:r>
          </w:p>
        </w:tc>
        <w:tc>
          <w:tcPr>
            <w:tcW w:w="850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</w:tr>
      <w:bookmarkEnd w:id="0"/>
      <w:tr w:rsidR="00DA2E09" w:rsidRPr="00921AD9" w:rsidTr="00845FF4">
        <w:trPr>
          <w:trHeight w:val="317"/>
        </w:trPr>
        <w:tc>
          <w:tcPr>
            <w:tcW w:w="2466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t>Patients characteristics</w:t>
            </w:r>
          </w:p>
        </w:tc>
        <w:tc>
          <w:tcPr>
            <w:tcW w:w="144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t>Neoadjuvant chemotherapy age ≥75 (N=169)</w:t>
            </w:r>
          </w:p>
        </w:tc>
        <w:tc>
          <w:tcPr>
            <w:tcW w:w="14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t>No neoadjuvant chemotherapy age ≥75 (N=169)</w:t>
            </w:r>
          </w:p>
        </w:tc>
        <w:tc>
          <w:tcPr>
            <w:tcW w:w="850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t>SMD</w:t>
            </w:r>
          </w:p>
        </w:tc>
      </w:tr>
      <w:tr w:rsidR="00DA2E09" w:rsidRPr="00921AD9" w:rsidTr="00845FF4">
        <w:trPr>
          <w:trHeight w:val="311"/>
        </w:trPr>
        <w:tc>
          <w:tcPr>
            <w:tcW w:w="246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Age, median (IQR), years</w:t>
            </w:r>
          </w:p>
        </w:tc>
        <w:tc>
          <w:tcPr>
            <w:tcW w:w="144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78 (76-79)</w:t>
            </w:r>
          </w:p>
        </w:tc>
        <w:tc>
          <w:tcPr>
            <w:tcW w:w="14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78 (76-80)</w:t>
            </w:r>
          </w:p>
        </w:tc>
        <w:tc>
          <w:tcPr>
            <w:tcW w:w="850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0.09</w:t>
            </w:r>
          </w:p>
        </w:tc>
      </w:tr>
      <w:tr w:rsidR="00DA2E09" w:rsidRPr="00921AD9" w:rsidTr="00845FF4">
        <w:trPr>
          <w:trHeight w:val="311"/>
        </w:trPr>
        <w:tc>
          <w:tcPr>
            <w:tcW w:w="246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Sex, male no./total no. (%)</w:t>
            </w:r>
          </w:p>
        </w:tc>
        <w:tc>
          <w:tcPr>
            <w:tcW w:w="144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104 (61.5)</w:t>
            </w:r>
          </w:p>
        </w:tc>
        <w:tc>
          <w:tcPr>
            <w:tcW w:w="14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107 (63.3)</w:t>
            </w:r>
          </w:p>
        </w:tc>
        <w:tc>
          <w:tcPr>
            <w:tcW w:w="850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0.04</w:t>
            </w:r>
          </w:p>
        </w:tc>
      </w:tr>
      <w:tr w:rsidR="00DA2E09" w:rsidRPr="00921AD9" w:rsidTr="00845FF4">
        <w:trPr>
          <w:trHeight w:val="311"/>
        </w:trPr>
        <w:tc>
          <w:tcPr>
            <w:tcW w:w="246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t>WHO performance status, no./total no. (%)</w:t>
            </w:r>
          </w:p>
        </w:tc>
        <w:tc>
          <w:tcPr>
            <w:tcW w:w="144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246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0</w:t>
            </w:r>
          </w:p>
        </w:tc>
        <w:tc>
          <w:tcPr>
            <w:tcW w:w="144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46 (27.2)</w:t>
            </w:r>
          </w:p>
        </w:tc>
        <w:tc>
          <w:tcPr>
            <w:tcW w:w="14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52 (30.8)</w:t>
            </w:r>
          </w:p>
        </w:tc>
        <w:tc>
          <w:tcPr>
            <w:tcW w:w="850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0.07</w:t>
            </w:r>
          </w:p>
        </w:tc>
      </w:tr>
      <w:tr w:rsidR="00DA2E09" w:rsidRPr="00921AD9" w:rsidTr="00845FF4">
        <w:trPr>
          <w:trHeight w:val="311"/>
        </w:trPr>
        <w:tc>
          <w:tcPr>
            <w:tcW w:w="246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1</w:t>
            </w:r>
          </w:p>
        </w:tc>
        <w:tc>
          <w:tcPr>
            <w:tcW w:w="144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57 (33.7)</w:t>
            </w:r>
          </w:p>
        </w:tc>
        <w:tc>
          <w:tcPr>
            <w:tcW w:w="14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53 (31.4)</w:t>
            </w:r>
          </w:p>
        </w:tc>
        <w:tc>
          <w:tcPr>
            <w:tcW w:w="850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0.05</w:t>
            </w:r>
          </w:p>
        </w:tc>
      </w:tr>
      <w:tr w:rsidR="00DA2E09" w:rsidRPr="00921AD9" w:rsidTr="00845FF4">
        <w:trPr>
          <w:trHeight w:val="311"/>
        </w:trPr>
        <w:tc>
          <w:tcPr>
            <w:tcW w:w="246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≥2</w:t>
            </w:r>
          </w:p>
        </w:tc>
        <w:tc>
          <w:tcPr>
            <w:tcW w:w="144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11 (6.5)</w:t>
            </w:r>
          </w:p>
        </w:tc>
        <w:tc>
          <w:tcPr>
            <w:tcW w:w="14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10 (5.9)</w:t>
            </w:r>
          </w:p>
        </w:tc>
        <w:tc>
          <w:tcPr>
            <w:tcW w:w="850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0.03</w:t>
            </w:r>
          </w:p>
        </w:tc>
      </w:tr>
      <w:tr w:rsidR="00DA2E09" w:rsidRPr="00921AD9" w:rsidTr="00845FF4">
        <w:trPr>
          <w:trHeight w:val="311"/>
        </w:trPr>
        <w:tc>
          <w:tcPr>
            <w:tcW w:w="246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Unknown</w:t>
            </w:r>
          </w:p>
        </w:tc>
        <w:tc>
          <w:tcPr>
            <w:tcW w:w="144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55 (32.5)</w:t>
            </w:r>
          </w:p>
        </w:tc>
        <w:tc>
          <w:tcPr>
            <w:tcW w:w="14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54 (32.0)</w:t>
            </w:r>
          </w:p>
        </w:tc>
        <w:tc>
          <w:tcPr>
            <w:tcW w:w="850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0.01</w:t>
            </w:r>
          </w:p>
        </w:tc>
      </w:tr>
      <w:tr w:rsidR="00DA2E09" w:rsidRPr="00477E3A" w:rsidTr="00845FF4">
        <w:trPr>
          <w:trHeight w:val="311"/>
        </w:trPr>
        <w:tc>
          <w:tcPr>
            <w:tcW w:w="246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t>Number of comorbidity categories</w:t>
            </w:r>
            <w:r>
              <w:rPr>
                <w:rFonts w:cstheme="minorHAnsi"/>
                <w:b/>
                <w:sz w:val="20"/>
                <w:szCs w:val="20"/>
                <w:vertAlign w:val="superscript"/>
                <w:lang w:val="en-US"/>
              </w:rPr>
              <w:t>*</w:t>
            </w: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t>, no./total no. (%)</w:t>
            </w:r>
          </w:p>
        </w:tc>
        <w:tc>
          <w:tcPr>
            <w:tcW w:w="144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477E3A" w:rsidTr="00845FF4">
        <w:trPr>
          <w:trHeight w:val="311"/>
        </w:trPr>
        <w:tc>
          <w:tcPr>
            <w:tcW w:w="246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0</w:t>
            </w:r>
          </w:p>
        </w:tc>
        <w:tc>
          <w:tcPr>
            <w:tcW w:w="144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61 (36.1)</w:t>
            </w:r>
          </w:p>
        </w:tc>
        <w:tc>
          <w:tcPr>
            <w:tcW w:w="14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63 (37.3)</w:t>
            </w:r>
          </w:p>
        </w:tc>
        <w:tc>
          <w:tcPr>
            <w:tcW w:w="850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0.02</w:t>
            </w:r>
          </w:p>
        </w:tc>
      </w:tr>
      <w:tr w:rsidR="00DA2E09" w:rsidRPr="00477E3A" w:rsidTr="00845FF4">
        <w:trPr>
          <w:trHeight w:val="311"/>
        </w:trPr>
        <w:tc>
          <w:tcPr>
            <w:tcW w:w="246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1</w:t>
            </w:r>
          </w:p>
        </w:tc>
        <w:tc>
          <w:tcPr>
            <w:tcW w:w="144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56 (33.1)</w:t>
            </w:r>
          </w:p>
        </w:tc>
        <w:tc>
          <w:tcPr>
            <w:tcW w:w="14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61 (36.1)</w:t>
            </w:r>
          </w:p>
        </w:tc>
        <w:tc>
          <w:tcPr>
            <w:tcW w:w="850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0.06</w:t>
            </w:r>
          </w:p>
        </w:tc>
      </w:tr>
      <w:tr w:rsidR="00DA2E09" w:rsidRPr="00477E3A" w:rsidTr="00845FF4">
        <w:trPr>
          <w:trHeight w:val="311"/>
        </w:trPr>
        <w:tc>
          <w:tcPr>
            <w:tcW w:w="246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≥2</w:t>
            </w:r>
          </w:p>
        </w:tc>
        <w:tc>
          <w:tcPr>
            <w:tcW w:w="144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39 (23.1)</w:t>
            </w:r>
          </w:p>
        </w:tc>
        <w:tc>
          <w:tcPr>
            <w:tcW w:w="14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35 (20.7)</w:t>
            </w:r>
          </w:p>
        </w:tc>
        <w:tc>
          <w:tcPr>
            <w:tcW w:w="850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0.06</w:t>
            </w:r>
          </w:p>
        </w:tc>
      </w:tr>
      <w:tr w:rsidR="00DA2E09" w:rsidRPr="00921AD9" w:rsidTr="00845FF4">
        <w:trPr>
          <w:trHeight w:val="311"/>
        </w:trPr>
        <w:tc>
          <w:tcPr>
            <w:tcW w:w="246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Unknown</w:t>
            </w:r>
          </w:p>
        </w:tc>
        <w:tc>
          <w:tcPr>
            <w:tcW w:w="144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13 (7.7)</w:t>
            </w:r>
          </w:p>
        </w:tc>
        <w:tc>
          <w:tcPr>
            <w:tcW w:w="14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10 (5.9)</w:t>
            </w:r>
          </w:p>
        </w:tc>
        <w:tc>
          <w:tcPr>
            <w:tcW w:w="850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0.07</w:t>
            </w:r>
          </w:p>
        </w:tc>
      </w:tr>
      <w:tr w:rsidR="00DA2E09" w:rsidRPr="00921AD9" w:rsidTr="00845FF4">
        <w:trPr>
          <w:trHeight w:val="311"/>
        </w:trPr>
        <w:tc>
          <w:tcPr>
            <w:tcW w:w="246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b/>
                <w:sz w:val="20"/>
                <w:szCs w:val="20"/>
                <w:lang w:val="es-ES"/>
              </w:rPr>
              <w:t xml:space="preserve">Tumor location, no./total no. </w:t>
            </w: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t>(%)</w:t>
            </w:r>
          </w:p>
        </w:tc>
        <w:tc>
          <w:tcPr>
            <w:tcW w:w="144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246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Proximal</w:t>
            </w:r>
          </w:p>
        </w:tc>
        <w:tc>
          <w:tcPr>
            <w:tcW w:w="144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80 (47.3)</w:t>
            </w:r>
          </w:p>
        </w:tc>
        <w:tc>
          <w:tcPr>
            <w:tcW w:w="14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77 (45.6)</w:t>
            </w:r>
          </w:p>
        </w:tc>
        <w:tc>
          <w:tcPr>
            <w:tcW w:w="850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0.04</w:t>
            </w:r>
          </w:p>
        </w:tc>
      </w:tr>
      <w:tr w:rsidR="00DA2E09" w:rsidRPr="00921AD9" w:rsidTr="00845FF4">
        <w:trPr>
          <w:trHeight w:val="311"/>
        </w:trPr>
        <w:tc>
          <w:tcPr>
            <w:tcW w:w="246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Distal</w:t>
            </w:r>
          </w:p>
        </w:tc>
        <w:tc>
          <w:tcPr>
            <w:tcW w:w="144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64 (37.9)</w:t>
            </w:r>
          </w:p>
        </w:tc>
        <w:tc>
          <w:tcPr>
            <w:tcW w:w="14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69 (40.8)</w:t>
            </w:r>
          </w:p>
        </w:tc>
        <w:tc>
          <w:tcPr>
            <w:tcW w:w="850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0.06</w:t>
            </w:r>
          </w:p>
        </w:tc>
      </w:tr>
      <w:tr w:rsidR="00DA2E09" w:rsidRPr="00921AD9" w:rsidTr="00845FF4">
        <w:trPr>
          <w:trHeight w:val="311"/>
        </w:trPr>
        <w:tc>
          <w:tcPr>
            <w:tcW w:w="246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Diffuse</w:t>
            </w:r>
          </w:p>
        </w:tc>
        <w:tc>
          <w:tcPr>
            <w:tcW w:w="144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16 (9.5)</w:t>
            </w:r>
          </w:p>
        </w:tc>
        <w:tc>
          <w:tcPr>
            <w:tcW w:w="14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15 (7.7)</w:t>
            </w:r>
          </w:p>
        </w:tc>
        <w:tc>
          <w:tcPr>
            <w:tcW w:w="850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0.06</w:t>
            </w:r>
          </w:p>
        </w:tc>
      </w:tr>
      <w:tr w:rsidR="00DA2E09" w:rsidRPr="00921AD9" w:rsidTr="00845FF4">
        <w:trPr>
          <w:trHeight w:val="311"/>
        </w:trPr>
        <w:tc>
          <w:tcPr>
            <w:tcW w:w="246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Unknown</w:t>
            </w:r>
          </w:p>
        </w:tc>
        <w:tc>
          <w:tcPr>
            <w:tcW w:w="144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10 (5.9)</w:t>
            </w:r>
          </w:p>
        </w:tc>
        <w:tc>
          <w:tcPr>
            <w:tcW w:w="14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10 (5.9)</w:t>
            </w:r>
          </w:p>
        </w:tc>
        <w:tc>
          <w:tcPr>
            <w:tcW w:w="850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0.03</w:t>
            </w:r>
          </w:p>
        </w:tc>
      </w:tr>
      <w:tr w:rsidR="00DA2E09" w:rsidRPr="00921AD9" w:rsidTr="00845FF4">
        <w:trPr>
          <w:trHeight w:val="311"/>
        </w:trPr>
        <w:tc>
          <w:tcPr>
            <w:tcW w:w="246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t>cT-stage, no./total no. (%)</w:t>
            </w:r>
          </w:p>
        </w:tc>
        <w:tc>
          <w:tcPr>
            <w:tcW w:w="144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246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T1-T2</w:t>
            </w:r>
          </w:p>
        </w:tc>
        <w:tc>
          <w:tcPr>
            <w:tcW w:w="144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78 (46.2)</w:t>
            </w:r>
          </w:p>
        </w:tc>
        <w:tc>
          <w:tcPr>
            <w:tcW w:w="14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75 (44.4)</w:t>
            </w:r>
          </w:p>
        </w:tc>
        <w:tc>
          <w:tcPr>
            <w:tcW w:w="850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0.04</w:t>
            </w:r>
          </w:p>
        </w:tc>
      </w:tr>
      <w:tr w:rsidR="00DA2E09" w:rsidRPr="00921AD9" w:rsidTr="00845FF4">
        <w:trPr>
          <w:trHeight w:val="311"/>
        </w:trPr>
        <w:tc>
          <w:tcPr>
            <w:tcW w:w="246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T3-T4a</w:t>
            </w:r>
          </w:p>
        </w:tc>
        <w:tc>
          <w:tcPr>
            <w:tcW w:w="144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65 (38.5)</w:t>
            </w:r>
          </w:p>
        </w:tc>
        <w:tc>
          <w:tcPr>
            <w:tcW w:w="14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70 (41.4)</w:t>
            </w:r>
          </w:p>
        </w:tc>
        <w:tc>
          <w:tcPr>
            <w:tcW w:w="850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0.06</w:t>
            </w:r>
          </w:p>
        </w:tc>
      </w:tr>
      <w:tr w:rsidR="00DA2E09" w:rsidRPr="00921AD9" w:rsidTr="00845FF4">
        <w:trPr>
          <w:trHeight w:val="311"/>
        </w:trPr>
        <w:tc>
          <w:tcPr>
            <w:tcW w:w="246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Tx</w:t>
            </w:r>
          </w:p>
        </w:tc>
        <w:tc>
          <w:tcPr>
            <w:tcW w:w="144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26 (15.4)</w:t>
            </w:r>
          </w:p>
        </w:tc>
        <w:tc>
          <w:tcPr>
            <w:tcW w:w="14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24 (14.2)</w:t>
            </w:r>
          </w:p>
        </w:tc>
        <w:tc>
          <w:tcPr>
            <w:tcW w:w="850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0.03</w:t>
            </w:r>
          </w:p>
        </w:tc>
      </w:tr>
      <w:tr w:rsidR="00DA2E09" w:rsidRPr="00921AD9" w:rsidTr="00845FF4">
        <w:trPr>
          <w:trHeight w:val="311"/>
        </w:trPr>
        <w:tc>
          <w:tcPr>
            <w:tcW w:w="246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b/>
                <w:sz w:val="20"/>
                <w:szCs w:val="20"/>
                <w:lang w:val="pt-BR"/>
              </w:rPr>
              <w:t xml:space="preserve">cN-stage, no./total no. </w:t>
            </w: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t>(%)</w:t>
            </w:r>
          </w:p>
        </w:tc>
        <w:tc>
          <w:tcPr>
            <w:tcW w:w="144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246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N0</w:t>
            </w:r>
          </w:p>
        </w:tc>
        <w:tc>
          <w:tcPr>
            <w:tcW w:w="144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102 (60.4)</w:t>
            </w:r>
          </w:p>
        </w:tc>
        <w:tc>
          <w:tcPr>
            <w:tcW w:w="14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100 (59.2)</w:t>
            </w:r>
          </w:p>
        </w:tc>
        <w:tc>
          <w:tcPr>
            <w:tcW w:w="850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0.02</w:t>
            </w:r>
          </w:p>
        </w:tc>
      </w:tr>
      <w:tr w:rsidR="00DA2E09" w:rsidRPr="00921AD9" w:rsidTr="00845FF4">
        <w:trPr>
          <w:trHeight w:val="311"/>
        </w:trPr>
        <w:tc>
          <w:tcPr>
            <w:tcW w:w="246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N1</w:t>
            </w:r>
          </w:p>
        </w:tc>
        <w:tc>
          <w:tcPr>
            <w:tcW w:w="144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44 (26.0)</w:t>
            </w:r>
          </w:p>
        </w:tc>
        <w:tc>
          <w:tcPr>
            <w:tcW w:w="14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41 (24.3)</w:t>
            </w:r>
          </w:p>
        </w:tc>
        <w:tc>
          <w:tcPr>
            <w:tcW w:w="850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0.04</w:t>
            </w:r>
          </w:p>
        </w:tc>
      </w:tr>
      <w:tr w:rsidR="00DA2E09" w:rsidRPr="00921AD9" w:rsidTr="00845FF4">
        <w:trPr>
          <w:trHeight w:val="311"/>
        </w:trPr>
        <w:tc>
          <w:tcPr>
            <w:tcW w:w="246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≥N2</w:t>
            </w:r>
          </w:p>
        </w:tc>
        <w:tc>
          <w:tcPr>
            <w:tcW w:w="144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18 (10.7)</w:t>
            </w:r>
          </w:p>
        </w:tc>
        <w:tc>
          <w:tcPr>
            <w:tcW w:w="14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21 (12.4)</w:t>
            </w:r>
          </w:p>
        </w:tc>
        <w:tc>
          <w:tcPr>
            <w:tcW w:w="850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0.05</w:t>
            </w:r>
          </w:p>
        </w:tc>
      </w:tr>
      <w:tr w:rsidR="00DA2E09" w:rsidRPr="00921AD9" w:rsidTr="00845FF4">
        <w:trPr>
          <w:trHeight w:val="311"/>
        </w:trPr>
        <w:tc>
          <w:tcPr>
            <w:tcW w:w="246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Nx</w:t>
            </w:r>
          </w:p>
        </w:tc>
        <w:tc>
          <w:tcPr>
            <w:tcW w:w="144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5 (3.0)</w:t>
            </w:r>
          </w:p>
        </w:tc>
        <w:tc>
          <w:tcPr>
            <w:tcW w:w="14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7 (4.1)</w:t>
            </w:r>
          </w:p>
        </w:tc>
        <w:tc>
          <w:tcPr>
            <w:tcW w:w="850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0.07</w:t>
            </w:r>
          </w:p>
        </w:tc>
      </w:tr>
      <w:tr w:rsidR="00DA2E09" w:rsidRPr="00921AD9" w:rsidTr="00845FF4">
        <w:trPr>
          <w:trHeight w:val="311"/>
        </w:trPr>
        <w:tc>
          <w:tcPr>
            <w:tcW w:w="246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t>Tumor differentiation, no./total no. (%)</w:t>
            </w:r>
          </w:p>
        </w:tc>
        <w:tc>
          <w:tcPr>
            <w:tcW w:w="144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246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Well-moderate</w:t>
            </w:r>
          </w:p>
        </w:tc>
        <w:tc>
          <w:tcPr>
            <w:tcW w:w="144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62 (36.7)</w:t>
            </w:r>
          </w:p>
        </w:tc>
        <w:tc>
          <w:tcPr>
            <w:tcW w:w="14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57 (33.7)</w:t>
            </w:r>
          </w:p>
        </w:tc>
        <w:tc>
          <w:tcPr>
            <w:tcW w:w="850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0.06</w:t>
            </w:r>
          </w:p>
        </w:tc>
      </w:tr>
      <w:tr w:rsidR="00DA2E09" w:rsidRPr="00921AD9" w:rsidTr="00845FF4">
        <w:trPr>
          <w:trHeight w:val="311"/>
        </w:trPr>
        <w:tc>
          <w:tcPr>
            <w:tcW w:w="246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Poorly</w:t>
            </w:r>
          </w:p>
        </w:tc>
        <w:tc>
          <w:tcPr>
            <w:tcW w:w="144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83 (49.1)</w:t>
            </w:r>
          </w:p>
        </w:tc>
        <w:tc>
          <w:tcPr>
            <w:tcW w:w="14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89 (52.7)</w:t>
            </w:r>
          </w:p>
        </w:tc>
        <w:tc>
          <w:tcPr>
            <w:tcW w:w="850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0.07</w:t>
            </w:r>
          </w:p>
        </w:tc>
      </w:tr>
      <w:tr w:rsidR="00DA2E09" w:rsidRPr="00921AD9" w:rsidTr="00845FF4">
        <w:trPr>
          <w:trHeight w:val="311"/>
        </w:trPr>
        <w:tc>
          <w:tcPr>
            <w:tcW w:w="246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Unknown</w:t>
            </w:r>
          </w:p>
        </w:tc>
        <w:tc>
          <w:tcPr>
            <w:tcW w:w="144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24 (14.2)</w:t>
            </w:r>
          </w:p>
        </w:tc>
        <w:tc>
          <w:tcPr>
            <w:tcW w:w="14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23 (14.2)</w:t>
            </w:r>
          </w:p>
        </w:tc>
        <w:tc>
          <w:tcPr>
            <w:tcW w:w="850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0.02</w:t>
            </w:r>
          </w:p>
        </w:tc>
      </w:tr>
      <w:tr w:rsidR="00DA2E09" w:rsidRPr="00921AD9" w:rsidTr="00845FF4">
        <w:trPr>
          <w:trHeight w:val="311"/>
        </w:trPr>
        <w:tc>
          <w:tcPr>
            <w:tcW w:w="6232" w:type="dxa"/>
            <w:gridSpan w:val="4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i/>
                <w:sz w:val="20"/>
                <w:szCs w:val="20"/>
                <w:lang w:val="en-US"/>
              </w:rPr>
              <w:t xml:space="preserve">WHO 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World Health Organization, </w:t>
            </w:r>
            <w:r w:rsidRPr="00921AD9">
              <w:rPr>
                <w:rFonts w:cstheme="minorHAnsi"/>
                <w:i/>
                <w:sz w:val="20"/>
                <w:szCs w:val="20"/>
                <w:lang w:val="en-US"/>
              </w:rPr>
              <w:t xml:space="preserve">ASA </w:t>
            </w:r>
            <w:r w:rsidRPr="00921AD9">
              <w:rPr>
                <w:rFonts w:cstheme="minorHAnsi"/>
                <w:sz w:val="20"/>
                <w:szCs w:val="20"/>
                <w:lang w:val="en-US"/>
              </w:rPr>
              <w:t>Americ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an Society of Anesthesiologists, </w:t>
            </w:r>
            <w:r w:rsidRPr="00921AD9">
              <w:rPr>
                <w:rFonts w:cstheme="minorHAnsi"/>
                <w:i/>
                <w:sz w:val="20"/>
                <w:szCs w:val="20"/>
                <w:lang w:val="en-US"/>
              </w:rPr>
              <w:t xml:space="preserve">IQR 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interquartile range, </w:t>
            </w:r>
            <w:r w:rsidRPr="00921AD9">
              <w:rPr>
                <w:rFonts w:cstheme="minorHAnsi"/>
                <w:i/>
                <w:sz w:val="20"/>
                <w:szCs w:val="20"/>
                <w:lang w:val="en-US"/>
              </w:rPr>
              <w:t xml:space="preserve">SMD </w:t>
            </w:r>
            <w:r w:rsidRPr="00921AD9">
              <w:rPr>
                <w:rFonts w:cstheme="minorHAnsi"/>
                <w:sz w:val="20"/>
                <w:szCs w:val="20"/>
                <w:lang w:val="en-US"/>
              </w:rPr>
              <w:t>standardized mean difference.</w:t>
            </w:r>
          </w:p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According to </w:t>
            </w:r>
            <w:proofErr w:type="spellStart"/>
            <w:r w:rsidRPr="00921AD9">
              <w:rPr>
                <w:rFonts w:cstheme="minorHAnsi"/>
                <w:sz w:val="20"/>
                <w:szCs w:val="20"/>
                <w:lang w:val="en-US"/>
              </w:rPr>
              <w:t>Charlson</w:t>
            </w:r>
            <w:proofErr w:type="spellEnd"/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Comorbidity Index.</w:t>
            </w:r>
          </w:p>
        </w:tc>
      </w:tr>
    </w:tbl>
    <w:p w:rsidR="00DA2E09" w:rsidRPr="00921AD9" w:rsidRDefault="00DA2E09" w:rsidP="00DA2E09">
      <w:pPr>
        <w:spacing w:after="0" w:line="240" w:lineRule="auto"/>
        <w:rPr>
          <w:rFonts w:cstheme="minorHAnsi"/>
          <w:b/>
          <w:sz w:val="20"/>
          <w:szCs w:val="20"/>
          <w:lang w:val="en-US"/>
        </w:rPr>
      </w:pPr>
      <w:r w:rsidRPr="00921AD9">
        <w:rPr>
          <w:rFonts w:cstheme="minorHAnsi"/>
          <w:b/>
          <w:sz w:val="20"/>
          <w:szCs w:val="20"/>
          <w:lang w:val="en-US"/>
        </w:rPr>
        <w:br w:type="page"/>
      </w:r>
    </w:p>
    <w:p w:rsidR="00DA2E09" w:rsidRPr="00921AD9" w:rsidRDefault="00DA2E09" w:rsidP="00DA2E09">
      <w:pPr>
        <w:rPr>
          <w:rFonts w:cstheme="minorHAnsi"/>
          <w:sz w:val="20"/>
          <w:szCs w:val="20"/>
          <w:lang w:val="en-US"/>
        </w:rPr>
      </w:pPr>
      <w:r w:rsidRPr="00921AD9">
        <w:rPr>
          <w:rFonts w:cstheme="minorHAnsi"/>
          <w:b/>
          <w:sz w:val="20"/>
          <w:szCs w:val="20"/>
          <w:lang w:val="en-US"/>
        </w:rPr>
        <w:lastRenderedPageBreak/>
        <w:t>Supplementary Table 2.</w:t>
      </w:r>
      <w:r w:rsidRPr="00921AD9">
        <w:rPr>
          <w:rFonts w:cstheme="minorHAnsi"/>
          <w:sz w:val="20"/>
          <w:szCs w:val="20"/>
          <w:lang w:val="en-US"/>
        </w:rPr>
        <w:t xml:space="preserve"> Comparison of patients ≥75 years treated with neoadjuvant chemotherapy by FLOT regimen and anthracycline-based triplet therapy.</w:t>
      </w:r>
    </w:p>
    <w:tbl>
      <w:tblPr>
        <w:tblStyle w:val="Tabelraster4"/>
        <w:tblW w:w="7933" w:type="dxa"/>
        <w:tblLook w:val="04A0" w:firstRow="1" w:lastRow="0" w:firstColumn="1" w:lastColumn="0" w:noHBand="0" w:noVBand="1"/>
      </w:tblPr>
      <w:tblGrid>
        <w:gridCol w:w="3397"/>
        <w:gridCol w:w="1843"/>
        <w:gridCol w:w="1701"/>
        <w:gridCol w:w="992"/>
      </w:tblGrid>
      <w:tr w:rsidR="00DA2E09" w:rsidRPr="00921AD9" w:rsidTr="00845FF4">
        <w:trPr>
          <w:trHeight w:val="277"/>
        </w:trPr>
        <w:tc>
          <w:tcPr>
            <w:tcW w:w="3397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b/>
                <w:sz w:val="20"/>
                <w:szCs w:val="20"/>
                <w:lang w:val="pt-BR"/>
              </w:rPr>
            </w:pPr>
            <w:r w:rsidRPr="00921AD9">
              <w:rPr>
                <w:rFonts w:cstheme="minorHAnsi"/>
                <w:b/>
                <w:sz w:val="20"/>
                <w:szCs w:val="20"/>
                <w:lang w:val="pt-BR"/>
              </w:rPr>
              <w:t>EOX/ECC/EOF/ECF (N=119)</w:t>
            </w:r>
          </w:p>
        </w:tc>
        <w:tc>
          <w:tcPr>
            <w:tcW w:w="1701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t>FLOT (N=77)</w:t>
            </w:r>
          </w:p>
        </w:tc>
        <w:tc>
          <w:tcPr>
            <w:tcW w:w="992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t>p-value</w:t>
            </w:r>
          </w:p>
        </w:tc>
      </w:tr>
      <w:tr w:rsidR="00DA2E09" w:rsidRPr="00921AD9" w:rsidTr="00845FF4">
        <w:trPr>
          <w:trHeight w:val="277"/>
        </w:trPr>
        <w:tc>
          <w:tcPr>
            <w:tcW w:w="3397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t>Course of neoadjuvant regime no./total no. (%)</w:t>
            </w:r>
          </w:p>
        </w:tc>
        <w:tc>
          <w:tcPr>
            <w:tcW w:w="1843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0.648</w:t>
            </w:r>
          </w:p>
        </w:tc>
      </w:tr>
      <w:tr w:rsidR="00DA2E09" w:rsidRPr="00921AD9" w:rsidTr="00845FF4">
        <w:trPr>
          <w:trHeight w:val="277"/>
        </w:trPr>
        <w:tc>
          <w:tcPr>
            <w:tcW w:w="3397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Completed all cycles</w:t>
            </w:r>
          </w:p>
        </w:tc>
        <w:tc>
          <w:tcPr>
            <w:tcW w:w="1843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80 (67.2)</w:t>
            </w:r>
          </w:p>
        </w:tc>
        <w:tc>
          <w:tcPr>
            <w:tcW w:w="1701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51 (66.2)</w:t>
            </w:r>
          </w:p>
        </w:tc>
        <w:tc>
          <w:tcPr>
            <w:tcW w:w="992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277"/>
        </w:trPr>
        <w:tc>
          <w:tcPr>
            <w:tcW w:w="3397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Reduction in cycles</w:t>
            </w:r>
          </w:p>
        </w:tc>
        <w:tc>
          <w:tcPr>
            <w:tcW w:w="1843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36 (30.3)</w:t>
            </w:r>
          </w:p>
        </w:tc>
        <w:tc>
          <w:tcPr>
            <w:tcW w:w="1701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22 (28.6)</w:t>
            </w:r>
          </w:p>
        </w:tc>
        <w:tc>
          <w:tcPr>
            <w:tcW w:w="992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277"/>
        </w:trPr>
        <w:tc>
          <w:tcPr>
            <w:tcW w:w="3397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Unknown</w:t>
            </w:r>
          </w:p>
        </w:tc>
        <w:tc>
          <w:tcPr>
            <w:tcW w:w="1843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3 (2.5)</w:t>
            </w:r>
          </w:p>
        </w:tc>
        <w:tc>
          <w:tcPr>
            <w:tcW w:w="1701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4 (5.2)</w:t>
            </w:r>
          </w:p>
        </w:tc>
        <w:tc>
          <w:tcPr>
            <w:tcW w:w="992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277"/>
        </w:trPr>
        <w:tc>
          <w:tcPr>
            <w:tcW w:w="3397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t>Not proceeded to surgery no./total no. (%)</w:t>
            </w:r>
          </w:p>
        </w:tc>
        <w:tc>
          <w:tcPr>
            <w:tcW w:w="1843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15 (12.6)</w:t>
            </w:r>
          </w:p>
        </w:tc>
        <w:tc>
          <w:tcPr>
            <w:tcW w:w="1701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5 (6.5)</w:t>
            </w:r>
          </w:p>
        </w:tc>
        <w:tc>
          <w:tcPr>
            <w:tcW w:w="992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0.145</w:t>
            </w:r>
          </w:p>
        </w:tc>
      </w:tr>
      <w:tr w:rsidR="00DA2E09" w:rsidRPr="00921AD9" w:rsidTr="00845FF4">
        <w:trPr>
          <w:trHeight w:val="277"/>
        </w:trPr>
        <w:tc>
          <w:tcPr>
            <w:tcW w:w="3397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t>N=15</w:t>
            </w:r>
          </w:p>
        </w:tc>
        <w:tc>
          <w:tcPr>
            <w:tcW w:w="1701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t>N=5</w:t>
            </w:r>
          </w:p>
        </w:tc>
        <w:tc>
          <w:tcPr>
            <w:tcW w:w="992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277"/>
        </w:trPr>
        <w:tc>
          <w:tcPr>
            <w:tcW w:w="3397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 xml:space="preserve">Reasons for not proceeding to surgery </w:t>
            </w: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t>no./total no. (%)</w:t>
            </w:r>
          </w:p>
        </w:tc>
        <w:tc>
          <w:tcPr>
            <w:tcW w:w="1843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0.182</w:t>
            </w:r>
          </w:p>
        </w:tc>
      </w:tr>
      <w:tr w:rsidR="00DA2E09" w:rsidRPr="00921AD9" w:rsidTr="00845FF4">
        <w:trPr>
          <w:trHeight w:val="277"/>
        </w:trPr>
        <w:tc>
          <w:tcPr>
            <w:tcW w:w="3397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Non-curable disease after restaging</w:t>
            </w:r>
          </w:p>
        </w:tc>
        <w:tc>
          <w:tcPr>
            <w:tcW w:w="1843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4 (26.7)</w:t>
            </w:r>
          </w:p>
        </w:tc>
        <w:tc>
          <w:tcPr>
            <w:tcW w:w="1701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992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277"/>
        </w:trPr>
        <w:tc>
          <w:tcPr>
            <w:tcW w:w="3397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Poor functional status</w:t>
            </w:r>
          </w:p>
        </w:tc>
        <w:tc>
          <w:tcPr>
            <w:tcW w:w="1843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6 (40.0)</w:t>
            </w:r>
          </w:p>
        </w:tc>
        <w:tc>
          <w:tcPr>
            <w:tcW w:w="1701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3 (60.0)</w:t>
            </w:r>
          </w:p>
        </w:tc>
        <w:tc>
          <w:tcPr>
            <w:tcW w:w="992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277"/>
        </w:trPr>
        <w:tc>
          <w:tcPr>
            <w:tcW w:w="3397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Patient’s request</w:t>
            </w:r>
          </w:p>
        </w:tc>
        <w:tc>
          <w:tcPr>
            <w:tcW w:w="1843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701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 (20.0)</w:t>
            </w:r>
          </w:p>
        </w:tc>
        <w:tc>
          <w:tcPr>
            <w:tcW w:w="992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277"/>
        </w:trPr>
        <w:tc>
          <w:tcPr>
            <w:tcW w:w="3397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Low tumorload</w:t>
            </w:r>
          </w:p>
        </w:tc>
        <w:tc>
          <w:tcPr>
            <w:tcW w:w="1843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701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992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277"/>
        </w:trPr>
        <w:tc>
          <w:tcPr>
            <w:tcW w:w="3397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Deceased</w:t>
            </w:r>
          </w:p>
        </w:tc>
        <w:tc>
          <w:tcPr>
            <w:tcW w:w="1843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701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992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277"/>
        </w:trPr>
        <w:tc>
          <w:tcPr>
            <w:tcW w:w="3397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Unknown</w:t>
            </w:r>
          </w:p>
        </w:tc>
        <w:tc>
          <w:tcPr>
            <w:tcW w:w="1843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5 (33.3)</w:t>
            </w:r>
          </w:p>
        </w:tc>
        <w:tc>
          <w:tcPr>
            <w:tcW w:w="1701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 (20.0)</w:t>
            </w:r>
          </w:p>
        </w:tc>
        <w:tc>
          <w:tcPr>
            <w:tcW w:w="992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277"/>
        </w:trPr>
        <w:tc>
          <w:tcPr>
            <w:tcW w:w="7933" w:type="dxa"/>
            <w:gridSpan w:val="4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</w:rPr>
            </w:pPr>
            <w:r w:rsidRPr="00921AD9">
              <w:rPr>
                <w:rFonts w:cstheme="minorHAnsi"/>
                <w:i/>
                <w:sz w:val="20"/>
                <w:szCs w:val="20"/>
              </w:rPr>
              <w:t>EOX</w:t>
            </w:r>
            <w:r w:rsidRPr="00921AD9">
              <w:rPr>
                <w:rFonts w:cstheme="minorHAnsi"/>
                <w:sz w:val="20"/>
                <w:szCs w:val="20"/>
              </w:rPr>
              <w:t xml:space="preserve"> epirubicine, oxaliplatin, capecitabine, </w:t>
            </w:r>
            <w:r w:rsidRPr="00921AD9">
              <w:rPr>
                <w:rFonts w:cstheme="minorHAnsi"/>
                <w:i/>
                <w:sz w:val="20"/>
                <w:szCs w:val="20"/>
              </w:rPr>
              <w:t>ECC</w:t>
            </w:r>
            <w:r w:rsidRPr="00921AD9">
              <w:rPr>
                <w:rFonts w:cstheme="minorHAnsi"/>
                <w:sz w:val="20"/>
                <w:szCs w:val="20"/>
              </w:rPr>
              <w:t xml:space="preserve"> epirubicine, cisplatin, capecitabine, </w:t>
            </w:r>
            <w:r w:rsidRPr="00921AD9">
              <w:rPr>
                <w:rFonts w:cstheme="minorHAnsi"/>
                <w:i/>
                <w:sz w:val="20"/>
                <w:szCs w:val="20"/>
              </w:rPr>
              <w:t>EOF</w:t>
            </w:r>
            <w:r w:rsidRPr="00921AD9">
              <w:rPr>
                <w:rFonts w:cstheme="minorHAnsi"/>
                <w:sz w:val="20"/>
                <w:szCs w:val="20"/>
              </w:rPr>
              <w:t xml:space="preserve"> epirubic</w:t>
            </w:r>
            <w:r>
              <w:rPr>
                <w:rFonts w:cstheme="minorHAnsi"/>
                <w:sz w:val="20"/>
                <w:szCs w:val="20"/>
              </w:rPr>
              <w:t>ine, oxaliplatin, 5-fluorouracil,</w:t>
            </w:r>
            <w:r w:rsidRPr="00921AD9">
              <w:rPr>
                <w:rFonts w:cstheme="minorHAnsi"/>
                <w:sz w:val="20"/>
                <w:szCs w:val="20"/>
              </w:rPr>
              <w:t xml:space="preserve"> </w:t>
            </w:r>
            <w:r w:rsidRPr="00921AD9">
              <w:rPr>
                <w:rFonts w:cstheme="minorHAnsi"/>
                <w:i/>
                <w:sz w:val="20"/>
                <w:szCs w:val="20"/>
              </w:rPr>
              <w:t>ECF</w:t>
            </w:r>
            <w:r w:rsidRPr="00921AD9">
              <w:rPr>
                <w:rFonts w:cstheme="minorHAnsi"/>
                <w:sz w:val="20"/>
                <w:szCs w:val="20"/>
              </w:rPr>
              <w:t xml:space="preserve"> epirubicine, cisplatin, 5-fluor</w:t>
            </w:r>
            <w:r>
              <w:rPr>
                <w:rFonts w:cstheme="minorHAnsi"/>
                <w:sz w:val="20"/>
                <w:szCs w:val="20"/>
              </w:rPr>
              <w:t>o</w:t>
            </w:r>
            <w:r w:rsidRPr="00921AD9">
              <w:rPr>
                <w:rFonts w:cstheme="minorHAnsi"/>
                <w:sz w:val="20"/>
                <w:szCs w:val="20"/>
              </w:rPr>
              <w:t xml:space="preserve">uracil, </w:t>
            </w:r>
            <w:r w:rsidRPr="00921AD9">
              <w:rPr>
                <w:rFonts w:cstheme="minorHAnsi"/>
                <w:i/>
                <w:sz w:val="20"/>
                <w:szCs w:val="20"/>
              </w:rPr>
              <w:t>FOLFOX</w:t>
            </w:r>
            <w:r w:rsidRPr="00921AD9">
              <w:rPr>
                <w:rFonts w:cstheme="minorHAnsi"/>
                <w:sz w:val="20"/>
                <w:szCs w:val="20"/>
              </w:rPr>
              <w:t xml:space="preserve"> 5-fluor</w:t>
            </w:r>
            <w:r>
              <w:rPr>
                <w:rFonts w:cstheme="minorHAnsi"/>
                <w:sz w:val="20"/>
                <w:szCs w:val="20"/>
              </w:rPr>
              <w:t>o</w:t>
            </w:r>
            <w:r w:rsidRPr="00921AD9">
              <w:rPr>
                <w:rFonts w:cstheme="minorHAnsi"/>
                <w:sz w:val="20"/>
                <w:szCs w:val="20"/>
              </w:rPr>
              <w:t xml:space="preserve">uracil, oxaliplatin, </w:t>
            </w:r>
            <w:r w:rsidRPr="00921AD9">
              <w:rPr>
                <w:rFonts w:cstheme="minorHAnsi"/>
                <w:i/>
                <w:sz w:val="20"/>
                <w:szCs w:val="20"/>
              </w:rPr>
              <w:t>CAPOX</w:t>
            </w:r>
            <w:r w:rsidRPr="00921AD9">
              <w:rPr>
                <w:rFonts w:cstheme="minorHAnsi"/>
                <w:sz w:val="20"/>
                <w:szCs w:val="20"/>
              </w:rPr>
              <w:t xml:space="preserve"> capecitabine, oxaliplatin, </w:t>
            </w:r>
            <w:r w:rsidRPr="00921AD9">
              <w:rPr>
                <w:rFonts w:cstheme="minorHAnsi"/>
                <w:i/>
                <w:sz w:val="20"/>
                <w:szCs w:val="20"/>
              </w:rPr>
              <w:t>FLOT</w:t>
            </w:r>
            <w:r>
              <w:rPr>
                <w:rFonts w:cstheme="minorHAnsi"/>
                <w:sz w:val="20"/>
                <w:szCs w:val="20"/>
              </w:rPr>
              <w:t xml:space="preserve"> 5-fluoro</w:t>
            </w:r>
            <w:r w:rsidRPr="00921AD9">
              <w:rPr>
                <w:rFonts w:cstheme="minorHAnsi"/>
                <w:sz w:val="20"/>
                <w:szCs w:val="20"/>
              </w:rPr>
              <w:t xml:space="preserve">uracil, leucovorin, oxaliplatin, docetaxel, </w:t>
            </w:r>
            <w:r w:rsidRPr="00921AD9">
              <w:rPr>
                <w:rFonts w:cstheme="minorHAnsi"/>
                <w:i/>
                <w:sz w:val="20"/>
                <w:szCs w:val="20"/>
              </w:rPr>
              <w:t>DOC</w:t>
            </w:r>
            <w:r w:rsidRPr="00921AD9">
              <w:rPr>
                <w:rFonts w:cstheme="minorHAnsi"/>
                <w:sz w:val="20"/>
                <w:szCs w:val="20"/>
              </w:rPr>
              <w:t xml:space="preserve"> docetaxel, oxaliplatin, capecitabine.</w:t>
            </w:r>
          </w:p>
        </w:tc>
      </w:tr>
    </w:tbl>
    <w:p w:rsidR="00DA2E09" w:rsidRPr="00921AD9" w:rsidRDefault="00DA2E09" w:rsidP="00DA2E09">
      <w:pPr>
        <w:spacing w:after="0" w:line="240" w:lineRule="auto"/>
        <w:rPr>
          <w:rFonts w:cstheme="minorHAnsi"/>
          <w:b/>
          <w:sz w:val="20"/>
          <w:szCs w:val="20"/>
        </w:rPr>
      </w:pPr>
      <w:r w:rsidRPr="00921AD9">
        <w:rPr>
          <w:rFonts w:cstheme="minorHAnsi"/>
          <w:b/>
          <w:sz w:val="20"/>
          <w:szCs w:val="20"/>
        </w:rPr>
        <w:br w:type="page"/>
      </w:r>
    </w:p>
    <w:p w:rsidR="00DA2E09" w:rsidRPr="00921AD9" w:rsidRDefault="00DA2E09" w:rsidP="00DA2E09">
      <w:pPr>
        <w:spacing w:line="360" w:lineRule="auto"/>
        <w:rPr>
          <w:rFonts w:cstheme="minorHAnsi"/>
          <w:sz w:val="16"/>
          <w:szCs w:val="20"/>
          <w:lang w:val="en-US"/>
        </w:rPr>
      </w:pPr>
      <w:r w:rsidRPr="00921AD9">
        <w:rPr>
          <w:rFonts w:cstheme="minorHAnsi"/>
          <w:b/>
          <w:sz w:val="20"/>
          <w:szCs w:val="20"/>
          <w:lang w:val="en-US"/>
        </w:rPr>
        <w:lastRenderedPageBreak/>
        <w:t xml:space="preserve">Supplementary Table 3. </w:t>
      </w:r>
      <w:r w:rsidRPr="00921AD9">
        <w:rPr>
          <w:rFonts w:cstheme="minorHAnsi"/>
          <w:sz w:val="20"/>
          <w:szCs w:val="20"/>
          <w:lang w:val="en-US"/>
        </w:rPr>
        <w:t>Comparison of</w:t>
      </w:r>
      <w:r w:rsidRPr="00921AD9">
        <w:rPr>
          <w:rFonts w:cstheme="minorHAnsi"/>
          <w:b/>
          <w:sz w:val="20"/>
          <w:szCs w:val="20"/>
          <w:lang w:val="en-US"/>
        </w:rPr>
        <w:t xml:space="preserve"> </w:t>
      </w:r>
      <w:r w:rsidRPr="00921AD9">
        <w:rPr>
          <w:rFonts w:cstheme="minorHAnsi"/>
          <w:sz w:val="20"/>
          <w:szCs w:val="20"/>
          <w:lang w:val="en-US"/>
        </w:rPr>
        <w:t>baseline characteristics and neoadjuvant treatment regimen of patients ≥75 years who did and did not proceed to surgery after neoadjuvant chemotherapy.</w:t>
      </w:r>
    </w:p>
    <w:tbl>
      <w:tblPr>
        <w:tblStyle w:val="Tabelraster4"/>
        <w:tblW w:w="8090" w:type="dxa"/>
        <w:tblLook w:val="04A0" w:firstRow="1" w:lastRow="0" w:firstColumn="1" w:lastColumn="0" w:noHBand="0" w:noVBand="1"/>
      </w:tblPr>
      <w:tblGrid>
        <w:gridCol w:w="4106"/>
        <w:gridCol w:w="1559"/>
        <w:gridCol w:w="1418"/>
        <w:gridCol w:w="1007"/>
      </w:tblGrid>
      <w:tr w:rsidR="00DA2E09" w:rsidRPr="00921AD9" w:rsidTr="00845FF4">
        <w:trPr>
          <w:trHeight w:val="317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t>Patients characteristics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t>Not proceeded to surgery age ≥75 (N=43)</w:t>
            </w:r>
          </w:p>
        </w:tc>
        <w:tc>
          <w:tcPr>
            <w:tcW w:w="1418" w:type="dxa"/>
          </w:tcPr>
          <w:p w:rsidR="00DA2E09" w:rsidRPr="00921AD9" w:rsidRDefault="00DA2E09" w:rsidP="00845FF4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t>Proceeded to surgery age ≥75 (N=232)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t>p-value</w:t>
            </w: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Age, median (IQR), years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77 (76-79)</w:t>
            </w: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77 (76-78)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0.070</w:t>
            </w: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Sex, male no./total no. (%)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31 (72.1)</w:t>
            </w: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141 (60.8)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0.159</w:t>
            </w: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t>WHO performance status, no./total no. (%)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0.076</w:t>
            </w: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0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13 (30.2)</w:t>
            </w: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90 (38.8)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1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13 (30.2)</w:t>
            </w: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83 (35.8)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≥2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5 (11.6)</w:t>
            </w: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8 (3.4)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Unknown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12 (27.9)</w:t>
            </w: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51 (22.0)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t>Number of comorbidity categories*, no./total no. (%)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0.783</w:t>
            </w: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0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16 (37.2)</w:t>
            </w: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96 (41.4)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1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13 (30.2)</w:t>
            </w: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77 (33.2)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≥2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10 (23.3)</w:t>
            </w: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45 (19.4)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Unknown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4 (9.3)</w:t>
            </w: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14 (6.0)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b/>
                <w:sz w:val="20"/>
                <w:szCs w:val="20"/>
                <w:lang w:val="es-ES"/>
              </w:rPr>
              <w:t xml:space="preserve">Tumor location, no./total no. </w:t>
            </w: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t>(%)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0.206</w:t>
            </w: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Proximal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25 (58.1)</w:t>
            </w: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101 (43.5)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Distal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10 (23.3)</w:t>
            </w: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89 (38.4)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Diffuse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7 (16.3)</w:t>
            </w: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32 (13.8)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Unknown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 (2.3)</w:t>
            </w: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10 (4.3)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t>cT-stage, no./total no. (%)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0.145</w:t>
            </w: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T1-T2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14 (32.6)</w:t>
            </w: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91 (39.2)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T3-T4a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19 (44.2)</w:t>
            </w: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113 (48.7)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Tx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10 (23.3)</w:t>
            </w: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28 (12.1)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b/>
                <w:sz w:val="20"/>
                <w:szCs w:val="20"/>
                <w:lang w:val="pt-BR"/>
              </w:rPr>
              <w:t xml:space="preserve">cN-stage, no./total no. </w:t>
            </w: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t>(%)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0.027</w:t>
            </w: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N0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18 (41.9)</w:t>
            </w: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130 (56.0)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N1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11 (25.6)</w:t>
            </w: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69 (29.7)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≥N2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11 (25.6)</w:t>
            </w: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28 (12.1)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Nx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3 (7.0)</w:t>
            </w: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5 (2.2)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t>Tumor differentiation, no./total no. (%)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Well-moderate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11 (25.6)</w:t>
            </w: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84 (36.2)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Poorly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14 (32.6)</w:t>
            </w: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108 (46.6)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Undifferentiated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Unknown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18 (41.9)</w:t>
            </w: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40 (17.2)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t>Interval between diagnosis and onset of neoadjuvant therapy (days), median (IQR)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47 (32-57)</w:t>
            </w: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42 (31-54)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0.462</w:t>
            </w: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t>Neoadjuvant chemotherapy regime, no./total no. (%)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EOX/ECC/EOF/ECF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15 (34.9)</w:t>
            </w: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104 (44.8)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FOLFOX/CAPOX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12 (27.9)</w:t>
            </w: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42 (18.1)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FLOT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5 (11.6)</w:t>
            </w: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72 (31.0)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DOC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7 (3.0)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Other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11 (25.6)</w:t>
            </w: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7 (3.0)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lastRenderedPageBreak/>
              <w:t>Course of neoadjuvant regime no./total no. (%)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Completed all cycles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15 (34.9)</w:t>
            </w: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159 (68.5)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Reduction in cycles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17 (39.5)</w:t>
            </w: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59 (25.4)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4106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 Unknown</w:t>
            </w:r>
          </w:p>
        </w:tc>
        <w:tc>
          <w:tcPr>
            <w:tcW w:w="155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11 (25.6)</w:t>
            </w:r>
          </w:p>
        </w:tc>
        <w:tc>
          <w:tcPr>
            <w:tcW w:w="1418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14 (6.0)</w:t>
            </w:r>
          </w:p>
        </w:tc>
        <w:tc>
          <w:tcPr>
            <w:tcW w:w="1007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311"/>
        </w:trPr>
        <w:tc>
          <w:tcPr>
            <w:tcW w:w="8090" w:type="dxa"/>
            <w:gridSpan w:val="4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i/>
                <w:sz w:val="20"/>
                <w:szCs w:val="20"/>
                <w:lang w:val="en-US"/>
              </w:rPr>
              <w:t>IQR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interquartile range,</w:t>
            </w: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921AD9">
              <w:rPr>
                <w:rFonts w:cstheme="minorHAnsi"/>
                <w:i/>
                <w:sz w:val="20"/>
                <w:szCs w:val="20"/>
                <w:lang w:val="en-US"/>
              </w:rPr>
              <w:t>WHO</w:t>
            </w: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World Health Organization</w:t>
            </w:r>
            <w:r>
              <w:rPr>
                <w:rFonts w:cstheme="minorHAnsi"/>
                <w:sz w:val="20"/>
                <w:szCs w:val="20"/>
                <w:lang w:val="en-US"/>
              </w:rPr>
              <w:t>,</w:t>
            </w: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921AD9">
              <w:rPr>
                <w:rFonts w:cstheme="minorHAnsi"/>
                <w:i/>
                <w:sz w:val="20"/>
                <w:szCs w:val="20"/>
                <w:lang w:val="en-US"/>
              </w:rPr>
              <w:t>EOX</w:t>
            </w: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epirubi</w:t>
            </w:r>
            <w:r>
              <w:rPr>
                <w:rFonts w:cstheme="minorHAnsi"/>
                <w:sz w:val="20"/>
                <w:szCs w:val="20"/>
                <w:lang w:val="en-US"/>
              </w:rPr>
              <w:t>cine, oxaliplatin, capecitabine,</w:t>
            </w: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921AD9">
              <w:rPr>
                <w:rFonts w:cstheme="minorHAnsi"/>
                <w:i/>
                <w:sz w:val="20"/>
                <w:szCs w:val="20"/>
                <w:lang w:val="en-US"/>
              </w:rPr>
              <w:t>ECC</w:t>
            </w: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epiru</w:t>
            </w:r>
            <w:r>
              <w:rPr>
                <w:rFonts w:cstheme="minorHAnsi"/>
                <w:sz w:val="20"/>
                <w:szCs w:val="20"/>
                <w:lang w:val="en-US"/>
              </w:rPr>
              <w:t>bicine, cisplatin, capecitabine,</w:t>
            </w: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921AD9">
              <w:rPr>
                <w:rFonts w:cstheme="minorHAnsi"/>
                <w:i/>
                <w:sz w:val="20"/>
                <w:szCs w:val="20"/>
                <w:lang w:val="en-US"/>
              </w:rPr>
              <w:t>EOF</w:t>
            </w: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epirubicine, oxaliplatin, 5-fluoruracil; </w:t>
            </w:r>
            <w:r w:rsidRPr="00921AD9">
              <w:rPr>
                <w:rFonts w:cstheme="minorHAnsi"/>
                <w:i/>
                <w:sz w:val="20"/>
                <w:szCs w:val="20"/>
                <w:lang w:val="en-US"/>
              </w:rPr>
              <w:t>ECF</w:t>
            </w: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epirubicine, cisplatin, 5-fluor</w:t>
            </w:r>
            <w:r>
              <w:rPr>
                <w:rFonts w:cstheme="minorHAnsi"/>
                <w:sz w:val="20"/>
                <w:szCs w:val="20"/>
                <w:lang w:val="en-US"/>
              </w:rPr>
              <w:t>o</w:t>
            </w:r>
            <w:r w:rsidRPr="00921AD9">
              <w:rPr>
                <w:rFonts w:cstheme="minorHAnsi"/>
                <w:sz w:val="20"/>
                <w:szCs w:val="20"/>
                <w:lang w:val="en-US"/>
              </w:rPr>
              <w:t>uracil</w:t>
            </w:r>
            <w:r>
              <w:rPr>
                <w:rFonts w:cstheme="minorHAnsi"/>
                <w:sz w:val="20"/>
                <w:szCs w:val="20"/>
                <w:lang w:val="en-US"/>
              </w:rPr>
              <w:t>,</w:t>
            </w: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921AD9">
              <w:rPr>
                <w:rFonts w:cstheme="minorHAnsi"/>
                <w:i/>
                <w:sz w:val="20"/>
                <w:szCs w:val="20"/>
                <w:lang w:val="en-US"/>
              </w:rPr>
              <w:t>FOLFOX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5-fluorouracil, oxaliplatin,</w:t>
            </w: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921AD9">
              <w:rPr>
                <w:rFonts w:cstheme="minorHAnsi"/>
                <w:i/>
                <w:sz w:val="20"/>
                <w:szCs w:val="20"/>
                <w:lang w:val="en-US"/>
              </w:rPr>
              <w:t>CAPOX</w:t>
            </w: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capecitabine, oxalipl</w:t>
            </w:r>
            <w:r>
              <w:rPr>
                <w:rFonts w:cstheme="minorHAnsi"/>
                <w:sz w:val="20"/>
                <w:szCs w:val="20"/>
                <w:lang w:val="en-US"/>
              </w:rPr>
              <w:t>atin,</w:t>
            </w: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921AD9">
              <w:rPr>
                <w:rFonts w:cstheme="minorHAnsi"/>
                <w:i/>
                <w:sz w:val="20"/>
                <w:szCs w:val="20"/>
                <w:lang w:val="en-US"/>
              </w:rPr>
              <w:t>FLOT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5-fluoro</w:t>
            </w:r>
            <w:r w:rsidRPr="00921AD9">
              <w:rPr>
                <w:rFonts w:cstheme="minorHAnsi"/>
                <w:sz w:val="20"/>
                <w:szCs w:val="20"/>
                <w:lang w:val="en-US"/>
              </w:rPr>
              <w:t>uracil, leu</w:t>
            </w:r>
            <w:r>
              <w:rPr>
                <w:rFonts w:cstheme="minorHAnsi"/>
                <w:sz w:val="20"/>
                <w:szCs w:val="20"/>
                <w:lang w:val="en-US"/>
              </w:rPr>
              <w:t>covorin, oxaliplatin, docetaxel,</w:t>
            </w:r>
            <w:r w:rsidRPr="00921AD9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921AD9">
              <w:rPr>
                <w:rFonts w:cstheme="minorHAnsi"/>
                <w:i/>
                <w:sz w:val="20"/>
                <w:szCs w:val="20"/>
                <w:lang w:val="en-US"/>
              </w:rPr>
              <w:t>DOC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921AD9">
              <w:rPr>
                <w:rFonts w:cstheme="minorHAnsi"/>
                <w:sz w:val="20"/>
                <w:szCs w:val="20"/>
                <w:lang w:val="en-US"/>
              </w:rPr>
              <w:t>docetaxel, oxaliplatin, capecitabine.</w:t>
            </w:r>
          </w:p>
        </w:tc>
      </w:tr>
    </w:tbl>
    <w:p w:rsidR="00DA2E09" w:rsidRPr="00921AD9" w:rsidRDefault="00DA2E09" w:rsidP="00DA2E09">
      <w:pPr>
        <w:spacing w:after="0" w:line="240" w:lineRule="auto"/>
        <w:rPr>
          <w:rFonts w:cstheme="minorHAnsi"/>
          <w:b/>
          <w:sz w:val="20"/>
          <w:szCs w:val="20"/>
          <w:lang w:val="en-US"/>
        </w:rPr>
      </w:pPr>
      <w:r w:rsidRPr="00921AD9">
        <w:rPr>
          <w:rFonts w:cstheme="minorHAnsi"/>
          <w:b/>
          <w:sz w:val="20"/>
          <w:szCs w:val="20"/>
          <w:lang w:val="en-US"/>
        </w:rPr>
        <w:br w:type="page"/>
      </w:r>
    </w:p>
    <w:p w:rsidR="00DA2E09" w:rsidRPr="00921AD9" w:rsidRDefault="00DA2E09" w:rsidP="00DA2E09">
      <w:pPr>
        <w:spacing w:line="360" w:lineRule="auto"/>
        <w:rPr>
          <w:rFonts w:cstheme="minorHAnsi"/>
          <w:b/>
          <w:sz w:val="16"/>
          <w:szCs w:val="20"/>
          <w:lang w:val="en-US"/>
        </w:rPr>
      </w:pPr>
      <w:r w:rsidRPr="00921AD9">
        <w:rPr>
          <w:rFonts w:cstheme="minorHAnsi"/>
          <w:b/>
          <w:sz w:val="20"/>
          <w:szCs w:val="20"/>
          <w:lang w:val="en-US"/>
        </w:rPr>
        <w:lastRenderedPageBreak/>
        <w:t xml:space="preserve">Supplementary Table 4. </w:t>
      </w:r>
      <w:r w:rsidRPr="00921AD9">
        <w:rPr>
          <w:rFonts w:cstheme="minorHAnsi"/>
          <w:sz w:val="20"/>
          <w:szCs w:val="20"/>
          <w:lang w:val="en-US"/>
        </w:rPr>
        <w:t>Overall survival of patients ≥75 years treated with or without neoadjuvant chemotherapy in the propensity score matched sample.</w:t>
      </w:r>
    </w:p>
    <w:tbl>
      <w:tblPr>
        <w:tblStyle w:val="Tabelraster4"/>
        <w:tblW w:w="6516" w:type="dxa"/>
        <w:tblInd w:w="-5" w:type="dxa"/>
        <w:tblLook w:val="04A0" w:firstRow="1" w:lastRow="0" w:firstColumn="1" w:lastColumn="0" w:noHBand="0" w:noVBand="1"/>
      </w:tblPr>
      <w:tblGrid>
        <w:gridCol w:w="2393"/>
        <w:gridCol w:w="1542"/>
        <w:gridCol w:w="1669"/>
        <w:gridCol w:w="912"/>
      </w:tblGrid>
      <w:tr w:rsidR="00DA2E09" w:rsidRPr="00921AD9" w:rsidTr="00845FF4">
        <w:trPr>
          <w:trHeight w:val="816"/>
        </w:trPr>
        <w:tc>
          <w:tcPr>
            <w:tcW w:w="2393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t>Neoadjuvant chemotherapy age ≥75 (N=169)</w:t>
            </w:r>
          </w:p>
        </w:tc>
        <w:tc>
          <w:tcPr>
            <w:tcW w:w="16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t>No neoadjuvant chemotherapy age ≥75 (N=169)</w:t>
            </w:r>
          </w:p>
        </w:tc>
        <w:tc>
          <w:tcPr>
            <w:tcW w:w="912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b/>
                <w:sz w:val="20"/>
                <w:szCs w:val="20"/>
                <w:lang w:val="en-US"/>
              </w:rPr>
              <w:t>p-value</w:t>
            </w:r>
          </w:p>
        </w:tc>
      </w:tr>
      <w:tr w:rsidR="00DA2E09" w:rsidRPr="00921AD9" w:rsidTr="00845FF4">
        <w:trPr>
          <w:trHeight w:val="827"/>
        </w:trPr>
        <w:tc>
          <w:tcPr>
            <w:tcW w:w="2393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Overall survival (months), median (95% CI)</w:t>
            </w:r>
          </w:p>
        </w:tc>
        <w:tc>
          <w:tcPr>
            <w:tcW w:w="1542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36.7 (27.5-45.9)</w:t>
            </w:r>
          </w:p>
        </w:tc>
        <w:tc>
          <w:tcPr>
            <w:tcW w:w="16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28.6 (17.8-39.3)</w:t>
            </w:r>
          </w:p>
        </w:tc>
        <w:tc>
          <w:tcPr>
            <w:tcW w:w="912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0.277</w:t>
            </w:r>
          </w:p>
        </w:tc>
      </w:tr>
      <w:tr w:rsidR="00DA2E09" w:rsidRPr="00921AD9" w:rsidTr="00845FF4">
        <w:trPr>
          <w:trHeight w:val="609"/>
        </w:trPr>
        <w:tc>
          <w:tcPr>
            <w:tcW w:w="2393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3-year overall survival %</w:t>
            </w:r>
          </w:p>
        </w:tc>
        <w:tc>
          <w:tcPr>
            <w:tcW w:w="1542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52</w:t>
            </w:r>
          </w:p>
        </w:tc>
        <w:tc>
          <w:tcPr>
            <w:tcW w:w="16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45</w:t>
            </w:r>
          </w:p>
        </w:tc>
        <w:tc>
          <w:tcPr>
            <w:tcW w:w="912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597"/>
        </w:trPr>
        <w:tc>
          <w:tcPr>
            <w:tcW w:w="2393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5-year overall survival %</w:t>
            </w:r>
          </w:p>
        </w:tc>
        <w:tc>
          <w:tcPr>
            <w:tcW w:w="1542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38</w:t>
            </w:r>
          </w:p>
        </w:tc>
        <w:tc>
          <w:tcPr>
            <w:tcW w:w="16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37</w:t>
            </w:r>
          </w:p>
        </w:tc>
        <w:tc>
          <w:tcPr>
            <w:tcW w:w="912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2E09" w:rsidRPr="00921AD9" w:rsidTr="00845FF4">
        <w:trPr>
          <w:trHeight w:val="597"/>
        </w:trPr>
        <w:tc>
          <w:tcPr>
            <w:tcW w:w="2393" w:type="dxa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Unadjusted hazard ratio (95% CI)</w:t>
            </w:r>
          </w:p>
        </w:tc>
        <w:tc>
          <w:tcPr>
            <w:tcW w:w="1542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0.85 (0.64-1.14)</w:t>
            </w:r>
          </w:p>
        </w:tc>
        <w:tc>
          <w:tcPr>
            <w:tcW w:w="1669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912" w:type="dxa"/>
            <w:vAlign w:val="center"/>
          </w:tcPr>
          <w:p w:rsidR="00DA2E09" w:rsidRPr="00921AD9" w:rsidRDefault="00DA2E09" w:rsidP="00845FF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sz w:val="20"/>
                <w:szCs w:val="20"/>
                <w:lang w:val="en-US"/>
              </w:rPr>
              <w:t>0.278</w:t>
            </w:r>
          </w:p>
        </w:tc>
      </w:tr>
      <w:tr w:rsidR="00DA2E09" w:rsidRPr="00921AD9" w:rsidTr="00845FF4">
        <w:trPr>
          <w:trHeight w:val="182"/>
        </w:trPr>
        <w:tc>
          <w:tcPr>
            <w:tcW w:w="6516" w:type="dxa"/>
            <w:gridSpan w:val="4"/>
            <w:vAlign w:val="center"/>
          </w:tcPr>
          <w:p w:rsidR="00DA2E09" w:rsidRPr="00921AD9" w:rsidRDefault="00DA2E09" w:rsidP="00845FF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21AD9">
              <w:rPr>
                <w:rFonts w:cstheme="minorHAnsi"/>
                <w:i/>
                <w:sz w:val="20"/>
                <w:szCs w:val="20"/>
                <w:lang w:val="en-US"/>
              </w:rPr>
              <w:t xml:space="preserve">CI </w:t>
            </w:r>
            <w:r w:rsidRPr="00921AD9">
              <w:rPr>
                <w:rFonts w:cstheme="minorHAnsi"/>
                <w:sz w:val="20"/>
                <w:szCs w:val="20"/>
                <w:lang w:val="en-US"/>
              </w:rPr>
              <w:t>confidence interval.</w:t>
            </w:r>
          </w:p>
        </w:tc>
      </w:tr>
    </w:tbl>
    <w:p w:rsidR="00905FF5" w:rsidRPr="00DA2E09" w:rsidRDefault="00905FF5">
      <w:pPr>
        <w:rPr>
          <w:lang w:val="en-US"/>
        </w:rPr>
      </w:pPr>
    </w:p>
    <w:sectPr w:rsidR="00905FF5" w:rsidRPr="00DA2E09" w:rsidSect="00DA2E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09"/>
    <w:rsid w:val="006D5597"/>
    <w:rsid w:val="00905FF5"/>
    <w:rsid w:val="00DA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CB5AF"/>
  <w15:chartTrackingRefBased/>
  <w15:docId w15:val="{3E02DFC9-9754-4D85-85DC-A8B0EAF6B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4">
    <w:name w:val="Tabelraster4"/>
    <w:basedOn w:val="Standaardtabel"/>
    <w:next w:val="Tabelraster"/>
    <w:uiPriority w:val="39"/>
    <w:rsid w:val="00DA2E0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1">
    <w:name w:val="Tabelraster21"/>
    <w:basedOn w:val="Standaardtabel"/>
    <w:next w:val="Tabelraster"/>
    <w:uiPriority w:val="39"/>
    <w:rsid w:val="00DA2E0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DA2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D3CC1B7E</Template>
  <TotalTime>2</TotalTime>
  <Pages>5</Pages>
  <Words>830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Keywani, K</dc:creator>
  <cp:keywords/>
  <dc:description/>
  <cp:lastModifiedBy>Keywani, K</cp:lastModifiedBy>
  <cp:revision>1</cp:revision>
  <dcterms:created xsi:type="dcterms:W3CDTF">2023-03-26T16:22:00Z</dcterms:created>
  <dcterms:modified xsi:type="dcterms:W3CDTF">2023-03-26T16:24:00Z</dcterms:modified>
</cp:coreProperties>
</file>