
<file path=[Content_Types].xml><?xml version="1.0" encoding="utf-8"?>
<Types xmlns="http://schemas.openxmlformats.org/package/2006/content-types">
  <Default Extension="tiff" ContentType="image/tif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OLE_LINK1"/>
      <w:r>
        <w:rPr>
          <w:rFonts w:ascii="Times New Roman" w:hAnsi="Times New Roman" w:cs="Times New Roman"/>
          <w:b/>
          <w:sz w:val="24"/>
          <w:szCs w:val="24"/>
        </w:rPr>
        <w:t>Supplementary Figure 1:</w:t>
      </w:r>
    </w:p>
    <w:bookmarkEnd w:id="0"/>
    <w:p>
      <w:pPr>
        <w:spacing w:line="276" w:lineRule="auto"/>
        <w:rPr>
          <w:rFonts w:hint="eastAsia" w:ascii="Times New Roman" w:hAnsi="Times New Roman" w:cs="Times New Roman" w:eastAsiaTheme="minorEastAsia"/>
          <w:b/>
          <w:bCs/>
          <w:sz w:val="32"/>
          <w:szCs w:val="36"/>
          <w:lang w:eastAsia="zh-CN"/>
        </w:rPr>
      </w:pPr>
      <w:r>
        <w:rPr>
          <w:rFonts w:hint="eastAsia" w:ascii="Times New Roman" w:hAnsi="Times New Roman" w:cs="Times New Roman" w:eastAsiaTheme="minorEastAsia"/>
          <w:b/>
          <w:bCs/>
          <w:sz w:val="32"/>
          <w:szCs w:val="36"/>
          <w:lang w:eastAsia="zh-CN"/>
        </w:rPr>
        <w:drawing>
          <wp:inline distT="0" distB="0" distL="114300" distR="114300">
            <wp:extent cx="5269230" cy="2363470"/>
            <wp:effectExtent l="0" t="0" r="1270" b="11430"/>
            <wp:docPr id="4" name="图片 4" descr="supplymentary Figure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supplymentary Figure1-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36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default" w:ascii="Times New Roman" w:hAnsi="Times New Roman" w:cs="Times New Roman"/>
          <w:sz w:val="24"/>
          <w:szCs w:val="28"/>
        </w:rPr>
      </w:pPr>
      <w:r>
        <w:rPr>
          <w:rFonts w:hint="default" w:ascii="Times New Roman" w:hAnsi="Times New Roman" w:cs="Times New Roman"/>
          <w:b/>
          <w:sz w:val="24"/>
          <w:szCs w:val="28"/>
          <w:lang w:val="en-US" w:eastAsia="zh-CN"/>
        </w:rPr>
        <w:t>Supplementary Figure 1:</w:t>
      </w:r>
      <w:r>
        <w:rPr>
          <w:rFonts w:hint="default" w:ascii="Times New Roman" w:hAnsi="Times New Roman" w:cs="Times New Roman"/>
          <w:bCs/>
          <w:sz w:val="24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Cs/>
          <w:sz w:val="24"/>
          <w:szCs w:val="28"/>
        </w:rPr>
        <w:t>TLR6 mRNA expression</w:t>
      </w:r>
      <w:r>
        <w:rPr>
          <w:rFonts w:hint="default" w:ascii="Times New Roman" w:hAnsi="Times New Roman" w:eastAsia="宋体" w:cs="Times New Roman"/>
          <w:bCs/>
          <w:sz w:val="24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/>
          <w:sz w:val="24"/>
          <w:szCs w:val="28"/>
          <w:lang w:val="en-US" w:eastAsia="zh-CN"/>
        </w:rPr>
        <w:t>(A)</w:t>
      </w:r>
      <w:r>
        <w:rPr>
          <w:rFonts w:hint="default" w:ascii="Times New Roman" w:hAnsi="Times New Roman" w:cs="Times New Roman"/>
          <w:bCs/>
          <w:sz w:val="24"/>
          <w:szCs w:val="28"/>
        </w:rPr>
        <w:t xml:space="preserve"> in</w:t>
      </w:r>
      <w:r>
        <w:rPr>
          <w:rFonts w:hint="default" w:ascii="Times New Roman" w:hAnsi="Times New Roman" w:cs="Times New Roman"/>
          <w:bCs/>
          <w:sz w:val="24"/>
          <w:szCs w:val="28"/>
          <w:lang w:val="en-US" w:eastAsia="zh-CN"/>
        </w:rPr>
        <w:t xml:space="preserve"> untreated</w:t>
      </w:r>
      <w:r>
        <w:rPr>
          <w:rFonts w:hint="default" w:ascii="Times New Roman" w:hAnsi="Times New Roman" w:cs="Times New Roman"/>
          <w:bCs/>
          <w:sz w:val="24"/>
          <w:szCs w:val="28"/>
        </w:rPr>
        <w:t xml:space="preserve"> GES-1 cells</w:t>
      </w:r>
      <w:r>
        <w:rPr>
          <w:rFonts w:hint="default" w:ascii="Times New Roman" w:hAnsi="Times New Roman" w:cs="Times New Roman"/>
          <w:bCs/>
          <w:sz w:val="24"/>
          <w:szCs w:val="28"/>
          <w:lang w:val="en-US" w:eastAsia="zh-CN"/>
        </w:rPr>
        <w:t xml:space="preserve"> (F0)</w:t>
      </w:r>
      <w:r>
        <w:rPr>
          <w:rFonts w:hint="default" w:ascii="Times New Roman" w:hAnsi="Times New Roman" w:cs="Times New Roman"/>
          <w:bCs/>
          <w:sz w:val="24"/>
          <w:szCs w:val="28"/>
        </w:rPr>
        <w:t xml:space="preserve">, </w:t>
      </w:r>
      <w:r>
        <w:rPr>
          <w:rFonts w:hint="default" w:ascii="Times New Roman" w:hAnsi="Times New Roman" w:cs="Times New Roman"/>
          <w:bCs/>
          <w:sz w:val="24"/>
          <w:szCs w:val="28"/>
          <w:lang w:val="en-US" w:eastAsia="zh-CN"/>
        </w:rPr>
        <w:t>GES-1 cells at 1</w:t>
      </w:r>
      <w:r>
        <w:rPr>
          <w:rFonts w:hint="default" w:ascii="Times New Roman" w:hAnsi="Times New Roman" w:cs="Times New Roman"/>
          <w:bCs/>
          <w:sz w:val="24"/>
          <w:szCs w:val="28"/>
          <w:vertAlign w:val="superscript"/>
          <w:lang w:val="en-US" w:eastAsia="zh-CN"/>
        </w:rPr>
        <w:t xml:space="preserve">st </w:t>
      </w:r>
      <w:r>
        <w:rPr>
          <w:rFonts w:hint="default" w:ascii="Times New Roman" w:hAnsi="Times New Roman" w:cs="Times New Roman"/>
          <w:bCs/>
          <w:sz w:val="24"/>
          <w:szCs w:val="28"/>
          <w:lang w:val="en-US" w:eastAsia="zh-CN"/>
        </w:rPr>
        <w:t>passage (F1), GES-1 cells at 10</w:t>
      </w:r>
      <w:r>
        <w:rPr>
          <w:rFonts w:hint="default" w:ascii="Times New Roman" w:hAnsi="Times New Roman" w:cs="Times New Roman"/>
          <w:bCs/>
          <w:sz w:val="24"/>
          <w:szCs w:val="28"/>
          <w:vertAlign w:val="superscript"/>
          <w:lang w:val="en-US" w:eastAsia="zh-CN"/>
        </w:rPr>
        <w:t xml:space="preserve">th </w:t>
      </w:r>
      <w:r>
        <w:rPr>
          <w:rFonts w:hint="default" w:ascii="Times New Roman" w:hAnsi="Times New Roman" w:cs="Times New Roman"/>
          <w:bCs/>
          <w:sz w:val="24"/>
          <w:szCs w:val="28"/>
          <w:lang w:val="en-US" w:eastAsia="zh-CN"/>
        </w:rPr>
        <w:t>passage (F10), GES-1 cells at 20</w:t>
      </w:r>
      <w:r>
        <w:rPr>
          <w:rFonts w:hint="default" w:ascii="Times New Roman" w:hAnsi="Times New Roman" w:cs="Times New Roman"/>
          <w:bCs/>
          <w:sz w:val="24"/>
          <w:szCs w:val="28"/>
          <w:vertAlign w:val="superscript"/>
          <w:lang w:val="en-US" w:eastAsia="zh-CN"/>
        </w:rPr>
        <w:t xml:space="preserve">th </w:t>
      </w:r>
      <w:r>
        <w:rPr>
          <w:rFonts w:hint="default" w:ascii="Times New Roman" w:hAnsi="Times New Roman" w:cs="Times New Roman"/>
          <w:bCs/>
          <w:sz w:val="24"/>
          <w:szCs w:val="28"/>
          <w:lang w:val="en-US" w:eastAsia="zh-CN"/>
        </w:rPr>
        <w:t>passage (F20) and GES-1 cells at 30</w:t>
      </w:r>
      <w:r>
        <w:rPr>
          <w:rFonts w:hint="default" w:ascii="Times New Roman" w:hAnsi="Times New Roman" w:cs="Times New Roman"/>
          <w:bCs/>
          <w:sz w:val="24"/>
          <w:szCs w:val="28"/>
          <w:vertAlign w:val="superscript"/>
          <w:lang w:val="en-US" w:eastAsia="zh-CN"/>
        </w:rPr>
        <w:t xml:space="preserve">th </w:t>
      </w:r>
      <w:r>
        <w:rPr>
          <w:rFonts w:hint="default" w:ascii="Times New Roman" w:hAnsi="Times New Roman" w:cs="Times New Roman"/>
          <w:bCs/>
          <w:sz w:val="24"/>
          <w:szCs w:val="28"/>
          <w:lang w:val="en-US" w:eastAsia="zh-CN"/>
        </w:rPr>
        <w:t xml:space="preserve">passage (F30). </w:t>
      </w:r>
      <w:r>
        <w:rPr>
          <w:rFonts w:hint="default" w:ascii="Times New Roman" w:hAnsi="Times New Roman" w:cs="Times New Roman"/>
          <w:bCs/>
          <w:color w:val="000000" w:themeColor="text1"/>
          <w:sz w:val="24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TLR6 mRNA expression </w:t>
      </w:r>
      <w:r>
        <w:rPr>
          <w:rFonts w:hint="default" w:ascii="Times New Roman" w:hAnsi="Times New Roman" w:cs="Times New Roman"/>
          <w:b/>
          <w:color w:val="000000" w:themeColor="text1"/>
          <w:sz w:val="24"/>
          <w:szCs w:val="28"/>
          <w:lang w:val="en-US" w:eastAsia="zh-CN"/>
          <w14:textFill>
            <w14:solidFill>
              <w14:schemeClr w14:val="tx1"/>
            </w14:solidFill>
          </w14:textFill>
        </w:rPr>
        <w:t>(B)</w:t>
      </w:r>
      <w:r>
        <w:rPr>
          <w:rFonts w:hint="default" w:ascii="Times New Roman" w:hAnsi="Times New Roman" w:cs="Times New Roman"/>
          <w:bCs/>
          <w:color w:val="000000" w:themeColor="text1"/>
          <w:sz w:val="24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in MKN-45 cells, MKN-45 cells+lysate F1 cells (F1) and MKN-45+lysate F30 cells (F30). </w:t>
      </w:r>
      <w:bookmarkStart w:id="1" w:name="OLE_LINK9"/>
      <w:r>
        <w:rPr>
          <w:rFonts w:hint="default" w:ascii="Times New Roman" w:hAnsi="Times New Roman" w:cs="Times New Roman"/>
          <w:sz w:val="24"/>
          <w:szCs w:val="28"/>
        </w:rPr>
        <w:t>All data represents means ± SEM. ***P &lt;0 .001, **P &lt;0 .0</w:t>
      </w:r>
      <w:r>
        <w:rPr>
          <w:rFonts w:hint="default" w:ascii="Times New Roman" w:hAnsi="Times New Roman" w:eastAsia="宋体" w:cs="Times New Roman"/>
          <w:sz w:val="24"/>
          <w:szCs w:val="28"/>
          <w:lang w:val="en-US" w:eastAsia="zh-CN"/>
        </w:rPr>
        <w:t>1</w:t>
      </w:r>
      <w:r>
        <w:rPr>
          <w:rFonts w:hint="default" w:ascii="Times New Roman" w:hAnsi="Times New Roman" w:cs="Times New Roman"/>
          <w:sz w:val="24"/>
          <w:szCs w:val="28"/>
        </w:rPr>
        <w:t>.</w:t>
      </w:r>
      <w:bookmarkEnd w:id="1"/>
    </w:p>
    <w:p>
      <w:pPr>
        <w:spacing w:line="360" w:lineRule="auto"/>
        <w:rPr>
          <w:rFonts w:hint="default" w:ascii="Times New Roman" w:hAnsi="Times New Roman" w:cs="Times New Roman"/>
          <w:sz w:val="24"/>
          <w:szCs w:val="28"/>
        </w:rPr>
      </w:pPr>
    </w:p>
    <w:p>
      <w:pPr>
        <w:spacing w:line="276" w:lineRule="auto"/>
        <w:rPr>
          <w:rFonts w:hint="eastAsia" w:ascii="Times New Roman" w:hAnsi="Times New Roman" w:cs="Times New Roman"/>
          <w:sz w:val="24"/>
          <w:szCs w:val="28"/>
          <w:lang w:eastAsia="zh-CN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Supplementary Figure 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>
      <w:pPr>
        <w:spacing w:line="276" w:lineRule="auto"/>
        <w:rPr>
          <w:rFonts w:hint="eastAsia" w:ascii="Times New Roman" w:hAnsi="Times New Roman" w:cs="Times New Roman" w:eastAsiaTheme="minorEastAsia"/>
          <w:b/>
          <w:bCs/>
          <w:sz w:val="32"/>
          <w:szCs w:val="36"/>
          <w:lang w:eastAsia="zh-CN"/>
        </w:rPr>
      </w:pPr>
      <w:r>
        <w:rPr>
          <w:rFonts w:hint="eastAsia" w:ascii="Times New Roman" w:hAnsi="Times New Roman" w:cs="Times New Roman" w:eastAsiaTheme="minorEastAsia"/>
          <w:b/>
          <w:sz w:val="24"/>
          <w:szCs w:val="24"/>
          <w:lang w:eastAsia="zh-CN"/>
        </w:rPr>
        <w:drawing>
          <wp:inline distT="0" distB="0" distL="114300" distR="114300">
            <wp:extent cx="5272405" cy="3409315"/>
            <wp:effectExtent l="0" t="0" r="0" b="0"/>
            <wp:docPr id="6" name="图片 6" descr="supplymentary Fig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supplymentary Figure2"/>
                    <pic:cNvPicPr>
                      <a:picLocks noChangeAspect="1"/>
                    </pic:cNvPicPr>
                  </pic:nvPicPr>
                  <pic:blipFill>
                    <a:blip r:embed="rId5"/>
                    <a:srcRect b="3323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409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rPr>
          <w:rFonts w:hint="eastAsia" w:ascii="Times New Roman" w:hAnsi="Times New Roman" w:cs="Times New Roman" w:eastAsiaTheme="minorEastAsia"/>
          <w:b/>
          <w:sz w:val="24"/>
          <w:szCs w:val="24"/>
          <w:lang w:eastAsia="zh-CN"/>
        </w:rPr>
      </w:pPr>
      <w:r>
        <w:rPr>
          <w:rFonts w:hint="eastAsia" w:ascii="Times New Roman" w:hAnsi="Times New Roman" w:cs="Times New Roman" w:eastAsiaTheme="minorEastAsia"/>
          <w:b/>
          <w:sz w:val="24"/>
          <w:szCs w:val="24"/>
          <w:lang w:eastAsia="zh-CN"/>
        </w:rPr>
        <w:drawing>
          <wp:inline distT="0" distB="0" distL="114300" distR="114300">
            <wp:extent cx="5272405" cy="1718310"/>
            <wp:effectExtent l="0" t="0" r="0" b="0"/>
            <wp:docPr id="5" name="图片 5" descr="supplymentary Fig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supplymentary Figure2"/>
                    <pic:cNvPicPr>
                      <a:picLocks noChangeAspect="1"/>
                    </pic:cNvPicPr>
                  </pic:nvPicPr>
                  <pic:blipFill>
                    <a:blip r:embed="rId5"/>
                    <a:srcRect t="6634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718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napToGrid w:val="0"/>
        <w:spacing w:line="360" w:lineRule="auto"/>
        <w:contextualSpacing/>
        <w:rPr>
          <w:rFonts w:hint="default" w:ascii="Times New Roman" w:hAnsi="Times New Roman" w:cs="Times New Roman"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en-US" w:eastAsia="zh-CN"/>
        </w:rPr>
        <w:t xml:space="preserve">Supplementary Figure 2: </w:t>
      </w:r>
      <w:r>
        <w:rPr>
          <w:rFonts w:hint="default" w:ascii="Times New Roman" w:hAnsi="Times New Roman" w:cs="Times New Roman"/>
          <w:sz w:val="24"/>
          <w:szCs w:val="24"/>
        </w:rPr>
        <w:t>The levels of IL-8, IL-1β, Fas, IFN-γ, IL-23, CD163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sz w:val="24"/>
          <w:szCs w:val="24"/>
        </w:rPr>
        <w:t>(</w:t>
      </w:r>
      <w:r>
        <w:rPr>
          <w:rFonts w:hint="default" w:ascii="Times New Roman" w:hAnsi="Times New Roman" w:eastAsia="宋体" w:cs="Times New Roman"/>
          <w:b/>
          <w:sz w:val="24"/>
          <w:szCs w:val="24"/>
          <w:lang w:val="en-US" w:eastAsia="zh-CN"/>
        </w:rPr>
        <w:t>A</w:t>
      </w:r>
      <w:r>
        <w:rPr>
          <w:rFonts w:hint="default" w:ascii="Times New Roman" w:hAnsi="Times New Roman" w:cs="Times New Roman"/>
          <w:b/>
          <w:sz w:val="24"/>
          <w:szCs w:val="24"/>
        </w:rPr>
        <w:t>)</w:t>
      </w:r>
      <w:r>
        <w:rPr>
          <w:rFonts w:hint="default" w:ascii="Times New Roman" w:hAnsi="Times New Roman" w:cs="Times New Roman"/>
          <w:sz w:val="24"/>
          <w:szCs w:val="24"/>
        </w:rPr>
        <w:t xml:space="preserve"> in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untreated </w:t>
      </w:r>
      <w:r>
        <w:rPr>
          <w:rFonts w:hint="default" w:ascii="Times New Roman" w:hAnsi="Times New Roman" w:cs="Times New Roman"/>
          <w:sz w:val="24"/>
          <w:szCs w:val="24"/>
        </w:rPr>
        <w:t>GES-1 cells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(control)</w:t>
      </w:r>
      <w:r>
        <w:rPr>
          <w:rFonts w:hint="default" w:ascii="Times New Roman" w:hAnsi="Times New Roman" w:cs="Times New Roman"/>
          <w:sz w:val="24"/>
          <w:szCs w:val="24"/>
        </w:rPr>
        <w:t>, lysate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-</w:t>
      </w:r>
      <w:r>
        <w:rPr>
          <w:rFonts w:hint="default" w:ascii="Times New Roman" w:hAnsi="Times New Roman" w:cs="Times New Roman"/>
          <w:sz w:val="24"/>
          <w:szCs w:val="24"/>
        </w:rPr>
        <w:t>1 cells and lysate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-</w:t>
      </w:r>
      <w:r>
        <w:rPr>
          <w:rFonts w:hint="default" w:ascii="Times New Roman" w:hAnsi="Times New Roman" w:cs="Times New Roman"/>
          <w:sz w:val="24"/>
          <w:szCs w:val="24"/>
        </w:rPr>
        <w:t>30 cells. IL-1β mRNA expression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(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  <w:t>B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) </w:t>
      </w:r>
      <w:r>
        <w:rPr>
          <w:rFonts w:hint="default" w:ascii="Times New Roman" w:hAnsi="Times New Roman" w:cs="Times New Roman"/>
          <w:sz w:val="24"/>
          <w:szCs w:val="24"/>
        </w:rPr>
        <w:t xml:space="preserve">and IL-8 mRNA expression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(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C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)</w:t>
      </w:r>
      <w:r>
        <w:rPr>
          <w:rFonts w:hint="default" w:ascii="Times New Roman" w:hAnsi="Times New Roman" w:cs="Times New Roman"/>
          <w:sz w:val="24"/>
          <w:szCs w:val="24"/>
        </w:rPr>
        <w:t xml:space="preserve"> in </w:t>
      </w:r>
      <w:r>
        <w:rPr>
          <w:rFonts w:hint="default" w:ascii="Times New Roman" w:hAnsi="Times New Roman" w:cs="Times New Roman"/>
          <w:bCs/>
          <w:sz w:val="24"/>
          <w:szCs w:val="24"/>
          <w:lang w:val="en-US" w:eastAsia="zh-CN"/>
        </w:rPr>
        <w:t>untreated</w:t>
      </w:r>
      <w:r>
        <w:rPr>
          <w:rFonts w:hint="default" w:ascii="Times New Roman" w:hAnsi="Times New Roman" w:cs="Times New Roman"/>
          <w:bCs/>
          <w:sz w:val="24"/>
          <w:szCs w:val="24"/>
        </w:rPr>
        <w:t xml:space="preserve"> GES-1 cells</w:t>
      </w:r>
      <w:r>
        <w:rPr>
          <w:rFonts w:hint="default" w:ascii="Times New Roman" w:hAnsi="Times New Roman" w:cs="Times New Roman"/>
          <w:bCs/>
          <w:sz w:val="24"/>
          <w:szCs w:val="24"/>
          <w:lang w:val="en-US" w:eastAsia="zh-CN"/>
        </w:rPr>
        <w:t xml:space="preserve"> (F0)</w:t>
      </w:r>
      <w:r>
        <w:rPr>
          <w:rFonts w:hint="default" w:ascii="Times New Roman" w:hAnsi="Times New Roman" w:cs="Times New Roman"/>
          <w:bCs/>
          <w:sz w:val="24"/>
          <w:szCs w:val="24"/>
        </w:rPr>
        <w:t xml:space="preserve">, </w:t>
      </w:r>
      <w:r>
        <w:rPr>
          <w:rFonts w:hint="default" w:ascii="Times New Roman" w:hAnsi="Times New Roman" w:cs="Times New Roman"/>
          <w:bCs/>
          <w:sz w:val="24"/>
          <w:szCs w:val="24"/>
          <w:lang w:val="en-US" w:eastAsia="zh-CN"/>
        </w:rPr>
        <w:t>GES-1 cells at 1</w:t>
      </w:r>
      <w:r>
        <w:rPr>
          <w:rFonts w:hint="default" w:ascii="Times New Roman" w:hAnsi="Times New Roman" w:cs="Times New Roman"/>
          <w:bCs/>
          <w:sz w:val="24"/>
          <w:szCs w:val="24"/>
          <w:vertAlign w:val="superscript"/>
          <w:lang w:val="en-US" w:eastAsia="zh-CN"/>
        </w:rPr>
        <w:t xml:space="preserve">st </w:t>
      </w:r>
      <w:r>
        <w:rPr>
          <w:rFonts w:hint="default" w:ascii="Times New Roman" w:hAnsi="Times New Roman" w:cs="Times New Roman"/>
          <w:bCs/>
          <w:sz w:val="24"/>
          <w:szCs w:val="24"/>
          <w:lang w:val="en-US" w:eastAsia="zh-CN"/>
        </w:rPr>
        <w:t>passage (F1) and GES-1 cells at 30</w:t>
      </w:r>
      <w:r>
        <w:rPr>
          <w:rFonts w:hint="default" w:ascii="Times New Roman" w:hAnsi="Times New Roman" w:cs="Times New Roman"/>
          <w:bCs/>
          <w:sz w:val="24"/>
          <w:szCs w:val="24"/>
          <w:vertAlign w:val="superscript"/>
          <w:lang w:val="en-US" w:eastAsia="zh-CN"/>
        </w:rPr>
        <w:t xml:space="preserve">th </w:t>
      </w:r>
      <w:r>
        <w:rPr>
          <w:rFonts w:hint="default" w:ascii="Times New Roman" w:hAnsi="Times New Roman" w:cs="Times New Roman"/>
          <w:bCs/>
          <w:sz w:val="24"/>
          <w:szCs w:val="24"/>
          <w:lang w:val="en-US" w:eastAsia="zh-CN"/>
        </w:rPr>
        <w:t>passage (F30).</w:t>
      </w:r>
    </w:p>
    <w:p>
      <w:pPr>
        <w:snapToGrid w:val="0"/>
        <w:spacing w:line="360" w:lineRule="auto"/>
        <w:contextualSpacing/>
        <w:rPr>
          <w:rFonts w:hint="default" w:ascii="Times New Roman" w:hAnsi="Times New Roman" w:cs="Times New Roman"/>
          <w:bCs/>
          <w:sz w:val="24"/>
          <w:szCs w:val="24"/>
          <w:lang w:val="en-US" w:eastAsia="zh-CN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>Supplementary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>Figure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3</w:t>
      </w: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>: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</w:pPr>
    </w:p>
    <w:p>
      <w:pPr>
        <w:snapToGrid w:val="0"/>
        <w:spacing w:line="360" w:lineRule="auto"/>
        <w:contextualSpacing/>
        <w:rPr>
          <w:rFonts w:hint="default" w:ascii="Times New Roman" w:hAnsi="Times New Roman" w:cs="Times New Roman"/>
          <w:bCs/>
          <w:sz w:val="24"/>
          <w:szCs w:val="24"/>
          <w:lang w:val="en-US" w:eastAsia="zh-CN"/>
        </w:rPr>
      </w:pPr>
      <w:r>
        <w:drawing>
          <wp:inline distT="0" distB="0" distL="114300" distR="114300">
            <wp:extent cx="5269865" cy="387794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877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spacing w:line="360" w:lineRule="auto"/>
        <w:contextualSpacing/>
      </w:pPr>
      <w:r>
        <w:drawing>
          <wp:inline distT="0" distB="0" distL="114300" distR="114300">
            <wp:extent cx="5270500" cy="262509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625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spacing w:line="360" w:lineRule="auto"/>
        <w:jc w:val="both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>Supplementary Figure 3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: pJNK and TLR6 expression (</w:t>
      </w: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>A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) in WT cells, WT cells co-culture with </w:t>
      </w:r>
      <w:r>
        <w:rPr>
          <w:rFonts w:hint="default" w:ascii="Times New Roman" w:hAnsi="Times New Roman" w:eastAsia="宋体" w:cs="Times New Roman"/>
          <w:i/>
          <w:iCs/>
          <w:color w:val="000000"/>
          <w:kern w:val="0"/>
          <w:sz w:val="24"/>
          <w:szCs w:val="24"/>
          <w:lang w:val="en-US" w:eastAsia="zh-CN" w:bidi="ar"/>
        </w:rPr>
        <w:t xml:space="preserve">H. pylori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for 24 h (WT+</w:t>
      </w:r>
      <w:r>
        <w:rPr>
          <w:rFonts w:hint="default" w:ascii="Times New Roman" w:hAnsi="Times New Roman" w:eastAsia="宋体" w:cs="Times New Roman"/>
          <w:i/>
          <w:iCs/>
          <w:color w:val="000000"/>
          <w:kern w:val="0"/>
          <w:sz w:val="24"/>
          <w:szCs w:val="24"/>
          <w:lang w:val="en-US" w:eastAsia="zh-CN" w:bidi="ar"/>
        </w:rPr>
        <w:t>Hp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), WT cells co-culture with 2μg/ml Pam2CSK4 for 24 h (WT+Pam), KO cells, KO cells co-culture with </w:t>
      </w:r>
      <w:r>
        <w:rPr>
          <w:rFonts w:hint="default" w:ascii="Times New Roman" w:hAnsi="Times New Roman" w:eastAsia="宋体" w:cs="Times New Roman"/>
          <w:i/>
          <w:iCs/>
          <w:color w:val="000000"/>
          <w:kern w:val="0"/>
          <w:sz w:val="24"/>
          <w:szCs w:val="24"/>
          <w:lang w:val="en-US" w:eastAsia="zh-CN" w:bidi="ar"/>
        </w:rPr>
        <w:t>H. pylori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 for 24 h (KO+</w:t>
      </w:r>
      <w:r>
        <w:rPr>
          <w:rFonts w:hint="default" w:ascii="Times New Roman" w:hAnsi="Times New Roman" w:eastAsia="宋体" w:cs="Times New Roman"/>
          <w:i/>
          <w:iCs/>
          <w:color w:val="000000"/>
          <w:kern w:val="0"/>
          <w:sz w:val="24"/>
          <w:szCs w:val="24"/>
          <w:lang w:val="en-US" w:eastAsia="zh-CN" w:bidi="ar"/>
        </w:rPr>
        <w:t>Hp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), KO cells co-culture with 2μg/ml Pam2CSK4 for 24 h (KO+Pam). IL-8 mRNA expression (</w:t>
      </w: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>B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) and supernatant IL-8 content (</w:t>
      </w: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>C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) in WT cells, WT+Hp cells, WT+Pam cells, KO cells, KO+</w:t>
      </w:r>
      <w:r>
        <w:rPr>
          <w:rFonts w:hint="default" w:ascii="Times New Roman" w:hAnsi="Times New Roman" w:eastAsia="宋体" w:cs="Times New Roman"/>
          <w:b/>
          <w:bCs/>
          <w:i/>
          <w:iCs/>
          <w:color w:val="000000"/>
          <w:kern w:val="0"/>
          <w:sz w:val="24"/>
          <w:szCs w:val="24"/>
          <w:lang w:val="en-US" w:eastAsia="zh-CN" w:bidi="ar"/>
        </w:rPr>
        <w:t>Hp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 cells, and KO+Pam cells. All experiment were performed in triplicate and all data represents means ± SEM. ***P &lt; 0.001, **P &lt; 0.01, * P &lt; 0.05.</w:t>
      </w:r>
    </w:p>
    <w:p>
      <w:pPr>
        <w:keepNext w:val="0"/>
        <w:keepLines w:val="0"/>
        <w:widowControl/>
        <w:suppressLineNumbers w:val="0"/>
        <w:spacing w:line="360" w:lineRule="auto"/>
        <w:jc w:val="both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spacing w:line="360" w:lineRule="auto"/>
        <w:jc w:val="both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spacing w:line="360" w:lineRule="auto"/>
        <w:jc w:val="both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spacing w:line="360" w:lineRule="auto"/>
        <w:jc w:val="both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spacing w:line="360" w:lineRule="auto"/>
        <w:jc w:val="both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spacing w:line="360" w:lineRule="auto"/>
        <w:jc w:val="both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spacing w:line="360" w:lineRule="auto"/>
        <w:jc w:val="both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spacing w:line="360" w:lineRule="auto"/>
        <w:jc w:val="both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spacing w:line="360" w:lineRule="auto"/>
        <w:jc w:val="both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spacing w:line="360" w:lineRule="auto"/>
        <w:jc w:val="both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spacing w:line="360" w:lineRule="auto"/>
        <w:jc w:val="both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spacing w:line="360" w:lineRule="auto"/>
        <w:jc w:val="both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</w:p>
    <w:p>
      <w:pPr>
        <w:snapToGrid w:val="0"/>
        <w:spacing w:line="360" w:lineRule="auto"/>
        <w:contextualSpacing/>
        <w:rPr>
          <w:rFonts w:hint="default"/>
          <w:lang w:val="en-US" w:eastAsia="zh-CN"/>
        </w:rPr>
      </w:pPr>
    </w:p>
    <w:tbl>
      <w:tblPr>
        <w:tblStyle w:val="2"/>
        <w:tblW w:w="9082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1036"/>
        <w:gridCol w:w="1691"/>
        <w:gridCol w:w="1837"/>
        <w:gridCol w:w="1645"/>
        <w:gridCol w:w="131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9082" w:type="dxa"/>
            <w:gridSpan w:val="6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2" w:name="_GoBack"/>
            <w:bookmarkEnd w:id="2"/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Supplementary Table 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555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Infection weeks</w:t>
            </w:r>
          </w:p>
        </w:tc>
        <w:tc>
          <w:tcPr>
            <w:tcW w:w="1036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Dysplasia</w:t>
            </w:r>
          </w:p>
        </w:tc>
        <w:tc>
          <w:tcPr>
            <w:tcW w:w="1691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Atrophic gastritis</w:t>
            </w:r>
          </w:p>
        </w:tc>
        <w:tc>
          <w:tcPr>
            <w:tcW w:w="1837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Superficial gastritis</w:t>
            </w:r>
          </w:p>
        </w:tc>
        <w:tc>
          <w:tcPr>
            <w:tcW w:w="1645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 typical lesion</w:t>
            </w:r>
          </w:p>
        </w:tc>
        <w:tc>
          <w:tcPr>
            <w:tcW w:w="1318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Total number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1555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Total number</w:t>
            </w:r>
          </w:p>
        </w:tc>
        <w:tc>
          <w:tcPr>
            <w:tcW w:w="1036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691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837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645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</w:tr>
    </w:tbl>
    <w:p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br w:type="page"/>
      </w:r>
    </w:p>
    <w:tbl>
      <w:tblPr>
        <w:tblStyle w:val="2"/>
        <w:tblW w:w="1076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5"/>
        <w:gridCol w:w="5306"/>
        <w:gridCol w:w="356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10760" w:type="dxa"/>
            <w:gridSpan w:val="3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8"/>
                <w:szCs w:val="28"/>
              </w:rPr>
              <w:t>Supplementary Table 2 The specific primers of TLR and GAPDH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1892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530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Sense primer ( 5'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</w:rPr>
              <w:t>－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3')</w:t>
            </w:r>
          </w:p>
        </w:tc>
        <w:tc>
          <w:tcPr>
            <w:tcW w:w="3562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Antisense primer ( 5'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</w:rPr>
              <w:t>－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3')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TLR1</w:t>
            </w:r>
          </w:p>
        </w:tc>
        <w:tc>
          <w:tcPr>
            <w:tcW w:w="5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ATTCAGTTTCCCACCCATCG</w:t>
            </w:r>
          </w:p>
        </w:tc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GCCAGCCCTCTAACACTTCA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TLR3</w:t>
            </w:r>
          </w:p>
        </w:tc>
        <w:tc>
          <w:tcPr>
            <w:tcW w:w="5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TCCACCACCAGCAATACAAC</w:t>
            </w:r>
          </w:p>
        </w:tc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AAGCCAAGCAAAGGAATCG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TLR4</w:t>
            </w:r>
          </w:p>
        </w:tc>
        <w:tc>
          <w:tcPr>
            <w:tcW w:w="5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CTCCTGCGTGAGACCAGAAA</w:t>
            </w:r>
          </w:p>
        </w:tc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CCGTGATAAAACGGCAGCAT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TLR5</w:t>
            </w:r>
          </w:p>
        </w:tc>
        <w:tc>
          <w:tcPr>
            <w:tcW w:w="5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CACAGTCACCAAACCAGGGA</w:t>
            </w:r>
          </w:p>
        </w:tc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GGGCAAAGTCAATTGCCAGG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TLR6</w:t>
            </w:r>
          </w:p>
        </w:tc>
        <w:tc>
          <w:tcPr>
            <w:tcW w:w="5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GCAGGGGACAATCCATTCCA</w:t>
            </w:r>
          </w:p>
        </w:tc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AGAATCAGGCCAGCCCTCTA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TLR8</w:t>
            </w:r>
          </w:p>
        </w:tc>
        <w:tc>
          <w:tcPr>
            <w:tcW w:w="5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AAACTTGACCCAACTTCGATACCTAA</w:t>
            </w:r>
          </w:p>
        </w:tc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GATCCAGCACCTTCAGATGAGG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TLR9</w:t>
            </w:r>
          </w:p>
        </w:tc>
        <w:tc>
          <w:tcPr>
            <w:tcW w:w="53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TGCCCAAACTGGAAGTCCTC</w:t>
            </w:r>
          </w:p>
        </w:tc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TAAGGTTGAGCTCTCGCAGC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GAPDH</w:t>
            </w:r>
          </w:p>
        </w:tc>
        <w:tc>
          <w:tcPr>
            <w:tcW w:w="5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CGACAGTCAGCCGCATCTT</w:t>
            </w:r>
          </w:p>
        </w:tc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CCAATACGACCAAATCCGTTG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IL-1β</w:t>
            </w:r>
          </w:p>
        </w:tc>
        <w:tc>
          <w:tcPr>
            <w:tcW w:w="5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GGCTGCTCTGGGATTCTCTT</w:t>
            </w:r>
          </w:p>
        </w:tc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ATTTCACTGGCGAGCTCAGG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Rac1</w:t>
            </w:r>
          </w:p>
        </w:tc>
        <w:tc>
          <w:tcPr>
            <w:tcW w:w="5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AAACCGGTGAATCTGGGCTT</w:t>
            </w:r>
          </w:p>
        </w:tc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TCGGCAATCGGCTTGTCTTT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PI3K</w:t>
            </w:r>
          </w:p>
        </w:tc>
        <w:tc>
          <w:tcPr>
            <w:tcW w:w="5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CATCACTTCCTCCTGCTCTAT</w:t>
            </w:r>
          </w:p>
        </w:tc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CAGTTGTTGGCAATCTTCTTC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Myd88</w:t>
            </w:r>
          </w:p>
        </w:tc>
        <w:tc>
          <w:tcPr>
            <w:tcW w:w="5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GGACCCAGCATTGGGCATA</w:t>
            </w:r>
          </w:p>
        </w:tc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CGATGAGCTCACTAGCAATAGACC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p38</w:t>
            </w:r>
          </w:p>
        </w:tc>
        <w:tc>
          <w:tcPr>
            <w:tcW w:w="5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TATGCGTCTGACAGGAACAC</w:t>
            </w:r>
          </w:p>
        </w:tc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GATCGGCCACTGGTTCATCA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JNK</w:t>
            </w:r>
          </w:p>
        </w:tc>
        <w:tc>
          <w:tcPr>
            <w:tcW w:w="5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GGAAAACGCTGACTCAGAACAC</w:t>
            </w:r>
          </w:p>
        </w:tc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CGGGTGTTGGAGAGCTTCAT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JUN</w:t>
            </w:r>
          </w:p>
        </w:tc>
        <w:tc>
          <w:tcPr>
            <w:tcW w:w="5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GGATCAAGGCGGAGAGGAGA</w:t>
            </w:r>
          </w:p>
        </w:tc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GGTTAGCATGAGTTGGCAC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  <w:t>Hp23srRNA</w:t>
            </w:r>
          </w:p>
        </w:tc>
        <w:tc>
          <w:tcPr>
            <w:tcW w:w="5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  <w:t>TAAGGCGCGTGAAAGAACTCTGGTTAA</w:t>
            </w:r>
          </w:p>
        </w:tc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  <w:t>TCGGGAGGGACTCTTTGCTGAGA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  <w:t>Hp23srRNA-probe</w:t>
            </w:r>
          </w:p>
        </w:tc>
        <w:tc>
          <w:tcPr>
            <w:tcW w:w="5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  <w:t>FAM-ACTCTGCAAACTAGCACCGTAAGTTCGCG-HEX</w:t>
            </w:r>
          </w:p>
        </w:tc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  <w:t>Gerbil-GAPDH</w:t>
            </w:r>
          </w:p>
        </w:tc>
        <w:tc>
          <w:tcPr>
            <w:tcW w:w="5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  <w:t>TTCAACGGCACAGTCAAGGC</w:t>
            </w:r>
          </w:p>
        </w:tc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  <w:t>GCCTTCTCCATGGTGGTGAAG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1892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  <w:t>Gerbil-GAPDH-probe</w:t>
            </w:r>
          </w:p>
        </w:tc>
        <w:tc>
          <w:tcPr>
            <w:tcW w:w="530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  <w:t>FAM-CCC ATC ACC ATC TTC CAG GAG CGA GA-HEX</w:t>
            </w:r>
          </w:p>
        </w:tc>
        <w:tc>
          <w:tcPr>
            <w:tcW w:w="3562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5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</w:tbl>
    <w:p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276" w:lineRule="auto"/>
        <w:rPr>
          <w:rFonts w:ascii="Times New Roman" w:hAnsi="Times New Roman" w:cs="Times New Roman"/>
          <w:b/>
          <w:bCs/>
          <w:sz w:val="32"/>
          <w:szCs w:val="36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U5YTk2NWU3OTRhNTU0YjZlNWE0ODExMjY4YzM0MTgifQ=="/>
  </w:docVars>
  <w:rsids>
    <w:rsidRoot w:val="31E1717B"/>
    <w:rsid w:val="026E7B96"/>
    <w:rsid w:val="0F7C4DD1"/>
    <w:rsid w:val="15EA0343"/>
    <w:rsid w:val="2C2D0312"/>
    <w:rsid w:val="31E1717B"/>
    <w:rsid w:val="376C4B50"/>
    <w:rsid w:val="5AFD7529"/>
    <w:rsid w:val="5CA64E55"/>
    <w:rsid w:val="5CF20CBB"/>
    <w:rsid w:val="6F4B3482"/>
    <w:rsid w:val="79FE2CA1"/>
    <w:rsid w:val="7A117CD6"/>
    <w:rsid w:val="7A5E6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330</Words>
  <Characters>1834</Characters>
  <Lines>0</Lines>
  <Paragraphs>0</Paragraphs>
  <TotalTime>12</TotalTime>
  <ScaleCrop>false</ScaleCrop>
  <LinksUpToDate>false</LinksUpToDate>
  <CharactersWithSpaces>1987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2022-06-07T17:07:00Z</dcterms:created>
  <dc:creator>Diamond Lin</dc:creator>
  <cp:lastModifiedBy>Xiulin Zhang</cp:lastModifiedBy>
  <dcterms:modified xsi:type="dcterms:W3CDTF">2023-12-15T06:10:52Z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EFB538D34554425C98C75FE5ED988179_13</vt:lpwstr>
  </property>
</Properties>
</file>