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4DC5" w:rsidRPr="00C82057" w:rsidRDefault="00A94DC5" w:rsidP="00A94DC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A94DC5" w:rsidRPr="00C82057" w:rsidRDefault="00A94DC5" w:rsidP="00A94DC5">
      <w:pPr>
        <w:rPr>
          <w:rFonts w:ascii="Times New Roman" w:hAnsi="Times New Roman" w:cs="Times New Roman"/>
          <w:bCs/>
          <w:sz w:val="24"/>
          <w:szCs w:val="24"/>
        </w:rPr>
      </w:pPr>
      <w:r w:rsidRPr="00C82057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1 </w:t>
      </w:r>
      <w:r w:rsidRPr="00C82057">
        <w:rPr>
          <w:rFonts w:ascii="Times New Roman" w:hAnsi="Times New Roman" w:cs="Times New Roman"/>
          <w:bCs/>
          <w:sz w:val="24"/>
          <w:szCs w:val="24"/>
        </w:rPr>
        <w:t>The protein expression of HER2 in NCI-N87 and SNU216 cells.</w:t>
      </w:r>
      <w:r w:rsidRPr="009E5594">
        <w:rPr>
          <w:rFonts w:ascii="Times New Roman" w:hAnsi="Times New Roman"/>
        </w:rPr>
        <w:t xml:space="preserve"> </w:t>
      </w:r>
      <w:r w:rsidRPr="00C82057">
        <w:rPr>
          <w:rFonts w:ascii="Times New Roman" w:hAnsi="Times New Roman" w:cs="Times New Roman"/>
          <w:bCs/>
          <w:sz w:val="24"/>
          <w:szCs w:val="24"/>
        </w:rPr>
        <w:t>Both NCI-N87 and SNU216 cells tested positive for HER2 expression by Western blot analysis, with NCI-N87 exhibiting a significantly higher expression level than SNU216.</w:t>
      </w:r>
      <w:r w:rsidRPr="009E5594">
        <w:rPr>
          <w:rFonts w:ascii="Times New Roman" w:hAnsi="Times New Roman"/>
        </w:rPr>
        <w:t xml:space="preserve"> </w:t>
      </w:r>
      <w:r w:rsidRPr="00C82057">
        <w:rPr>
          <w:rFonts w:ascii="Times New Roman" w:hAnsi="Times New Roman" w:cs="Times New Roman"/>
          <w:bCs/>
          <w:sz w:val="24"/>
          <w:szCs w:val="24"/>
        </w:rPr>
        <w:t xml:space="preserve">The data are presented as means ± standard deviations. *** </w:t>
      </w:r>
      <w:r w:rsidRPr="00C82057">
        <w:rPr>
          <w:rFonts w:ascii="Times New Roman" w:hAnsi="Times New Roman" w:cs="Times New Roman"/>
          <w:bCs/>
          <w:i/>
          <w:sz w:val="24"/>
          <w:szCs w:val="24"/>
        </w:rPr>
        <w:t>p</w:t>
      </w:r>
      <w:r w:rsidRPr="00C82057">
        <w:rPr>
          <w:rFonts w:ascii="Times New Roman" w:hAnsi="Times New Roman" w:cs="Times New Roman"/>
          <w:bCs/>
          <w:sz w:val="24"/>
          <w:szCs w:val="24"/>
        </w:rPr>
        <w:t xml:space="preserve"> &lt; 0.001.</w:t>
      </w:r>
    </w:p>
    <w:p w:rsidR="00A94DC5" w:rsidRPr="00C82057" w:rsidRDefault="00A94DC5" w:rsidP="00A94DC5">
      <w:pPr>
        <w:rPr>
          <w:rFonts w:ascii="Times New Roman" w:hAnsi="Times New Roman" w:cs="Times New Roman"/>
          <w:bCs/>
          <w:sz w:val="24"/>
          <w:szCs w:val="24"/>
        </w:rPr>
      </w:pPr>
    </w:p>
    <w:p w:rsidR="00A94DC5" w:rsidRPr="00C82057" w:rsidRDefault="00A94DC5" w:rsidP="00A94D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657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10206C" wp14:editId="39B8A34E">
            <wp:extent cx="2880000" cy="122114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2-论文用图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0000" cy="122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C5" w:rsidRPr="00C82057" w:rsidRDefault="00A94DC5" w:rsidP="00A94DC5">
      <w:pPr>
        <w:jc w:val="center"/>
        <w:rPr>
          <w:rFonts w:ascii="Times New Roman" w:hAnsi="Times New Roman" w:cs="Times New Roman"/>
          <w:sz w:val="24"/>
          <w:szCs w:val="24"/>
        </w:rPr>
      </w:pPr>
      <w:r w:rsidRPr="00C82057">
        <w:rPr>
          <w:rFonts w:ascii="Times New Roman" w:hAnsi="Times New Roman" w:cs="Times New Roman"/>
          <w:sz w:val="24"/>
          <w:szCs w:val="24"/>
        </w:rPr>
        <w:t>Supplementary Figure 1</w:t>
      </w:r>
    </w:p>
    <w:p w:rsidR="00A94DC5" w:rsidRPr="00C82057" w:rsidRDefault="00A94DC5" w:rsidP="00A94DC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94DC5" w:rsidRPr="009E5594" w:rsidRDefault="00A94DC5" w:rsidP="00A94DC5">
      <w:pPr>
        <w:rPr>
          <w:rFonts w:ascii="Times New Roman" w:hAnsi="Times New Roman"/>
          <w:sz w:val="24"/>
        </w:rPr>
      </w:pPr>
      <w:r w:rsidRPr="00C82057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2 </w:t>
      </w:r>
      <w:r w:rsidRPr="00C82057">
        <w:rPr>
          <w:rFonts w:ascii="Times New Roman" w:hAnsi="Times New Roman" w:cs="Times New Roman"/>
          <w:bCs/>
          <w:sz w:val="24"/>
          <w:szCs w:val="24"/>
        </w:rPr>
        <w:t xml:space="preserve">Effects of </w:t>
      </w:r>
      <w:proofErr w:type="spellStart"/>
      <w:r w:rsidRPr="00C82057">
        <w:rPr>
          <w:rFonts w:ascii="Times New Roman" w:hAnsi="Times New Roman" w:cs="Times New Roman"/>
          <w:bCs/>
          <w:sz w:val="24"/>
          <w:szCs w:val="24"/>
        </w:rPr>
        <w:t>pyrotinib</w:t>
      </w:r>
      <w:proofErr w:type="spellEnd"/>
      <w:r w:rsidRPr="00C82057">
        <w:rPr>
          <w:rFonts w:ascii="Times New Roman" w:hAnsi="Times New Roman" w:cs="Times New Roman"/>
          <w:bCs/>
          <w:sz w:val="24"/>
          <w:szCs w:val="24"/>
        </w:rPr>
        <w:t xml:space="preserve"> and lapatinib on HER2 Ubiquitination. Immunoprecipitation assays showed that </w:t>
      </w:r>
      <w:proofErr w:type="spellStart"/>
      <w:r w:rsidRPr="00C82057">
        <w:rPr>
          <w:rFonts w:ascii="Times New Roman" w:hAnsi="Times New Roman" w:cs="Times New Roman"/>
          <w:bCs/>
          <w:sz w:val="24"/>
          <w:szCs w:val="24"/>
        </w:rPr>
        <w:t>pyrotinib</w:t>
      </w:r>
      <w:proofErr w:type="spellEnd"/>
      <w:r w:rsidRPr="00C82057">
        <w:rPr>
          <w:rFonts w:ascii="Times New Roman" w:hAnsi="Times New Roman" w:cs="Times New Roman"/>
          <w:bCs/>
          <w:sz w:val="24"/>
          <w:szCs w:val="24"/>
        </w:rPr>
        <w:t xml:space="preserve"> treatment promotes HER2 ubiquitination, while lapatinib treatment decreases ubiquitination.</w:t>
      </w:r>
      <w:r w:rsidRPr="00C82057">
        <w:rPr>
          <w:rFonts w:ascii="Times New Roman" w:hAnsi="Times New Roman" w:cs="Times New Roman"/>
          <w:sz w:val="24"/>
          <w:szCs w:val="24"/>
        </w:rPr>
        <w:t xml:space="preserve"> Results are representative of 3 independent replicates.</w:t>
      </w:r>
    </w:p>
    <w:p w:rsidR="00A94DC5" w:rsidRPr="00C82057" w:rsidRDefault="00A94DC5" w:rsidP="00A94DC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:rsidR="00A94DC5" w:rsidRPr="00C82057" w:rsidRDefault="00A94DC5" w:rsidP="00A94DC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94DC5" w:rsidRPr="00C82057" w:rsidRDefault="00A94DC5" w:rsidP="00A94DC5">
      <w:pPr>
        <w:jc w:val="center"/>
        <w:rPr>
          <w:rFonts w:ascii="Times New Roman" w:hAnsi="Times New Roman" w:cs="Times New Roman"/>
          <w:sz w:val="24"/>
          <w:szCs w:val="24"/>
        </w:rPr>
      </w:pPr>
      <w:r w:rsidRPr="00D657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5DB987" wp14:editId="55A37A36">
            <wp:extent cx="2919984" cy="2340864"/>
            <wp:effectExtent l="0" t="0" r="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组合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9984" cy="2340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C5" w:rsidRPr="004D7BDD" w:rsidRDefault="00A94DC5" w:rsidP="00A94DC5">
      <w:pPr>
        <w:pStyle w:val="a7"/>
        <w:ind w:left="420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C82057">
        <w:rPr>
          <w:rFonts w:ascii="Times New Roman" w:hAnsi="Times New Roman" w:cs="Times New Roman"/>
          <w:sz w:val="24"/>
          <w:szCs w:val="24"/>
        </w:rPr>
        <w:t>Supplementary Figure 2</w:t>
      </w:r>
    </w:p>
    <w:p w:rsidR="00C5180B" w:rsidRDefault="00C5180B"/>
    <w:p w:rsidR="0096406D" w:rsidRPr="0096406D" w:rsidRDefault="00886041" w:rsidP="0096406D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Fig. 3</w:t>
      </w:r>
      <w:r w:rsidR="007B05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115DF" w:rsidRPr="00B115DF">
        <w:rPr>
          <w:rFonts w:ascii="Times New Roman" w:hAnsi="Times New Roman" w:cs="Times New Roman"/>
          <w:bCs/>
          <w:sz w:val="24"/>
          <w:szCs w:val="24"/>
        </w:rPr>
        <w:t xml:space="preserve">The interactions between HER2 domains with HSP90. Schematic diagram of HER2 truncated constructs for co-IP assays was shown in the upper panel. A list of Flag-tagged HER2 truncated fragments were constructed and overexpressed in HEK293 cells. </w:t>
      </w:r>
      <w:r w:rsidR="00074B88">
        <w:rPr>
          <w:rFonts w:ascii="Times New Roman" w:hAnsi="Times New Roman" w:cs="Times New Roman" w:hint="eastAsia"/>
          <w:bCs/>
          <w:sz w:val="24"/>
          <w:szCs w:val="24"/>
        </w:rPr>
        <w:t>E</w:t>
      </w:r>
      <w:bookmarkStart w:id="0" w:name="_GoBack"/>
      <w:bookmarkEnd w:id="0"/>
      <w:r w:rsidR="00B115DF" w:rsidRPr="00B115DF">
        <w:rPr>
          <w:rFonts w:ascii="Times New Roman" w:hAnsi="Times New Roman" w:cs="Times New Roman"/>
          <w:bCs/>
          <w:sz w:val="24"/>
          <w:szCs w:val="24"/>
        </w:rPr>
        <w:t>ndogenous HSP90 was detected by Western blotting.</w:t>
      </w:r>
      <w:r w:rsidR="00B115DF" w:rsidRPr="00B115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7347">
        <w:rPr>
          <w:rFonts w:ascii="Times New Roman" w:hAnsi="Times New Roman" w:cs="Times New Roman"/>
          <w:bCs/>
          <w:sz w:val="24"/>
          <w:szCs w:val="24"/>
        </w:rPr>
        <w:t>RLD1: R</w:t>
      </w:r>
      <w:r w:rsidR="005C7347">
        <w:rPr>
          <w:rFonts w:ascii="Times New Roman" w:hAnsi="Times New Roman" w:cs="Times New Roman" w:hint="eastAsia"/>
          <w:bCs/>
          <w:sz w:val="24"/>
          <w:szCs w:val="24"/>
        </w:rPr>
        <w:t>ec</w:t>
      </w:r>
      <w:r w:rsidR="005C7347">
        <w:rPr>
          <w:rFonts w:ascii="Times New Roman" w:hAnsi="Times New Roman" w:cs="Times New Roman"/>
          <w:bCs/>
          <w:sz w:val="24"/>
          <w:szCs w:val="24"/>
        </w:rPr>
        <w:t>eptor domain 1</w:t>
      </w:r>
      <w:r w:rsidR="00961537">
        <w:rPr>
          <w:rFonts w:ascii="Times New Roman" w:hAnsi="Times New Roman" w:cs="Times New Roman"/>
          <w:bCs/>
          <w:sz w:val="24"/>
          <w:szCs w:val="24"/>
        </w:rPr>
        <w:t xml:space="preserve">; FL: </w:t>
      </w:r>
      <w:proofErr w:type="spellStart"/>
      <w:r w:rsidR="00961537">
        <w:rPr>
          <w:rFonts w:ascii="Times New Roman" w:hAnsi="Times New Roman" w:cs="Times New Roman"/>
          <w:bCs/>
          <w:sz w:val="24"/>
          <w:szCs w:val="24"/>
        </w:rPr>
        <w:t>Furin</w:t>
      </w:r>
      <w:proofErr w:type="spellEnd"/>
      <w:r w:rsidR="00961537">
        <w:rPr>
          <w:rFonts w:ascii="Times New Roman" w:hAnsi="Times New Roman" w:cs="Times New Roman"/>
          <w:bCs/>
          <w:sz w:val="24"/>
          <w:szCs w:val="24"/>
        </w:rPr>
        <w:t>-like cysteine rich regio</w:t>
      </w:r>
      <w:r w:rsidR="00027EE4">
        <w:rPr>
          <w:rFonts w:ascii="Times New Roman" w:hAnsi="Times New Roman" w:cs="Times New Roman"/>
          <w:bCs/>
          <w:sz w:val="24"/>
          <w:szCs w:val="24"/>
        </w:rPr>
        <w:t xml:space="preserve">n; RLD2: Receptor domain 2; GDRN </w:t>
      </w:r>
      <w:r w:rsidR="00027EE4" w:rsidRPr="00027EE4">
        <w:rPr>
          <w:rFonts w:ascii="Times New Roman" w:hAnsi="Times New Roman" w:cs="Times New Roman"/>
          <w:bCs/>
          <w:sz w:val="24"/>
          <w:szCs w:val="24"/>
        </w:rPr>
        <w:t>Ⅳ</w:t>
      </w:r>
      <w:r w:rsidR="00027EE4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372D04">
        <w:rPr>
          <w:rFonts w:ascii="Times New Roman" w:hAnsi="Times New Roman" w:cs="Times New Roman"/>
          <w:bCs/>
          <w:sz w:val="24"/>
          <w:szCs w:val="24"/>
        </w:rPr>
        <w:t xml:space="preserve">Growth factor receptor domain </w:t>
      </w:r>
      <w:r w:rsidR="00372D04" w:rsidRPr="00027EE4">
        <w:rPr>
          <w:rFonts w:ascii="Times New Roman" w:hAnsi="Times New Roman" w:cs="Times New Roman"/>
          <w:bCs/>
          <w:sz w:val="24"/>
          <w:szCs w:val="24"/>
        </w:rPr>
        <w:t>Ⅳ</w:t>
      </w:r>
      <w:r w:rsidR="00372D04">
        <w:rPr>
          <w:rFonts w:ascii="Times New Roman" w:hAnsi="Times New Roman" w:cs="Times New Roman"/>
          <w:bCs/>
          <w:sz w:val="24"/>
          <w:szCs w:val="24"/>
        </w:rPr>
        <w:t>; ICD: Intracellular domain.</w:t>
      </w:r>
      <w:r w:rsidR="00274A40" w:rsidRPr="00274A4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886041" w:rsidRPr="00246810" w:rsidRDefault="00886041"/>
    <w:p w:rsidR="00886041" w:rsidRDefault="00BB2024">
      <w:r>
        <w:rPr>
          <w:noProof/>
        </w:rPr>
        <w:lastRenderedPageBreak/>
        <w:drawing>
          <wp:inline distT="0" distB="0" distL="0" distR="0">
            <wp:extent cx="3822192" cy="3112008"/>
            <wp:effectExtent l="0" t="0" r="698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p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2192" cy="311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B7614" w:rsidRPr="004D7BDD" w:rsidRDefault="006B7614" w:rsidP="006B7614">
      <w:pPr>
        <w:pStyle w:val="a7"/>
        <w:ind w:left="420"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 3</w:t>
      </w:r>
    </w:p>
    <w:p w:rsidR="00DB68E8" w:rsidRDefault="00DB68E8"/>
    <w:p w:rsidR="00DB68E8" w:rsidRDefault="00DB68E8"/>
    <w:sectPr w:rsidR="00DB68E8" w:rsidSect="002326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6BE0" w:rsidRDefault="00096BE0" w:rsidP="00A94DC5">
      <w:r>
        <w:separator/>
      </w:r>
    </w:p>
  </w:endnote>
  <w:endnote w:type="continuationSeparator" w:id="0">
    <w:p w:rsidR="00096BE0" w:rsidRDefault="00096BE0" w:rsidP="00A94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6BE0" w:rsidRDefault="00096BE0" w:rsidP="00A94DC5">
      <w:r>
        <w:separator/>
      </w:r>
    </w:p>
  </w:footnote>
  <w:footnote w:type="continuationSeparator" w:id="0">
    <w:p w:rsidR="00096BE0" w:rsidRDefault="00096BE0" w:rsidP="00A94D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738"/>
    <w:rsid w:val="00027EE4"/>
    <w:rsid w:val="00074B88"/>
    <w:rsid w:val="00096BE0"/>
    <w:rsid w:val="001207EE"/>
    <w:rsid w:val="00133597"/>
    <w:rsid w:val="001A0042"/>
    <w:rsid w:val="00246810"/>
    <w:rsid w:val="00274A40"/>
    <w:rsid w:val="00372D04"/>
    <w:rsid w:val="004A2BFF"/>
    <w:rsid w:val="004D7EC3"/>
    <w:rsid w:val="005C7347"/>
    <w:rsid w:val="006B7614"/>
    <w:rsid w:val="007B0550"/>
    <w:rsid w:val="00886041"/>
    <w:rsid w:val="00961537"/>
    <w:rsid w:val="00961BD5"/>
    <w:rsid w:val="0096406D"/>
    <w:rsid w:val="00A94DC5"/>
    <w:rsid w:val="00B115DF"/>
    <w:rsid w:val="00BB2024"/>
    <w:rsid w:val="00C5180B"/>
    <w:rsid w:val="00C82738"/>
    <w:rsid w:val="00DB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3B827D"/>
  <w15:chartTrackingRefBased/>
  <w15:docId w15:val="{8CF88E1F-81DE-4733-82F6-32ED8635C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94DC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D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94D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94D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94DC5"/>
    <w:rPr>
      <w:sz w:val="18"/>
      <w:szCs w:val="18"/>
    </w:rPr>
  </w:style>
  <w:style w:type="paragraph" w:styleId="a7">
    <w:name w:val="List Paragraph"/>
    <w:basedOn w:val="a"/>
    <w:uiPriority w:val="34"/>
    <w:qFormat/>
    <w:rsid w:val="00A94D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171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liujiankun</dc:creator>
  <cp:keywords/>
  <dc:description/>
  <cp:lastModifiedBy>Yungui Yang</cp:lastModifiedBy>
  <cp:revision>7</cp:revision>
  <dcterms:created xsi:type="dcterms:W3CDTF">2023-10-17T08:04:00Z</dcterms:created>
  <dcterms:modified xsi:type="dcterms:W3CDTF">2024-01-26T02:21:00Z</dcterms:modified>
</cp:coreProperties>
</file>