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8271DB4" w14:textId="77777777" w:rsidR="005B03F5" w:rsidRPr="005B03F5" w:rsidRDefault="005B03F5" w:rsidP="005B03F5">
      <w:pPr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5B03F5">
        <w:rPr>
          <w:rFonts w:ascii="Times New Roman" w:eastAsia="宋体" w:hAnsi="Times New Roman" w:cs="Times New Roman" w:hint="eastAsia"/>
          <w:b/>
          <w:bCs/>
          <w:sz w:val="20"/>
          <w:szCs w:val="20"/>
        </w:rPr>
        <w:t>Table</w:t>
      </w:r>
      <w:r w:rsidRPr="005B03F5">
        <w:rPr>
          <w:rFonts w:ascii="Times New Roman" w:eastAsia="宋体" w:hAnsi="Times New Roman" w:cs="Times New Roman"/>
          <w:b/>
          <w:bCs/>
          <w:sz w:val="20"/>
          <w:szCs w:val="20"/>
        </w:rPr>
        <w:t xml:space="preserve"> 2 Multivariate Cox analysis of factors influencing overall survival time</w:t>
      </w:r>
    </w:p>
    <w:tbl>
      <w:tblPr>
        <w:tblW w:w="5528" w:type="dxa"/>
        <w:tblBorders>
          <w:top w:val="single" w:sz="12" w:space="0" w:color="000000"/>
          <w:bottom w:val="single" w:sz="12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878"/>
        <w:gridCol w:w="863"/>
        <w:gridCol w:w="835"/>
        <w:gridCol w:w="800"/>
        <w:gridCol w:w="1152"/>
      </w:tblGrid>
      <w:tr w:rsidR="005B03F5" w:rsidRPr="005B03F5" w14:paraId="14613542" w14:textId="77777777" w:rsidTr="007D4FC7">
        <w:trPr>
          <w:trHeight w:val="20"/>
        </w:trPr>
        <w:tc>
          <w:tcPr>
            <w:tcW w:w="1878" w:type="dxa"/>
            <w:tcBorders>
              <w:bottom w:val="single" w:sz="6" w:space="0" w:color="000000"/>
            </w:tcBorders>
            <w:vAlign w:val="center"/>
          </w:tcPr>
          <w:p w14:paraId="6FAB75B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Factor</w:t>
            </w:r>
          </w:p>
        </w:tc>
        <w:tc>
          <w:tcPr>
            <w:tcW w:w="863" w:type="dxa"/>
            <w:tcBorders>
              <w:bottom w:val="single" w:sz="6" w:space="0" w:color="000000"/>
            </w:tcBorders>
            <w:vAlign w:val="center"/>
          </w:tcPr>
          <w:p w14:paraId="1FCF692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HR</w:t>
            </w:r>
          </w:p>
        </w:tc>
        <w:tc>
          <w:tcPr>
            <w:tcW w:w="1635" w:type="dxa"/>
            <w:gridSpan w:val="2"/>
            <w:tcBorders>
              <w:bottom w:val="single" w:sz="6" w:space="0" w:color="000000"/>
            </w:tcBorders>
            <w:vAlign w:val="center"/>
          </w:tcPr>
          <w:p w14:paraId="7301292C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95%CI</w:t>
            </w:r>
          </w:p>
        </w:tc>
        <w:tc>
          <w:tcPr>
            <w:tcW w:w="1152" w:type="dxa"/>
            <w:tcBorders>
              <w:bottom w:val="single" w:sz="6" w:space="0" w:color="000000"/>
            </w:tcBorders>
            <w:vAlign w:val="center"/>
          </w:tcPr>
          <w:p w14:paraId="0E95657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i/>
                <w:iCs/>
                <w:color w:val="000000"/>
                <w:kern w:val="0"/>
                <w:sz w:val="20"/>
                <w:szCs w:val="20"/>
                <w:lang w:bidi="ar"/>
              </w:rPr>
              <w:t>P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-value</w:t>
            </w:r>
          </w:p>
        </w:tc>
      </w:tr>
      <w:tr w:rsidR="005B03F5" w:rsidRPr="005B03F5" w14:paraId="7CE1F23A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7044E7F6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Tumor size (cm)</w:t>
            </w:r>
          </w:p>
        </w:tc>
        <w:tc>
          <w:tcPr>
            <w:tcW w:w="863" w:type="dxa"/>
            <w:vAlign w:val="center"/>
          </w:tcPr>
          <w:p w14:paraId="1E83B10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3D2BC365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52F3CFB5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6E7440A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B03F5" w:rsidRPr="005B03F5" w14:paraId="51821EE2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0316A312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&lt;5cm</w:t>
            </w:r>
          </w:p>
        </w:tc>
        <w:tc>
          <w:tcPr>
            <w:tcW w:w="863" w:type="dxa"/>
            <w:vMerge w:val="restart"/>
            <w:vAlign w:val="center"/>
          </w:tcPr>
          <w:p w14:paraId="167A90BB" w14:textId="77777777" w:rsidR="005B03F5" w:rsidRPr="005B03F5" w:rsidRDefault="005B03F5" w:rsidP="005B03F5">
            <w:pPr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iCs/>
                <w:sz w:val="20"/>
                <w:szCs w:val="20"/>
              </w:rPr>
              <w:t>-</w:t>
            </w:r>
          </w:p>
        </w:tc>
        <w:tc>
          <w:tcPr>
            <w:tcW w:w="835" w:type="dxa"/>
            <w:vMerge w:val="restart"/>
            <w:vAlign w:val="center"/>
          </w:tcPr>
          <w:p w14:paraId="770F0955" w14:textId="77777777" w:rsidR="005B03F5" w:rsidRPr="005B03F5" w:rsidRDefault="005B03F5" w:rsidP="005B03F5">
            <w:pPr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00" w:type="dxa"/>
            <w:vMerge w:val="restart"/>
            <w:vAlign w:val="center"/>
          </w:tcPr>
          <w:p w14:paraId="16E609F4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1152" w:type="dxa"/>
            <w:vMerge w:val="restart"/>
            <w:vAlign w:val="center"/>
          </w:tcPr>
          <w:p w14:paraId="121883B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sz w:val="20"/>
                <w:szCs w:val="20"/>
              </w:rPr>
              <w:t>0</w:t>
            </w:r>
            <w:r w:rsidRPr="005B03F5">
              <w:rPr>
                <w:rFonts w:ascii="Times New Roman" w:eastAsia="宋体" w:hAnsi="Times New Roman" w:cs="Times New Roman"/>
                <w:sz w:val="20"/>
                <w:szCs w:val="20"/>
              </w:rPr>
              <w:t>.429</w:t>
            </w:r>
          </w:p>
        </w:tc>
      </w:tr>
      <w:tr w:rsidR="005B03F5" w:rsidRPr="005B03F5" w14:paraId="28E0CC25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07E7934E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sz w:val="20"/>
                <w:szCs w:val="20"/>
              </w:rPr>
              <w:t xml:space="preserve">≥ </w:t>
            </w: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5cm</w:t>
            </w:r>
          </w:p>
        </w:tc>
        <w:tc>
          <w:tcPr>
            <w:tcW w:w="863" w:type="dxa"/>
            <w:vMerge/>
            <w:vAlign w:val="center"/>
          </w:tcPr>
          <w:p w14:paraId="5A0ACA96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6B0ABF9F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16661C84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6660C13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B03F5" w:rsidRPr="005B03F5" w14:paraId="33E282BD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530482A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Clinical stage</w:t>
            </w:r>
          </w:p>
        </w:tc>
        <w:tc>
          <w:tcPr>
            <w:tcW w:w="863" w:type="dxa"/>
            <w:vAlign w:val="center"/>
          </w:tcPr>
          <w:p w14:paraId="6F14367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757BA86F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23F9A5BC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3B57D71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sz w:val="20"/>
                <w:szCs w:val="20"/>
              </w:rPr>
            </w:pPr>
          </w:p>
        </w:tc>
      </w:tr>
      <w:tr w:rsidR="005B03F5" w:rsidRPr="005B03F5" w14:paraId="0BB62531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13BE6527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Ⅰ</w:t>
            </w:r>
          </w:p>
        </w:tc>
        <w:tc>
          <w:tcPr>
            <w:tcW w:w="863" w:type="dxa"/>
            <w:vMerge w:val="restart"/>
            <w:vAlign w:val="center"/>
          </w:tcPr>
          <w:p w14:paraId="0A3B508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2</w:t>
            </w:r>
            <w:r w:rsidRPr="005B03F5">
              <w:rPr>
                <w:rFonts w:ascii="Times New Roman" w:eastAsia="宋体" w:hAnsi="Times New Roman" w:cs="Times New Roman"/>
                <w:iCs/>
                <w:sz w:val="20"/>
                <w:szCs w:val="20"/>
              </w:rPr>
              <w:t>.870</w:t>
            </w:r>
          </w:p>
        </w:tc>
        <w:tc>
          <w:tcPr>
            <w:tcW w:w="835" w:type="dxa"/>
            <w:vMerge w:val="restart"/>
            <w:vAlign w:val="center"/>
          </w:tcPr>
          <w:p w14:paraId="208C1558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1</w:t>
            </w:r>
            <w:r w:rsidRPr="005B03F5">
              <w:rPr>
                <w:rFonts w:ascii="Times New Roman" w:eastAsia="宋体" w:hAnsi="Times New Roman" w:cs="Times New Roman"/>
                <w:iCs/>
                <w:sz w:val="20"/>
                <w:szCs w:val="20"/>
              </w:rPr>
              <w:t>.790</w:t>
            </w:r>
          </w:p>
        </w:tc>
        <w:tc>
          <w:tcPr>
            <w:tcW w:w="800" w:type="dxa"/>
            <w:vMerge w:val="restart"/>
            <w:vAlign w:val="center"/>
          </w:tcPr>
          <w:p w14:paraId="391B9873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4</w:t>
            </w:r>
            <w:r w:rsidRPr="005B03F5">
              <w:rPr>
                <w:rFonts w:ascii="Times New Roman" w:eastAsia="宋体" w:hAnsi="Times New Roman" w:cs="Times New Roman"/>
                <w:iCs/>
                <w:sz w:val="20"/>
                <w:szCs w:val="20"/>
              </w:rPr>
              <w:t>.600</w:t>
            </w:r>
          </w:p>
        </w:tc>
        <w:tc>
          <w:tcPr>
            <w:tcW w:w="1152" w:type="dxa"/>
            <w:vMerge w:val="restart"/>
            <w:vAlign w:val="center"/>
          </w:tcPr>
          <w:p w14:paraId="72B4588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  <w:t>&lt;0.001</w:t>
            </w:r>
          </w:p>
        </w:tc>
      </w:tr>
      <w:tr w:rsidR="005B03F5" w:rsidRPr="005B03F5" w14:paraId="529EEC24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65BD87F7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Ⅱ</w:t>
            </w:r>
          </w:p>
        </w:tc>
        <w:tc>
          <w:tcPr>
            <w:tcW w:w="863" w:type="dxa"/>
            <w:vMerge/>
            <w:vAlign w:val="center"/>
          </w:tcPr>
          <w:p w14:paraId="3315ED4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6B3D1290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20FE009F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4B6A933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24FE75DF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35D5F347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Ⅲ</w:t>
            </w:r>
          </w:p>
        </w:tc>
        <w:tc>
          <w:tcPr>
            <w:tcW w:w="863" w:type="dxa"/>
            <w:vMerge/>
            <w:vAlign w:val="center"/>
          </w:tcPr>
          <w:p w14:paraId="6BE2A83B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715CDD89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12ABC596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62C7C5D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45E384AD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50FCA388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Ⅳ</w:t>
            </w:r>
          </w:p>
        </w:tc>
        <w:tc>
          <w:tcPr>
            <w:tcW w:w="863" w:type="dxa"/>
            <w:vMerge/>
            <w:vAlign w:val="center"/>
          </w:tcPr>
          <w:p w14:paraId="071A891A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200A651E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49D5EBFE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2ECB3CAD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7382FE8C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4465B3C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Tumor site</w:t>
            </w:r>
          </w:p>
        </w:tc>
        <w:tc>
          <w:tcPr>
            <w:tcW w:w="863" w:type="dxa"/>
            <w:vAlign w:val="center"/>
          </w:tcPr>
          <w:p w14:paraId="0CAF4F83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3C8A031F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15A68E63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31B1227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28BF7CF8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036C353A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Cardia</w:t>
            </w:r>
          </w:p>
        </w:tc>
        <w:tc>
          <w:tcPr>
            <w:tcW w:w="863" w:type="dxa"/>
            <w:vMerge w:val="restart"/>
            <w:vAlign w:val="center"/>
          </w:tcPr>
          <w:p w14:paraId="6942A8F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35" w:type="dxa"/>
            <w:vMerge w:val="restart"/>
            <w:vAlign w:val="center"/>
          </w:tcPr>
          <w:p w14:paraId="3D59F795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00" w:type="dxa"/>
            <w:vMerge w:val="restart"/>
            <w:vAlign w:val="center"/>
          </w:tcPr>
          <w:p w14:paraId="3F7BEAC4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b/>
                <w:iCs/>
                <w:sz w:val="20"/>
                <w:szCs w:val="20"/>
              </w:rPr>
              <w:t>-</w:t>
            </w:r>
          </w:p>
        </w:tc>
        <w:tc>
          <w:tcPr>
            <w:tcW w:w="1152" w:type="dxa"/>
            <w:vMerge w:val="restart"/>
            <w:vAlign w:val="center"/>
          </w:tcPr>
          <w:p w14:paraId="0FEA40A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  <w:t>0.618</w:t>
            </w:r>
          </w:p>
        </w:tc>
      </w:tr>
      <w:tr w:rsidR="005B03F5" w:rsidRPr="005B03F5" w14:paraId="3677138B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552A0D4F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Gastric antrum</w:t>
            </w:r>
          </w:p>
        </w:tc>
        <w:tc>
          <w:tcPr>
            <w:tcW w:w="863" w:type="dxa"/>
            <w:vMerge/>
            <w:vAlign w:val="center"/>
          </w:tcPr>
          <w:p w14:paraId="494D7A06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3C4F085A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3F004C2C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097707E8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68A20FC9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1135812F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Gastric body</w:t>
            </w:r>
          </w:p>
        </w:tc>
        <w:tc>
          <w:tcPr>
            <w:tcW w:w="863" w:type="dxa"/>
            <w:vMerge/>
            <w:vAlign w:val="center"/>
          </w:tcPr>
          <w:p w14:paraId="4CA998B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215406D0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2F960FBD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2AE685A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21F3B870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2C449419" w14:textId="77777777" w:rsidR="005B03F5" w:rsidRPr="005B03F5" w:rsidRDefault="005B03F5" w:rsidP="005B03F5">
            <w:pPr>
              <w:widowControl/>
              <w:spacing w:line="480" w:lineRule="auto"/>
              <w:ind w:leftChars="100" w:left="21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Esophagogastric junction</w:t>
            </w:r>
          </w:p>
        </w:tc>
        <w:tc>
          <w:tcPr>
            <w:tcW w:w="863" w:type="dxa"/>
            <w:vMerge/>
            <w:vAlign w:val="center"/>
          </w:tcPr>
          <w:p w14:paraId="5DF2432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3206C7E5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492F73C8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3C79A675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265FD186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1DF763AD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Venous invasion</w:t>
            </w:r>
          </w:p>
        </w:tc>
        <w:tc>
          <w:tcPr>
            <w:tcW w:w="863" w:type="dxa"/>
            <w:vAlign w:val="center"/>
          </w:tcPr>
          <w:p w14:paraId="36B7A629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3E6E4338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27158A65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006B106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4DAA5E57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44F5C052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863" w:type="dxa"/>
            <w:vMerge w:val="restart"/>
            <w:vAlign w:val="center"/>
          </w:tcPr>
          <w:p w14:paraId="22DFE97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35" w:type="dxa"/>
            <w:vMerge w:val="restart"/>
            <w:vAlign w:val="center"/>
          </w:tcPr>
          <w:p w14:paraId="030B2F2E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00" w:type="dxa"/>
            <w:vMerge w:val="restart"/>
            <w:vAlign w:val="center"/>
          </w:tcPr>
          <w:p w14:paraId="5F1DA1BF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b/>
                <w:iCs/>
                <w:sz w:val="20"/>
                <w:szCs w:val="20"/>
              </w:rPr>
              <w:t>-</w:t>
            </w:r>
          </w:p>
        </w:tc>
        <w:tc>
          <w:tcPr>
            <w:tcW w:w="1152" w:type="dxa"/>
            <w:vMerge w:val="restart"/>
            <w:vAlign w:val="center"/>
          </w:tcPr>
          <w:p w14:paraId="0ED2F269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.237</w:t>
            </w:r>
          </w:p>
        </w:tc>
      </w:tr>
      <w:tr w:rsidR="005B03F5" w:rsidRPr="005B03F5" w14:paraId="37FD4281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1BF2124A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863" w:type="dxa"/>
            <w:vMerge/>
            <w:vAlign w:val="center"/>
          </w:tcPr>
          <w:p w14:paraId="30B45CD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1259F07C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1F6B72C1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781E284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2AF78257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09ED269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t>Nerve invasion</w:t>
            </w:r>
          </w:p>
        </w:tc>
        <w:tc>
          <w:tcPr>
            <w:tcW w:w="863" w:type="dxa"/>
            <w:vAlign w:val="center"/>
          </w:tcPr>
          <w:p w14:paraId="69EED6A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0AAED144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6F9EE170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Cs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3D3B6752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1188FCD8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74501D5E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863" w:type="dxa"/>
            <w:vMerge w:val="restart"/>
            <w:vAlign w:val="center"/>
          </w:tcPr>
          <w:p w14:paraId="40839037" w14:textId="77777777" w:rsidR="005B03F5" w:rsidRPr="005B03F5" w:rsidRDefault="005B03F5" w:rsidP="005B03F5">
            <w:pPr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/>
                <w:iCs/>
                <w:sz w:val="20"/>
                <w:szCs w:val="20"/>
              </w:rPr>
              <w:t>2.818</w:t>
            </w:r>
          </w:p>
        </w:tc>
        <w:tc>
          <w:tcPr>
            <w:tcW w:w="835" w:type="dxa"/>
            <w:vMerge w:val="restart"/>
            <w:vAlign w:val="center"/>
          </w:tcPr>
          <w:p w14:paraId="12406B92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1</w:t>
            </w:r>
            <w:r w:rsidRPr="005B03F5">
              <w:rPr>
                <w:rFonts w:ascii="Times New Roman" w:eastAsia="宋体" w:hAnsi="Times New Roman" w:cs="Times New Roman"/>
                <w:iCs/>
                <w:sz w:val="20"/>
                <w:szCs w:val="20"/>
              </w:rPr>
              <w:t>.448</w:t>
            </w:r>
          </w:p>
        </w:tc>
        <w:tc>
          <w:tcPr>
            <w:tcW w:w="800" w:type="dxa"/>
            <w:vMerge w:val="restart"/>
            <w:vAlign w:val="center"/>
          </w:tcPr>
          <w:p w14:paraId="4C6B6E7F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Cs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bCs/>
                <w:iCs/>
                <w:sz w:val="20"/>
                <w:szCs w:val="20"/>
              </w:rPr>
              <w:t>5</w:t>
            </w:r>
            <w:r w:rsidRPr="005B03F5">
              <w:rPr>
                <w:rFonts w:ascii="Times New Roman" w:eastAsia="宋体" w:hAnsi="Times New Roman" w:cs="Times New Roman"/>
                <w:bCs/>
                <w:iCs/>
                <w:sz w:val="20"/>
                <w:szCs w:val="20"/>
              </w:rPr>
              <w:t>.485</w:t>
            </w:r>
          </w:p>
        </w:tc>
        <w:tc>
          <w:tcPr>
            <w:tcW w:w="1152" w:type="dxa"/>
            <w:vMerge w:val="restart"/>
            <w:vAlign w:val="center"/>
          </w:tcPr>
          <w:p w14:paraId="507AC94A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Pr="005B03F5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  <w:t>.002</w:t>
            </w:r>
          </w:p>
        </w:tc>
      </w:tr>
      <w:tr w:rsidR="005B03F5" w:rsidRPr="005B03F5" w14:paraId="6BA9A60F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4F589F98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863" w:type="dxa"/>
            <w:vMerge/>
            <w:vAlign w:val="center"/>
          </w:tcPr>
          <w:p w14:paraId="15EF5BBE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1A9F537B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6D5245C9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084C2164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35899A55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6654782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sz w:val="20"/>
                <w:szCs w:val="20"/>
                <w:lang w:bidi="ar"/>
              </w:rPr>
              <w:lastRenderedPageBreak/>
              <w:t>Lymph node metastasis</w:t>
            </w:r>
          </w:p>
        </w:tc>
        <w:tc>
          <w:tcPr>
            <w:tcW w:w="863" w:type="dxa"/>
            <w:vAlign w:val="center"/>
          </w:tcPr>
          <w:p w14:paraId="51921675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6C74595F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46958DAB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7268B235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04BCA4D7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7AF28B1D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No</w:t>
            </w:r>
          </w:p>
        </w:tc>
        <w:tc>
          <w:tcPr>
            <w:tcW w:w="863" w:type="dxa"/>
            <w:vMerge w:val="restart"/>
            <w:vAlign w:val="center"/>
          </w:tcPr>
          <w:p w14:paraId="45CFC861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35" w:type="dxa"/>
            <w:vMerge w:val="restart"/>
            <w:vAlign w:val="center"/>
          </w:tcPr>
          <w:p w14:paraId="4F46F9FE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00" w:type="dxa"/>
            <w:vMerge w:val="restart"/>
            <w:vAlign w:val="center"/>
          </w:tcPr>
          <w:p w14:paraId="70F16D6C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b/>
                <w:iCs/>
                <w:sz w:val="20"/>
                <w:szCs w:val="20"/>
              </w:rPr>
              <w:t>-</w:t>
            </w:r>
          </w:p>
        </w:tc>
        <w:tc>
          <w:tcPr>
            <w:tcW w:w="1152" w:type="dxa"/>
            <w:vMerge w:val="restart"/>
            <w:vAlign w:val="center"/>
          </w:tcPr>
          <w:p w14:paraId="78FFB481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 w:hint="eastAsia"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.611</w:t>
            </w:r>
          </w:p>
        </w:tc>
      </w:tr>
      <w:tr w:rsidR="005B03F5" w:rsidRPr="005B03F5" w14:paraId="113DEE01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540C75D7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Yes</w:t>
            </w:r>
          </w:p>
        </w:tc>
        <w:tc>
          <w:tcPr>
            <w:tcW w:w="863" w:type="dxa"/>
            <w:vMerge/>
            <w:vAlign w:val="center"/>
          </w:tcPr>
          <w:p w14:paraId="7D11999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273EF414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3526673A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1D52EC3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4E3B1D70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0FE049EC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bidi="ar"/>
              </w:rPr>
              <w:t>Serum AFP (ng/mL)</w:t>
            </w:r>
          </w:p>
        </w:tc>
        <w:tc>
          <w:tcPr>
            <w:tcW w:w="863" w:type="dxa"/>
            <w:vAlign w:val="center"/>
          </w:tcPr>
          <w:p w14:paraId="2A80A6FF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24934A52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419702C8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59528813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70F6EA3B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4CE5380A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等线" w:hAnsi="Times New Roman" w:cs="Times New Roman"/>
                <w:color w:val="000000"/>
                <w:sz w:val="20"/>
                <w:szCs w:val="20"/>
                <w:lang w:bidi="ar"/>
              </w:rPr>
              <w:t>&lt;</w:t>
            </w:r>
            <w:r w:rsidRPr="005B03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863" w:type="dxa"/>
            <w:vMerge w:val="restart"/>
            <w:vAlign w:val="center"/>
          </w:tcPr>
          <w:p w14:paraId="10A3B61F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35" w:type="dxa"/>
            <w:vMerge w:val="restart"/>
            <w:vAlign w:val="center"/>
          </w:tcPr>
          <w:p w14:paraId="738E789C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00" w:type="dxa"/>
            <w:vMerge w:val="restart"/>
            <w:vAlign w:val="center"/>
          </w:tcPr>
          <w:p w14:paraId="3BB5DF19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b/>
                <w:iCs/>
                <w:sz w:val="20"/>
                <w:szCs w:val="20"/>
              </w:rPr>
              <w:t>-</w:t>
            </w:r>
          </w:p>
        </w:tc>
        <w:tc>
          <w:tcPr>
            <w:tcW w:w="1152" w:type="dxa"/>
            <w:vMerge w:val="restart"/>
            <w:vAlign w:val="center"/>
          </w:tcPr>
          <w:p w14:paraId="4B3CA79C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Pr="005B03F5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  <w:t>.086</w:t>
            </w:r>
          </w:p>
        </w:tc>
      </w:tr>
      <w:tr w:rsidR="005B03F5" w:rsidRPr="005B03F5" w14:paraId="4035034A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4B84BC1D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等线" w:hAnsi="Times New Roman" w:cs="Times New Roman"/>
                <w:sz w:val="20"/>
                <w:szCs w:val="20"/>
              </w:rPr>
              <w:t xml:space="preserve">≥ </w:t>
            </w:r>
            <w:r w:rsidRPr="005B03F5">
              <w:rPr>
                <w:rFonts w:ascii="Times New Roman" w:eastAsia="等线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500</w:t>
            </w:r>
          </w:p>
        </w:tc>
        <w:tc>
          <w:tcPr>
            <w:tcW w:w="863" w:type="dxa"/>
            <w:vMerge/>
            <w:vAlign w:val="center"/>
          </w:tcPr>
          <w:p w14:paraId="3E3186EB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0D11ABCF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79F8CDC8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58FB6A9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6DEC6338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4CCBFEF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LRP1B</w:t>
            </w:r>
          </w:p>
        </w:tc>
        <w:tc>
          <w:tcPr>
            <w:tcW w:w="863" w:type="dxa"/>
            <w:vAlign w:val="center"/>
          </w:tcPr>
          <w:p w14:paraId="4900C503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Align w:val="center"/>
          </w:tcPr>
          <w:p w14:paraId="3D92CCEC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Align w:val="center"/>
          </w:tcPr>
          <w:p w14:paraId="43CC427D" w14:textId="77777777" w:rsidR="005B03F5" w:rsidRPr="005B03F5" w:rsidRDefault="005B03F5" w:rsidP="005B03F5">
            <w:pPr>
              <w:spacing w:line="480" w:lineRule="auto"/>
              <w:jc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Align w:val="center"/>
          </w:tcPr>
          <w:p w14:paraId="0E1F9D90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  <w:tr w:rsidR="005B03F5" w:rsidRPr="005B03F5" w14:paraId="206DB1F9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20A7473E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Wild-type</w:t>
            </w:r>
          </w:p>
        </w:tc>
        <w:tc>
          <w:tcPr>
            <w:tcW w:w="863" w:type="dxa"/>
            <w:vMerge w:val="restart"/>
            <w:vAlign w:val="center"/>
          </w:tcPr>
          <w:p w14:paraId="4C64DE94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35" w:type="dxa"/>
            <w:vMerge w:val="restart"/>
            <w:vAlign w:val="center"/>
          </w:tcPr>
          <w:p w14:paraId="54BBB16D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sz w:val="20"/>
                <w:szCs w:val="20"/>
              </w:rPr>
              <w:t>-</w:t>
            </w:r>
          </w:p>
        </w:tc>
        <w:tc>
          <w:tcPr>
            <w:tcW w:w="800" w:type="dxa"/>
            <w:vMerge w:val="restart"/>
            <w:vAlign w:val="center"/>
          </w:tcPr>
          <w:p w14:paraId="3F927E63" w14:textId="77777777" w:rsidR="005B03F5" w:rsidRPr="005B03F5" w:rsidRDefault="005B03F5" w:rsidP="005B03F5">
            <w:pPr>
              <w:widowControl/>
              <w:spacing w:line="480" w:lineRule="auto"/>
              <w:jc w:val="center"/>
              <w:textAlignment w:val="center"/>
              <w:rPr>
                <w:rFonts w:ascii="Times New Roman" w:eastAsia="宋体" w:hAnsi="Times New Roman" w:cs="Times New Roman"/>
                <w:b/>
                <w:iCs/>
                <w:sz w:val="20"/>
                <w:szCs w:val="20"/>
              </w:rPr>
            </w:pPr>
            <w:r w:rsidRPr="005B03F5">
              <w:rPr>
                <w:rFonts w:ascii="Times New Roman" w:eastAsia="宋体" w:hAnsi="Times New Roman" w:cs="Times New Roman" w:hint="eastAsia"/>
                <w:b/>
                <w:iCs/>
                <w:sz w:val="20"/>
                <w:szCs w:val="20"/>
              </w:rPr>
              <w:t>-</w:t>
            </w:r>
          </w:p>
        </w:tc>
        <w:tc>
          <w:tcPr>
            <w:tcW w:w="1152" w:type="dxa"/>
            <w:vMerge w:val="restart"/>
            <w:vAlign w:val="center"/>
          </w:tcPr>
          <w:p w14:paraId="720762FE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 w:hint="eastAsia"/>
                <w:iCs/>
                <w:color w:val="000000"/>
                <w:kern w:val="0"/>
                <w:sz w:val="20"/>
                <w:szCs w:val="20"/>
                <w:lang w:bidi="ar"/>
              </w:rPr>
              <w:t>0</w:t>
            </w:r>
            <w:r w:rsidRPr="005B03F5">
              <w:rPr>
                <w:rFonts w:ascii="Times New Roman" w:eastAsia="宋体" w:hAnsi="Times New Roman" w:cs="Times New Roman"/>
                <w:iCs/>
                <w:color w:val="000000"/>
                <w:kern w:val="0"/>
                <w:sz w:val="20"/>
                <w:szCs w:val="20"/>
                <w:lang w:bidi="ar"/>
              </w:rPr>
              <w:t>.079</w:t>
            </w:r>
          </w:p>
        </w:tc>
      </w:tr>
      <w:tr w:rsidR="005B03F5" w:rsidRPr="005B03F5" w14:paraId="16EF2084" w14:textId="77777777" w:rsidTr="007D4FC7">
        <w:trPr>
          <w:trHeight w:val="57"/>
        </w:trPr>
        <w:tc>
          <w:tcPr>
            <w:tcW w:w="1878" w:type="dxa"/>
            <w:vAlign w:val="center"/>
          </w:tcPr>
          <w:p w14:paraId="2B514F23" w14:textId="77777777" w:rsidR="005B03F5" w:rsidRPr="005B03F5" w:rsidRDefault="005B03F5" w:rsidP="005B03F5">
            <w:pPr>
              <w:widowControl/>
              <w:spacing w:line="480" w:lineRule="auto"/>
              <w:ind w:firstLineChars="100" w:firstLine="200"/>
              <w:textAlignment w:val="center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  <w:r w:rsidRPr="005B03F5"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  <w:t>Mutant</w:t>
            </w:r>
          </w:p>
        </w:tc>
        <w:tc>
          <w:tcPr>
            <w:tcW w:w="863" w:type="dxa"/>
            <w:vMerge/>
            <w:vAlign w:val="center"/>
          </w:tcPr>
          <w:p w14:paraId="6955B599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35" w:type="dxa"/>
            <w:vMerge/>
            <w:vAlign w:val="center"/>
          </w:tcPr>
          <w:p w14:paraId="18249E2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800" w:type="dxa"/>
            <w:vMerge/>
            <w:vAlign w:val="center"/>
          </w:tcPr>
          <w:p w14:paraId="4FD40367" w14:textId="77777777" w:rsidR="005B03F5" w:rsidRPr="005B03F5" w:rsidRDefault="005B03F5" w:rsidP="005B03F5">
            <w:pPr>
              <w:widowControl/>
              <w:spacing w:line="480" w:lineRule="auto"/>
              <w:textAlignment w:val="center"/>
              <w:rPr>
                <w:rFonts w:ascii="Times New Roman" w:eastAsia="宋体" w:hAnsi="Times New Roman" w:cs="Times New Roman"/>
                <w:b/>
                <w:i/>
                <w:sz w:val="20"/>
                <w:szCs w:val="20"/>
              </w:rPr>
            </w:pPr>
          </w:p>
        </w:tc>
        <w:tc>
          <w:tcPr>
            <w:tcW w:w="1152" w:type="dxa"/>
            <w:vMerge/>
            <w:vAlign w:val="center"/>
          </w:tcPr>
          <w:p w14:paraId="139359F7" w14:textId="77777777" w:rsidR="005B03F5" w:rsidRPr="005B03F5" w:rsidRDefault="005B03F5" w:rsidP="005B03F5">
            <w:pPr>
              <w:spacing w:line="480" w:lineRule="auto"/>
              <w:rPr>
                <w:rFonts w:ascii="Times New Roman" w:eastAsia="宋体" w:hAnsi="Times New Roman" w:cs="Times New Roman"/>
                <w:color w:val="000000"/>
                <w:kern w:val="0"/>
                <w:sz w:val="20"/>
                <w:szCs w:val="20"/>
                <w:lang w:bidi="ar"/>
              </w:rPr>
            </w:pPr>
          </w:p>
        </w:tc>
      </w:tr>
    </w:tbl>
    <w:p w14:paraId="6EBF1BE0" w14:textId="77777777" w:rsidR="005B03F5" w:rsidRPr="005B03F5" w:rsidRDefault="005B03F5" w:rsidP="005B03F5">
      <w:pPr>
        <w:spacing w:line="480" w:lineRule="auto"/>
        <w:rPr>
          <w:rFonts w:ascii="Times New Roman" w:eastAsia="宋体" w:hAnsi="Times New Roman" w:cs="Times New Roman"/>
          <w:b/>
          <w:bCs/>
          <w:sz w:val="20"/>
          <w:szCs w:val="20"/>
        </w:rPr>
      </w:pPr>
      <w:r w:rsidRPr="005B03F5">
        <w:rPr>
          <w:rFonts w:ascii="Times New Roman" w:eastAsia="宋体" w:hAnsi="Times New Roman" w:cs="Times New Roman"/>
          <w:sz w:val="20"/>
          <w:szCs w:val="20"/>
        </w:rPr>
        <w:t>CI, confidence interval; HR, hazard ratio.</w:t>
      </w:r>
    </w:p>
    <w:p w14:paraId="3C8E8676" w14:textId="24D77DB0" w:rsidR="00C839BD" w:rsidRPr="005B03F5" w:rsidRDefault="00C839BD" w:rsidP="005B03F5">
      <w:pPr>
        <w:spacing w:line="480" w:lineRule="auto"/>
        <w:jc w:val="left"/>
        <w:rPr>
          <w:rFonts w:ascii="Times New Roman" w:eastAsia="宋体" w:hAnsi="Times New Roman" w:cs="Times New Roman" w:hint="eastAsia"/>
          <w:sz w:val="20"/>
          <w:szCs w:val="20"/>
        </w:rPr>
      </w:pPr>
      <w:bookmarkStart w:id="0" w:name="_GoBack"/>
      <w:bookmarkEnd w:id="0"/>
    </w:p>
    <w:sectPr w:rsidR="00C839BD" w:rsidRPr="005B03F5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036960F" w14:textId="77777777" w:rsidR="0073666E" w:rsidRDefault="0073666E" w:rsidP="005B03F5">
      <w:r>
        <w:separator/>
      </w:r>
    </w:p>
  </w:endnote>
  <w:endnote w:type="continuationSeparator" w:id="0">
    <w:p w14:paraId="7341F13E" w14:textId="77777777" w:rsidR="0073666E" w:rsidRDefault="0073666E" w:rsidP="005B03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4D1A7CA2" w14:textId="77777777" w:rsidR="0073666E" w:rsidRDefault="0073666E" w:rsidP="005B03F5">
      <w:r>
        <w:separator/>
      </w:r>
    </w:p>
  </w:footnote>
  <w:footnote w:type="continuationSeparator" w:id="0">
    <w:p w14:paraId="14204678" w14:textId="77777777" w:rsidR="0073666E" w:rsidRDefault="0073666E" w:rsidP="005B03F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FAE728E"/>
    <w:multiLevelType w:val="hybridMultilevel"/>
    <w:tmpl w:val="06DA1F4A"/>
    <w:lvl w:ilvl="0" w:tplc="42808F04">
      <w:start w:val="1"/>
      <w:numFmt w:val="decimal"/>
      <w:lvlText w:val="%1."/>
      <w:lvlJc w:val="left"/>
      <w:pPr>
        <w:ind w:left="358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78" w:hanging="440"/>
      </w:pPr>
    </w:lvl>
    <w:lvl w:ilvl="2" w:tplc="0409001B" w:tentative="1">
      <w:start w:val="1"/>
      <w:numFmt w:val="lowerRoman"/>
      <w:lvlText w:val="%3."/>
      <w:lvlJc w:val="right"/>
      <w:pPr>
        <w:ind w:left="1318" w:hanging="440"/>
      </w:pPr>
    </w:lvl>
    <w:lvl w:ilvl="3" w:tplc="0409000F" w:tentative="1">
      <w:start w:val="1"/>
      <w:numFmt w:val="decimal"/>
      <w:lvlText w:val="%4."/>
      <w:lvlJc w:val="left"/>
      <w:pPr>
        <w:ind w:left="1758" w:hanging="440"/>
      </w:pPr>
    </w:lvl>
    <w:lvl w:ilvl="4" w:tplc="04090019" w:tentative="1">
      <w:start w:val="1"/>
      <w:numFmt w:val="lowerLetter"/>
      <w:lvlText w:val="%5)"/>
      <w:lvlJc w:val="left"/>
      <w:pPr>
        <w:ind w:left="2198" w:hanging="440"/>
      </w:pPr>
    </w:lvl>
    <w:lvl w:ilvl="5" w:tplc="0409001B" w:tentative="1">
      <w:start w:val="1"/>
      <w:numFmt w:val="lowerRoman"/>
      <w:lvlText w:val="%6."/>
      <w:lvlJc w:val="right"/>
      <w:pPr>
        <w:ind w:left="2638" w:hanging="440"/>
      </w:pPr>
    </w:lvl>
    <w:lvl w:ilvl="6" w:tplc="0409000F" w:tentative="1">
      <w:start w:val="1"/>
      <w:numFmt w:val="decimal"/>
      <w:lvlText w:val="%7."/>
      <w:lvlJc w:val="left"/>
      <w:pPr>
        <w:ind w:left="3078" w:hanging="440"/>
      </w:pPr>
    </w:lvl>
    <w:lvl w:ilvl="7" w:tplc="04090019" w:tentative="1">
      <w:start w:val="1"/>
      <w:numFmt w:val="lowerLetter"/>
      <w:lvlText w:val="%8)"/>
      <w:lvlJc w:val="left"/>
      <w:pPr>
        <w:ind w:left="3518" w:hanging="440"/>
      </w:pPr>
    </w:lvl>
    <w:lvl w:ilvl="8" w:tplc="0409001B" w:tentative="1">
      <w:start w:val="1"/>
      <w:numFmt w:val="lowerRoman"/>
      <w:lvlText w:val="%9."/>
      <w:lvlJc w:val="right"/>
      <w:pPr>
        <w:ind w:left="3958" w:hanging="44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39BD"/>
    <w:rsid w:val="005B03F5"/>
    <w:rsid w:val="005F52D2"/>
    <w:rsid w:val="00660EA7"/>
    <w:rsid w:val="0073666E"/>
    <w:rsid w:val="00C839BD"/>
    <w:rsid w:val="00FD2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D95094"/>
  <w15:chartTrackingRefBased/>
  <w15:docId w15:val="{A1AD9707-A7FB-4CC8-BCD9-AA160E3E2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paragraph" w:styleId="1">
    <w:name w:val="heading 1"/>
    <w:basedOn w:val="a"/>
    <w:next w:val="a"/>
    <w:link w:val="11"/>
    <w:uiPriority w:val="9"/>
    <w:qFormat/>
    <w:rsid w:val="005B03F5"/>
    <w:pPr>
      <w:keepNext/>
      <w:keepLines/>
      <w:spacing w:before="340" w:after="330" w:line="578" w:lineRule="auto"/>
      <w:outlineLvl w:val="0"/>
    </w:pPr>
    <w:rPr>
      <w:rFonts w:ascii="Times New Roman" w:eastAsia="宋体" w:hAnsi="Times New Roman" w:cs="Times New Roman"/>
      <w:b/>
      <w:bCs/>
      <w:kern w:val="44"/>
      <w:sz w:val="44"/>
      <w:szCs w:val="44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B03F5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 w:cs="Times New Roman"/>
      <w:b/>
      <w:bCs/>
      <w:sz w:val="32"/>
      <w:szCs w:val="32"/>
    </w:rPr>
  </w:style>
  <w:style w:type="paragraph" w:styleId="4">
    <w:name w:val="heading 4"/>
    <w:basedOn w:val="a"/>
    <w:next w:val="a"/>
    <w:link w:val="40"/>
    <w:uiPriority w:val="9"/>
    <w:qFormat/>
    <w:rsid w:val="005B03F5"/>
    <w:pPr>
      <w:keepNext/>
      <w:keepLines/>
      <w:spacing w:before="280" w:after="290" w:line="376" w:lineRule="auto"/>
      <w:outlineLvl w:val="3"/>
    </w:pPr>
    <w:rPr>
      <w:rFonts w:ascii="等线 Light" w:eastAsia="等线 Light" w:hAnsi="等线 Light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B03F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B03F5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B03F5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B03F5"/>
    <w:rPr>
      <w:sz w:val="18"/>
      <w:szCs w:val="18"/>
    </w:rPr>
  </w:style>
  <w:style w:type="character" w:customStyle="1" w:styleId="10">
    <w:name w:val="标题 1 字符"/>
    <w:basedOn w:val="a0"/>
    <w:uiPriority w:val="9"/>
    <w:rsid w:val="005B03F5"/>
    <w:rPr>
      <w:b/>
      <w:bCs/>
      <w:kern w:val="44"/>
      <w:sz w:val="44"/>
      <w:szCs w:val="44"/>
    </w:rPr>
  </w:style>
  <w:style w:type="paragraph" w:customStyle="1" w:styleId="21">
    <w:name w:val="标题 21"/>
    <w:basedOn w:val="a"/>
    <w:next w:val="a"/>
    <w:uiPriority w:val="9"/>
    <w:semiHidden/>
    <w:unhideWhenUsed/>
    <w:qFormat/>
    <w:rsid w:val="005B03F5"/>
    <w:pPr>
      <w:keepNext/>
      <w:keepLines/>
      <w:spacing w:before="260" w:after="260" w:line="416" w:lineRule="auto"/>
      <w:outlineLvl w:val="1"/>
    </w:pPr>
    <w:rPr>
      <w:rFonts w:ascii="等线 Light" w:eastAsia="等线 Light" w:hAnsi="等线 Light" w:cs="Times New Roman"/>
      <w:b/>
      <w:bCs/>
      <w:sz w:val="32"/>
      <w:szCs w:val="32"/>
    </w:rPr>
  </w:style>
  <w:style w:type="character" w:customStyle="1" w:styleId="40">
    <w:name w:val="标题 4 字符"/>
    <w:basedOn w:val="a0"/>
    <w:link w:val="4"/>
    <w:uiPriority w:val="9"/>
    <w:qFormat/>
    <w:rsid w:val="005B03F5"/>
    <w:rPr>
      <w:rFonts w:ascii="等线 Light" w:eastAsia="等线 Light" w:hAnsi="等线 Light" w:cs="Times New Roman"/>
      <w:b/>
      <w:bCs/>
      <w:sz w:val="28"/>
      <w:szCs w:val="28"/>
    </w:rPr>
  </w:style>
  <w:style w:type="numbering" w:customStyle="1" w:styleId="12">
    <w:name w:val="无列表1"/>
    <w:next w:val="a2"/>
    <w:uiPriority w:val="99"/>
    <w:semiHidden/>
    <w:unhideWhenUsed/>
    <w:rsid w:val="005B03F5"/>
  </w:style>
  <w:style w:type="character" w:customStyle="1" w:styleId="20">
    <w:name w:val="标题 2 字符"/>
    <w:basedOn w:val="a0"/>
    <w:link w:val="2"/>
    <w:uiPriority w:val="9"/>
    <w:semiHidden/>
    <w:rsid w:val="005B03F5"/>
    <w:rPr>
      <w:rFonts w:ascii="等线 Light" w:eastAsia="等线 Light" w:hAnsi="等线 Light" w:cs="Times New Roman"/>
      <w:b/>
      <w:bCs/>
      <w:kern w:val="2"/>
      <w:sz w:val="32"/>
      <w:szCs w:val="32"/>
    </w:rPr>
  </w:style>
  <w:style w:type="paragraph" w:styleId="a7">
    <w:name w:val="annotation text"/>
    <w:basedOn w:val="a"/>
    <w:link w:val="a8"/>
    <w:uiPriority w:val="99"/>
    <w:unhideWhenUsed/>
    <w:rsid w:val="005B03F5"/>
    <w:pPr>
      <w:jc w:val="left"/>
    </w:pPr>
    <w:rPr>
      <w:rFonts w:ascii="Times New Roman" w:eastAsia="宋体" w:hAnsi="Times New Roman" w:cs="Times New Roman"/>
      <w:sz w:val="22"/>
    </w:rPr>
  </w:style>
  <w:style w:type="character" w:customStyle="1" w:styleId="a8">
    <w:name w:val="批注文字 字符"/>
    <w:basedOn w:val="a0"/>
    <w:link w:val="a7"/>
    <w:uiPriority w:val="99"/>
    <w:rsid w:val="005B03F5"/>
    <w:rPr>
      <w:rFonts w:ascii="Times New Roman" w:eastAsia="宋体" w:hAnsi="Times New Roman" w:cs="Times New Roman"/>
      <w:sz w:val="22"/>
    </w:rPr>
  </w:style>
  <w:style w:type="paragraph" w:styleId="a9">
    <w:name w:val="Balloon Text"/>
    <w:basedOn w:val="a"/>
    <w:link w:val="13"/>
    <w:uiPriority w:val="99"/>
    <w:unhideWhenUsed/>
    <w:rsid w:val="005B03F5"/>
    <w:rPr>
      <w:rFonts w:ascii="Times New Roman" w:eastAsia="等线" w:hAnsi="Times New Roman" w:cs="Times New Roman"/>
      <w:sz w:val="18"/>
      <w:szCs w:val="18"/>
    </w:rPr>
  </w:style>
  <w:style w:type="character" w:customStyle="1" w:styleId="aa">
    <w:name w:val="批注框文本 字符"/>
    <w:basedOn w:val="a0"/>
    <w:uiPriority w:val="99"/>
    <w:semiHidden/>
    <w:rsid w:val="005B03F5"/>
    <w:rPr>
      <w:sz w:val="18"/>
      <w:szCs w:val="18"/>
    </w:rPr>
  </w:style>
  <w:style w:type="paragraph" w:styleId="ab">
    <w:name w:val="Normal (Web)"/>
    <w:basedOn w:val="a"/>
    <w:uiPriority w:val="99"/>
    <w:unhideWhenUsed/>
    <w:rsid w:val="005B03F5"/>
    <w:rPr>
      <w:rFonts w:ascii="Times New Roman" w:eastAsia="宋体" w:hAnsi="Times New Roman" w:cs="Times New Roman"/>
      <w:sz w:val="24"/>
    </w:rPr>
  </w:style>
  <w:style w:type="paragraph" w:styleId="ac">
    <w:name w:val="annotation subject"/>
    <w:basedOn w:val="a7"/>
    <w:next w:val="a7"/>
    <w:link w:val="ad"/>
    <w:autoRedefine/>
    <w:uiPriority w:val="99"/>
    <w:semiHidden/>
    <w:unhideWhenUsed/>
    <w:qFormat/>
    <w:rsid w:val="005B03F5"/>
    <w:rPr>
      <w:b/>
      <w:bCs/>
    </w:rPr>
  </w:style>
  <w:style w:type="character" w:customStyle="1" w:styleId="ad">
    <w:name w:val="批注主题 字符"/>
    <w:basedOn w:val="a8"/>
    <w:link w:val="ac"/>
    <w:uiPriority w:val="99"/>
    <w:semiHidden/>
    <w:rsid w:val="005B03F5"/>
    <w:rPr>
      <w:rFonts w:ascii="Times New Roman" w:eastAsia="宋体" w:hAnsi="Times New Roman" w:cs="Times New Roman"/>
      <w:b/>
      <w:bCs/>
      <w:sz w:val="22"/>
    </w:rPr>
  </w:style>
  <w:style w:type="character" w:styleId="ae">
    <w:name w:val="Emphasis"/>
    <w:uiPriority w:val="20"/>
    <w:qFormat/>
    <w:rsid w:val="005B03F5"/>
    <w:rPr>
      <w:i/>
      <w:iCs/>
    </w:rPr>
  </w:style>
  <w:style w:type="character" w:styleId="af">
    <w:name w:val="line number"/>
    <w:uiPriority w:val="99"/>
    <w:unhideWhenUsed/>
    <w:rsid w:val="005B03F5"/>
  </w:style>
  <w:style w:type="character" w:styleId="af0">
    <w:name w:val="Hyperlink"/>
    <w:uiPriority w:val="99"/>
    <w:unhideWhenUsed/>
    <w:rsid w:val="005B03F5"/>
    <w:rPr>
      <w:color w:val="0563C1"/>
      <w:u w:val="single"/>
    </w:rPr>
  </w:style>
  <w:style w:type="character" w:styleId="af1">
    <w:name w:val="annotation reference"/>
    <w:basedOn w:val="a0"/>
    <w:uiPriority w:val="99"/>
    <w:semiHidden/>
    <w:unhideWhenUsed/>
    <w:rsid w:val="005B03F5"/>
    <w:rPr>
      <w:sz w:val="21"/>
      <w:szCs w:val="21"/>
    </w:rPr>
  </w:style>
  <w:style w:type="paragraph" w:styleId="af2">
    <w:name w:val="List Paragraph"/>
    <w:basedOn w:val="a"/>
    <w:uiPriority w:val="34"/>
    <w:qFormat/>
    <w:rsid w:val="005B03F5"/>
    <w:pPr>
      <w:ind w:firstLineChars="200" w:firstLine="420"/>
    </w:pPr>
    <w:rPr>
      <w:rFonts w:ascii="Times New Roman" w:eastAsia="宋体" w:hAnsi="Times New Roman" w:cs="Times New Roman"/>
      <w:sz w:val="22"/>
    </w:rPr>
  </w:style>
  <w:style w:type="character" w:customStyle="1" w:styleId="14">
    <w:name w:val="样式1 字符"/>
    <w:link w:val="15"/>
    <w:rsid w:val="005B03F5"/>
    <w:rPr>
      <w:sz w:val="24"/>
      <w:szCs w:val="24"/>
    </w:rPr>
  </w:style>
  <w:style w:type="paragraph" w:customStyle="1" w:styleId="15">
    <w:name w:val="样式1"/>
    <w:basedOn w:val="EndNoteBibliography"/>
    <w:link w:val="14"/>
    <w:qFormat/>
    <w:rsid w:val="005B03F5"/>
    <w:pPr>
      <w:spacing w:line="360" w:lineRule="auto"/>
      <w:ind w:firstLineChars="200" w:firstLine="480"/>
    </w:pPr>
    <w:rPr>
      <w:rFonts w:asciiTheme="minorHAnsi" w:hAnsiTheme="minorHAnsi" w:cstheme="minorBidi"/>
      <w:sz w:val="24"/>
      <w:szCs w:val="24"/>
    </w:rPr>
  </w:style>
  <w:style w:type="paragraph" w:customStyle="1" w:styleId="EndNoteBibliography">
    <w:name w:val="EndNote Bibliography"/>
    <w:basedOn w:val="a"/>
    <w:link w:val="EndNoteBibliographyChar"/>
    <w:qFormat/>
    <w:rsid w:val="005B03F5"/>
    <w:rPr>
      <w:rFonts w:ascii="Times New Roman" w:hAnsi="Times New Roman" w:cs="Times New Roman"/>
      <w:sz w:val="22"/>
    </w:rPr>
  </w:style>
  <w:style w:type="character" w:customStyle="1" w:styleId="16">
    <w:name w:val="页脚 字符1"/>
    <w:uiPriority w:val="99"/>
    <w:rsid w:val="005B03F5"/>
    <w:rPr>
      <w:rFonts w:ascii="Times New Roman" w:eastAsia="等线" w:hAnsi="Times New Roman" w:cs="Times New Roman"/>
      <w:kern w:val="2"/>
      <w:sz w:val="18"/>
      <w:szCs w:val="18"/>
    </w:rPr>
  </w:style>
  <w:style w:type="character" w:customStyle="1" w:styleId="17">
    <w:name w:val="未处理的提及1"/>
    <w:uiPriority w:val="99"/>
    <w:unhideWhenUsed/>
    <w:rsid w:val="005B03F5"/>
    <w:rPr>
      <w:color w:val="605E5C"/>
      <w:shd w:val="clear" w:color="auto" w:fill="E1DFDD"/>
    </w:rPr>
  </w:style>
  <w:style w:type="character" w:customStyle="1" w:styleId="EndNoteBibliographyChar">
    <w:name w:val="EndNote Bibliography Char"/>
    <w:link w:val="EndNoteBibliography"/>
    <w:rsid w:val="005B03F5"/>
    <w:rPr>
      <w:rFonts w:ascii="Times New Roman" w:hAnsi="Times New Roman" w:cs="Times New Roman"/>
      <w:sz w:val="22"/>
    </w:rPr>
  </w:style>
  <w:style w:type="character" w:customStyle="1" w:styleId="18">
    <w:name w:val="页眉 字符1"/>
    <w:uiPriority w:val="99"/>
    <w:rsid w:val="005B03F5"/>
    <w:rPr>
      <w:rFonts w:ascii="Times New Roman" w:eastAsia="等线" w:hAnsi="Times New Roman" w:cs="Times New Roman"/>
      <w:kern w:val="2"/>
      <w:sz w:val="18"/>
      <w:szCs w:val="18"/>
    </w:rPr>
  </w:style>
  <w:style w:type="character" w:customStyle="1" w:styleId="apple-converted-space">
    <w:name w:val="apple-converted-space"/>
    <w:rsid w:val="005B03F5"/>
  </w:style>
  <w:style w:type="character" w:customStyle="1" w:styleId="af3">
    <w:name w:val="投稿 字符"/>
    <w:link w:val="af4"/>
    <w:rsid w:val="005B03F5"/>
    <w:rPr>
      <w:rFonts w:ascii="Times New Roman" w:eastAsia="Times New Roman" w:hAnsi="Times New Roman"/>
    </w:rPr>
  </w:style>
  <w:style w:type="paragraph" w:customStyle="1" w:styleId="af4">
    <w:name w:val="投稿"/>
    <w:basedOn w:val="a"/>
    <w:link w:val="af3"/>
    <w:qFormat/>
    <w:rsid w:val="005B03F5"/>
    <w:pPr>
      <w:spacing w:line="480" w:lineRule="auto"/>
      <w:ind w:firstLineChars="200" w:firstLine="400"/>
    </w:pPr>
    <w:rPr>
      <w:rFonts w:ascii="Times New Roman" w:eastAsia="Times New Roman" w:hAnsi="Times New Roman"/>
    </w:rPr>
  </w:style>
  <w:style w:type="character" w:customStyle="1" w:styleId="11">
    <w:name w:val="标题 1 字符1"/>
    <w:link w:val="1"/>
    <w:uiPriority w:val="9"/>
    <w:rsid w:val="005B03F5"/>
    <w:rPr>
      <w:rFonts w:ascii="Times New Roman" w:eastAsia="宋体" w:hAnsi="Times New Roman" w:cs="Times New Roman"/>
      <w:b/>
      <w:bCs/>
      <w:kern w:val="44"/>
      <w:sz w:val="44"/>
      <w:szCs w:val="44"/>
    </w:rPr>
  </w:style>
  <w:style w:type="character" w:customStyle="1" w:styleId="13">
    <w:name w:val="批注框文本 字符1"/>
    <w:link w:val="a9"/>
    <w:uiPriority w:val="99"/>
    <w:rsid w:val="005B03F5"/>
    <w:rPr>
      <w:rFonts w:ascii="Times New Roman" w:eastAsia="等线" w:hAnsi="Times New Roman" w:cs="Times New Roman"/>
      <w:sz w:val="18"/>
      <w:szCs w:val="18"/>
    </w:rPr>
  </w:style>
  <w:style w:type="character" w:customStyle="1" w:styleId="EndNoteBibliographyTitleChar">
    <w:name w:val="EndNote Bibliography Title Char"/>
    <w:link w:val="EndNoteBibliographyTitle"/>
    <w:rsid w:val="005B03F5"/>
    <w:rPr>
      <w:rFonts w:ascii="Times New Roman" w:hAnsi="Times New Roman" w:cs="Times New Roman"/>
      <w:sz w:val="22"/>
    </w:rPr>
  </w:style>
  <w:style w:type="paragraph" w:customStyle="1" w:styleId="EndNoteBibliographyTitle">
    <w:name w:val="EndNote Bibliography Title"/>
    <w:basedOn w:val="a"/>
    <w:link w:val="EndNoteBibliographyTitleChar"/>
    <w:rsid w:val="005B03F5"/>
    <w:pPr>
      <w:jc w:val="center"/>
    </w:pPr>
    <w:rPr>
      <w:rFonts w:ascii="Times New Roman" w:hAnsi="Times New Roman" w:cs="Times New Roman"/>
      <w:sz w:val="22"/>
    </w:rPr>
  </w:style>
  <w:style w:type="paragraph" w:customStyle="1" w:styleId="Style6">
    <w:name w:val="_Style 6"/>
    <w:basedOn w:val="a"/>
    <w:next w:val="af2"/>
    <w:uiPriority w:val="34"/>
    <w:qFormat/>
    <w:rsid w:val="005B03F5"/>
    <w:pPr>
      <w:ind w:firstLineChars="200" w:firstLine="420"/>
    </w:pPr>
    <w:rPr>
      <w:rFonts w:ascii="Times New Roman" w:eastAsia="宋体" w:hAnsi="Times New Roman" w:cs="Times New Roman"/>
      <w:sz w:val="22"/>
    </w:rPr>
  </w:style>
  <w:style w:type="character" w:customStyle="1" w:styleId="22">
    <w:name w:val="页眉 字符2"/>
    <w:uiPriority w:val="99"/>
    <w:semiHidden/>
    <w:rsid w:val="005B03F5"/>
    <w:rPr>
      <w:rFonts w:ascii="Times New Roman" w:eastAsia="宋体" w:hAnsi="Times New Roman" w:cs="Times New Roman"/>
      <w:sz w:val="18"/>
      <w:szCs w:val="18"/>
    </w:rPr>
  </w:style>
  <w:style w:type="character" w:customStyle="1" w:styleId="23">
    <w:name w:val="批注框文本 字符2"/>
    <w:uiPriority w:val="99"/>
    <w:semiHidden/>
    <w:rsid w:val="005B03F5"/>
    <w:rPr>
      <w:rFonts w:ascii="Times New Roman" w:eastAsia="宋体" w:hAnsi="Times New Roman" w:cs="Times New Roman"/>
      <w:sz w:val="18"/>
      <w:szCs w:val="18"/>
    </w:rPr>
  </w:style>
  <w:style w:type="character" w:customStyle="1" w:styleId="24">
    <w:name w:val="页脚 字符2"/>
    <w:uiPriority w:val="99"/>
    <w:semiHidden/>
    <w:rsid w:val="005B03F5"/>
    <w:rPr>
      <w:rFonts w:ascii="Times New Roman" w:eastAsia="宋体" w:hAnsi="Times New Roman" w:cs="Times New Roman"/>
      <w:sz w:val="18"/>
      <w:szCs w:val="18"/>
    </w:rPr>
  </w:style>
  <w:style w:type="paragraph" w:customStyle="1" w:styleId="19">
    <w:name w:val="修订1"/>
    <w:hidden/>
    <w:uiPriority w:val="99"/>
    <w:semiHidden/>
    <w:rsid w:val="005B03F5"/>
    <w:rPr>
      <w:rFonts w:ascii="Times New Roman" w:eastAsia="宋体" w:hAnsi="Times New Roman" w:cs="Times New Roman"/>
      <w:sz w:val="22"/>
    </w:rPr>
  </w:style>
  <w:style w:type="character" w:styleId="af5">
    <w:name w:val="Unresolved Mention"/>
    <w:basedOn w:val="a0"/>
    <w:uiPriority w:val="99"/>
    <w:semiHidden/>
    <w:unhideWhenUsed/>
    <w:rsid w:val="005B03F5"/>
    <w:rPr>
      <w:color w:val="605E5C"/>
      <w:shd w:val="clear" w:color="auto" w:fill="E1DFDD"/>
    </w:rPr>
  </w:style>
  <w:style w:type="paragraph" w:styleId="af6">
    <w:name w:val="Revision"/>
    <w:hidden/>
    <w:uiPriority w:val="99"/>
    <w:semiHidden/>
    <w:rsid w:val="005B03F5"/>
    <w:rPr>
      <w:rFonts w:ascii="Times New Roman" w:eastAsia="宋体" w:hAnsi="Times New Roman" w:cs="Times New Roman"/>
      <w:sz w:val="22"/>
    </w:rPr>
  </w:style>
  <w:style w:type="character" w:customStyle="1" w:styleId="1a">
    <w:name w:val="访问过的超链接1"/>
    <w:basedOn w:val="a0"/>
    <w:uiPriority w:val="99"/>
    <w:semiHidden/>
    <w:unhideWhenUsed/>
    <w:rsid w:val="005B03F5"/>
    <w:rPr>
      <w:color w:val="954F72"/>
      <w:u w:val="single"/>
    </w:rPr>
  </w:style>
  <w:style w:type="character" w:customStyle="1" w:styleId="210">
    <w:name w:val="标题 2 字符1"/>
    <w:basedOn w:val="a0"/>
    <w:uiPriority w:val="9"/>
    <w:semiHidden/>
    <w:rsid w:val="005B03F5"/>
    <w:rPr>
      <w:rFonts w:asciiTheme="majorHAnsi" w:eastAsiaTheme="majorEastAsia" w:hAnsiTheme="majorHAnsi" w:cstheme="majorBidi"/>
      <w:b/>
      <w:bCs/>
      <w:sz w:val="32"/>
      <w:szCs w:val="32"/>
    </w:rPr>
  </w:style>
  <w:style w:type="character" w:styleId="af7">
    <w:name w:val="FollowedHyperlink"/>
    <w:basedOn w:val="a0"/>
    <w:uiPriority w:val="99"/>
    <w:semiHidden/>
    <w:unhideWhenUsed/>
    <w:rsid w:val="005B03F5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93</Words>
  <Characters>531</Characters>
  <Application>Microsoft Office Word</Application>
  <DocSecurity>0</DocSecurity>
  <Lines>4</Lines>
  <Paragraphs>1</Paragraphs>
  <ScaleCrop>false</ScaleCrop>
  <Company/>
  <LinksUpToDate>false</LinksUpToDate>
  <CharactersWithSpaces>623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ZQ</dc:creator>
  <cp:keywords/>
  <dc:description/>
  <cp:lastModifiedBy>ZQ</cp:lastModifiedBy>
  <cp:revision>7</cp:revision>
  <dcterms:created xsi:type="dcterms:W3CDTF">2024-05-23T09:05:00Z</dcterms:created>
  <dcterms:modified xsi:type="dcterms:W3CDTF">2024-05-23T09:22:00Z</dcterms:modified>
</cp:coreProperties>
</file>