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F320B" w14:textId="52385A36" w:rsidR="008349F4" w:rsidRPr="00251ECE" w:rsidRDefault="00254945" w:rsidP="00254945">
      <w:pPr>
        <w:pStyle w:val="Heading1"/>
      </w:pPr>
      <w:bookmarkStart w:id="0" w:name="_Hlk201083573"/>
      <w:bookmarkStart w:id="1" w:name="_GoBack"/>
      <w:bookmarkEnd w:id="1"/>
      <w:r w:rsidRPr="00254945">
        <w:t>Online Resource 1</w:t>
      </w:r>
    </w:p>
    <w:p w14:paraId="000F95C2" w14:textId="33CC6F9A" w:rsidR="008349F4" w:rsidRDefault="00254945" w:rsidP="00254945">
      <w:pPr>
        <w:spacing w:line="480" w:lineRule="auto"/>
      </w:pPr>
      <w:r>
        <w:t>Clinical questions and explanatory text</w:t>
      </w:r>
    </w:p>
    <w:p w14:paraId="12565587" w14:textId="77777777" w:rsidR="00254945" w:rsidRPr="00251ECE" w:rsidRDefault="00254945" w:rsidP="00254945">
      <w:pPr>
        <w:spacing w:line="480" w:lineRule="auto"/>
      </w:pPr>
    </w:p>
    <w:p w14:paraId="70F0EB12" w14:textId="77777777" w:rsidR="008349F4" w:rsidRPr="00251ECE" w:rsidRDefault="008349F4" w:rsidP="008349F4">
      <w:pPr>
        <w:pStyle w:val="Heading1"/>
      </w:pPr>
      <w:r w:rsidRPr="00251ECE">
        <w:t>Title:</w:t>
      </w:r>
    </w:p>
    <w:p w14:paraId="65770933" w14:textId="77777777" w:rsidR="008349F4" w:rsidRPr="00251ECE" w:rsidRDefault="008349F4" w:rsidP="008349F4">
      <w:pPr>
        <w:spacing w:line="480" w:lineRule="auto"/>
      </w:pPr>
      <w:r w:rsidRPr="00251ECE">
        <w:t>Updated Asian Consensus Guidelines for the Diagnosis and Management of Gastrointestinal Stromal Tumor (2025)</w:t>
      </w:r>
    </w:p>
    <w:p w14:paraId="22A8D427" w14:textId="77777777" w:rsidR="008349F4" w:rsidRPr="00251ECE" w:rsidRDefault="008349F4" w:rsidP="008349F4">
      <w:pPr>
        <w:spacing w:line="480" w:lineRule="auto"/>
      </w:pPr>
    </w:p>
    <w:p w14:paraId="41DFA1DA" w14:textId="77777777" w:rsidR="008349F4" w:rsidRPr="00251ECE" w:rsidRDefault="008349F4" w:rsidP="008349F4">
      <w:pPr>
        <w:pStyle w:val="Heading1"/>
      </w:pPr>
      <w:r w:rsidRPr="00251ECE">
        <w:t xml:space="preserve">Running title: </w:t>
      </w:r>
    </w:p>
    <w:p w14:paraId="3B50FF30" w14:textId="77777777" w:rsidR="008349F4" w:rsidRPr="00251ECE" w:rsidRDefault="008349F4" w:rsidP="008349F4">
      <w:pPr>
        <w:spacing w:line="480" w:lineRule="auto"/>
      </w:pPr>
      <w:r w:rsidRPr="00251ECE">
        <w:t>Asian GIST consensus guideline in 2025</w:t>
      </w:r>
    </w:p>
    <w:p w14:paraId="2D5AA9DB" w14:textId="77777777" w:rsidR="008349F4" w:rsidRPr="00251ECE" w:rsidRDefault="008349F4" w:rsidP="008349F4">
      <w:pPr>
        <w:spacing w:line="480" w:lineRule="auto"/>
      </w:pPr>
    </w:p>
    <w:p w14:paraId="0A331319" w14:textId="77777777" w:rsidR="008349F4" w:rsidRPr="00251ECE" w:rsidRDefault="008349F4" w:rsidP="008349F4">
      <w:pPr>
        <w:pStyle w:val="Heading1"/>
      </w:pPr>
      <w:r w:rsidRPr="00251ECE">
        <w:t xml:space="preserve">Authors name: </w:t>
      </w:r>
    </w:p>
    <w:p w14:paraId="64706612" w14:textId="77777777" w:rsidR="008349F4" w:rsidRPr="00251ECE" w:rsidRDefault="008349F4" w:rsidP="008349F4">
      <w:pPr>
        <w:spacing w:line="480" w:lineRule="auto"/>
        <w:rPr>
          <w:color w:val="EE0000"/>
        </w:rPr>
      </w:pPr>
      <w:r w:rsidRPr="00251ECE">
        <w:t>Hidekazu Hirano</w:t>
      </w:r>
      <w:r w:rsidRPr="00251ECE">
        <w:rPr>
          <w:rFonts w:hint="eastAsia"/>
          <w:vertAlign w:val="superscript"/>
        </w:rPr>
        <w:t>1</w:t>
      </w:r>
      <w:r w:rsidRPr="00251ECE">
        <w:t>,</w:t>
      </w:r>
      <w:r w:rsidRPr="00251ECE">
        <w:rPr>
          <w:rFonts w:hint="eastAsia"/>
        </w:rPr>
        <w:t xml:space="preserve"> </w:t>
      </w:r>
      <w:r w:rsidRPr="00251ECE">
        <w:t>Yoichi Naito</w:t>
      </w:r>
      <w:r w:rsidRPr="00251ECE">
        <w:rPr>
          <w:rFonts w:hint="eastAsia"/>
          <w:vertAlign w:val="superscript"/>
        </w:rPr>
        <w:t>2</w:t>
      </w:r>
      <w:r w:rsidRPr="00251ECE">
        <w:rPr>
          <w:rFonts w:hint="eastAsia"/>
        </w:rPr>
        <w:t xml:space="preserve">, </w:t>
      </w:r>
      <w:r w:rsidRPr="00251ECE">
        <w:t>Tsuyoshi Takahashi</w:t>
      </w:r>
      <w:r w:rsidRPr="00251ECE">
        <w:rPr>
          <w:rFonts w:hint="eastAsia"/>
          <w:vertAlign w:val="superscript"/>
        </w:rPr>
        <w:t>3</w:t>
      </w:r>
      <w:r w:rsidRPr="00251ECE">
        <w:rPr>
          <w:rFonts w:hint="eastAsia"/>
        </w:rPr>
        <w:t xml:space="preserve">, </w:t>
      </w:r>
      <w:r w:rsidRPr="00251ECE">
        <w:t>Seiichi Hirota</w:t>
      </w:r>
      <w:r w:rsidRPr="00251ECE">
        <w:rPr>
          <w:rFonts w:hint="eastAsia"/>
          <w:vertAlign w:val="superscript"/>
        </w:rPr>
        <w:t>4</w:t>
      </w:r>
      <w:r w:rsidRPr="00251ECE">
        <w:rPr>
          <w:rFonts w:hint="eastAsia"/>
        </w:rPr>
        <w:t xml:space="preserve">, </w:t>
      </w:r>
      <w:r w:rsidRPr="00251ECE">
        <w:t>Kyoung-Mee Kim</w:t>
      </w:r>
      <w:r w:rsidRPr="00251ECE">
        <w:rPr>
          <w:rFonts w:hint="eastAsia"/>
          <w:vertAlign w:val="superscript"/>
        </w:rPr>
        <w:t>5</w:t>
      </w:r>
      <w:r w:rsidRPr="00251ECE">
        <w:rPr>
          <w:rFonts w:hint="eastAsia"/>
        </w:rPr>
        <w:t xml:space="preserve">, </w:t>
      </w:r>
      <w:r w:rsidRPr="00251ECE">
        <w:t>Min-Hee Ryu</w:t>
      </w:r>
      <w:r w:rsidRPr="00251ECE">
        <w:rPr>
          <w:rFonts w:hint="eastAsia"/>
          <w:vertAlign w:val="superscript"/>
        </w:rPr>
        <w:t>6</w:t>
      </w:r>
      <w:r w:rsidRPr="00251ECE">
        <w:t>,</w:t>
      </w:r>
      <w:r w:rsidRPr="00251ECE">
        <w:rPr>
          <w:rFonts w:hint="eastAsia"/>
        </w:rPr>
        <w:t xml:space="preserve"> </w:t>
      </w:r>
      <w:r w:rsidRPr="00251ECE">
        <w:t>Jian Wang</w:t>
      </w:r>
      <w:r w:rsidRPr="00251ECE">
        <w:rPr>
          <w:rFonts w:hint="eastAsia"/>
          <w:vertAlign w:val="superscript"/>
        </w:rPr>
        <w:t>7</w:t>
      </w:r>
      <w:r w:rsidRPr="00251ECE">
        <w:rPr>
          <w:rFonts w:hint="eastAsia"/>
        </w:rPr>
        <w:t xml:space="preserve">, </w:t>
      </w:r>
      <w:r w:rsidRPr="00251ECE">
        <w:t>Hui Cao</w:t>
      </w:r>
      <w:r w:rsidRPr="00251ECE">
        <w:rPr>
          <w:rFonts w:hint="eastAsia"/>
          <w:vertAlign w:val="superscript"/>
        </w:rPr>
        <w:t>8</w:t>
      </w:r>
      <w:r w:rsidRPr="00251ECE">
        <w:rPr>
          <w:rFonts w:hint="eastAsia"/>
        </w:rPr>
        <w:t xml:space="preserve">, </w:t>
      </w:r>
      <w:r w:rsidRPr="00251ECE">
        <w:t>Jian Li</w:t>
      </w:r>
      <w:r w:rsidRPr="00251ECE">
        <w:rPr>
          <w:rFonts w:hint="eastAsia"/>
          <w:vertAlign w:val="superscript"/>
        </w:rPr>
        <w:t>9</w:t>
      </w:r>
      <w:r w:rsidRPr="00251ECE">
        <w:rPr>
          <w:rFonts w:hint="eastAsia"/>
        </w:rPr>
        <w:t xml:space="preserve">, </w:t>
      </w:r>
      <w:r w:rsidRPr="00251ECE">
        <w:t>Chien-Feng Li</w:t>
      </w:r>
      <w:r w:rsidRPr="00251ECE">
        <w:rPr>
          <w:rFonts w:hint="eastAsia"/>
          <w:vertAlign w:val="superscript"/>
        </w:rPr>
        <w:t>10</w:t>
      </w:r>
      <w:r w:rsidRPr="00251ECE">
        <w:rPr>
          <w:rFonts w:hint="eastAsia"/>
        </w:rPr>
        <w:t xml:space="preserve">, </w:t>
      </w:r>
      <w:r w:rsidRPr="00251ECE">
        <w:t>Chueh-Chuan Yen</w:t>
      </w:r>
      <w:r w:rsidRPr="00251ECE">
        <w:rPr>
          <w:vertAlign w:val="superscript"/>
        </w:rPr>
        <w:t>11, 12</w:t>
      </w:r>
      <w:r w:rsidRPr="00251ECE">
        <w:rPr>
          <w:rFonts w:hint="eastAsia"/>
        </w:rPr>
        <w:t xml:space="preserve">, </w:t>
      </w:r>
      <w:r w:rsidRPr="00251ECE">
        <w:t>Han-Kwang Yang</w:t>
      </w:r>
      <w:r w:rsidRPr="00251ECE">
        <w:rPr>
          <w:rFonts w:hint="eastAsia"/>
          <w:vertAlign w:val="superscript"/>
        </w:rPr>
        <w:t>1</w:t>
      </w:r>
      <w:r w:rsidRPr="00251ECE">
        <w:rPr>
          <w:vertAlign w:val="superscript"/>
        </w:rPr>
        <w:t>3</w:t>
      </w:r>
      <w:r w:rsidRPr="00251ECE">
        <w:t>,</w:t>
      </w:r>
      <w:r w:rsidRPr="00251ECE">
        <w:rPr>
          <w:rFonts w:hint="eastAsia"/>
        </w:rPr>
        <w:t xml:space="preserve"> </w:t>
      </w:r>
      <w:r w:rsidRPr="00251ECE">
        <w:t>Hwoon-Yong Jung</w:t>
      </w:r>
      <w:r w:rsidRPr="00251ECE">
        <w:rPr>
          <w:rFonts w:hint="eastAsia"/>
          <w:vertAlign w:val="superscript"/>
        </w:rPr>
        <w:t>1</w:t>
      </w:r>
      <w:r w:rsidRPr="00251ECE">
        <w:rPr>
          <w:vertAlign w:val="superscript"/>
        </w:rPr>
        <w:t>4</w:t>
      </w:r>
      <w:r w:rsidRPr="00251ECE">
        <w:t>,</w:t>
      </w:r>
      <w:r w:rsidRPr="00251ECE">
        <w:rPr>
          <w:rFonts w:hint="eastAsia"/>
        </w:rPr>
        <w:t xml:space="preserve"> </w:t>
      </w:r>
      <w:r w:rsidRPr="00251ECE">
        <w:t>Chun-Nan Yeh</w:t>
      </w:r>
      <w:r w:rsidRPr="00251ECE">
        <w:rPr>
          <w:rFonts w:hint="eastAsia"/>
          <w:vertAlign w:val="superscript"/>
        </w:rPr>
        <w:t>1</w:t>
      </w:r>
      <w:r w:rsidRPr="00251ECE">
        <w:rPr>
          <w:vertAlign w:val="superscript"/>
        </w:rPr>
        <w:t>5</w:t>
      </w:r>
      <w:r w:rsidRPr="00251ECE">
        <w:rPr>
          <w:rFonts w:hint="eastAsia"/>
        </w:rPr>
        <w:t xml:space="preserve">, </w:t>
      </w:r>
      <w:r w:rsidRPr="00251ECE">
        <w:t>Hsiu-Po Wang</w:t>
      </w:r>
      <w:r w:rsidRPr="00251ECE">
        <w:rPr>
          <w:rFonts w:hint="eastAsia"/>
          <w:vertAlign w:val="superscript"/>
        </w:rPr>
        <w:t>1</w:t>
      </w:r>
      <w:r w:rsidRPr="00251ECE">
        <w:rPr>
          <w:vertAlign w:val="superscript"/>
        </w:rPr>
        <w:t>6</w:t>
      </w:r>
      <w:r w:rsidRPr="00251ECE">
        <w:rPr>
          <w:rFonts w:hint="eastAsia"/>
        </w:rPr>
        <w:t xml:space="preserve">, </w:t>
      </w:r>
      <w:r w:rsidRPr="00251ECE">
        <w:t>Li-Tzong Chen</w:t>
      </w:r>
      <w:r w:rsidRPr="00251ECE">
        <w:rPr>
          <w:rFonts w:hint="eastAsia"/>
          <w:vertAlign w:val="superscript"/>
        </w:rPr>
        <w:t>17</w:t>
      </w:r>
      <w:r w:rsidRPr="00251ECE">
        <w:rPr>
          <w:rFonts w:hint="eastAsia"/>
        </w:rPr>
        <w:t>,</w:t>
      </w:r>
      <w:r w:rsidRPr="00251ECE">
        <w:t xml:space="preserve"> Lin Shen</w:t>
      </w:r>
      <w:r w:rsidRPr="00251ECE">
        <w:rPr>
          <w:rFonts w:hint="eastAsia"/>
          <w:vertAlign w:val="superscript"/>
        </w:rPr>
        <w:t>9</w:t>
      </w:r>
      <w:r w:rsidRPr="00251ECE">
        <w:rPr>
          <w:rFonts w:hint="eastAsia"/>
        </w:rPr>
        <w:t>,</w:t>
      </w:r>
      <w:r w:rsidRPr="00251ECE">
        <w:t xml:space="preserve"> Yoon-Koo Kang</w:t>
      </w:r>
      <w:r w:rsidRPr="00251ECE">
        <w:rPr>
          <w:rFonts w:hint="eastAsia"/>
          <w:vertAlign w:val="superscript"/>
        </w:rPr>
        <w:t>6</w:t>
      </w:r>
      <w:r w:rsidRPr="00251ECE">
        <w:rPr>
          <w:vertAlign w:val="superscript"/>
        </w:rPr>
        <w:t>, 1</w:t>
      </w:r>
      <w:r w:rsidRPr="00251ECE">
        <w:rPr>
          <w:rFonts w:hint="eastAsia"/>
          <w:vertAlign w:val="superscript"/>
        </w:rPr>
        <w:t>8</w:t>
      </w:r>
      <w:r w:rsidRPr="00251ECE">
        <w:rPr>
          <w:rFonts w:hint="eastAsia"/>
        </w:rPr>
        <w:t xml:space="preserve">, </w:t>
      </w:r>
      <w:r w:rsidRPr="00251ECE">
        <w:t>Toshirou Nishida</w:t>
      </w:r>
      <w:r w:rsidRPr="00251ECE">
        <w:rPr>
          <w:rFonts w:hint="eastAsia"/>
          <w:vertAlign w:val="superscript"/>
        </w:rPr>
        <w:t>19,20*</w:t>
      </w:r>
    </w:p>
    <w:p w14:paraId="47089F06" w14:textId="77777777" w:rsidR="008349F4" w:rsidRPr="00251ECE" w:rsidRDefault="008349F4" w:rsidP="008349F4"/>
    <w:p w14:paraId="30C984E5" w14:textId="77777777" w:rsidR="008349F4" w:rsidRPr="00251ECE" w:rsidRDefault="008349F4" w:rsidP="008349F4">
      <w:pPr>
        <w:pStyle w:val="Heading1"/>
      </w:pPr>
      <w:r w:rsidRPr="00251ECE">
        <w:t>Affiliation:</w:t>
      </w:r>
    </w:p>
    <w:p w14:paraId="3DFC0541" w14:textId="77777777" w:rsidR="008349F4" w:rsidRPr="00251ECE" w:rsidRDefault="008349F4" w:rsidP="008349F4">
      <w:pPr>
        <w:pStyle w:val="ListParagraph"/>
        <w:numPr>
          <w:ilvl w:val="0"/>
          <w:numId w:val="19"/>
        </w:numPr>
        <w:spacing w:line="480" w:lineRule="auto"/>
        <w:ind w:leftChars="0"/>
      </w:pPr>
      <w:r w:rsidRPr="00251ECE">
        <w:t xml:space="preserve">Department of Gastrointestinal Medical Oncology, National Cancer Center Hospital, </w:t>
      </w:r>
      <w:r w:rsidRPr="00251ECE">
        <w:rPr>
          <w:rFonts w:hint="eastAsia"/>
        </w:rPr>
        <w:t xml:space="preserve">Tokyo, </w:t>
      </w:r>
      <w:r w:rsidRPr="00251ECE">
        <w:t>Japan</w:t>
      </w:r>
    </w:p>
    <w:p w14:paraId="08627412" w14:textId="77777777" w:rsidR="008349F4" w:rsidRPr="00251ECE" w:rsidRDefault="008349F4" w:rsidP="008349F4">
      <w:pPr>
        <w:pStyle w:val="ListParagraph"/>
        <w:numPr>
          <w:ilvl w:val="0"/>
          <w:numId w:val="19"/>
        </w:numPr>
        <w:spacing w:line="480" w:lineRule="auto"/>
        <w:ind w:leftChars="0"/>
      </w:pPr>
      <w:r w:rsidRPr="00251ECE">
        <w:lastRenderedPageBreak/>
        <w:t>Department of General Internal Medicine/Experimental Therapeutics/Medical Oncology, National Cancer Center Hospital East, Chiba, Japan</w:t>
      </w:r>
    </w:p>
    <w:p w14:paraId="440B87C4" w14:textId="77777777" w:rsidR="008349F4" w:rsidRPr="00251ECE" w:rsidRDefault="008349F4" w:rsidP="008349F4">
      <w:pPr>
        <w:pStyle w:val="ListParagraph"/>
        <w:numPr>
          <w:ilvl w:val="0"/>
          <w:numId w:val="19"/>
        </w:numPr>
        <w:spacing w:line="480" w:lineRule="auto"/>
        <w:ind w:leftChars="0"/>
      </w:pPr>
      <w:r w:rsidRPr="00251ECE">
        <w:t>Department of Gastroenterological Surgery, Osaka University Graduate School of Medicine, Osaka, Japan</w:t>
      </w:r>
    </w:p>
    <w:p w14:paraId="09645102" w14:textId="263F1B01" w:rsidR="008349F4" w:rsidRPr="00251ECE" w:rsidRDefault="008349F4" w:rsidP="008349F4">
      <w:pPr>
        <w:pStyle w:val="ListParagraph"/>
        <w:numPr>
          <w:ilvl w:val="0"/>
          <w:numId w:val="19"/>
        </w:numPr>
        <w:spacing w:line="480" w:lineRule="auto"/>
        <w:ind w:leftChars="0"/>
      </w:pPr>
      <w:r w:rsidRPr="00251ECE">
        <w:t xml:space="preserve">Department of Diagnostic Pathology, School of Medicine, Hyogo Medical University, </w:t>
      </w:r>
      <w:r w:rsidR="008A210B">
        <w:rPr>
          <w:rFonts w:hint="eastAsia"/>
        </w:rPr>
        <w:t>Nishinomiya</w:t>
      </w:r>
      <w:r w:rsidRPr="00251ECE">
        <w:t>, Japan</w:t>
      </w:r>
    </w:p>
    <w:p w14:paraId="6884754B" w14:textId="77777777" w:rsidR="008349F4" w:rsidRPr="00251ECE" w:rsidRDefault="008349F4" w:rsidP="008349F4">
      <w:pPr>
        <w:pStyle w:val="ListParagraph"/>
        <w:numPr>
          <w:ilvl w:val="0"/>
          <w:numId w:val="19"/>
        </w:numPr>
        <w:spacing w:line="480" w:lineRule="auto"/>
        <w:ind w:leftChars="0"/>
      </w:pPr>
      <w:r w:rsidRPr="00251ECE">
        <w:t>Department of Pathology and Translational Genomics, Samsung Medical Center, Sungkyunkwan University School of Medicine, Seoul, Republic of Korea</w:t>
      </w:r>
    </w:p>
    <w:p w14:paraId="3C94A799" w14:textId="77777777" w:rsidR="008349F4" w:rsidRPr="00251ECE" w:rsidRDefault="008349F4" w:rsidP="008349F4">
      <w:pPr>
        <w:pStyle w:val="ListParagraph"/>
        <w:numPr>
          <w:ilvl w:val="0"/>
          <w:numId w:val="19"/>
        </w:numPr>
        <w:spacing w:line="480" w:lineRule="auto"/>
        <w:ind w:leftChars="0"/>
      </w:pPr>
      <w:r w:rsidRPr="00251ECE">
        <w:t>Department of Oncology, Asan Medical Center, University of Ulsan College of Medicine, Seoul, Republic of Korea</w:t>
      </w:r>
    </w:p>
    <w:p w14:paraId="2DEE5AE5" w14:textId="77777777" w:rsidR="008349F4" w:rsidRPr="00251ECE" w:rsidRDefault="008349F4" w:rsidP="008349F4">
      <w:pPr>
        <w:pStyle w:val="ListParagraph"/>
        <w:numPr>
          <w:ilvl w:val="0"/>
          <w:numId w:val="19"/>
        </w:numPr>
        <w:spacing w:line="480" w:lineRule="auto"/>
        <w:ind w:leftChars="0"/>
      </w:pPr>
      <w:r w:rsidRPr="00251ECE">
        <w:t>Department of Pathology, Fudan University Shanghai Cancer Center, Shanghai,</w:t>
      </w:r>
      <w:r w:rsidRPr="00251ECE">
        <w:rPr>
          <w:rFonts w:hint="eastAsia"/>
        </w:rPr>
        <w:t xml:space="preserve"> China</w:t>
      </w:r>
    </w:p>
    <w:p w14:paraId="2C21D384" w14:textId="77777777" w:rsidR="008349F4" w:rsidRPr="00251ECE" w:rsidRDefault="008349F4" w:rsidP="008349F4">
      <w:pPr>
        <w:pStyle w:val="ListParagraph"/>
        <w:numPr>
          <w:ilvl w:val="0"/>
          <w:numId w:val="19"/>
        </w:numPr>
        <w:spacing w:line="480" w:lineRule="auto"/>
        <w:ind w:leftChars="0"/>
      </w:pPr>
      <w:r w:rsidRPr="00251ECE">
        <w:t>Department of Gastrointestinal Surgery, Renji Hospital, Shanghai Jiao Tong University School of Medicine, Shanghai, China</w:t>
      </w:r>
    </w:p>
    <w:p w14:paraId="28BC3E01" w14:textId="1332C4F5" w:rsidR="008349F4" w:rsidRPr="00251ECE" w:rsidRDefault="008349F4" w:rsidP="008349F4">
      <w:pPr>
        <w:pStyle w:val="ListParagraph"/>
        <w:numPr>
          <w:ilvl w:val="0"/>
          <w:numId w:val="19"/>
        </w:numPr>
        <w:spacing w:line="480" w:lineRule="auto"/>
        <w:ind w:leftChars="0"/>
      </w:pPr>
      <w:r w:rsidRPr="00251ECE">
        <w:t>State Key Laboratory of Holistic Integrative Management of Gastrointestinal Cancers, Beijing Key Laboratory of Cell &amp; Gene Therapy for Solid Tumor, Department of GI Oncology, Peking University Cancer Hospital &amp; Institute, Beijing, China</w:t>
      </w:r>
    </w:p>
    <w:p w14:paraId="58A3780A" w14:textId="15DCC0D6" w:rsidR="008349F4" w:rsidRPr="00251ECE" w:rsidRDefault="008349F4" w:rsidP="008349F4">
      <w:pPr>
        <w:pStyle w:val="ListParagraph"/>
        <w:numPr>
          <w:ilvl w:val="0"/>
          <w:numId w:val="19"/>
        </w:numPr>
        <w:spacing w:line="480" w:lineRule="auto"/>
        <w:ind w:leftChars="0"/>
      </w:pPr>
      <w:r w:rsidRPr="00251ECE">
        <w:t>National Institute of Cancer Research, National Health Research Institutes, Tainan, Taiwan</w:t>
      </w:r>
    </w:p>
    <w:p w14:paraId="12410302" w14:textId="77777777" w:rsidR="008349F4" w:rsidRPr="00251ECE" w:rsidRDefault="008349F4" w:rsidP="008349F4">
      <w:pPr>
        <w:pStyle w:val="ListParagraph"/>
        <w:numPr>
          <w:ilvl w:val="0"/>
          <w:numId w:val="19"/>
        </w:numPr>
        <w:spacing w:line="480" w:lineRule="auto"/>
        <w:ind w:leftChars="0"/>
      </w:pPr>
      <w:r w:rsidRPr="00251ECE">
        <w:lastRenderedPageBreak/>
        <w:t>Division of Clinical Research, Department of Medical Research, and Division of Medical Oncology, Center for Immuno-oncology, Department of Oncology, Taipei Veterans General Hospital, Taipei, Taiwan</w:t>
      </w:r>
    </w:p>
    <w:p w14:paraId="631D225D" w14:textId="77777777" w:rsidR="008349F4" w:rsidRPr="00251ECE" w:rsidRDefault="008349F4" w:rsidP="008349F4">
      <w:pPr>
        <w:pStyle w:val="ListParagraph"/>
        <w:numPr>
          <w:ilvl w:val="0"/>
          <w:numId w:val="19"/>
        </w:numPr>
        <w:spacing w:line="480" w:lineRule="auto"/>
        <w:ind w:leftChars="0"/>
      </w:pPr>
      <w:r w:rsidRPr="00251ECE">
        <w:t>School of Medicine, College of Medicine, and Institute of Biopharmaceutical Sciences, College of Pharmaceutical Sciences, National Yang Ming Chiao Tung University, Taipei, Taiwan</w:t>
      </w:r>
    </w:p>
    <w:p w14:paraId="6FBC444A" w14:textId="77777777" w:rsidR="008349F4" w:rsidRPr="00251ECE" w:rsidRDefault="008349F4" w:rsidP="008349F4">
      <w:pPr>
        <w:pStyle w:val="ListParagraph"/>
        <w:numPr>
          <w:ilvl w:val="0"/>
          <w:numId w:val="19"/>
        </w:numPr>
        <w:spacing w:line="480" w:lineRule="auto"/>
        <w:ind w:leftChars="0"/>
      </w:pPr>
      <w:r w:rsidRPr="00251ECE">
        <w:t>Department of Surgery, Seoul National University Hospital, Seoul, Republic of Korea</w:t>
      </w:r>
    </w:p>
    <w:p w14:paraId="2494CA6A" w14:textId="77777777" w:rsidR="008349F4" w:rsidRPr="00251ECE" w:rsidRDefault="008349F4" w:rsidP="008349F4">
      <w:pPr>
        <w:pStyle w:val="ListParagraph"/>
        <w:numPr>
          <w:ilvl w:val="0"/>
          <w:numId w:val="19"/>
        </w:numPr>
        <w:spacing w:line="480" w:lineRule="auto"/>
        <w:ind w:leftChars="0"/>
      </w:pPr>
      <w:r w:rsidRPr="00251ECE">
        <w:t>Department of Gastroenterology, Asan Medical Center, University of Ulsan College of Medicine, Seoul, Republic of Korea</w:t>
      </w:r>
    </w:p>
    <w:p w14:paraId="7B25FDF9" w14:textId="77777777" w:rsidR="008349F4" w:rsidRPr="00251ECE" w:rsidRDefault="008349F4" w:rsidP="008349F4">
      <w:pPr>
        <w:pStyle w:val="ListParagraph"/>
        <w:numPr>
          <w:ilvl w:val="0"/>
          <w:numId w:val="19"/>
        </w:numPr>
        <w:spacing w:line="480" w:lineRule="auto"/>
        <w:ind w:leftChars="0"/>
      </w:pPr>
      <w:r w:rsidRPr="00251ECE">
        <w:t>Department of Surgery, Chang Gung Memorial Hospital, Linkou and Chang Gung University, Taipei, Taiwan</w:t>
      </w:r>
    </w:p>
    <w:p w14:paraId="7B8D45DF" w14:textId="77777777" w:rsidR="008349F4" w:rsidRPr="00251ECE" w:rsidRDefault="008349F4" w:rsidP="008349F4">
      <w:pPr>
        <w:pStyle w:val="ListParagraph"/>
        <w:numPr>
          <w:ilvl w:val="0"/>
          <w:numId w:val="19"/>
        </w:numPr>
        <w:spacing w:line="480" w:lineRule="auto"/>
        <w:ind w:leftChars="0"/>
      </w:pPr>
      <w:r w:rsidRPr="00251ECE">
        <w:t>Department of Internal Medicine, National Taiwan University Hospital, National Taiwan University College of Medicine, Taipei, Taiwan</w:t>
      </w:r>
    </w:p>
    <w:p w14:paraId="75BE6522" w14:textId="77777777" w:rsidR="008349F4" w:rsidRPr="00251ECE" w:rsidRDefault="008349F4" w:rsidP="008349F4">
      <w:pPr>
        <w:pStyle w:val="ListParagraph"/>
        <w:numPr>
          <w:ilvl w:val="0"/>
          <w:numId w:val="19"/>
        </w:numPr>
        <w:spacing w:line="480" w:lineRule="auto"/>
        <w:ind w:leftChars="0"/>
      </w:pPr>
      <w:r w:rsidRPr="00251ECE">
        <w:rPr>
          <w:color w:val="000000" w:themeColor="text1"/>
        </w:rPr>
        <w:t>Department of Internal Medicine, Kaohsiung Medical University Hospital, and College of Medicine and Center for Cancer Research, Kaohsiung Medical University, Kaohsiung, Taiwan</w:t>
      </w:r>
    </w:p>
    <w:p w14:paraId="243AC390" w14:textId="77777777" w:rsidR="008349F4" w:rsidRPr="00251ECE" w:rsidRDefault="008349F4" w:rsidP="008349F4">
      <w:pPr>
        <w:pStyle w:val="ListParagraph"/>
        <w:numPr>
          <w:ilvl w:val="0"/>
          <w:numId w:val="19"/>
        </w:numPr>
        <w:spacing w:line="480" w:lineRule="auto"/>
        <w:ind w:leftChars="0"/>
        <w:rPr>
          <w:color w:val="000000" w:themeColor="text1"/>
        </w:rPr>
      </w:pPr>
      <w:r w:rsidRPr="00251ECE">
        <w:rPr>
          <w:rFonts w:hint="eastAsia"/>
        </w:rPr>
        <w:t xml:space="preserve">Department of Oncology, Uijeongbu Eulji Medical Center, Eulji University, Uijeongbu-si, </w:t>
      </w:r>
      <w:r w:rsidRPr="00251ECE">
        <w:t>Republic of Korea</w:t>
      </w:r>
    </w:p>
    <w:p w14:paraId="7D6D28AD" w14:textId="3F9AE988" w:rsidR="008349F4" w:rsidRPr="00251ECE" w:rsidRDefault="008349F4" w:rsidP="008349F4">
      <w:pPr>
        <w:pStyle w:val="ListParagraph"/>
        <w:numPr>
          <w:ilvl w:val="0"/>
          <w:numId w:val="19"/>
        </w:numPr>
        <w:spacing w:line="480" w:lineRule="auto"/>
        <w:ind w:leftChars="0"/>
        <w:rPr>
          <w:color w:val="000000" w:themeColor="text1"/>
        </w:rPr>
      </w:pPr>
      <w:r w:rsidRPr="00251ECE">
        <w:lastRenderedPageBreak/>
        <w:t xml:space="preserve">Department of Surgery, Japan Community Healthcare Organization Osaka Hospital, </w:t>
      </w:r>
      <w:r w:rsidRPr="00251ECE">
        <w:rPr>
          <w:color w:val="000000" w:themeColor="text1"/>
        </w:rPr>
        <w:t>Osaka, Japan</w:t>
      </w:r>
    </w:p>
    <w:p w14:paraId="5FBE6BFB" w14:textId="77777777" w:rsidR="008349F4" w:rsidRPr="00251ECE" w:rsidRDefault="008349F4" w:rsidP="008349F4">
      <w:pPr>
        <w:pStyle w:val="ListParagraph"/>
        <w:numPr>
          <w:ilvl w:val="0"/>
          <w:numId w:val="19"/>
        </w:numPr>
        <w:spacing w:line="480" w:lineRule="auto"/>
        <w:ind w:leftChars="0"/>
        <w:rPr>
          <w:color w:val="000000" w:themeColor="text1"/>
        </w:rPr>
      </w:pPr>
      <w:r w:rsidRPr="00251ECE">
        <w:rPr>
          <w:color w:val="000000" w:themeColor="text1"/>
        </w:rPr>
        <w:t>Rare Cancer Center, National Cancer Center, Tokyo, Japan</w:t>
      </w:r>
    </w:p>
    <w:p w14:paraId="27417532" w14:textId="77777777" w:rsidR="008349F4" w:rsidRPr="00251ECE" w:rsidRDefault="008349F4" w:rsidP="008349F4">
      <w:pPr>
        <w:spacing w:line="480" w:lineRule="auto"/>
        <w:rPr>
          <w:color w:val="000000" w:themeColor="text1"/>
        </w:rPr>
      </w:pPr>
    </w:p>
    <w:p w14:paraId="1539C00E" w14:textId="77777777" w:rsidR="008349F4" w:rsidRPr="00251ECE" w:rsidRDefault="008349F4" w:rsidP="008349F4">
      <w:pPr>
        <w:spacing w:line="480" w:lineRule="auto"/>
        <w:rPr>
          <w:b/>
          <w:bCs/>
        </w:rPr>
      </w:pPr>
      <w:r w:rsidRPr="00251ECE">
        <w:rPr>
          <w:b/>
          <w:bCs/>
        </w:rPr>
        <w:t>* Corresponding author:</w:t>
      </w:r>
    </w:p>
    <w:p w14:paraId="63899819" w14:textId="77777777" w:rsidR="008349F4" w:rsidRPr="00251ECE" w:rsidRDefault="008349F4" w:rsidP="008349F4">
      <w:pPr>
        <w:spacing w:line="480" w:lineRule="auto"/>
      </w:pPr>
      <w:r w:rsidRPr="00251ECE">
        <w:t>Toshirou Nishida,</w:t>
      </w:r>
    </w:p>
    <w:p w14:paraId="309CEE12" w14:textId="77777777" w:rsidR="008349F4" w:rsidRPr="00251ECE" w:rsidRDefault="008349F4" w:rsidP="008349F4">
      <w:pPr>
        <w:spacing w:line="480" w:lineRule="auto"/>
      </w:pPr>
      <w:r w:rsidRPr="00251ECE">
        <w:t>Department of Surgery, Japan Community Healthcare Organization Osaka Hospital, Osaka, Japan.</w:t>
      </w:r>
    </w:p>
    <w:p w14:paraId="0F65ED1A" w14:textId="77777777" w:rsidR="008349F4" w:rsidRDefault="008349F4" w:rsidP="008349F4">
      <w:pPr>
        <w:spacing w:line="480" w:lineRule="auto"/>
      </w:pPr>
      <w:r w:rsidRPr="00251ECE">
        <w:t xml:space="preserve">E-mail: </w:t>
      </w:r>
      <w:hyperlink r:id="rId8" w:history="1">
        <w:r w:rsidRPr="00251ECE">
          <w:rPr>
            <w:rStyle w:val="Hyperlink"/>
          </w:rPr>
          <w:t>nishida-toshirou@osaka.jcho.go.jp</w:t>
        </w:r>
      </w:hyperlink>
      <w:r w:rsidRPr="00251ECE">
        <w:rPr>
          <w:rFonts w:hint="eastAsia"/>
        </w:rPr>
        <w:t xml:space="preserve"> </w:t>
      </w:r>
      <w:r w:rsidRPr="00251ECE">
        <w:t>(ORCID: 0000-0002-1542-6317)</w:t>
      </w:r>
    </w:p>
    <w:p w14:paraId="67CC0FC2" w14:textId="5E2A019C" w:rsidR="0022768E" w:rsidRPr="00251ECE" w:rsidRDefault="0022768E" w:rsidP="0022768E">
      <w:pPr>
        <w:spacing w:line="480" w:lineRule="auto"/>
      </w:pPr>
      <w:r>
        <w:t>Tel: +81-6-6441-5451</w:t>
      </w:r>
    </w:p>
    <w:p w14:paraId="5445B9A3" w14:textId="77777777" w:rsidR="008349F4" w:rsidRDefault="008349F4" w:rsidP="008349F4">
      <w:pPr>
        <w:spacing w:line="480" w:lineRule="auto"/>
      </w:pPr>
      <w:r w:rsidRPr="00251ECE">
        <w:rPr>
          <w:rFonts w:hint="eastAsia"/>
        </w:rPr>
        <w:t xml:space="preserve">Postal address: </w:t>
      </w:r>
      <w:r w:rsidRPr="00251ECE">
        <w:t>4-2-78, Fukushima, Fukushima Ward, Osaka, 553-0003</w:t>
      </w:r>
    </w:p>
    <w:p w14:paraId="11EF8F17" w14:textId="77777777" w:rsidR="008349F4" w:rsidRDefault="008349F4" w:rsidP="008349F4">
      <w:pPr>
        <w:spacing w:line="480" w:lineRule="auto"/>
      </w:pPr>
    </w:p>
    <w:p w14:paraId="128980F2" w14:textId="4104E81D" w:rsidR="00254945" w:rsidRDefault="00BB11AE" w:rsidP="008349F4">
      <w:pPr>
        <w:spacing w:line="480" w:lineRule="auto"/>
      </w:pPr>
      <w:r w:rsidRPr="00BB11AE">
        <w:t xml:space="preserve">This supplementary material contains the clinical questions (CQs) and their explanatory texts, supplementing </w:t>
      </w:r>
      <w:r w:rsidR="00B06997" w:rsidRPr="00B06997">
        <w:t>the descriptions presented in the main manuscript.</w:t>
      </w:r>
    </w:p>
    <w:p w14:paraId="4DB2FBEE" w14:textId="77777777" w:rsidR="00780D2A" w:rsidRDefault="00780D2A">
      <w:pPr>
        <w:spacing w:line="360" w:lineRule="auto"/>
        <w:ind w:left="992" w:hanging="992"/>
        <w:rPr>
          <w:b/>
          <w:bCs/>
        </w:rPr>
      </w:pPr>
      <w:r>
        <w:br w:type="page"/>
      </w:r>
    </w:p>
    <w:p w14:paraId="3956FC48" w14:textId="7DEB79F7" w:rsidR="005C0040" w:rsidRPr="00251ECE" w:rsidRDefault="005C0040" w:rsidP="005122D0">
      <w:pPr>
        <w:pStyle w:val="Heading3"/>
        <w:pBdr>
          <w:top w:val="single" w:sz="4" w:space="1" w:color="auto"/>
        </w:pBdr>
        <w:ind w:left="0" w:firstLine="0"/>
      </w:pPr>
      <w:r w:rsidRPr="00251ECE">
        <w:lastRenderedPageBreak/>
        <w:t>CQ</w:t>
      </w:r>
      <w:r w:rsidR="00431CB8" w:rsidRPr="00251ECE">
        <w:t>1</w:t>
      </w:r>
      <w:r w:rsidR="00615DB9" w:rsidRPr="00251ECE">
        <w:t>-1</w:t>
      </w:r>
      <w:r w:rsidRPr="00251ECE">
        <w:t xml:space="preserve">. Are mutational analyses </w:t>
      </w:r>
      <w:r w:rsidR="00F7246A" w:rsidRPr="00251ECE">
        <w:t>recommended in clinical practice for GIST?</w:t>
      </w:r>
    </w:p>
    <w:p w14:paraId="59193218" w14:textId="77777777" w:rsidR="005C0040" w:rsidRPr="0010274C" w:rsidRDefault="005C0040" w:rsidP="00EE1500">
      <w:pPr>
        <w:spacing w:line="480" w:lineRule="auto"/>
        <w:rPr>
          <w:rFonts w:eastAsia="Palatino-Roman"/>
          <w:b/>
          <w:bCs/>
        </w:rPr>
      </w:pPr>
      <w:r w:rsidRPr="0010274C">
        <w:rPr>
          <w:rFonts w:eastAsia="Palatino-Roman"/>
          <w:b/>
          <w:bCs/>
        </w:rPr>
        <w:t>Recommendation</w:t>
      </w:r>
    </w:p>
    <w:p w14:paraId="51F075A9" w14:textId="16F45320" w:rsidR="0052767B" w:rsidRPr="00CC07C8" w:rsidRDefault="00CC07C8" w:rsidP="00CC07C8">
      <w:pPr>
        <w:pBdr>
          <w:bottom w:val="single" w:sz="6" w:space="1" w:color="auto"/>
        </w:pBdr>
        <w:spacing w:line="480" w:lineRule="auto"/>
        <w:rPr>
          <w:rFonts w:eastAsia="Palatino-Roman"/>
        </w:rPr>
      </w:pPr>
      <w:r w:rsidRPr="00CC07C8">
        <w:rPr>
          <w:rFonts w:eastAsia="Palatino-Roman" w:hint="eastAsia"/>
          <w:b/>
          <w:bCs/>
        </w:rPr>
        <w:t>1-1</w:t>
      </w:r>
      <w:r>
        <w:rPr>
          <w:rFonts w:eastAsia="Palatino-Roman" w:hint="eastAsia"/>
          <w:b/>
          <w:bCs/>
        </w:rPr>
        <w:t>-1</w:t>
      </w:r>
      <w:r w:rsidRPr="00CC07C8">
        <w:rPr>
          <w:rFonts w:eastAsia="Palatino-Roman" w:hint="eastAsia"/>
          <w:b/>
          <w:bCs/>
        </w:rPr>
        <w:t>:</w:t>
      </w:r>
      <w:r w:rsidR="0010274C">
        <w:rPr>
          <w:rFonts w:eastAsia="Palatino-Roman" w:hint="eastAsia"/>
          <w:b/>
          <w:bCs/>
        </w:rPr>
        <w:t xml:space="preserve"> </w:t>
      </w:r>
      <w:r w:rsidR="0052767B" w:rsidRPr="00CC07C8">
        <w:rPr>
          <w:rFonts w:eastAsia="Palatino-Roman"/>
        </w:rPr>
        <w:t>Mutational analyses, including NGS techniques, are recommended when the diagnosis of GIST is indeterminate based on morphological and</w:t>
      </w:r>
      <w:r w:rsidR="004B1DDE" w:rsidRPr="00CC07C8">
        <w:rPr>
          <w:rFonts w:eastAsia="Palatino-Roman" w:hint="eastAsia"/>
        </w:rPr>
        <w:t xml:space="preserve"> </w:t>
      </w:r>
      <w:r w:rsidR="0052767B" w:rsidRPr="00CC07C8">
        <w:rPr>
          <w:rFonts w:eastAsia="Palatino-Roman"/>
        </w:rPr>
        <w:t>immunohistochemical f</w:t>
      </w:r>
      <w:r w:rsidR="004B1DDE" w:rsidRPr="00CC07C8">
        <w:rPr>
          <w:rFonts w:eastAsia="Palatino-Roman" w:hint="eastAsia"/>
        </w:rPr>
        <w:t>indings</w:t>
      </w:r>
      <w:r w:rsidR="0052767B" w:rsidRPr="00CC07C8">
        <w:rPr>
          <w:rFonts w:eastAsia="Palatino-Roman"/>
        </w:rPr>
        <w:t>.</w:t>
      </w:r>
      <w:r w:rsidR="006E46DF" w:rsidRPr="00CC07C8">
        <w:rPr>
          <w:rFonts w:eastAsia="Palatino-Roman" w:hint="eastAsia"/>
        </w:rPr>
        <w:t xml:space="preserve"> </w:t>
      </w:r>
    </w:p>
    <w:p w14:paraId="153193E8" w14:textId="0E2CFD0C" w:rsidR="006E46DF" w:rsidRPr="0010274C" w:rsidRDefault="0010274C" w:rsidP="0010274C">
      <w:pPr>
        <w:pBdr>
          <w:bottom w:val="single" w:sz="6" w:space="1" w:color="auto"/>
        </w:pBdr>
        <w:spacing w:line="480" w:lineRule="auto"/>
        <w:rPr>
          <w:rFonts w:eastAsia="Palatino-Roman"/>
        </w:rPr>
      </w:pPr>
      <w:r w:rsidRPr="00CC07C8">
        <w:rPr>
          <w:rFonts w:eastAsia="Palatino-Roman" w:hint="eastAsia"/>
          <w:b/>
          <w:bCs/>
        </w:rPr>
        <w:t>1-1</w:t>
      </w:r>
      <w:r>
        <w:rPr>
          <w:rFonts w:eastAsia="Palatino-Roman" w:hint="eastAsia"/>
          <w:b/>
          <w:bCs/>
        </w:rPr>
        <w:t>-2</w:t>
      </w:r>
      <w:r w:rsidRPr="00CC07C8">
        <w:rPr>
          <w:rFonts w:eastAsia="Palatino-Roman" w:hint="eastAsia"/>
          <w:b/>
          <w:bCs/>
        </w:rPr>
        <w:t>:</w:t>
      </w:r>
      <w:r>
        <w:rPr>
          <w:rFonts w:eastAsia="Palatino-Roman" w:hint="eastAsia"/>
          <w:b/>
          <w:bCs/>
        </w:rPr>
        <w:t xml:space="preserve"> </w:t>
      </w:r>
      <w:r w:rsidR="005C0040" w:rsidRPr="0010274C">
        <w:rPr>
          <w:rFonts w:eastAsia="Palatino-Roman"/>
        </w:rPr>
        <w:t>Mutational analyses</w:t>
      </w:r>
      <w:r w:rsidR="00CF1AFA" w:rsidRPr="0010274C">
        <w:rPr>
          <w:rFonts w:eastAsia="Palatino-Roman"/>
        </w:rPr>
        <w:t>,</w:t>
      </w:r>
      <w:r w:rsidR="005C0040" w:rsidRPr="0010274C">
        <w:rPr>
          <w:rFonts w:eastAsia="Palatino-Roman"/>
        </w:rPr>
        <w:t xml:space="preserve"> including NGS techniques</w:t>
      </w:r>
      <w:r w:rsidR="00CF1AFA" w:rsidRPr="0010274C">
        <w:rPr>
          <w:rFonts w:eastAsia="Palatino-Roman"/>
        </w:rPr>
        <w:t>,</w:t>
      </w:r>
      <w:r w:rsidR="005C0040" w:rsidRPr="0010274C">
        <w:rPr>
          <w:rFonts w:eastAsia="Palatino-Roman"/>
        </w:rPr>
        <w:t xml:space="preserve"> are recommended for advanced or metastatic </w:t>
      </w:r>
      <w:r w:rsidR="00485BC4" w:rsidRPr="0010274C">
        <w:rPr>
          <w:rFonts w:eastAsia="Palatino-Roman"/>
        </w:rPr>
        <w:t>GIST</w:t>
      </w:r>
      <w:r w:rsidR="005C0040" w:rsidRPr="0010274C">
        <w:rPr>
          <w:rFonts w:eastAsia="Palatino-Roman"/>
        </w:rPr>
        <w:t xml:space="preserve"> </w:t>
      </w:r>
      <w:r w:rsidR="00D94076" w:rsidRPr="0010274C">
        <w:rPr>
          <w:rFonts w:eastAsia="Palatino-Roman"/>
        </w:rPr>
        <w:t xml:space="preserve">as well as </w:t>
      </w:r>
      <w:r w:rsidR="00754CCE" w:rsidRPr="0010274C">
        <w:rPr>
          <w:rFonts w:eastAsia="Palatino-Roman"/>
        </w:rPr>
        <w:t>in</w:t>
      </w:r>
      <w:r w:rsidR="00CF1AFA" w:rsidRPr="0010274C">
        <w:rPr>
          <w:rFonts w:eastAsia="Palatino-Roman"/>
        </w:rPr>
        <w:t xml:space="preserve"> the</w:t>
      </w:r>
      <w:r w:rsidR="00754CCE" w:rsidRPr="0010274C">
        <w:rPr>
          <w:rFonts w:eastAsia="Palatino-Roman"/>
        </w:rPr>
        <w:t xml:space="preserve"> </w:t>
      </w:r>
      <w:r w:rsidR="005C0040" w:rsidRPr="0010274C">
        <w:rPr>
          <w:rFonts w:eastAsia="Palatino-Roman"/>
        </w:rPr>
        <w:t>neoadjuvant or adjuvant setting.</w:t>
      </w:r>
    </w:p>
    <w:p w14:paraId="3CA71A39" w14:textId="5EC915CE" w:rsidR="00F95401" w:rsidRPr="00251ECE" w:rsidRDefault="00FF7FA4" w:rsidP="00EE1500">
      <w:pPr>
        <w:spacing w:line="480" w:lineRule="auto"/>
        <w:rPr>
          <w:rFonts w:eastAsia="Palatino-Roman"/>
        </w:rPr>
      </w:pPr>
      <w:r w:rsidRPr="00251ECE">
        <w:rPr>
          <w:rFonts w:eastAsia="Palatino-Roman"/>
        </w:rPr>
        <w:t xml:space="preserve">Both formalin-fixed paraffin-embedded </w:t>
      </w:r>
      <w:r w:rsidR="00CF1AFA" w:rsidRPr="00251ECE">
        <w:rPr>
          <w:rFonts w:eastAsia="Palatino-Roman"/>
        </w:rPr>
        <w:t xml:space="preserve">tissue </w:t>
      </w:r>
      <w:r w:rsidRPr="00251ECE">
        <w:rPr>
          <w:rFonts w:eastAsia="Palatino-Roman"/>
        </w:rPr>
        <w:t xml:space="preserve">and fresh-frozen </w:t>
      </w:r>
      <w:r w:rsidR="00CF1AFA" w:rsidRPr="00251ECE">
        <w:rPr>
          <w:rFonts w:eastAsia="Palatino-Roman"/>
        </w:rPr>
        <w:t xml:space="preserve">tissue specimens are suitable for </w:t>
      </w:r>
      <w:r w:rsidRPr="00251ECE">
        <w:rPr>
          <w:rFonts w:eastAsia="Palatino-Roman"/>
        </w:rPr>
        <w:t xml:space="preserve">molecular </w:t>
      </w:r>
      <w:r w:rsidR="00CF1AFA" w:rsidRPr="00251ECE">
        <w:rPr>
          <w:rFonts w:eastAsia="Palatino-Roman"/>
        </w:rPr>
        <w:t>analysis</w:t>
      </w:r>
      <w:r w:rsidRPr="00251ECE">
        <w:rPr>
          <w:rFonts w:eastAsia="Palatino-Roman"/>
        </w:rPr>
        <w:t xml:space="preserve">. </w:t>
      </w:r>
      <w:r w:rsidR="005C0040" w:rsidRPr="00251ECE">
        <w:rPr>
          <w:rFonts w:eastAsia="Palatino-Roman"/>
        </w:rPr>
        <w:t xml:space="preserve">When tumors show typical histology for GIST and c-KIT and/or DOG-1 immunopositivity, mutational analyses are not </w:t>
      </w:r>
      <w:r w:rsidR="00CF1AFA" w:rsidRPr="00251ECE">
        <w:rPr>
          <w:rFonts w:eastAsia="Palatino-Roman"/>
        </w:rPr>
        <w:t xml:space="preserve">always required </w:t>
      </w:r>
      <w:r w:rsidR="005C0040" w:rsidRPr="00251ECE">
        <w:rPr>
          <w:rFonts w:eastAsia="Palatino-Roman"/>
        </w:rPr>
        <w:t xml:space="preserve">to </w:t>
      </w:r>
      <w:r w:rsidR="00CF1AFA" w:rsidRPr="00251ECE">
        <w:rPr>
          <w:rFonts w:eastAsia="Palatino-Roman"/>
        </w:rPr>
        <w:t xml:space="preserve">confirm </w:t>
      </w:r>
      <w:r w:rsidR="005C0040" w:rsidRPr="00251ECE">
        <w:rPr>
          <w:rFonts w:eastAsia="Palatino-Roman"/>
        </w:rPr>
        <w:t xml:space="preserve">the </w:t>
      </w:r>
      <w:r w:rsidR="00CF1AFA" w:rsidRPr="00251ECE">
        <w:rPr>
          <w:rFonts w:eastAsia="Palatino-Roman"/>
        </w:rPr>
        <w:t xml:space="preserve">diagnosis of </w:t>
      </w:r>
      <w:r w:rsidR="005C0040" w:rsidRPr="00251ECE">
        <w:rPr>
          <w:rFonts w:eastAsia="Palatino-Roman"/>
        </w:rPr>
        <w:t>GIST. However, mutational analyses</w:t>
      </w:r>
      <w:r w:rsidR="00CF1AFA" w:rsidRPr="00251ECE">
        <w:rPr>
          <w:rFonts w:eastAsia="Palatino-Roman"/>
        </w:rPr>
        <w:t>,</w:t>
      </w:r>
      <w:r w:rsidR="005C0040" w:rsidRPr="00251ECE">
        <w:rPr>
          <w:rFonts w:eastAsia="Palatino-Roman"/>
        </w:rPr>
        <w:t xml:space="preserve"> including NGS techniques</w:t>
      </w:r>
      <w:r w:rsidR="00CF1AFA" w:rsidRPr="00251ECE">
        <w:rPr>
          <w:rFonts w:eastAsia="Palatino-Roman"/>
        </w:rPr>
        <w:t>,</w:t>
      </w:r>
      <w:r w:rsidR="005C0040" w:rsidRPr="00251ECE">
        <w:rPr>
          <w:rFonts w:eastAsia="Palatino-Roman"/>
        </w:rPr>
        <w:t xml:space="preserve"> </w:t>
      </w:r>
      <w:r w:rsidR="00CF1AFA" w:rsidRPr="00251ECE">
        <w:rPr>
          <w:rFonts w:eastAsia="Palatino-Roman"/>
        </w:rPr>
        <w:t xml:space="preserve">may be considered for diagnosing </w:t>
      </w:r>
      <w:r w:rsidR="005C0040" w:rsidRPr="00251ECE">
        <w:rPr>
          <w:rFonts w:eastAsia="Palatino-Roman"/>
        </w:rPr>
        <w:t xml:space="preserve">GIST when the tumor shows negative c-KIT/DOG-1 staining. </w:t>
      </w:r>
      <w:r w:rsidR="00CF1AFA" w:rsidRPr="00251ECE">
        <w:rPr>
          <w:rFonts w:eastAsia="Palatino-Roman"/>
        </w:rPr>
        <w:t xml:space="preserve">In </w:t>
      </w:r>
      <w:r w:rsidR="007D08DB" w:rsidRPr="00251ECE">
        <w:rPr>
          <w:rFonts w:eastAsia="Palatino-Roman" w:hint="eastAsia"/>
        </w:rPr>
        <w:t xml:space="preserve">most </w:t>
      </w:r>
      <w:r w:rsidR="00CF1AFA" w:rsidRPr="00251ECE">
        <w:rPr>
          <w:rFonts w:eastAsia="Palatino-Roman"/>
        </w:rPr>
        <w:t xml:space="preserve">instances, </w:t>
      </w:r>
      <w:r w:rsidR="00471695" w:rsidRPr="00251ECE">
        <w:rPr>
          <w:rFonts w:eastAsia="Palatino-Roman"/>
        </w:rPr>
        <w:t xml:space="preserve">a </w:t>
      </w:r>
      <w:r w:rsidR="00B0353E" w:rsidRPr="00251ECE">
        <w:rPr>
          <w:rFonts w:eastAsia="Palatino-Roman"/>
        </w:rPr>
        <w:t>c-KIT/DOG-1</w:t>
      </w:r>
      <w:r w:rsidR="00B0353E" w:rsidRPr="00251ECE">
        <w:rPr>
          <w:rFonts w:eastAsia="Palatino-Roman" w:hint="eastAsia"/>
        </w:rPr>
        <w:t xml:space="preserve">-negative </w:t>
      </w:r>
      <w:r w:rsidR="00CF1AFA" w:rsidRPr="00251ECE">
        <w:rPr>
          <w:rFonts w:eastAsia="Palatino-Roman"/>
        </w:rPr>
        <w:t xml:space="preserve">tumor may </w:t>
      </w:r>
      <w:r w:rsidR="005C0040" w:rsidRPr="00251ECE">
        <w:rPr>
          <w:rFonts w:eastAsia="Palatino-Roman"/>
        </w:rPr>
        <w:t xml:space="preserve">not be </w:t>
      </w:r>
      <w:r w:rsidR="00CF1AFA" w:rsidRPr="00251ECE">
        <w:rPr>
          <w:rFonts w:eastAsia="Palatino-Roman"/>
        </w:rPr>
        <w:t xml:space="preserve">a </w:t>
      </w:r>
      <w:r w:rsidR="005C0040" w:rsidRPr="00251ECE">
        <w:rPr>
          <w:rFonts w:eastAsia="Palatino-Roman"/>
        </w:rPr>
        <w:t>GIST</w:t>
      </w:r>
      <w:r w:rsidR="00CF1AFA" w:rsidRPr="00251ECE">
        <w:rPr>
          <w:rFonts w:eastAsia="Palatino-Roman"/>
        </w:rPr>
        <w:t xml:space="preserve">. Thus, </w:t>
      </w:r>
      <w:r w:rsidR="005C0040" w:rsidRPr="00251ECE">
        <w:rPr>
          <w:rFonts w:eastAsia="Palatino-Roman"/>
        </w:rPr>
        <w:t>reevaluation of the tumor type using histological, immunohistochemical and mutational examinations</w:t>
      </w:r>
      <w:r w:rsidR="00CF1AFA" w:rsidRPr="00251ECE">
        <w:rPr>
          <w:rFonts w:eastAsia="Palatino-Roman"/>
        </w:rPr>
        <w:t xml:space="preserve"> </w:t>
      </w:r>
      <w:r w:rsidR="00F51928">
        <w:rPr>
          <w:rFonts w:eastAsia="Palatino-Roman" w:hint="eastAsia"/>
        </w:rPr>
        <w:t>is</w:t>
      </w:r>
      <w:r w:rsidR="00CF1AFA" w:rsidRPr="00251ECE">
        <w:rPr>
          <w:rFonts w:eastAsia="Palatino-Roman"/>
        </w:rPr>
        <w:t xml:space="preserve"> required</w:t>
      </w:r>
      <w:r w:rsidR="005C0040" w:rsidRPr="00251ECE">
        <w:rPr>
          <w:rFonts w:eastAsia="Palatino-Roman"/>
        </w:rPr>
        <w:t xml:space="preserve">. Consultation </w:t>
      </w:r>
      <w:r w:rsidR="00CF1AFA" w:rsidRPr="00251ECE">
        <w:rPr>
          <w:rFonts w:eastAsia="Palatino-Roman"/>
        </w:rPr>
        <w:t xml:space="preserve">with </w:t>
      </w:r>
      <w:r w:rsidR="005C0040" w:rsidRPr="00251ECE">
        <w:rPr>
          <w:rFonts w:eastAsia="Palatino-Roman"/>
        </w:rPr>
        <w:t xml:space="preserve">expert pathologists for </w:t>
      </w:r>
      <w:r w:rsidR="00CF1AFA" w:rsidRPr="00251ECE">
        <w:rPr>
          <w:rFonts w:eastAsia="Palatino-Roman"/>
        </w:rPr>
        <w:t xml:space="preserve">the diagnosis of </w:t>
      </w:r>
      <w:r w:rsidR="005C0040" w:rsidRPr="00251ECE">
        <w:rPr>
          <w:rFonts w:eastAsia="Palatino-Roman"/>
        </w:rPr>
        <w:t xml:space="preserve">GIST is also proposed. </w:t>
      </w:r>
      <w:r w:rsidR="00255E9B" w:rsidRPr="00251ECE">
        <w:rPr>
          <w:rFonts w:eastAsia="Palatino-Roman"/>
        </w:rPr>
        <w:t xml:space="preserve">Sanger sequencing is widely available in most countries, while NGS sequencing is not widely available </w:t>
      </w:r>
      <w:r w:rsidR="00CF1AFA" w:rsidRPr="00251ECE">
        <w:rPr>
          <w:rFonts w:eastAsia="Palatino-Roman"/>
        </w:rPr>
        <w:t xml:space="preserve">due </w:t>
      </w:r>
      <w:r w:rsidR="00255E9B" w:rsidRPr="00251ECE">
        <w:rPr>
          <w:rFonts w:eastAsia="Palatino-Roman"/>
        </w:rPr>
        <w:t xml:space="preserve">to technical and/or financial </w:t>
      </w:r>
      <w:r w:rsidR="00CF1AFA" w:rsidRPr="00251ECE">
        <w:rPr>
          <w:rFonts w:eastAsia="Palatino-Roman"/>
        </w:rPr>
        <w:t>constraints</w:t>
      </w:r>
      <w:r w:rsidR="00255E9B" w:rsidRPr="00251ECE">
        <w:rPr>
          <w:rFonts w:eastAsia="Palatino-Roman"/>
        </w:rPr>
        <w:t xml:space="preserve">. </w:t>
      </w:r>
      <w:r w:rsidR="00CF1AFA" w:rsidRPr="00251ECE">
        <w:rPr>
          <w:rFonts w:eastAsia="Palatino-Roman"/>
        </w:rPr>
        <w:t xml:space="preserve">However, NGS offers significant advantages, as it can simultaneously detect </w:t>
      </w:r>
      <w:r w:rsidR="00255E9B" w:rsidRPr="00251ECE">
        <w:rPr>
          <w:rFonts w:eastAsia="Palatino-Roman"/>
        </w:rPr>
        <w:t>various gene mutations and fusion</w:t>
      </w:r>
      <w:r w:rsidR="00CF1AFA" w:rsidRPr="00251ECE">
        <w:rPr>
          <w:rFonts w:eastAsia="Palatino-Roman"/>
        </w:rPr>
        <w:t xml:space="preserve"> genes</w:t>
      </w:r>
      <w:r w:rsidR="00255E9B" w:rsidRPr="00251ECE">
        <w:rPr>
          <w:rFonts w:eastAsia="Palatino-Roman"/>
        </w:rPr>
        <w:t xml:space="preserve">. For example, </w:t>
      </w:r>
      <w:r w:rsidR="003273B2" w:rsidRPr="00251ECE">
        <w:rPr>
          <w:rFonts w:eastAsia="Palatino-Roman"/>
        </w:rPr>
        <w:t xml:space="preserve">although </w:t>
      </w:r>
      <w:r w:rsidR="00AE0416" w:rsidRPr="00251ECE">
        <w:rPr>
          <w:rFonts w:eastAsia="Palatino-Roman"/>
        </w:rPr>
        <w:t xml:space="preserve">rare in GIST, </w:t>
      </w:r>
      <w:r w:rsidR="00CF1AFA" w:rsidRPr="00251ECE">
        <w:rPr>
          <w:rFonts w:eastAsia="Palatino-Roman"/>
        </w:rPr>
        <w:t xml:space="preserve">identification of </w:t>
      </w:r>
      <w:r w:rsidR="00255E9B" w:rsidRPr="00251ECE">
        <w:rPr>
          <w:rFonts w:eastAsia="Palatino-Roman"/>
          <w:i/>
          <w:iCs/>
        </w:rPr>
        <w:t>NTRK</w:t>
      </w:r>
      <w:r w:rsidR="00255E9B" w:rsidRPr="00251ECE">
        <w:rPr>
          <w:rFonts w:eastAsia="Palatino-Roman"/>
        </w:rPr>
        <w:t xml:space="preserve"> fusion genes may directly lead to </w:t>
      </w:r>
      <w:r w:rsidR="003273B2" w:rsidRPr="00251ECE">
        <w:rPr>
          <w:rFonts w:eastAsia="Palatino-Roman"/>
        </w:rPr>
        <w:t xml:space="preserve">the </w:t>
      </w:r>
      <w:r w:rsidR="00255E9B" w:rsidRPr="00251ECE">
        <w:rPr>
          <w:rFonts w:eastAsia="Palatino-Roman"/>
        </w:rPr>
        <w:t xml:space="preserve">use of </w:t>
      </w:r>
      <w:r w:rsidR="000B23EC" w:rsidRPr="00251ECE">
        <w:rPr>
          <w:rFonts w:eastAsia="Palatino-Roman"/>
        </w:rPr>
        <w:t>tropomy</w:t>
      </w:r>
      <w:r w:rsidR="00816156" w:rsidRPr="00251ECE">
        <w:rPr>
          <w:rFonts w:eastAsia="Palatino-Roman" w:hint="eastAsia"/>
        </w:rPr>
        <w:t>os</w:t>
      </w:r>
      <w:r w:rsidR="000B23EC" w:rsidRPr="00251ECE">
        <w:rPr>
          <w:rFonts w:eastAsia="Palatino-Roman"/>
        </w:rPr>
        <w:t>in receptor kinase (</w:t>
      </w:r>
      <w:r w:rsidR="00255E9B" w:rsidRPr="00251ECE">
        <w:rPr>
          <w:rFonts w:eastAsia="Palatino-Roman"/>
        </w:rPr>
        <w:t>TRK</w:t>
      </w:r>
      <w:r w:rsidR="000B23EC" w:rsidRPr="00251ECE">
        <w:rPr>
          <w:rFonts w:eastAsia="Palatino-Roman"/>
        </w:rPr>
        <w:t>)</w:t>
      </w:r>
      <w:r w:rsidR="00255E9B" w:rsidRPr="00251ECE">
        <w:rPr>
          <w:rFonts w:eastAsia="Palatino-Roman"/>
        </w:rPr>
        <w:t xml:space="preserve"> inhibitors</w:t>
      </w:r>
      <w:r w:rsidR="00CF1AFA" w:rsidRPr="00251ECE">
        <w:rPr>
          <w:rFonts w:eastAsia="Palatino-Roman"/>
        </w:rPr>
        <w:t xml:space="preserve">, regardless of whether the tumor is classified as a </w:t>
      </w:r>
      <w:r w:rsidR="00255E9B" w:rsidRPr="00251ECE">
        <w:rPr>
          <w:rFonts w:eastAsia="Palatino-Roman"/>
        </w:rPr>
        <w:t xml:space="preserve">GIST. Thus, NGS may be </w:t>
      </w:r>
      <w:r w:rsidR="00255E9B" w:rsidRPr="00251ECE">
        <w:rPr>
          <w:rFonts w:eastAsia="Palatino-Roman"/>
        </w:rPr>
        <w:lastRenderedPageBreak/>
        <w:t xml:space="preserve">recommended in </w:t>
      </w:r>
      <w:r w:rsidR="00CF1AFA" w:rsidRPr="00251ECE">
        <w:rPr>
          <w:rFonts w:eastAsia="Palatino-Roman"/>
        </w:rPr>
        <w:t xml:space="preserve">cases that are diagnostically </w:t>
      </w:r>
      <w:r w:rsidR="00255E9B" w:rsidRPr="00251ECE">
        <w:rPr>
          <w:rFonts w:eastAsia="Palatino-Roman"/>
        </w:rPr>
        <w:t>challenging. In addition, th</w:t>
      </w:r>
      <w:r w:rsidR="003052E9">
        <w:rPr>
          <w:rFonts w:eastAsia="Palatino-Roman" w:hint="eastAsia"/>
        </w:rPr>
        <w:t>ese</w:t>
      </w:r>
      <w:r w:rsidR="00255E9B" w:rsidRPr="00251ECE">
        <w:rPr>
          <w:rFonts w:eastAsia="Palatino-Roman"/>
        </w:rPr>
        <w:t xml:space="preserve"> techniques may be useful </w:t>
      </w:r>
      <w:r w:rsidR="00CF1AFA" w:rsidRPr="00251ECE">
        <w:rPr>
          <w:rFonts w:eastAsia="Palatino-Roman"/>
        </w:rPr>
        <w:t xml:space="preserve">for exploring </w:t>
      </w:r>
      <w:r w:rsidR="00255E9B" w:rsidRPr="00251ECE">
        <w:rPr>
          <w:rFonts w:eastAsia="Palatino-Roman"/>
        </w:rPr>
        <w:t>other treatment strategies</w:t>
      </w:r>
      <w:r w:rsidR="00CF1AFA" w:rsidRPr="00251ECE">
        <w:rPr>
          <w:rFonts w:eastAsia="Palatino-Roman"/>
        </w:rPr>
        <w:t xml:space="preserve"> after the completion of the </w:t>
      </w:r>
      <w:r w:rsidR="001A5C00" w:rsidRPr="00251ECE">
        <w:rPr>
          <w:rFonts w:eastAsia="Palatino-Roman" w:hint="eastAsia"/>
        </w:rPr>
        <w:t xml:space="preserve">standard </w:t>
      </w:r>
      <w:r w:rsidR="00CF1AFA" w:rsidRPr="00251ECE">
        <w:rPr>
          <w:rFonts w:eastAsia="Palatino-Roman"/>
        </w:rPr>
        <w:t xml:space="preserve">treatment strategies for </w:t>
      </w:r>
      <w:r w:rsidR="00485BC4" w:rsidRPr="00251ECE">
        <w:rPr>
          <w:rFonts w:eastAsia="Palatino-Roman"/>
        </w:rPr>
        <w:t>GIST</w:t>
      </w:r>
      <w:r w:rsidR="00255E9B" w:rsidRPr="00251ECE">
        <w:rPr>
          <w:rFonts w:eastAsia="Palatino-Roman"/>
        </w:rPr>
        <w:t>.</w:t>
      </w:r>
      <w:r w:rsidR="00FE09A9" w:rsidRPr="00251ECE">
        <w:rPr>
          <w:rFonts w:eastAsia="Palatino-Roman"/>
        </w:rPr>
        <w:t xml:space="preserve"> </w:t>
      </w:r>
      <w:r w:rsidR="003052E9">
        <w:rPr>
          <w:rFonts w:eastAsia="Palatino-Roman" w:hint="eastAsia"/>
        </w:rPr>
        <w:t>M</w:t>
      </w:r>
      <w:r w:rsidR="005C0040" w:rsidRPr="00251ECE">
        <w:rPr>
          <w:rFonts w:eastAsia="Palatino-Roman"/>
        </w:rPr>
        <w:t xml:space="preserve">utational analyses </w:t>
      </w:r>
      <w:r w:rsidR="00CF1AFA" w:rsidRPr="00251ECE">
        <w:rPr>
          <w:rFonts w:eastAsia="Palatino-Roman"/>
        </w:rPr>
        <w:t xml:space="preserve">with </w:t>
      </w:r>
      <w:r w:rsidR="005C0040" w:rsidRPr="00251ECE">
        <w:rPr>
          <w:rFonts w:eastAsia="Palatino-Roman"/>
        </w:rPr>
        <w:t xml:space="preserve">NGS techniques are recommended in routine practice </w:t>
      </w:r>
      <w:r w:rsidR="00CF1AFA" w:rsidRPr="00251ECE">
        <w:rPr>
          <w:rFonts w:eastAsia="Palatino-Roman"/>
        </w:rPr>
        <w:t xml:space="preserve">for </w:t>
      </w:r>
      <w:r w:rsidR="005C0040" w:rsidRPr="00251ECE">
        <w:rPr>
          <w:rFonts w:eastAsia="Palatino-Roman"/>
        </w:rPr>
        <w:t xml:space="preserve">patients with advanced or metastatic </w:t>
      </w:r>
      <w:r w:rsidR="00485BC4" w:rsidRPr="00251ECE">
        <w:rPr>
          <w:rFonts w:eastAsia="Palatino-Roman"/>
        </w:rPr>
        <w:t>GIST</w:t>
      </w:r>
      <w:r w:rsidR="00CF1AFA" w:rsidRPr="00251ECE">
        <w:rPr>
          <w:rFonts w:eastAsia="Palatino-Roman"/>
        </w:rPr>
        <w:t>,</w:t>
      </w:r>
      <w:r w:rsidR="005C0040" w:rsidRPr="00251ECE">
        <w:rPr>
          <w:rFonts w:eastAsia="Palatino-Roman"/>
        </w:rPr>
        <w:t xml:space="preserve"> before the </w:t>
      </w:r>
      <w:r w:rsidR="00CF1AFA" w:rsidRPr="00251ECE">
        <w:rPr>
          <w:rFonts w:eastAsia="Palatino-Roman"/>
        </w:rPr>
        <w:t xml:space="preserve">initiation </w:t>
      </w:r>
      <w:r w:rsidR="005C0040" w:rsidRPr="00251ECE">
        <w:rPr>
          <w:rFonts w:eastAsia="Palatino-Roman"/>
        </w:rPr>
        <w:t>of molecular targeted therapy</w:t>
      </w:r>
      <w:r w:rsidR="00CF1AFA" w:rsidRPr="00251ECE">
        <w:rPr>
          <w:rFonts w:eastAsia="Palatino-Roman"/>
        </w:rPr>
        <w:t xml:space="preserve">. This is </w:t>
      </w:r>
      <w:r w:rsidR="005C0040" w:rsidRPr="00251ECE">
        <w:rPr>
          <w:rFonts w:eastAsia="Palatino-Roman"/>
        </w:rPr>
        <w:t>because drug</w:t>
      </w:r>
      <w:r w:rsidR="00CF1AFA" w:rsidRPr="00251ECE">
        <w:rPr>
          <w:rFonts w:eastAsia="Palatino-Roman"/>
        </w:rPr>
        <w:t xml:space="preserve"> sensitivity varies </w:t>
      </w:r>
      <w:r w:rsidR="005C0040" w:rsidRPr="00251ECE">
        <w:rPr>
          <w:rFonts w:eastAsia="Palatino-Roman"/>
        </w:rPr>
        <w:t>among m</w:t>
      </w:r>
      <w:r w:rsidR="005C0040" w:rsidRPr="00251ECE">
        <w:rPr>
          <w:shd w:val="clear" w:color="auto" w:fill="FFFFFF"/>
        </w:rPr>
        <w:t>utational types</w:t>
      </w:r>
      <w:r w:rsidR="00CF1AFA" w:rsidRPr="00251ECE">
        <w:rPr>
          <w:shd w:val="clear" w:color="auto" w:fill="FFFFFF"/>
        </w:rPr>
        <w:t>,</w:t>
      </w:r>
      <w:r w:rsidR="005C0040" w:rsidRPr="00251ECE">
        <w:rPr>
          <w:shd w:val="clear" w:color="auto" w:fill="FFFFFF"/>
        </w:rPr>
        <w:t xml:space="preserve"> and </w:t>
      </w:r>
      <w:r w:rsidR="00CF1AFA" w:rsidRPr="00251ECE">
        <w:rPr>
          <w:shd w:val="clear" w:color="auto" w:fill="FFFFFF"/>
        </w:rPr>
        <w:t xml:space="preserve">it may be possible to predict the prognosis based on the </w:t>
      </w:r>
      <w:r w:rsidR="005C0040" w:rsidRPr="00251ECE">
        <w:rPr>
          <w:shd w:val="clear" w:color="auto" w:fill="FFFFFF"/>
        </w:rPr>
        <w:t xml:space="preserve">mutational type. </w:t>
      </w:r>
      <w:r w:rsidR="00485BC4" w:rsidRPr="00251ECE">
        <w:rPr>
          <w:shd w:val="clear" w:color="auto" w:fill="FFFFFF"/>
        </w:rPr>
        <w:t>GIST</w:t>
      </w:r>
      <w:r w:rsidR="009630D6">
        <w:rPr>
          <w:rFonts w:hint="eastAsia"/>
          <w:shd w:val="clear" w:color="auto" w:fill="FFFFFF"/>
        </w:rPr>
        <w:t>s</w:t>
      </w:r>
      <w:r w:rsidR="005C0040" w:rsidRPr="00251ECE">
        <w:rPr>
          <w:shd w:val="clear" w:color="auto" w:fill="FFFFFF"/>
        </w:rPr>
        <w:t xml:space="preserve"> with some types of </w:t>
      </w:r>
      <w:r w:rsidR="005C0040" w:rsidRPr="00251ECE">
        <w:rPr>
          <w:rFonts w:eastAsia="Palatino-Roman"/>
          <w:i/>
        </w:rPr>
        <w:t>PDGFRA</w:t>
      </w:r>
      <w:r w:rsidR="005C0040" w:rsidRPr="00251ECE">
        <w:rPr>
          <w:rFonts w:eastAsia="Palatino-Roman"/>
        </w:rPr>
        <w:t xml:space="preserve"> exon 18 mutations, especially D842V mutation</w:t>
      </w:r>
      <w:r w:rsidR="00CF1AFA" w:rsidRPr="00251ECE">
        <w:rPr>
          <w:rFonts w:eastAsia="Palatino-Roman"/>
        </w:rPr>
        <w:t>s</w:t>
      </w:r>
      <w:r w:rsidR="005C0040" w:rsidRPr="00251ECE">
        <w:rPr>
          <w:rFonts w:eastAsia="Palatino-Roman"/>
        </w:rPr>
        <w:t>,</w:t>
      </w:r>
      <w:r w:rsidR="005C0040" w:rsidRPr="00251ECE">
        <w:rPr>
          <w:shd w:val="clear" w:color="auto" w:fill="FFFFFF"/>
        </w:rPr>
        <w:t xml:space="preserve"> </w:t>
      </w:r>
      <w:r w:rsidR="005C0040" w:rsidRPr="00251ECE">
        <w:rPr>
          <w:i/>
          <w:iCs/>
          <w:shd w:val="clear" w:color="auto" w:fill="FFFFFF"/>
        </w:rPr>
        <w:t>NF1</w:t>
      </w:r>
      <w:r w:rsidR="005C0040" w:rsidRPr="00251ECE">
        <w:rPr>
          <w:shd w:val="clear" w:color="auto" w:fill="FFFFFF"/>
        </w:rPr>
        <w:t xml:space="preserve">-related </w:t>
      </w:r>
      <w:r w:rsidR="006F280F" w:rsidRPr="00251ECE">
        <w:rPr>
          <w:shd w:val="clear" w:color="auto" w:fill="FFFFFF"/>
        </w:rPr>
        <w:t>GIST</w:t>
      </w:r>
      <w:r w:rsidR="009630D6">
        <w:rPr>
          <w:rFonts w:hint="eastAsia"/>
          <w:shd w:val="clear" w:color="auto" w:fill="FFFFFF"/>
        </w:rPr>
        <w:t>s</w:t>
      </w:r>
      <w:r w:rsidR="005C0040" w:rsidRPr="00251ECE">
        <w:rPr>
          <w:shd w:val="clear" w:color="auto" w:fill="FFFFFF"/>
        </w:rPr>
        <w:t xml:space="preserve">, SDH-negative </w:t>
      </w:r>
      <w:r w:rsidR="006F280F" w:rsidRPr="00251ECE">
        <w:rPr>
          <w:shd w:val="clear" w:color="auto" w:fill="FFFFFF"/>
        </w:rPr>
        <w:t>GIST</w:t>
      </w:r>
      <w:r w:rsidR="009630D6">
        <w:rPr>
          <w:rFonts w:hint="eastAsia"/>
          <w:shd w:val="clear" w:color="auto" w:fill="FFFFFF"/>
        </w:rPr>
        <w:t>s</w:t>
      </w:r>
      <w:r w:rsidR="005C0040" w:rsidRPr="00251ECE">
        <w:rPr>
          <w:shd w:val="clear" w:color="auto" w:fill="FFFFFF"/>
        </w:rPr>
        <w:t xml:space="preserve"> and</w:t>
      </w:r>
      <w:r w:rsidR="008E47BC" w:rsidRPr="00251ECE">
        <w:rPr>
          <w:shd w:val="clear" w:color="auto" w:fill="FFFFFF"/>
        </w:rPr>
        <w:t xml:space="preserve"> </w:t>
      </w:r>
      <w:r w:rsidR="005C0040" w:rsidRPr="00251ECE">
        <w:rPr>
          <w:i/>
          <w:iCs/>
          <w:shd w:val="clear" w:color="auto" w:fill="FFFFFF"/>
        </w:rPr>
        <w:t>BRAF</w:t>
      </w:r>
      <w:r w:rsidR="005C0040" w:rsidRPr="00251ECE">
        <w:rPr>
          <w:shd w:val="clear" w:color="auto" w:fill="FFFFFF"/>
        </w:rPr>
        <w:t xml:space="preserve">-mutated </w:t>
      </w:r>
      <w:r w:rsidR="006F280F" w:rsidRPr="00251ECE">
        <w:rPr>
          <w:shd w:val="clear" w:color="auto" w:fill="FFFFFF"/>
        </w:rPr>
        <w:t>GIST</w:t>
      </w:r>
      <w:r w:rsidR="009630D6">
        <w:rPr>
          <w:rFonts w:hint="eastAsia"/>
          <w:shd w:val="clear" w:color="auto" w:fill="FFFFFF"/>
        </w:rPr>
        <w:t>s</w:t>
      </w:r>
      <w:r w:rsidR="005C0040" w:rsidRPr="00251ECE">
        <w:rPr>
          <w:shd w:val="clear" w:color="auto" w:fill="FFFFFF"/>
        </w:rPr>
        <w:t xml:space="preserve"> </w:t>
      </w:r>
      <w:r w:rsidR="00E5004D" w:rsidRPr="00251ECE">
        <w:rPr>
          <w:shd w:val="clear" w:color="auto" w:fill="FFFFFF"/>
        </w:rPr>
        <w:t xml:space="preserve">are </w:t>
      </w:r>
      <w:r w:rsidR="00CF1AFA" w:rsidRPr="00251ECE">
        <w:rPr>
          <w:shd w:val="clear" w:color="auto" w:fill="FFFFFF"/>
        </w:rPr>
        <w:t xml:space="preserve">generally </w:t>
      </w:r>
      <w:r w:rsidR="007B6ED4" w:rsidRPr="00251ECE">
        <w:rPr>
          <w:shd w:val="clear" w:color="auto" w:fill="FFFFFF"/>
        </w:rPr>
        <w:t xml:space="preserve">insensitive </w:t>
      </w:r>
      <w:r w:rsidR="00CF1AFA" w:rsidRPr="00251ECE">
        <w:rPr>
          <w:shd w:val="clear" w:color="auto" w:fill="FFFFFF"/>
        </w:rPr>
        <w:t xml:space="preserve">to </w:t>
      </w:r>
      <w:r w:rsidR="005C0040" w:rsidRPr="00251ECE">
        <w:rPr>
          <w:shd w:val="clear" w:color="auto" w:fill="FFFFFF"/>
        </w:rPr>
        <w:t>tyrosine kinase inhibitors</w:t>
      </w:r>
      <w:r w:rsidR="005B77D5" w:rsidRPr="00251ECE">
        <w:rPr>
          <w:rFonts w:hint="eastAsia"/>
          <w:shd w:val="clear" w:color="auto" w:fill="FFFFFF"/>
        </w:rPr>
        <w:t>, including imatinib, sunitinib, regorafenib, and ripretinib</w:t>
      </w:r>
      <w:r w:rsidR="005C0040" w:rsidRPr="00251ECE">
        <w:rPr>
          <w:shd w:val="clear" w:color="auto" w:fill="FFFFFF"/>
        </w:rPr>
        <w:t xml:space="preserve">. </w:t>
      </w:r>
    </w:p>
    <w:p w14:paraId="752CDED6" w14:textId="78013806" w:rsidR="00FF1188" w:rsidRPr="00251ECE" w:rsidRDefault="005C0040" w:rsidP="00F95401">
      <w:pPr>
        <w:spacing w:line="480" w:lineRule="auto"/>
        <w:ind w:firstLine="567"/>
        <w:rPr>
          <w:shd w:val="clear" w:color="auto" w:fill="FFFFFF"/>
        </w:rPr>
      </w:pPr>
      <w:bookmarkStart w:id="2" w:name="_Hlk196901173"/>
      <w:r w:rsidRPr="00251ECE">
        <w:rPr>
          <w:rFonts w:eastAsia="Palatino-Roman"/>
        </w:rPr>
        <w:t xml:space="preserve">In summary, mutational analyses including NGS techniques may be recommended </w:t>
      </w:r>
      <w:r w:rsidR="00CF1AFA" w:rsidRPr="00251ECE">
        <w:rPr>
          <w:rFonts w:eastAsia="Palatino-Roman"/>
        </w:rPr>
        <w:t xml:space="preserve">for </w:t>
      </w:r>
      <w:r w:rsidRPr="00251ECE">
        <w:rPr>
          <w:rFonts w:eastAsia="Palatino-Roman"/>
        </w:rPr>
        <w:t xml:space="preserve">all </w:t>
      </w:r>
      <w:r w:rsidR="009630D6">
        <w:rPr>
          <w:rFonts w:eastAsia="Palatino-Roman" w:hint="eastAsia"/>
        </w:rPr>
        <w:t xml:space="preserve">cases </w:t>
      </w:r>
      <w:r w:rsidRPr="00251ECE">
        <w:rPr>
          <w:rFonts w:eastAsia="Palatino-Roman"/>
        </w:rPr>
        <w:t xml:space="preserve">of </w:t>
      </w:r>
      <w:r w:rsidR="006F280F" w:rsidRPr="00251ECE">
        <w:rPr>
          <w:rFonts w:eastAsia="Palatino-Roman"/>
        </w:rPr>
        <w:t>GIST</w:t>
      </w:r>
      <w:r w:rsidRPr="00251ECE">
        <w:rPr>
          <w:rFonts w:eastAsia="Palatino-Roman"/>
        </w:rPr>
        <w:t xml:space="preserve"> or cases </w:t>
      </w:r>
      <w:r w:rsidR="00CF1AFA" w:rsidRPr="00251ECE">
        <w:rPr>
          <w:rFonts w:eastAsia="Palatino-Roman"/>
        </w:rPr>
        <w:t>in which GIST is suspected</w:t>
      </w:r>
      <w:bookmarkEnd w:id="2"/>
      <w:r w:rsidR="007F432F" w:rsidRPr="00251ECE">
        <w:rPr>
          <w:rFonts w:eastAsia="Palatino-Roman"/>
        </w:rPr>
        <w:t>. A</w:t>
      </w:r>
      <w:r w:rsidR="00195B63" w:rsidRPr="00251ECE">
        <w:rPr>
          <w:rFonts w:eastAsia="Palatino-Roman"/>
        </w:rPr>
        <w:t>t</w:t>
      </w:r>
      <w:r w:rsidR="007F432F" w:rsidRPr="00251ECE">
        <w:rPr>
          <w:rFonts w:eastAsia="Palatino-Roman"/>
        </w:rPr>
        <w:t xml:space="preserve"> the very</w:t>
      </w:r>
      <w:r w:rsidR="00195B63" w:rsidRPr="00251ECE">
        <w:rPr>
          <w:rFonts w:eastAsia="Palatino-Roman"/>
        </w:rPr>
        <w:t xml:space="preserve"> least, </w:t>
      </w:r>
      <w:r w:rsidR="007F432F" w:rsidRPr="00251ECE">
        <w:rPr>
          <w:rFonts w:eastAsia="Palatino-Roman"/>
        </w:rPr>
        <w:t xml:space="preserve">mutational analyses </w:t>
      </w:r>
      <w:r w:rsidR="00195B63" w:rsidRPr="00251ECE">
        <w:rPr>
          <w:rFonts w:eastAsia="Palatino-Roman"/>
        </w:rPr>
        <w:t>should be done before</w:t>
      </w:r>
      <w:r w:rsidR="007F432F" w:rsidRPr="00251ECE">
        <w:rPr>
          <w:rFonts w:eastAsia="Palatino-Roman"/>
        </w:rPr>
        <w:t xml:space="preserve"> starting</w:t>
      </w:r>
      <w:r w:rsidR="00195B63" w:rsidRPr="00251ECE">
        <w:rPr>
          <w:rFonts w:eastAsia="Palatino-Roman"/>
        </w:rPr>
        <w:t xml:space="preserve"> </w:t>
      </w:r>
      <w:r w:rsidR="00D71EA6" w:rsidRPr="00251ECE">
        <w:rPr>
          <w:rFonts w:eastAsia="Palatino-Roman" w:hint="eastAsia"/>
        </w:rPr>
        <w:t>tyrosine kinase inhibitor</w:t>
      </w:r>
      <w:r w:rsidR="00E50D4B" w:rsidRPr="00251ECE">
        <w:rPr>
          <w:rFonts w:eastAsia="Palatino-Roman" w:hint="eastAsia"/>
        </w:rPr>
        <w:t>s</w:t>
      </w:r>
      <w:r w:rsidRPr="00251ECE">
        <w:rPr>
          <w:rFonts w:eastAsia="Palatino-Roman"/>
        </w:rPr>
        <w:t xml:space="preserve">. </w:t>
      </w:r>
      <w:r w:rsidR="003B2075" w:rsidRPr="00251ECE">
        <w:rPr>
          <w:rFonts w:eastAsia="Palatino-Roman"/>
        </w:rPr>
        <w:t xml:space="preserve">Sanger sequencing and NGS sequencing should be chosen </w:t>
      </w:r>
      <w:r w:rsidR="00F90FA5" w:rsidRPr="00251ECE">
        <w:rPr>
          <w:rFonts w:eastAsia="Palatino-Roman"/>
        </w:rPr>
        <w:t xml:space="preserve">appropriately </w:t>
      </w:r>
      <w:r w:rsidR="003B2075" w:rsidRPr="00251ECE">
        <w:rPr>
          <w:rFonts w:eastAsia="Palatino-Roman"/>
        </w:rPr>
        <w:t>according to the situation.</w:t>
      </w:r>
    </w:p>
    <w:p w14:paraId="78D921CB" w14:textId="77777777" w:rsidR="00890771" w:rsidRDefault="00890771">
      <w:pPr>
        <w:spacing w:line="360" w:lineRule="auto"/>
        <w:ind w:left="992" w:hanging="992"/>
        <w:rPr>
          <w:b/>
          <w:bCs/>
        </w:rPr>
      </w:pPr>
      <w:r>
        <w:br w:type="page"/>
      </w:r>
    </w:p>
    <w:p w14:paraId="1E0DA216" w14:textId="10BE8AA2" w:rsidR="00135EEE" w:rsidRPr="00251ECE" w:rsidRDefault="00176CBC" w:rsidP="00890771">
      <w:pPr>
        <w:pStyle w:val="Heading3"/>
        <w:pBdr>
          <w:top w:val="single" w:sz="4" w:space="1" w:color="auto"/>
        </w:pBdr>
        <w:ind w:left="0" w:firstLine="0"/>
      </w:pPr>
      <w:r w:rsidRPr="00251ECE">
        <w:lastRenderedPageBreak/>
        <w:t>CQ</w:t>
      </w:r>
      <w:r w:rsidR="00615DB9" w:rsidRPr="00251ECE">
        <w:t>2-1</w:t>
      </w:r>
      <w:r w:rsidR="0004679A" w:rsidRPr="00251ECE">
        <w:t>.</w:t>
      </w:r>
      <w:r w:rsidR="00135EEE" w:rsidRPr="00251ECE">
        <w:t xml:space="preserve"> Is a biopsy necessary for the diagnosis of GIST before initiating preoperative or systemic therapy?</w:t>
      </w:r>
    </w:p>
    <w:p w14:paraId="7ED79CD8" w14:textId="15D82422" w:rsidR="000B3AED" w:rsidRPr="0010274C" w:rsidRDefault="000B3AED" w:rsidP="000B3AED">
      <w:pPr>
        <w:spacing w:line="480" w:lineRule="auto"/>
        <w:rPr>
          <w:b/>
          <w:bCs/>
        </w:rPr>
      </w:pPr>
      <w:r w:rsidRPr="0010274C">
        <w:rPr>
          <w:b/>
          <w:bCs/>
        </w:rPr>
        <w:t>Recommendation</w:t>
      </w:r>
    </w:p>
    <w:p w14:paraId="781DAAA4" w14:textId="504A08F9" w:rsidR="006E46DF" w:rsidRPr="00251ECE" w:rsidRDefault="0010274C" w:rsidP="0010274C">
      <w:pPr>
        <w:spacing w:line="480" w:lineRule="auto"/>
      </w:pPr>
      <w:r>
        <w:rPr>
          <w:rFonts w:eastAsia="Palatino-Roman" w:hint="eastAsia"/>
          <w:b/>
          <w:bCs/>
        </w:rPr>
        <w:t>2</w:t>
      </w:r>
      <w:r w:rsidRPr="00CC07C8">
        <w:rPr>
          <w:rFonts w:eastAsia="Palatino-Roman" w:hint="eastAsia"/>
          <w:b/>
          <w:bCs/>
        </w:rPr>
        <w:t>-1</w:t>
      </w:r>
      <w:r>
        <w:rPr>
          <w:rFonts w:eastAsia="Palatino-Roman" w:hint="eastAsia"/>
          <w:b/>
          <w:bCs/>
        </w:rPr>
        <w:t>-1</w:t>
      </w:r>
      <w:r w:rsidRPr="00CC07C8">
        <w:rPr>
          <w:rFonts w:eastAsia="Palatino-Roman" w:hint="eastAsia"/>
          <w:b/>
          <w:bCs/>
        </w:rPr>
        <w:t>:</w:t>
      </w:r>
      <w:r>
        <w:rPr>
          <w:rFonts w:eastAsia="Palatino-Roman" w:hint="eastAsia"/>
          <w:b/>
          <w:bCs/>
        </w:rPr>
        <w:t xml:space="preserve"> </w:t>
      </w:r>
      <w:r w:rsidR="00135EEE" w:rsidRPr="00251ECE">
        <w:t>A biopsy is recommended to confirm the diagnosis of primary GIST before initiating preoperative therapy, particularly in cases where neoadjuvant or systemic treatment is being considered.</w:t>
      </w:r>
    </w:p>
    <w:p w14:paraId="0485626C" w14:textId="77329D76" w:rsidR="00020798" w:rsidRPr="00251ECE" w:rsidRDefault="0010274C" w:rsidP="0010274C">
      <w:pPr>
        <w:spacing w:line="480" w:lineRule="auto"/>
      </w:pPr>
      <w:r>
        <w:rPr>
          <w:rFonts w:eastAsia="Palatino-Roman" w:hint="eastAsia"/>
          <w:b/>
          <w:bCs/>
        </w:rPr>
        <w:t>2</w:t>
      </w:r>
      <w:r w:rsidRPr="00CC07C8">
        <w:rPr>
          <w:rFonts w:eastAsia="Palatino-Roman" w:hint="eastAsia"/>
          <w:b/>
          <w:bCs/>
        </w:rPr>
        <w:t>-1</w:t>
      </w:r>
      <w:r>
        <w:rPr>
          <w:rFonts w:eastAsia="Palatino-Roman" w:hint="eastAsia"/>
          <w:b/>
          <w:bCs/>
        </w:rPr>
        <w:t>-2</w:t>
      </w:r>
      <w:r w:rsidRPr="00CC07C8">
        <w:rPr>
          <w:rFonts w:eastAsia="Palatino-Roman" w:hint="eastAsia"/>
          <w:b/>
          <w:bCs/>
        </w:rPr>
        <w:t>:</w:t>
      </w:r>
      <w:r>
        <w:rPr>
          <w:rFonts w:eastAsia="Palatino-Roman" w:hint="eastAsia"/>
          <w:b/>
          <w:bCs/>
        </w:rPr>
        <w:t xml:space="preserve"> </w:t>
      </w:r>
      <w:r w:rsidR="00020798" w:rsidRPr="00251ECE">
        <w:t>Tissue sampling using endoscopic ultrasound-guided fine-needle aspiration (EUS-FNA) or fine-needle biopsy (EUS-FNB) is preferred</w:t>
      </w:r>
      <w:r w:rsidR="00020798" w:rsidRPr="00251ECE">
        <w:rPr>
          <w:rFonts w:hint="eastAsia"/>
        </w:rPr>
        <w:t xml:space="preserve"> </w:t>
      </w:r>
      <w:r w:rsidR="00020798" w:rsidRPr="00251ECE">
        <w:t>for its safety and effectiveness in minimizing the risk of tumor hemorrhage or peritoneal dissemination.</w:t>
      </w:r>
    </w:p>
    <w:p w14:paraId="48C74073" w14:textId="46B7BBB2" w:rsidR="00AA0988" w:rsidRPr="00251ECE" w:rsidRDefault="0010274C" w:rsidP="0010274C">
      <w:pPr>
        <w:pBdr>
          <w:bottom w:val="single" w:sz="6" w:space="1" w:color="auto"/>
        </w:pBdr>
        <w:spacing w:line="480" w:lineRule="auto"/>
      </w:pPr>
      <w:r>
        <w:rPr>
          <w:rFonts w:eastAsia="Palatino-Roman" w:hint="eastAsia"/>
          <w:b/>
          <w:bCs/>
        </w:rPr>
        <w:t>2</w:t>
      </w:r>
      <w:r w:rsidRPr="00CC07C8">
        <w:rPr>
          <w:rFonts w:eastAsia="Palatino-Roman" w:hint="eastAsia"/>
          <w:b/>
          <w:bCs/>
        </w:rPr>
        <w:t>-1</w:t>
      </w:r>
      <w:r>
        <w:rPr>
          <w:rFonts w:eastAsia="Palatino-Roman" w:hint="eastAsia"/>
          <w:b/>
          <w:bCs/>
        </w:rPr>
        <w:t>-3</w:t>
      </w:r>
      <w:r w:rsidRPr="00CC07C8">
        <w:rPr>
          <w:rFonts w:eastAsia="Palatino-Roman" w:hint="eastAsia"/>
          <w:b/>
          <w:bCs/>
        </w:rPr>
        <w:t>:</w:t>
      </w:r>
      <w:r>
        <w:rPr>
          <w:rFonts w:eastAsia="Palatino-Roman" w:hint="eastAsia"/>
          <w:b/>
          <w:bCs/>
        </w:rPr>
        <w:t xml:space="preserve"> </w:t>
      </w:r>
      <w:r w:rsidR="00020798" w:rsidRPr="00251ECE">
        <w:t>Percutaneous image-guided biopsy is generally not recommended for primary localized tumors but may be acceptable for metastatic or recurrent disease, or when EUS-FNA/FNB is not feasible in locally advanced cases.</w:t>
      </w:r>
    </w:p>
    <w:p w14:paraId="295DC98C" w14:textId="4CFB438A" w:rsidR="001D2722" w:rsidRPr="00251ECE" w:rsidRDefault="00135EEE" w:rsidP="00EE1500">
      <w:pPr>
        <w:spacing w:line="480" w:lineRule="auto"/>
      </w:pPr>
      <w:r w:rsidRPr="00251ECE">
        <w:t xml:space="preserve">Conventional endoscopic forceps biopsy has limited diagnostic utility for </w:t>
      </w:r>
      <w:r w:rsidR="006F280F" w:rsidRPr="00251ECE">
        <w:t>GIST</w:t>
      </w:r>
      <w:r w:rsidR="00FA38EE" w:rsidRPr="00251ECE">
        <w:rPr>
          <w:rFonts w:hint="eastAsia"/>
        </w:rPr>
        <w:t>. In contrast,</w:t>
      </w:r>
      <w:r w:rsidRPr="00251ECE">
        <w:t xml:space="preserve"> </w:t>
      </w:r>
      <w:r w:rsidR="007475D8" w:rsidRPr="00251ECE">
        <w:t>EUS-FNA and EUS-FNB are both safe and diagnostically effective</w:t>
      </w:r>
      <w:r w:rsidR="00FA38EE" w:rsidRPr="00251ECE">
        <w:rPr>
          <w:rFonts w:hint="eastAsia"/>
        </w:rPr>
        <w:t>,</w:t>
      </w:r>
      <w:r w:rsidRPr="00251ECE">
        <w:t xml:space="preserve"> with tissue acquisition rates depending on tumor location and operator expertise</w:t>
      </w:r>
      <w:r w:rsidR="00A8022C" w:rsidRPr="00251ECE">
        <w:t xml:space="preserve"> </w:t>
      </w:r>
      <w:r w:rsidR="003B3B35">
        <w:rPr>
          <w:noProof/>
        </w:rPr>
        <w:t>[1-3]</w:t>
      </w:r>
      <w:r w:rsidRPr="00251ECE">
        <w:t xml:space="preserve">. </w:t>
      </w:r>
      <w:r w:rsidR="001D2722" w:rsidRPr="00251ECE">
        <w:t xml:space="preserve">EUS-FNB yields a larger amount of tissue, </w:t>
      </w:r>
      <w:r w:rsidR="003A33D2" w:rsidRPr="00251ECE">
        <w:t xml:space="preserve">has </w:t>
      </w:r>
      <w:r w:rsidR="001D2722" w:rsidRPr="00251ECE">
        <w:t xml:space="preserve">a higher tissue acquisition rate, and offers superior diagnostic accuracy compared </w:t>
      </w:r>
      <w:r w:rsidR="003A33D2" w:rsidRPr="00251ECE">
        <w:t xml:space="preserve">with </w:t>
      </w:r>
      <w:r w:rsidR="001D2722" w:rsidRPr="00251ECE">
        <w:t>EUS-</w:t>
      </w:r>
      <w:r w:rsidR="00FA38EE" w:rsidRPr="00251ECE">
        <w:t>FNA</w:t>
      </w:r>
      <w:r w:rsidR="00771ABC" w:rsidRPr="00251ECE">
        <w:rPr>
          <w:rFonts w:hint="eastAsia"/>
        </w:rPr>
        <w:t xml:space="preserve"> </w:t>
      </w:r>
      <w:r w:rsidR="003B3B35">
        <w:rPr>
          <w:noProof/>
        </w:rPr>
        <w:t>[4]</w:t>
      </w:r>
      <w:r w:rsidR="00FA38EE" w:rsidRPr="00251ECE">
        <w:t>.</w:t>
      </w:r>
      <w:r w:rsidR="00FA38EE" w:rsidRPr="00251ECE">
        <w:rPr>
          <w:rFonts w:hint="eastAsia"/>
        </w:rPr>
        <w:t xml:space="preserve"> </w:t>
      </w:r>
      <w:r w:rsidRPr="00251ECE">
        <w:t xml:space="preserve">Alternative methods, such as mucosal incision-assisted biopsy, have </w:t>
      </w:r>
      <w:r w:rsidR="00FA38EE" w:rsidRPr="00251ECE">
        <w:rPr>
          <w:rFonts w:hint="eastAsia"/>
        </w:rPr>
        <w:t xml:space="preserve">also </w:t>
      </w:r>
      <w:r w:rsidRPr="00251ECE">
        <w:t xml:space="preserve">shown diagnostic accuracy and safety </w:t>
      </w:r>
      <w:r w:rsidR="005757AF" w:rsidRPr="00251ECE">
        <w:t xml:space="preserve">comparable </w:t>
      </w:r>
      <w:r w:rsidRPr="00251ECE">
        <w:t>to EUS-</w:t>
      </w:r>
      <w:r w:rsidR="00FA38EE" w:rsidRPr="00251ECE">
        <w:rPr>
          <w:rFonts w:hint="eastAsia"/>
        </w:rPr>
        <w:t>guided techniques</w:t>
      </w:r>
      <w:r w:rsidRPr="00251ECE">
        <w:t xml:space="preserve"> </w:t>
      </w:r>
      <w:r w:rsidR="003B3B35">
        <w:rPr>
          <w:noProof/>
        </w:rPr>
        <w:t>[5]</w:t>
      </w:r>
      <w:r w:rsidRPr="00251ECE">
        <w:t>.</w:t>
      </w:r>
      <w:r w:rsidR="00A32024" w:rsidRPr="00251ECE">
        <w:t xml:space="preserve"> </w:t>
      </w:r>
    </w:p>
    <w:p w14:paraId="61A25581" w14:textId="417177A5" w:rsidR="00890771" w:rsidRDefault="00020798" w:rsidP="00890771">
      <w:pPr>
        <w:spacing w:line="480" w:lineRule="auto"/>
        <w:ind w:firstLine="567"/>
      </w:pPr>
      <w:r w:rsidRPr="00251ECE">
        <w:rPr>
          <w:rFonts w:hint="eastAsia"/>
        </w:rPr>
        <w:lastRenderedPageBreak/>
        <w:t>While</w:t>
      </w:r>
      <w:r w:rsidR="00135EEE" w:rsidRPr="00251ECE">
        <w:t xml:space="preserve"> </w:t>
      </w:r>
      <w:r w:rsidR="001D2722" w:rsidRPr="00251ECE">
        <w:t xml:space="preserve">EUS-FNA or EUS-FNB is preferred due to its lower risk of tumor dissemination, percutaneous image-guided biopsy may be cautiously considered when EUS-guided sampling is not feasible—particularly in cases of metastatic or recurrent disease. </w:t>
      </w:r>
      <w:r w:rsidR="00A9776C" w:rsidRPr="00251ECE">
        <w:t>Retrospective studies have suggested that, when followed by appropriate adjuvant therapy, percutaneous biopsy does not increase the risk of recurrence in patients with high-risk localized GIST</w:t>
      </w:r>
      <w:r w:rsidR="009E58C0" w:rsidRPr="00251ECE">
        <w:rPr>
          <w:rFonts w:hint="eastAsia"/>
        </w:rPr>
        <w:t xml:space="preserve"> </w:t>
      </w:r>
      <w:r w:rsidR="003B3B35">
        <w:rPr>
          <w:noProof/>
        </w:rPr>
        <w:t>[6, 7]</w:t>
      </w:r>
      <w:r w:rsidR="00A9776C" w:rsidRPr="00251ECE">
        <w:t>.</w:t>
      </w:r>
      <w:r w:rsidR="00A9776C" w:rsidRPr="00251ECE" w:rsidDel="001D2722">
        <w:t xml:space="preserve"> </w:t>
      </w:r>
      <w:r w:rsidR="00A9776C" w:rsidRPr="00251ECE">
        <w:t>In light of these observations, the use</w:t>
      </w:r>
      <w:r w:rsidR="006C0159" w:rsidRPr="00251ECE">
        <w:t xml:space="preserve"> of percutaneous image-guided biopsy</w:t>
      </w:r>
      <w:r w:rsidR="001D2722" w:rsidRPr="00251ECE">
        <w:t xml:space="preserve"> in locally advanced but potentially resectable tumors should be individualized</w:t>
      </w:r>
      <w:r w:rsidR="00FA38EE" w:rsidRPr="00251ECE">
        <w:t>, taking into account</w:t>
      </w:r>
      <w:r w:rsidR="006C0159" w:rsidRPr="00251ECE">
        <w:t xml:space="preserve"> the</w:t>
      </w:r>
      <w:r w:rsidR="00FA38EE" w:rsidRPr="00251ECE">
        <w:t xml:space="preserve"> tumor location, the risk of needle tract seeding, and the availability of systemic therapy.</w:t>
      </w:r>
      <w:r w:rsidR="001D2722" w:rsidRPr="00251ECE">
        <w:t xml:space="preserve"> Although not generally recommended for primary localized GIST, percutaneous biopsy may be acceptable when </w:t>
      </w:r>
      <w:r w:rsidR="006C0159" w:rsidRPr="00251ECE">
        <w:t xml:space="preserve">there is </w:t>
      </w:r>
      <w:r w:rsidR="001D2722" w:rsidRPr="00251ECE">
        <w:t>no safer diagnostic option and pathol</w:t>
      </w:r>
      <w:r w:rsidR="00FA38EE" w:rsidRPr="00251ECE">
        <w:rPr>
          <w:rFonts w:hint="eastAsia"/>
        </w:rPr>
        <w:t>ogical</w:t>
      </w:r>
      <w:r w:rsidR="001D2722" w:rsidRPr="00251ECE">
        <w:t xml:space="preserve"> confirmation is essential for treatment planning. </w:t>
      </w:r>
    </w:p>
    <w:p w14:paraId="660341C3" w14:textId="77777777" w:rsidR="00890771" w:rsidRDefault="00890771">
      <w:pPr>
        <w:spacing w:line="360" w:lineRule="auto"/>
        <w:ind w:left="992" w:hanging="992"/>
      </w:pPr>
      <w:r>
        <w:br w:type="page"/>
      </w:r>
    </w:p>
    <w:p w14:paraId="68C85FF0" w14:textId="432BF705" w:rsidR="00135EEE" w:rsidRPr="00251ECE" w:rsidRDefault="00135EEE" w:rsidP="00890771">
      <w:pPr>
        <w:pStyle w:val="Heading3"/>
        <w:pBdr>
          <w:top w:val="single" w:sz="4" w:space="1" w:color="auto"/>
        </w:pBdr>
        <w:ind w:left="0" w:firstLine="0"/>
      </w:pPr>
      <w:r w:rsidRPr="00251ECE">
        <w:lastRenderedPageBreak/>
        <w:t>CQ</w:t>
      </w:r>
      <w:r w:rsidR="00615DB9" w:rsidRPr="00251ECE">
        <w:t>2-2</w:t>
      </w:r>
      <w:r w:rsidR="0004679A" w:rsidRPr="00251ECE">
        <w:t>.</w:t>
      </w:r>
      <w:r w:rsidRPr="00251ECE">
        <w:t xml:space="preserve"> Is </w:t>
      </w:r>
      <w:r w:rsidR="003C0CFD" w:rsidRPr="00251ECE">
        <w:t xml:space="preserve">laparoscopic </w:t>
      </w:r>
      <w:r w:rsidRPr="00251ECE">
        <w:t>(</w:t>
      </w:r>
      <w:r w:rsidR="00E50525" w:rsidRPr="00251ECE">
        <w:t>a</w:t>
      </w:r>
      <w:r w:rsidRPr="00251ECE">
        <w:t xml:space="preserve">ssisted) </w:t>
      </w:r>
      <w:r w:rsidR="00E50525" w:rsidRPr="00251ECE">
        <w:t>s</w:t>
      </w:r>
      <w:r w:rsidRPr="00251ECE">
        <w:t xml:space="preserve">urgery </w:t>
      </w:r>
      <w:r w:rsidR="00E50525" w:rsidRPr="00251ECE">
        <w:t>r</w:t>
      </w:r>
      <w:r w:rsidRPr="00251ECE">
        <w:t xml:space="preserve">ecommended for </w:t>
      </w:r>
      <w:r w:rsidR="003C0CFD" w:rsidRPr="00251ECE">
        <w:t xml:space="preserve">the </w:t>
      </w:r>
      <w:r w:rsidR="00E50525" w:rsidRPr="00251ECE">
        <w:t>r</w:t>
      </w:r>
      <w:r w:rsidRPr="00251ECE">
        <w:t>esection</w:t>
      </w:r>
      <w:r w:rsidR="003C0CFD" w:rsidRPr="00251ECE">
        <w:t xml:space="preserve"> of </w:t>
      </w:r>
      <w:r w:rsidR="006F280F" w:rsidRPr="00251ECE">
        <w:t>GIST</w:t>
      </w:r>
      <w:r w:rsidRPr="00251ECE">
        <w:t>?</w:t>
      </w:r>
    </w:p>
    <w:p w14:paraId="7EEE46FA" w14:textId="50622B1E" w:rsidR="004D48BF" w:rsidRPr="0010274C" w:rsidRDefault="004D48BF" w:rsidP="00890771">
      <w:pPr>
        <w:pBdr>
          <w:top w:val="single" w:sz="4" w:space="1" w:color="auto"/>
        </w:pBdr>
        <w:spacing w:line="480" w:lineRule="auto"/>
        <w:rPr>
          <w:b/>
          <w:bCs/>
        </w:rPr>
      </w:pPr>
      <w:r w:rsidRPr="0010274C">
        <w:rPr>
          <w:b/>
          <w:bCs/>
        </w:rPr>
        <w:t>Recommendation</w:t>
      </w:r>
    </w:p>
    <w:p w14:paraId="6AA8180A" w14:textId="65F7EE4C" w:rsidR="004D48BF" w:rsidRPr="00251ECE" w:rsidRDefault="0010274C" w:rsidP="0010274C">
      <w:pPr>
        <w:spacing w:line="480" w:lineRule="auto"/>
      </w:pPr>
      <w:r>
        <w:rPr>
          <w:rFonts w:eastAsia="Palatino-Roman" w:hint="eastAsia"/>
          <w:b/>
          <w:bCs/>
        </w:rPr>
        <w:t>2</w:t>
      </w:r>
      <w:r w:rsidRPr="00CC07C8">
        <w:rPr>
          <w:rFonts w:eastAsia="Palatino-Roman" w:hint="eastAsia"/>
          <w:b/>
          <w:bCs/>
        </w:rPr>
        <w:t>-</w:t>
      </w:r>
      <w:r>
        <w:rPr>
          <w:rFonts w:eastAsia="Palatino-Roman" w:hint="eastAsia"/>
          <w:b/>
          <w:bCs/>
        </w:rPr>
        <w:t>2-1</w:t>
      </w:r>
      <w:r w:rsidRPr="00CC07C8">
        <w:rPr>
          <w:rFonts w:eastAsia="Palatino-Roman" w:hint="eastAsia"/>
          <w:b/>
          <w:bCs/>
        </w:rPr>
        <w:t>:</w:t>
      </w:r>
      <w:r>
        <w:rPr>
          <w:rFonts w:eastAsia="Palatino-Roman" w:hint="eastAsia"/>
          <w:b/>
          <w:bCs/>
        </w:rPr>
        <w:t xml:space="preserve"> </w:t>
      </w:r>
      <w:r w:rsidR="00135EEE" w:rsidRPr="00251ECE">
        <w:t xml:space="preserve">Laparoscopic surgery is recommended for smaller </w:t>
      </w:r>
      <w:r w:rsidR="006F280F" w:rsidRPr="00251ECE">
        <w:t>GIST</w:t>
      </w:r>
      <w:r w:rsidR="00135EEE" w:rsidRPr="00251ECE">
        <w:t xml:space="preserve"> in favorable anatomical locations, provided that standard surgical principles</w:t>
      </w:r>
      <w:r w:rsidR="003C0CFD" w:rsidRPr="00251ECE">
        <w:t>—such as preserving the pseudocapsule and avoiding tumor rupture—</w:t>
      </w:r>
      <w:r w:rsidR="00135EEE" w:rsidRPr="00251ECE">
        <w:t>are strictly followed.</w:t>
      </w:r>
    </w:p>
    <w:p w14:paraId="36DABE66" w14:textId="2FB52572" w:rsidR="00876539" w:rsidRPr="00251ECE" w:rsidRDefault="0010274C" w:rsidP="0010274C">
      <w:pPr>
        <w:pBdr>
          <w:bottom w:val="single" w:sz="4" w:space="1" w:color="auto"/>
        </w:pBdr>
        <w:spacing w:line="480" w:lineRule="auto"/>
      </w:pPr>
      <w:r>
        <w:rPr>
          <w:rFonts w:eastAsia="Palatino-Roman" w:hint="eastAsia"/>
          <w:b/>
          <w:bCs/>
        </w:rPr>
        <w:t>2</w:t>
      </w:r>
      <w:r w:rsidRPr="00CC07C8">
        <w:rPr>
          <w:rFonts w:eastAsia="Palatino-Roman" w:hint="eastAsia"/>
          <w:b/>
          <w:bCs/>
        </w:rPr>
        <w:t>-</w:t>
      </w:r>
      <w:r>
        <w:rPr>
          <w:rFonts w:eastAsia="Palatino-Roman" w:hint="eastAsia"/>
          <w:b/>
          <w:bCs/>
        </w:rPr>
        <w:t>2-2</w:t>
      </w:r>
      <w:r w:rsidRPr="00CC07C8">
        <w:rPr>
          <w:rFonts w:eastAsia="Palatino-Roman" w:hint="eastAsia"/>
          <w:b/>
          <w:bCs/>
        </w:rPr>
        <w:t>:</w:t>
      </w:r>
      <w:r w:rsidR="008903CA">
        <w:rPr>
          <w:rFonts w:eastAsia="Palatino-Roman" w:hint="eastAsia"/>
          <w:b/>
          <w:bCs/>
        </w:rPr>
        <w:t xml:space="preserve"> </w:t>
      </w:r>
      <w:r w:rsidR="00135EEE" w:rsidRPr="00251ECE">
        <w:t xml:space="preserve">For larger </w:t>
      </w:r>
      <w:r w:rsidR="006F280F" w:rsidRPr="00251ECE">
        <w:t>GIST</w:t>
      </w:r>
      <w:r w:rsidR="00135EEE" w:rsidRPr="00251ECE">
        <w:t>, laparoscopic surgery may be considered in select cases, but its application should be individualized based on tumor size, location, and growth pattern.</w:t>
      </w:r>
      <w:r w:rsidR="006E46DF" w:rsidRPr="00251ECE">
        <w:rPr>
          <w:rFonts w:hint="eastAsia"/>
        </w:rPr>
        <w:t xml:space="preserve"> </w:t>
      </w:r>
    </w:p>
    <w:p w14:paraId="1336FA2F" w14:textId="39C50481" w:rsidR="00EB66E6" w:rsidRPr="00251ECE" w:rsidRDefault="00135EEE" w:rsidP="00890771">
      <w:pPr>
        <w:spacing w:line="480" w:lineRule="auto"/>
      </w:pPr>
      <w:r w:rsidRPr="00251ECE">
        <w:t>Comparative studies indicate that laparoscopic surgery offers similar oncologic outcomes to open surgery, with advantages including reduced pain, minimal invasiveness, faster recovery, and improved cosmetic results</w:t>
      </w:r>
      <w:r w:rsidR="00013FED">
        <w:rPr>
          <w:rFonts w:hint="eastAsia"/>
        </w:rPr>
        <w:t xml:space="preserve"> </w:t>
      </w:r>
      <w:r w:rsidR="003B3B35">
        <w:rPr>
          <w:noProof/>
        </w:rPr>
        <w:t>[8]</w:t>
      </w:r>
      <w:r w:rsidRPr="00251ECE">
        <w:t xml:space="preserve">. These benefits, combined with its minimally invasive nature, have established laparoscopic surgery as a safe and effective option for appropriately selected patients. </w:t>
      </w:r>
      <w:r w:rsidR="00A150FF" w:rsidRPr="00251ECE">
        <w:t xml:space="preserve">Laparoscopic surgery is suitable for smaller </w:t>
      </w:r>
      <w:r w:rsidR="006F280F" w:rsidRPr="00251ECE">
        <w:t>GIST</w:t>
      </w:r>
      <w:r w:rsidR="00EE7F24">
        <w:rPr>
          <w:rFonts w:hint="eastAsia"/>
        </w:rPr>
        <w:t>s</w:t>
      </w:r>
      <w:r w:rsidR="00A150FF" w:rsidRPr="00251ECE">
        <w:t xml:space="preserve"> in accessible locations, such as the greater curvature or anterior stomach wall, jejunum, or ileum </w:t>
      </w:r>
      <w:r w:rsidR="003B3B35">
        <w:rPr>
          <w:noProof/>
        </w:rPr>
        <w:t>[9, 10]</w:t>
      </w:r>
      <w:r w:rsidR="00A150FF" w:rsidRPr="00251ECE">
        <w:t xml:space="preserve">. Tumor handling should </w:t>
      </w:r>
      <w:r w:rsidR="003C0CFD" w:rsidRPr="00251ECE">
        <w:t xml:space="preserve">aim to </w:t>
      </w:r>
      <w:r w:rsidR="00A150FF" w:rsidRPr="00251ECE">
        <w:t xml:space="preserve">minimize </w:t>
      </w:r>
      <w:r w:rsidR="003C0CFD" w:rsidRPr="00251ECE">
        <w:t xml:space="preserve">the </w:t>
      </w:r>
      <w:r w:rsidR="00A150FF" w:rsidRPr="00251ECE">
        <w:t>risk</w:t>
      </w:r>
      <w:r w:rsidR="003C0CFD" w:rsidRPr="00251ECE">
        <w:t xml:space="preserve"> of rupture by utilizing </w:t>
      </w:r>
      <w:r w:rsidR="00A150FF" w:rsidRPr="00251ECE">
        <w:t xml:space="preserve">stapling techniques and extraction bags </w:t>
      </w:r>
      <w:r w:rsidR="003B3B35">
        <w:rPr>
          <w:noProof/>
        </w:rPr>
        <w:t>[9]</w:t>
      </w:r>
      <w:r w:rsidR="00A150FF" w:rsidRPr="00251ECE">
        <w:t xml:space="preserve">. </w:t>
      </w:r>
      <w:r w:rsidRPr="00251ECE">
        <w:t xml:space="preserve">Retrospective studies further suggest that laparoscopic surgery may be feasible for larger </w:t>
      </w:r>
      <w:r w:rsidR="006F280F" w:rsidRPr="00251ECE">
        <w:t>GIST</w:t>
      </w:r>
      <w:r w:rsidR="00EE7F24">
        <w:rPr>
          <w:rFonts w:hint="eastAsia"/>
        </w:rPr>
        <w:t>s</w:t>
      </w:r>
      <w:r w:rsidRPr="00251ECE">
        <w:t xml:space="preserve">, although its </w:t>
      </w:r>
      <w:r w:rsidR="00AC3C13">
        <w:rPr>
          <w:rFonts w:hint="eastAsia"/>
        </w:rPr>
        <w:t>use</w:t>
      </w:r>
      <w:r w:rsidR="00AC3C13" w:rsidRPr="00251ECE">
        <w:t xml:space="preserve"> </w:t>
      </w:r>
      <w:r w:rsidRPr="00251ECE">
        <w:t xml:space="preserve">for tumors </w:t>
      </w:r>
      <w:r w:rsidR="003C0CFD" w:rsidRPr="00251ECE">
        <w:t>&gt; 8</w:t>
      </w:r>
      <w:r w:rsidRPr="00251ECE">
        <w:t xml:space="preserve"> cm </w:t>
      </w:r>
      <w:r w:rsidR="003C0CFD" w:rsidRPr="00251ECE">
        <w:t xml:space="preserve">is supported by </w:t>
      </w:r>
      <w:r w:rsidR="00081957" w:rsidRPr="00251ECE">
        <w:t xml:space="preserve">only </w:t>
      </w:r>
      <w:r w:rsidRPr="00251ECE">
        <w:t xml:space="preserve">limited </w:t>
      </w:r>
      <w:r w:rsidR="003C0CFD" w:rsidRPr="00251ECE">
        <w:t xml:space="preserve">evidence </w:t>
      </w:r>
      <w:r w:rsidRPr="00251ECE">
        <w:t>and requires careful planning and multidisciplinary evaluation</w:t>
      </w:r>
      <w:r w:rsidR="000327DA" w:rsidRPr="00251ECE">
        <w:t xml:space="preserve"> </w:t>
      </w:r>
      <w:r w:rsidR="003B3B35">
        <w:rPr>
          <w:noProof/>
        </w:rPr>
        <w:t>[10-12]</w:t>
      </w:r>
      <w:r w:rsidR="002D4E07">
        <w:rPr>
          <w:rFonts w:hint="eastAsia"/>
        </w:rPr>
        <w:t>.</w:t>
      </w:r>
    </w:p>
    <w:p w14:paraId="57806EA8" w14:textId="2EAD0403" w:rsidR="001863F3" w:rsidRPr="00251ECE" w:rsidRDefault="00135EEE" w:rsidP="00890771">
      <w:pPr>
        <w:spacing w:line="480" w:lineRule="auto"/>
        <w:ind w:firstLine="567"/>
      </w:pPr>
      <w:r w:rsidRPr="00251ECE">
        <w:t>Recent advancements in laparoscopy and digestive endoscopy have also enabled laparoscopic and endoscopic cooperative surger</w:t>
      </w:r>
      <w:r w:rsidR="0032536C" w:rsidRPr="00251ECE">
        <w:t>y</w:t>
      </w:r>
      <w:r w:rsidRPr="00251ECE">
        <w:t xml:space="preserve">, further expanding the minimally invasive </w:t>
      </w:r>
      <w:r w:rsidRPr="00251ECE">
        <w:lastRenderedPageBreak/>
        <w:t xml:space="preserve">options for gastric </w:t>
      </w:r>
      <w:r w:rsidR="006F280F" w:rsidRPr="00251ECE">
        <w:t>GIST</w:t>
      </w:r>
      <w:r w:rsidRPr="00251ECE">
        <w:t xml:space="preserve"> </w:t>
      </w:r>
      <w:r w:rsidR="00BD30C5" w:rsidRPr="00251ECE">
        <w:t xml:space="preserve">while achieving </w:t>
      </w:r>
      <w:r w:rsidRPr="00251ECE">
        <w:t>favorable oncologic outcomes</w:t>
      </w:r>
      <w:r w:rsidRPr="00525E1E">
        <w:rPr>
          <w:color w:val="EE0000"/>
        </w:rPr>
        <w:t xml:space="preserve"> </w:t>
      </w:r>
      <w:r w:rsidR="003B3B35" w:rsidRPr="002D4E07">
        <w:rPr>
          <w:noProof/>
          <w:color w:val="000000" w:themeColor="text1"/>
        </w:rPr>
        <w:t>[13, 14]</w:t>
      </w:r>
      <w:r w:rsidRPr="002D4E07">
        <w:rPr>
          <w:color w:val="000000" w:themeColor="text1"/>
        </w:rPr>
        <w:t>. E</w:t>
      </w:r>
      <w:r w:rsidRPr="00251ECE">
        <w:t xml:space="preserve">ndoscopic techniques, such as </w:t>
      </w:r>
      <w:r w:rsidR="00570224" w:rsidRPr="00251ECE">
        <w:t xml:space="preserve">endoscopic submucosal dissection </w:t>
      </w:r>
      <w:r w:rsidRPr="00251ECE">
        <w:t>and endoscopic full-thickness resection, have evolved and are increasingly applied to small gastrointestinal</w:t>
      </w:r>
      <w:r w:rsidR="00606054">
        <w:rPr>
          <w:rFonts w:hint="eastAsia"/>
        </w:rPr>
        <w:t xml:space="preserve"> (GI)</w:t>
      </w:r>
      <w:r w:rsidRPr="00251ECE">
        <w:t xml:space="preserve"> submucosal tumors, including </w:t>
      </w:r>
      <w:r w:rsidR="006F280F" w:rsidRPr="00251ECE">
        <w:t>GIST</w:t>
      </w:r>
      <w:r w:rsidRPr="00251ECE">
        <w:t xml:space="preserve">. While reports suggest their efficacy and safety in managing small </w:t>
      </w:r>
      <w:r w:rsidR="006F280F" w:rsidRPr="00251ECE">
        <w:t>GIST</w:t>
      </w:r>
      <w:r w:rsidRPr="00251ECE">
        <w:t xml:space="preserve">, evidence regarding long-term oncologic outcomes is limited. Therefore, the use of </w:t>
      </w:r>
      <w:r w:rsidR="00BB332D" w:rsidRPr="00251ECE">
        <w:t xml:space="preserve">endoscopic full-thickness resection </w:t>
      </w:r>
      <w:r w:rsidRPr="00251ECE">
        <w:t xml:space="preserve">for small </w:t>
      </w:r>
      <w:r w:rsidR="006F280F" w:rsidRPr="00251ECE">
        <w:t>GIST</w:t>
      </w:r>
      <w:r w:rsidRPr="00251ECE">
        <w:t xml:space="preserve"> is weakly discouraged at this time due to concerns about </w:t>
      </w:r>
      <w:r w:rsidR="00E40EAC" w:rsidRPr="00251ECE">
        <w:t xml:space="preserve">the risk of </w:t>
      </w:r>
      <w:r w:rsidRPr="00251ECE">
        <w:t xml:space="preserve">potential tumor spillage and uncertainties </w:t>
      </w:r>
      <w:r w:rsidR="00BD30C5" w:rsidRPr="00251ECE">
        <w:t xml:space="preserve">in relation to </w:t>
      </w:r>
      <w:r w:rsidRPr="00251ECE">
        <w:t>its impact on long-term recurrence and survival</w:t>
      </w:r>
      <w:r w:rsidR="0077290A" w:rsidRPr="00251ECE">
        <w:t xml:space="preserve"> </w:t>
      </w:r>
      <w:r w:rsidR="003B3B35">
        <w:rPr>
          <w:noProof/>
        </w:rPr>
        <w:t>[15-18]</w:t>
      </w:r>
      <w:r w:rsidRPr="00251ECE">
        <w:t>.</w:t>
      </w:r>
    </w:p>
    <w:p w14:paraId="201466A2" w14:textId="77777777" w:rsidR="00E40EAC" w:rsidRPr="00251ECE" w:rsidRDefault="00E40EAC" w:rsidP="00890771">
      <w:pPr>
        <w:spacing w:line="480" w:lineRule="auto"/>
        <w:ind w:firstLine="567"/>
      </w:pPr>
    </w:p>
    <w:p w14:paraId="3ADF734C" w14:textId="77777777" w:rsidR="00890771" w:rsidRDefault="00890771" w:rsidP="00890771">
      <w:pPr>
        <w:spacing w:line="360" w:lineRule="auto"/>
        <w:ind w:left="992" w:hanging="992"/>
        <w:rPr>
          <w:b/>
          <w:bCs/>
        </w:rPr>
      </w:pPr>
      <w:r>
        <w:br w:type="page"/>
      </w:r>
    </w:p>
    <w:p w14:paraId="705FF9CD" w14:textId="661B2821" w:rsidR="00135EEE" w:rsidRPr="00251ECE" w:rsidRDefault="00135EEE" w:rsidP="00890771">
      <w:pPr>
        <w:pStyle w:val="Heading3"/>
        <w:pBdr>
          <w:top w:val="single" w:sz="4" w:space="1" w:color="auto"/>
        </w:pBdr>
      </w:pPr>
      <w:r w:rsidRPr="00251ECE">
        <w:lastRenderedPageBreak/>
        <w:t>CQ</w:t>
      </w:r>
      <w:r w:rsidR="00615DB9" w:rsidRPr="00251ECE">
        <w:t>2-3</w:t>
      </w:r>
      <w:r w:rsidR="0004679A" w:rsidRPr="00251ECE">
        <w:t>.</w:t>
      </w:r>
      <w:r w:rsidRPr="00251ECE">
        <w:t xml:space="preserve"> Is </w:t>
      </w:r>
      <w:r w:rsidR="003C0CFD" w:rsidRPr="00251ECE">
        <w:t xml:space="preserve">tumor rupture associated </w:t>
      </w:r>
      <w:r w:rsidRPr="00251ECE">
        <w:t xml:space="preserve">with </w:t>
      </w:r>
      <w:r w:rsidR="003C0CFD" w:rsidRPr="00251ECE">
        <w:t xml:space="preserve">poor prognosis </w:t>
      </w:r>
      <w:r w:rsidRPr="00251ECE">
        <w:t xml:space="preserve">in </w:t>
      </w:r>
      <w:r w:rsidR="00BD30C5" w:rsidRPr="00251ECE">
        <w:t xml:space="preserve">patients with </w:t>
      </w:r>
      <w:r w:rsidR="006F280F" w:rsidRPr="00251ECE">
        <w:t>GIST</w:t>
      </w:r>
      <w:r w:rsidRPr="00251ECE">
        <w:t>?</w:t>
      </w:r>
    </w:p>
    <w:p w14:paraId="6C3F8421" w14:textId="050D7A0E" w:rsidR="001863F3" w:rsidRPr="0010274C" w:rsidRDefault="001863F3" w:rsidP="00890771">
      <w:pPr>
        <w:pBdr>
          <w:top w:val="single" w:sz="4" w:space="1" w:color="auto"/>
        </w:pBdr>
        <w:spacing w:line="480" w:lineRule="auto"/>
        <w:rPr>
          <w:b/>
          <w:bCs/>
        </w:rPr>
      </w:pPr>
      <w:r w:rsidRPr="0010274C">
        <w:rPr>
          <w:b/>
          <w:bCs/>
        </w:rPr>
        <w:t>Recommendation</w:t>
      </w:r>
    </w:p>
    <w:p w14:paraId="57386339" w14:textId="4F412716" w:rsidR="001863F3" w:rsidRPr="00251ECE" w:rsidRDefault="0010274C" w:rsidP="0010274C">
      <w:pPr>
        <w:spacing w:line="480" w:lineRule="auto"/>
      </w:pPr>
      <w:r>
        <w:rPr>
          <w:rFonts w:eastAsia="Palatino-Roman" w:hint="eastAsia"/>
          <w:b/>
          <w:bCs/>
        </w:rPr>
        <w:t>2</w:t>
      </w:r>
      <w:r w:rsidRPr="00CC07C8">
        <w:rPr>
          <w:rFonts w:eastAsia="Palatino-Roman" w:hint="eastAsia"/>
          <w:b/>
          <w:bCs/>
        </w:rPr>
        <w:t>-</w:t>
      </w:r>
      <w:r>
        <w:rPr>
          <w:rFonts w:eastAsia="Palatino-Roman" w:hint="eastAsia"/>
          <w:b/>
          <w:bCs/>
        </w:rPr>
        <w:t>3-1</w:t>
      </w:r>
      <w:r w:rsidRPr="00CC07C8">
        <w:rPr>
          <w:rFonts w:eastAsia="Palatino-Roman" w:hint="eastAsia"/>
          <w:b/>
          <w:bCs/>
        </w:rPr>
        <w:t>:</w:t>
      </w:r>
      <w:r>
        <w:rPr>
          <w:rFonts w:eastAsia="Palatino-Roman" w:hint="eastAsia"/>
          <w:b/>
          <w:bCs/>
        </w:rPr>
        <w:t xml:space="preserve"> </w:t>
      </w:r>
      <w:r w:rsidR="00135EEE" w:rsidRPr="00251ECE">
        <w:t xml:space="preserve">Tumor rupture, whether occurring preoperatively or intraoperatively, is strongly associated </w:t>
      </w:r>
      <w:r w:rsidR="00644222" w:rsidRPr="00251ECE">
        <w:rPr>
          <w:rFonts w:hint="eastAsia"/>
        </w:rPr>
        <w:t xml:space="preserve">with </w:t>
      </w:r>
      <w:r w:rsidR="00135EEE" w:rsidRPr="00251ECE">
        <w:t>poor prognosis in patients</w:t>
      </w:r>
      <w:r w:rsidR="00BD30C5" w:rsidRPr="00251ECE">
        <w:t xml:space="preserve"> with </w:t>
      </w:r>
      <w:r w:rsidR="006F280F" w:rsidRPr="00251ECE">
        <w:t>GIST</w:t>
      </w:r>
      <w:r w:rsidR="00135EEE" w:rsidRPr="00251ECE">
        <w:t>, including an increased risk of recurrence.</w:t>
      </w:r>
    </w:p>
    <w:p w14:paraId="5329675F" w14:textId="3CE9DF52" w:rsidR="00135EEE" w:rsidRPr="00251ECE" w:rsidRDefault="0010274C" w:rsidP="0010274C">
      <w:pPr>
        <w:pBdr>
          <w:bottom w:val="single" w:sz="4" w:space="1" w:color="auto"/>
        </w:pBdr>
        <w:spacing w:line="480" w:lineRule="auto"/>
      </w:pPr>
      <w:r>
        <w:rPr>
          <w:rFonts w:eastAsia="Palatino-Roman" w:hint="eastAsia"/>
          <w:b/>
          <w:bCs/>
        </w:rPr>
        <w:t>2</w:t>
      </w:r>
      <w:r w:rsidRPr="00CC07C8">
        <w:rPr>
          <w:rFonts w:eastAsia="Palatino-Roman" w:hint="eastAsia"/>
          <w:b/>
          <w:bCs/>
        </w:rPr>
        <w:t>-</w:t>
      </w:r>
      <w:r>
        <w:rPr>
          <w:rFonts w:eastAsia="Palatino-Roman" w:hint="eastAsia"/>
          <w:b/>
          <w:bCs/>
        </w:rPr>
        <w:t>3-2</w:t>
      </w:r>
      <w:r w:rsidRPr="00CC07C8">
        <w:rPr>
          <w:rFonts w:eastAsia="Palatino-Roman" w:hint="eastAsia"/>
          <w:b/>
          <w:bCs/>
        </w:rPr>
        <w:t>:</w:t>
      </w:r>
      <w:r>
        <w:rPr>
          <w:rFonts w:eastAsia="Palatino-Roman" w:hint="eastAsia"/>
          <w:b/>
          <w:bCs/>
        </w:rPr>
        <w:t xml:space="preserve"> </w:t>
      </w:r>
      <w:r w:rsidR="00135EEE" w:rsidRPr="00251ECE">
        <w:t xml:space="preserve">To minimize the risk of tumor rupture, </w:t>
      </w:r>
      <w:r w:rsidR="0084542B" w:rsidRPr="00251ECE">
        <w:t xml:space="preserve">careful </w:t>
      </w:r>
      <w:r w:rsidR="00135EEE" w:rsidRPr="00251ECE">
        <w:t xml:space="preserve">surgical techniques and </w:t>
      </w:r>
      <w:r w:rsidR="00BD30C5" w:rsidRPr="00251ECE">
        <w:t xml:space="preserve">thorough </w:t>
      </w:r>
      <w:r w:rsidR="00135EEE" w:rsidRPr="00251ECE">
        <w:t>preoperative planning are essential, particularly for large or high-risk tumors.</w:t>
      </w:r>
    </w:p>
    <w:p w14:paraId="766F8BEA" w14:textId="04BAA4C6" w:rsidR="00135EEE" w:rsidRPr="00251ECE" w:rsidRDefault="002B2D7F" w:rsidP="00EE1500">
      <w:pPr>
        <w:spacing w:line="480" w:lineRule="auto"/>
      </w:pPr>
      <w:r>
        <w:rPr>
          <w:rFonts w:hint="eastAsia"/>
        </w:rPr>
        <w:t>T</w:t>
      </w:r>
      <w:r w:rsidRPr="002B2D7F">
        <w:t xml:space="preserve">umor rupture is </w:t>
      </w:r>
      <w:r w:rsidR="00C44183" w:rsidRPr="00C44183">
        <w:t>presumably</w:t>
      </w:r>
      <w:r w:rsidRPr="002B2D7F">
        <w:t xml:space="preserve"> associated with micrometastatic disease</w:t>
      </w:r>
      <w:r>
        <w:rPr>
          <w:rFonts w:hint="eastAsia"/>
        </w:rPr>
        <w:t xml:space="preserve">. </w:t>
      </w:r>
      <w:r w:rsidR="00BD30C5" w:rsidRPr="00251ECE">
        <w:t xml:space="preserve">In patients with </w:t>
      </w:r>
      <w:r w:rsidR="006F280F" w:rsidRPr="00251ECE">
        <w:t>GIST</w:t>
      </w:r>
      <w:r w:rsidR="00BD30C5" w:rsidRPr="00251ECE">
        <w:t>, tumor rupture</w:t>
      </w:r>
      <w:r w:rsidR="00135EEE" w:rsidRPr="00251ECE">
        <w:t xml:space="preserve"> has been consistently associated with a significantly poor prognosis in multiple retrospective studies</w:t>
      </w:r>
      <w:r w:rsidR="0067302B" w:rsidRPr="00251ECE">
        <w:t xml:space="preserve"> </w:t>
      </w:r>
      <w:r w:rsidR="003B3B35">
        <w:rPr>
          <w:noProof/>
        </w:rPr>
        <w:t>[19-21]</w:t>
      </w:r>
      <w:r w:rsidR="00135EEE" w:rsidRPr="00251ECE">
        <w:t>. As a result, it has been incorporated into recurrence risk classifications, such as the modified</w:t>
      </w:r>
      <w:r w:rsidR="003A7A78" w:rsidRPr="00251ECE">
        <w:t xml:space="preserve"> NIH criteria</w:t>
      </w:r>
      <w:r w:rsidR="00135EEE" w:rsidRPr="00251ECE">
        <w:t xml:space="preserve">, where it is recognized as an independent prognostic factor and defined as a high-risk feature </w:t>
      </w:r>
      <w:r w:rsidR="003B3B35">
        <w:rPr>
          <w:noProof/>
        </w:rPr>
        <w:t>[22]</w:t>
      </w:r>
      <w:r w:rsidR="00135EEE" w:rsidRPr="00251ECE">
        <w:t xml:space="preserve">. These findings highlight the critical need for careful surgical techniques and preoperative planning to minimize the risk of tumor rupture. However, these retrospective studies have limitations, as tumor rupture was not consistently </w:t>
      </w:r>
      <w:r w:rsidR="00B644D2" w:rsidRPr="00251ECE">
        <w:t>defined</w:t>
      </w:r>
      <w:r w:rsidR="00135EEE" w:rsidRPr="00251ECE">
        <w:t>, potentially affecting the accuracy of prognostic assessments.</w:t>
      </w:r>
    </w:p>
    <w:p w14:paraId="30577922" w14:textId="6C26B3C3" w:rsidR="00135EEE" w:rsidRPr="00251ECE" w:rsidRDefault="00135EEE" w:rsidP="00525CBB">
      <w:pPr>
        <w:spacing w:line="480" w:lineRule="auto"/>
        <w:ind w:firstLine="840"/>
      </w:pPr>
      <w:r w:rsidRPr="00251ECE">
        <w:t xml:space="preserve">To address this limitation, a universal definition of tumor rupture has been proposed, </w:t>
      </w:r>
      <w:r w:rsidR="00BD30C5" w:rsidRPr="00251ECE">
        <w:t xml:space="preserve">which includes </w:t>
      </w:r>
      <w:r w:rsidRPr="00251ECE">
        <w:t xml:space="preserve">tumor fracture, spillage, blood-stained ascites, perforation at the tumor site, </w:t>
      </w:r>
      <w:r w:rsidR="009C1CA5" w:rsidRPr="009C1CA5">
        <w:t>adjacent organ infiltration</w:t>
      </w:r>
      <w:r w:rsidRPr="00251ECE">
        <w:t>, piecemeal resection, or incisional biopsy</w:t>
      </w:r>
      <w:r w:rsidR="00747FDC">
        <w:rPr>
          <w:rFonts w:hint="eastAsia"/>
        </w:rPr>
        <w:t xml:space="preserve"> </w:t>
      </w:r>
      <w:r w:rsidR="003B3B35">
        <w:rPr>
          <w:noProof/>
        </w:rPr>
        <w:t>[23, 24]</w:t>
      </w:r>
      <w:r w:rsidRPr="00251ECE">
        <w:t>. This definition has been used to retrospectively identify GIST patients at particularly high risk</w:t>
      </w:r>
      <w:r w:rsidR="00BD30C5" w:rsidRPr="00251ECE">
        <w:t xml:space="preserve"> </w:t>
      </w:r>
      <w:r w:rsidR="000D0786" w:rsidRPr="00251ECE">
        <w:t>of</w:t>
      </w:r>
      <w:r w:rsidR="00BD30C5" w:rsidRPr="00251ECE">
        <w:t xml:space="preserve"> recurrence</w:t>
      </w:r>
      <w:r w:rsidRPr="00251ECE">
        <w:t xml:space="preserve">. Further prospective studies are needed to clarify the prognostic impact of tumor rupture </w:t>
      </w:r>
      <w:r w:rsidRPr="00251ECE">
        <w:lastRenderedPageBreak/>
        <w:t xml:space="preserve">according to this definition. Additionally, a prospective observational study is warranted to evaluate </w:t>
      </w:r>
      <w:r w:rsidR="00BD30C5" w:rsidRPr="00251ECE">
        <w:t xml:space="preserve">the </w:t>
      </w:r>
      <w:r w:rsidRPr="00251ECE">
        <w:t xml:space="preserve">oncologic outcomes </w:t>
      </w:r>
      <w:r w:rsidR="00BD30C5" w:rsidRPr="00251ECE">
        <w:t xml:space="preserve">of </w:t>
      </w:r>
      <w:r w:rsidRPr="00251ECE">
        <w:t>patients experiencing tumor rupture.</w:t>
      </w:r>
    </w:p>
    <w:p w14:paraId="26CEE133" w14:textId="77777777" w:rsidR="00135EEE" w:rsidRPr="00251ECE" w:rsidRDefault="00135EEE" w:rsidP="00EE1500">
      <w:pPr>
        <w:spacing w:line="480" w:lineRule="auto"/>
        <w:rPr>
          <w:rFonts w:eastAsia="MS PGothic"/>
          <w:b/>
          <w:bCs/>
          <w:kern w:val="0"/>
          <w:sz w:val="24"/>
          <w:szCs w:val="24"/>
        </w:rPr>
      </w:pPr>
    </w:p>
    <w:p w14:paraId="6CCA81F0" w14:textId="77777777" w:rsidR="00890771" w:rsidRDefault="00890771">
      <w:pPr>
        <w:spacing w:line="360" w:lineRule="auto"/>
        <w:ind w:left="992" w:hanging="992"/>
        <w:rPr>
          <w:rFonts w:eastAsia="MS PGothic"/>
          <w:b/>
          <w:bCs/>
          <w:kern w:val="0"/>
        </w:rPr>
      </w:pPr>
      <w:r>
        <w:rPr>
          <w:rFonts w:eastAsia="MS PGothic"/>
          <w:kern w:val="0"/>
        </w:rPr>
        <w:br w:type="page"/>
      </w:r>
    </w:p>
    <w:p w14:paraId="69A21ED1" w14:textId="421CFAB3" w:rsidR="00135EEE" w:rsidRPr="00251ECE" w:rsidRDefault="00135EEE" w:rsidP="00A168DC">
      <w:pPr>
        <w:pStyle w:val="Heading3"/>
        <w:pBdr>
          <w:top w:val="single" w:sz="4" w:space="1" w:color="auto"/>
        </w:pBdr>
        <w:ind w:left="0" w:firstLine="0"/>
      </w:pPr>
      <w:r w:rsidRPr="00251ECE">
        <w:rPr>
          <w:rFonts w:eastAsia="MS PGothic"/>
          <w:kern w:val="0"/>
        </w:rPr>
        <w:lastRenderedPageBreak/>
        <w:t>CQ</w:t>
      </w:r>
      <w:r w:rsidR="00ED49B5" w:rsidRPr="00251ECE">
        <w:rPr>
          <w:rFonts w:eastAsia="MS PGothic"/>
          <w:kern w:val="0"/>
        </w:rPr>
        <w:t>2-4</w:t>
      </w:r>
      <w:r w:rsidR="0004679A" w:rsidRPr="00251ECE">
        <w:rPr>
          <w:rFonts w:eastAsia="MS PGothic"/>
          <w:kern w:val="0"/>
        </w:rPr>
        <w:t>.</w:t>
      </w:r>
      <w:r w:rsidRPr="00251ECE">
        <w:rPr>
          <w:rFonts w:eastAsia="MS PGothic"/>
          <w:kern w:val="0"/>
        </w:rPr>
        <w:t xml:space="preserve"> </w:t>
      </w:r>
      <w:r w:rsidRPr="00251ECE">
        <w:t xml:space="preserve">Is </w:t>
      </w:r>
      <w:r w:rsidR="000E37BD" w:rsidRPr="00251ECE">
        <w:t>r</w:t>
      </w:r>
      <w:r w:rsidRPr="00251ECE">
        <w:t xml:space="preserve">outine </w:t>
      </w:r>
      <w:r w:rsidR="000E37BD" w:rsidRPr="00251ECE">
        <w:t>p</w:t>
      </w:r>
      <w:r w:rsidRPr="00251ECE">
        <w:t xml:space="preserve">ostoperative </w:t>
      </w:r>
      <w:r w:rsidR="000E37BD" w:rsidRPr="00251ECE">
        <w:t>f</w:t>
      </w:r>
      <w:r w:rsidRPr="00251ECE">
        <w:t xml:space="preserve">ollow-up </w:t>
      </w:r>
      <w:r w:rsidR="000E37BD" w:rsidRPr="00251ECE">
        <w:t>u</w:t>
      </w:r>
      <w:r w:rsidRPr="00251ECE">
        <w:t xml:space="preserve">seful for </w:t>
      </w:r>
      <w:r w:rsidR="000E37BD" w:rsidRPr="00251ECE">
        <w:t>c</w:t>
      </w:r>
      <w:r w:rsidRPr="00251ECE">
        <w:t xml:space="preserve">ompletely </w:t>
      </w:r>
      <w:r w:rsidR="000E37BD" w:rsidRPr="00251ECE">
        <w:t>r</w:t>
      </w:r>
      <w:r w:rsidRPr="00251ECE">
        <w:t>esected GIST?</w:t>
      </w:r>
    </w:p>
    <w:p w14:paraId="4595B9B5" w14:textId="167FD352" w:rsidR="00A168DC" w:rsidRPr="008903CA" w:rsidRDefault="00A168DC" w:rsidP="00A168DC">
      <w:pPr>
        <w:spacing w:line="480" w:lineRule="auto"/>
        <w:rPr>
          <w:b/>
          <w:bCs/>
        </w:rPr>
      </w:pPr>
      <w:r w:rsidRPr="008903CA">
        <w:rPr>
          <w:b/>
          <w:bCs/>
        </w:rPr>
        <w:t>Recommendation</w:t>
      </w:r>
    </w:p>
    <w:p w14:paraId="00580220" w14:textId="0AEDC53F" w:rsidR="000E37BD" w:rsidRPr="00251ECE" w:rsidRDefault="008903CA" w:rsidP="008903CA">
      <w:pPr>
        <w:spacing w:line="480" w:lineRule="auto"/>
      </w:pPr>
      <w:r>
        <w:rPr>
          <w:rFonts w:eastAsia="Palatino-Roman" w:hint="eastAsia"/>
          <w:b/>
          <w:bCs/>
        </w:rPr>
        <w:t>2</w:t>
      </w:r>
      <w:r w:rsidRPr="00CC07C8">
        <w:rPr>
          <w:rFonts w:eastAsia="Palatino-Roman" w:hint="eastAsia"/>
          <w:b/>
          <w:bCs/>
        </w:rPr>
        <w:t>-</w:t>
      </w:r>
      <w:r>
        <w:rPr>
          <w:rFonts w:eastAsia="Palatino-Roman" w:hint="eastAsia"/>
          <w:b/>
          <w:bCs/>
        </w:rPr>
        <w:t>4-1</w:t>
      </w:r>
      <w:r w:rsidRPr="00CC07C8">
        <w:rPr>
          <w:rFonts w:eastAsia="Palatino-Roman" w:hint="eastAsia"/>
          <w:b/>
          <w:bCs/>
        </w:rPr>
        <w:t>:</w:t>
      </w:r>
      <w:r>
        <w:rPr>
          <w:rFonts w:eastAsia="Palatino-Roman" w:hint="eastAsia"/>
          <w:b/>
          <w:bCs/>
        </w:rPr>
        <w:t xml:space="preserve"> </w:t>
      </w:r>
      <w:r w:rsidR="00135EEE" w:rsidRPr="00251ECE">
        <w:t xml:space="preserve">Routine postoperative follow-up is weakly recommended for patients with completely resected </w:t>
      </w:r>
      <w:r w:rsidR="006F280F" w:rsidRPr="00251ECE">
        <w:t>GIST</w:t>
      </w:r>
      <w:r w:rsidR="00135EEE" w:rsidRPr="00251ECE">
        <w:t>.</w:t>
      </w:r>
    </w:p>
    <w:p w14:paraId="0B852819" w14:textId="047B9901" w:rsidR="00135EEE" w:rsidRPr="00251ECE" w:rsidRDefault="008903CA" w:rsidP="008903CA">
      <w:pPr>
        <w:pBdr>
          <w:bottom w:val="single" w:sz="4" w:space="1" w:color="auto"/>
        </w:pBdr>
        <w:spacing w:line="480" w:lineRule="auto"/>
      </w:pPr>
      <w:r>
        <w:rPr>
          <w:rFonts w:eastAsia="Palatino-Roman" w:hint="eastAsia"/>
          <w:b/>
          <w:bCs/>
        </w:rPr>
        <w:t>2</w:t>
      </w:r>
      <w:r w:rsidRPr="00CC07C8">
        <w:rPr>
          <w:rFonts w:eastAsia="Palatino-Roman" w:hint="eastAsia"/>
          <w:b/>
          <w:bCs/>
        </w:rPr>
        <w:t>-</w:t>
      </w:r>
      <w:r>
        <w:rPr>
          <w:rFonts w:eastAsia="Palatino-Roman" w:hint="eastAsia"/>
          <w:b/>
          <w:bCs/>
        </w:rPr>
        <w:t>4-2</w:t>
      </w:r>
      <w:r w:rsidRPr="00CC07C8">
        <w:rPr>
          <w:rFonts w:eastAsia="Palatino-Roman" w:hint="eastAsia"/>
          <w:b/>
          <w:bCs/>
        </w:rPr>
        <w:t>:</w:t>
      </w:r>
      <w:r>
        <w:rPr>
          <w:rFonts w:eastAsia="Palatino-Roman" w:hint="eastAsia"/>
          <w:b/>
          <w:bCs/>
        </w:rPr>
        <w:t xml:space="preserve"> </w:t>
      </w:r>
      <w:r w:rsidR="00135EEE" w:rsidRPr="00251ECE">
        <w:t xml:space="preserve">Follow-up schedules should be based on </w:t>
      </w:r>
      <w:r w:rsidR="00BD30C5" w:rsidRPr="00251ECE">
        <w:t xml:space="preserve">the </w:t>
      </w:r>
      <w:r w:rsidR="00135EEE" w:rsidRPr="00251ECE">
        <w:t>risk</w:t>
      </w:r>
      <w:r w:rsidR="00BD30C5" w:rsidRPr="00251ECE">
        <w:t xml:space="preserve"> of recurrence</w:t>
      </w:r>
      <w:r w:rsidR="00135EEE" w:rsidRPr="00251ECE">
        <w:t>, time elapsed since surgery, and use of adjuvant therapy.</w:t>
      </w:r>
    </w:p>
    <w:p w14:paraId="1B2CF6A3" w14:textId="2FBD3176" w:rsidR="00851C83" w:rsidRPr="00251ECE" w:rsidRDefault="00135EEE" w:rsidP="00851C83">
      <w:pPr>
        <w:spacing w:line="480" w:lineRule="auto"/>
      </w:pPr>
      <w:r w:rsidRPr="00251ECE">
        <w:t>The benefit of routine postoperative follow-up for completely resected GIST is supported primarily by expert consensus</w:t>
      </w:r>
      <w:r w:rsidR="009005B7" w:rsidRPr="00251ECE">
        <w:t xml:space="preserve"> </w:t>
      </w:r>
      <w:r w:rsidR="003B3B35">
        <w:rPr>
          <w:noProof/>
        </w:rPr>
        <w:t>[25-27]</w:t>
      </w:r>
      <w:r w:rsidRPr="00251ECE">
        <w:t xml:space="preserve">, as no interventional studies have confirmed its impact on survival or quality of life. However, some observational studies suggest that </w:t>
      </w:r>
      <w:r w:rsidR="00BD30C5" w:rsidRPr="00251ECE">
        <w:t xml:space="preserve">the </w:t>
      </w:r>
      <w:r w:rsidRPr="00251ECE">
        <w:t xml:space="preserve">early detection of recurrence may improve outcomes. For example, asymptomatic detection and smaller tumor burden (e.g., </w:t>
      </w:r>
      <w:r w:rsidR="00BD30C5" w:rsidRPr="00251ECE">
        <w:t>≤ 3</w:t>
      </w:r>
      <w:r w:rsidRPr="00251ECE">
        <w:t xml:space="preserve"> liver metastases or peritoneal metastases with a total tumor diameter </w:t>
      </w:r>
      <w:r w:rsidR="00BD30C5" w:rsidRPr="00251ECE">
        <w:t>≤ 1</w:t>
      </w:r>
      <w:r w:rsidRPr="00251ECE">
        <w:t>0 cm) have been associated with better progression-free survival (PFS) and disease-specific survival</w:t>
      </w:r>
      <w:r w:rsidR="000D4A3F">
        <w:rPr>
          <w:rFonts w:hint="eastAsia"/>
        </w:rPr>
        <w:t xml:space="preserve"> </w:t>
      </w:r>
      <w:r w:rsidR="003B3B35">
        <w:rPr>
          <w:noProof/>
        </w:rPr>
        <w:t>[28]</w:t>
      </w:r>
      <w:r w:rsidR="0031689B" w:rsidRPr="00251ECE">
        <w:t>.</w:t>
      </w:r>
      <w:r w:rsidRPr="00251ECE">
        <w:t xml:space="preserve"> Additionally, patients with metastatic lesions </w:t>
      </w:r>
      <w:r w:rsidR="009E359D" w:rsidRPr="00251ECE">
        <w:t xml:space="preserve">of </w:t>
      </w:r>
      <w:r w:rsidR="00BD30C5" w:rsidRPr="00251ECE">
        <w:t>&lt; 1</w:t>
      </w:r>
      <w:r w:rsidRPr="00251ECE">
        <w:t xml:space="preserve">2 cm </w:t>
      </w:r>
      <w:r w:rsidR="009E359D" w:rsidRPr="00251ECE">
        <w:t xml:space="preserve">in size who received </w:t>
      </w:r>
      <w:r w:rsidRPr="00251ECE">
        <w:t xml:space="preserve">imatinib therapy </w:t>
      </w:r>
      <w:r w:rsidR="009E359D" w:rsidRPr="00251ECE">
        <w:t xml:space="preserve">showed a </w:t>
      </w:r>
      <w:r w:rsidRPr="00251ECE">
        <w:t xml:space="preserve">significantly longer time to progression compared to those with lesions </w:t>
      </w:r>
      <w:r w:rsidR="00BD30C5" w:rsidRPr="00251ECE">
        <w:t>≥ 1</w:t>
      </w:r>
      <w:r w:rsidRPr="00251ECE">
        <w:t>2 cm</w:t>
      </w:r>
      <w:r w:rsidRPr="00EA5C96">
        <w:rPr>
          <w:color w:val="EE0000"/>
        </w:rPr>
        <w:t xml:space="preserve"> </w:t>
      </w:r>
      <w:r w:rsidR="003B3B35">
        <w:rPr>
          <w:noProof/>
        </w:rPr>
        <w:t>[29]</w:t>
      </w:r>
      <w:r w:rsidRPr="00251ECE">
        <w:t>.</w:t>
      </w:r>
      <w:r w:rsidR="00F0293D" w:rsidRPr="00251ECE">
        <w:t xml:space="preserve"> Although </w:t>
      </w:r>
      <w:r w:rsidRPr="00251ECE">
        <w:t xml:space="preserve">these findings suggest </w:t>
      </w:r>
      <w:r w:rsidR="00BD30C5" w:rsidRPr="00251ECE">
        <w:t xml:space="preserve">that the early detection of recurrence has </w:t>
      </w:r>
      <w:r w:rsidRPr="00251ECE">
        <w:t xml:space="preserve">potential benefits, they are limited by lead-time bias and classified as low-level evidence. Routine follow-up should aim to balance </w:t>
      </w:r>
      <w:r w:rsidR="00BD30C5" w:rsidRPr="00251ECE">
        <w:t xml:space="preserve">the </w:t>
      </w:r>
      <w:r w:rsidRPr="00251ECE">
        <w:t>early detection of recurrence with resource utilization and patient needs.</w:t>
      </w:r>
    </w:p>
    <w:p w14:paraId="12A0772F" w14:textId="7DFCDA18" w:rsidR="00135EEE" w:rsidRPr="00251ECE" w:rsidRDefault="00135EEE" w:rsidP="00256E2B">
      <w:pPr>
        <w:spacing w:line="480" w:lineRule="auto"/>
        <w:ind w:firstLine="425"/>
      </w:pPr>
      <w:r w:rsidRPr="00251ECE">
        <w:lastRenderedPageBreak/>
        <w:t>For GIST patients in high- or intermediate-risk groups, postoperative surveillance is recommended with abdominal and pelvic CT scans every 3</w:t>
      </w:r>
      <w:r w:rsidR="00BD30C5" w:rsidRPr="00251ECE">
        <w:t>-</w:t>
      </w:r>
      <w:r w:rsidRPr="00251ECE">
        <w:t>4 months for the first 3 years after surgery, every 6 months until the fifth year, and annually thereafter</w:t>
      </w:r>
      <w:r w:rsidRPr="00EA5C96">
        <w:rPr>
          <w:color w:val="EE0000"/>
        </w:rPr>
        <w:t xml:space="preserve"> </w:t>
      </w:r>
      <w:r w:rsidR="003B3B35">
        <w:rPr>
          <w:noProof/>
        </w:rPr>
        <w:t>[27, 28]</w:t>
      </w:r>
      <w:r w:rsidRPr="00251ECE">
        <w:t xml:space="preserve">. For patients in low- or very low-risk groups, follow-up CT every 6 months is recommended for 5 years after surgery. Ultrasonography may replace CT once per year </w:t>
      </w:r>
      <w:r w:rsidR="003B3B35">
        <w:rPr>
          <w:noProof/>
        </w:rPr>
        <w:t>[27, 30]</w:t>
      </w:r>
      <w:r w:rsidR="00B63850" w:rsidRPr="00251ECE">
        <w:t>.</w:t>
      </w:r>
      <w:r w:rsidRPr="00251ECE">
        <w:t xml:space="preserve"> The role of </w:t>
      </w:r>
      <w:r w:rsidR="003A621F" w:rsidRPr="00251ECE">
        <w:t>positron emission tomography (</w:t>
      </w:r>
      <w:r w:rsidRPr="00251ECE">
        <w:t>PET</w:t>
      </w:r>
      <w:r w:rsidR="003A621F" w:rsidRPr="00251ECE">
        <w:t>)</w:t>
      </w:r>
      <w:r w:rsidRPr="00251ECE">
        <w:t xml:space="preserve"> in postoperative surveillance has not been established.</w:t>
      </w:r>
      <w:r w:rsidRPr="00251ECE">
        <w:rPr>
          <w:color w:val="FF0000"/>
          <w:sz w:val="24"/>
          <w:szCs w:val="24"/>
        </w:rPr>
        <w:br w:type="page"/>
      </w:r>
    </w:p>
    <w:p w14:paraId="49E2DE7D" w14:textId="4F86E225" w:rsidR="00885B55" w:rsidRPr="00251ECE" w:rsidRDefault="00885B55" w:rsidP="00EA4B55">
      <w:pPr>
        <w:pStyle w:val="Heading3"/>
        <w:pBdr>
          <w:top w:val="single" w:sz="4" w:space="1" w:color="auto"/>
        </w:pBdr>
      </w:pPr>
      <w:r w:rsidRPr="00251ECE">
        <w:lastRenderedPageBreak/>
        <w:t>CQ</w:t>
      </w:r>
      <w:r w:rsidR="00987B47" w:rsidRPr="00251ECE">
        <w:t>3-1</w:t>
      </w:r>
      <w:r w:rsidRPr="00251ECE">
        <w:t>. What is recommended after imatinib, sunitinib, and regorafenib?</w:t>
      </w:r>
    </w:p>
    <w:p w14:paraId="1F7E46F1" w14:textId="77777777" w:rsidR="00885B55" w:rsidRPr="008903CA" w:rsidRDefault="00885B55" w:rsidP="00EE1500">
      <w:pPr>
        <w:spacing w:line="480" w:lineRule="auto"/>
        <w:rPr>
          <w:b/>
          <w:bCs/>
        </w:rPr>
      </w:pPr>
      <w:r w:rsidRPr="008903CA">
        <w:rPr>
          <w:b/>
          <w:bCs/>
        </w:rPr>
        <w:t>Recommendation</w:t>
      </w:r>
    </w:p>
    <w:p w14:paraId="3C3F81F4" w14:textId="1ECB4A2B" w:rsidR="00EA4B55" w:rsidRPr="00251ECE" w:rsidRDefault="008903CA" w:rsidP="008903CA">
      <w:pPr>
        <w:spacing w:line="480" w:lineRule="auto"/>
      </w:pPr>
      <w:r>
        <w:rPr>
          <w:rFonts w:eastAsia="Palatino-Roman" w:hint="eastAsia"/>
          <w:b/>
          <w:bCs/>
        </w:rPr>
        <w:t>3-1-1</w:t>
      </w:r>
      <w:r w:rsidRPr="00CC07C8">
        <w:rPr>
          <w:rFonts w:eastAsia="Palatino-Roman" w:hint="eastAsia"/>
          <w:b/>
          <w:bCs/>
        </w:rPr>
        <w:t>:</w:t>
      </w:r>
      <w:r>
        <w:rPr>
          <w:rFonts w:eastAsia="Palatino-Roman" w:hint="eastAsia"/>
          <w:b/>
          <w:bCs/>
        </w:rPr>
        <w:t xml:space="preserve"> </w:t>
      </w:r>
      <w:r w:rsidR="00885B55" w:rsidRPr="00251ECE">
        <w:t>Ripretinib is strongly recommended.</w:t>
      </w:r>
    </w:p>
    <w:p w14:paraId="6957D911" w14:textId="29AD82C8" w:rsidR="00885B55" w:rsidRPr="00251ECE" w:rsidRDefault="008903CA" w:rsidP="008903CA">
      <w:pPr>
        <w:pBdr>
          <w:bottom w:val="single" w:sz="4" w:space="1" w:color="auto"/>
        </w:pBdr>
        <w:spacing w:line="480" w:lineRule="auto"/>
      </w:pPr>
      <w:r>
        <w:rPr>
          <w:rFonts w:eastAsia="Palatino-Roman" w:hint="eastAsia"/>
          <w:b/>
          <w:bCs/>
        </w:rPr>
        <w:t>3-1-2</w:t>
      </w:r>
      <w:r w:rsidRPr="00CC07C8">
        <w:rPr>
          <w:rFonts w:eastAsia="Palatino-Roman" w:hint="eastAsia"/>
          <w:b/>
          <w:bCs/>
        </w:rPr>
        <w:t>:</w:t>
      </w:r>
      <w:r>
        <w:rPr>
          <w:rFonts w:eastAsia="Palatino-Roman" w:hint="eastAsia"/>
          <w:b/>
          <w:bCs/>
        </w:rPr>
        <w:t xml:space="preserve"> </w:t>
      </w:r>
      <w:r w:rsidR="00885B55" w:rsidRPr="00251ECE">
        <w:t>Pimitespib is recommended.</w:t>
      </w:r>
    </w:p>
    <w:p w14:paraId="323CAB83" w14:textId="096CB599" w:rsidR="00885B55" w:rsidRPr="00251ECE" w:rsidRDefault="00885B55" w:rsidP="00EE1500">
      <w:pPr>
        <w:spacing w:line="480" w:lineRule="auto"/>
      </w:pPr>
      <w:r w:rsidRPr="00251ECE">
        <w:t xml:space="preserve">There are two randomized phase </w:t>
      </w:r>
      <w:r w:rsidR="007B7E02" w:rsidRPr="00251ECE">
        <w:t>3</w:t>
      </w:r>
      <w:r w:rsidRPr="00251ECE">
        <w:t xml:space="preserve"> trials evaluating the benefit of newer agents in patients with </w:t>
      </w:r>
      <w:r w:rsidR="006F280F" w:rsidRPr="00251ECE">
        <w:t>GIST</w:t>
      </w:r>
      <w:r w:rsidR="00643A8C" w:rsidRPr="00251ECE">
        <w:rPr>
          <w:rFonts w:hint="eastAsia"/>
        </w:rPr>
        <w:t xml:space="preserve"> previously</w:t>
      </w:r>
      <w:r w:rsidRPr="00251ECE">
        <w:t xml:space="preserve"> treated with imatinib, sunitinib</w:t>
      </w:r>
      <w:r w:rsidR="009F5A15" w:rsidRPr="00251ECE">
        <w:t>,</w:t>
      </w:r>
      <w:r w:rsidRPr="00251ECE">
        <w:t xml:space="preserve"> and regorafenib.</w:t>
      </w:r>
    </w:p>
    <w:p w14:paraId="012129AA" w14:textId="674E4962" w:rsidR="00885B55" w:rsidRPr="00251ECE" w:rsidRDefault="00885B55" w:rsidP="00CF1FD3">
      <w:pPr>
        <w:spacing w:line="480" w:lineRule="auto"/>
        <w:ind w:firstLine="840"/>
      </w:pPr>
      <w:r w:rsidRPr="00251ECE">
        <w:t xml:space="preserve">Ripretinib is a novel oral inhibitor of </w:t>
      </w:r>
      <w:r w:rsidRPr="00251ECE">
        <w:rPr>
          <w:i/>
          <w:iCs/>
        </w:rPr>
        <w:t>KIT</w:t>
      </w:r>
      <w:r w:rsidRPr="00251ECE">
        <w:t xml:space="preserve"> and </w:t>
      </w:r>
      <w:r w:rsidRPr="00251ECE">
        <w:rPr>
          <w:i/>
          <w:iCs/>
        </w:rPr>
        <w:t>PDGFRA</w:t>
      </w:r>
      <w:r w:rsidRPr="00251ECE">
        <w:t xml:space="preserve">. </w:t>
      </w:r>
      <w:r w:rsidR="00406C9E" w:rsidRPr="00251ECE">
        <w:t xml:space="preserve">The </w:t>
      </w:r>
      <w:r w:rsidRPr="00251ECE">
        <w:t xml:space="preserve">randomized </w:t>
      </w:r>
      <w:r w:rsidR="007B7E02" w:rsidRPr="00251ECE">
        <w:t>p</w:t>
      </w:r>
      <w:r w:rsidRPr="00251ECE">
        <w:t xml:space="preserve">hase </w:t>
      </w:r>
      <w:r w:rsidR="007B7E02" w:rsidRPr="00251ECE">
        <w:t>3</w:t>
      </w:r>
      <w:r w:rsidRPr="00251ECE">
        <w:t xml:space="preserve"> INVICTUS study compared </w:t>
      </w:r>
      <w:r w:rsidR="00406C9E" w:rsidRPr="00251ECE">
        <w:t xml:space="preserve">ripretinib </w:t>
      </w:r>
      <w:r w:rsidR="00643A8C" w:rsidRPr="00251ECE">
        <w:rPr>
          <w:rFonts w:hint="eastAsia"/>
        </w:rPr>
        <w:t>versus</w:t>
      </w:r>
      <w:r w:rsidR="00643A8C" w:rsidRPr="00251ECE">
        <w:t xml:space="preserve"> </w:t>
      </w:r>
      <w:r w:rsidRPr="00251ECE">
        <w:t xml:space="preserve">placebo </w:t>
      </w:r>
      <w:r w:rsidR="003B3B35">
        <w:rPr>
          <w:noProof/>
        </w:rPr>
        <w:t>[31]</w:t>
      </w:r>
      <w:r w:rsidRPr="00251ECE">
        <w:t>. Ripretinib significantly improved PFS (median PFS</w:t>
      </w:r>
      <w:r w:rsidR="00406C9E" w:rsidRPr="00251ECE">
        <w:t>:</w:t>
      </w:r>
      <w:r w:rsidRPr="00251ECE">
        <w:t xml:space="preserve"> </w:t>
      </w:r>
      <w:r w:rsidR="00406C9E" w:rsidRPr="00251ECE">
        <w:t xml:space="preserve">ripretinib, </w:t>
      </w:r>
      <w:r w:rsidRPr="00251ECE">
        <w:t>6.3</w:t>
      </w:r>
      <w:r w:rsidR="00406C9E" w:rsidRPr="00251ECE">
        <w:t xml:space="preserve">; placebo, </w:t>
      </w:r>
      <w:r w:rsidRPr="00251ECE">
        <w:t>1.0 months</w:t>
      </w:r>
      <w:r w:rsidR="00406C9E" w:rsidRPr="00251ECE">
        <w:t xml:space="preserve">; </w:t>
      </w:r>
      <w:r w:rsidR="006852A2" w:rsidRPr="00251ECE">
        <w:t>hazard ratio [</w:t>
      </w:r>
      <w:r w:rsidRPr="00251ECE">
        <w:t>HR</w:t>
      </w:r>
      <w:r w:rsidR="006852A2" w:rsidRPr="00251ECE">
        <w:t>]</w:t>
      </w:r>
      <w:r w:rsidR="00406C9E" w:rsidRPr="00251ECE">
        <w:t>,</w:t>
      </w:r>
      <w:r w:rsidRPr="00251ECE">
        <w:t xml:space="preserve"> 0.15</w:t>
      </w:r>
      <w:r w:rsidR="00406C9E" w:rsidRPr="00251ECE">
        <w:t xml:space="preserve">; p &lt; </w:t>
      </w:r>
      <w:r w:rsidRPr="00251ECE">
        <w:t xml:space="preserve">0.0001) and showed a trend toward improvement in </w:t>
      </w:r>
      <w:r w:rsidR="008C129A" w:rsidRPr="00251ECE">
        <w:t>overall survival (</w:t>
      </w:r>
      <w:r w:rsidRPr="00251ECE">
        <w:t>OS</w:t>
      </w:r>
      <w:r w:rsidR="008C129A" w:rsidRPr="00251ECE">
        <w:t>;</w:t>
      </w:r>
      <w:r w:rsidRPr="00251ECE">
        <w:t xml:space="preserve"> median OS</w:t>
      </w:r>
      <w:r w:rsidR="00406C9E" w:rsidRPr="00251ECE">
        <w:t>:</w:t>
      </w:r>
      <w:r w:rsidRPr="00251ECE">
        <w:t xml:space="preserve"> </w:t>
      </w:r>
      <w:r w:rsidR="00406C9E" w:rsidRPr="00251ECE">
        <w:t xml:space="preserve">ripretinib, </w:t>
      </w:r>
      <w:r w:rsidRPr="00251ECE">
        <w:t>15.1 months</w:t>
      </w:r>
      <w:r w:rsidR="00406C9E" w:rsidRPr="00251ECE">
        <w:t xml:space="preserve">; placebo, </w:t>
      </w:r>
      <w:r w:rsidRPr="00251ECE">
        <w:t>6.6 months</w:t>
      </w:r>
      <w:r w:rsidR="00406C9E" w:rsidRPr="00251ECE">
        <w:t xml:space="preserve">; </w:t>
      </w:r>
      <w:r w:rsidRPr="00251ECE">
        <w:t>HR</w:t>
      </w:r>
      <w:r w:rsidR="00406C9E" w:rsidRPr="00251ECE">
        <w:t>,</w:t>
      </w:r>
      <w:r w:rsidRPr="00251ECE">
        <w:t xml:space="preserve"> 0.36), although </w:t>
      </w:r>
      <w:r w:rsidR="00CF3304" w:rsidRPr="00251ECE">
        <w:t xml:space="preserve">a </w:t>
      </w:r>
      <w:r w:rsidRPr="00251ECE">
        <w:t xml:space="preserve">formal statistical analysis was not performed based on hierarchical testing of endpoints (as objective response rate </w:t>
      </w:r>
      <w:r w:rsidR="00B10261">
        <w:rPr>
          <w:rFonts w:hint="eastAsia"/>
        </w:rPr>
        <w:t xml:space="preserve">[ORR] </w:t>
      </w:r>
      <w:r w:rsidRPr="00251ECE">
        <w:t>was not significantly different). The most common adverse events were alopecia (49%), followed by myalgia (28%), nausea (26%)</w:t>
      </w:r>
      <w:r w:rsidR="00643A8C" w:rsidRPr="00251ECE">
        <w:rPr>
          <w:rFonts w:hint="eastAsia"/>
        </w:rPr>
        <w:t>,</w:t>
      </w:r>
      <w:r w:rsidRPr="00251ECE">
        <w:t xml:space="preserve"> and fatigue (26%). Toxicities were generally mild and well tolerated.</w:t>
      </w:r>
      <w:r w:rsidR="005A76C3" w:rsidRPr="00251ECE">
        <w:t xml:space="preserve"> </w:t>
      </w:r>
      <w:r w:rsidRPr="00251ECE">
        <w:t xml:space="preserve">Pimitespib is an orally available heat shock protein 90 inhibitor </w:t>
      </w:r>
      <w:r w:rsidR="00406C9E" w:rsidRPr="00251ECE">
        <w:t xml:space="preserve">that is </w:t>
      </w:r>
      <w:r w:rsidRPr="00251ECE">
        <w:t xml:space="preserve">currently only </w:t>
      </w:r>
      <w:r w:rsidR="00406C9E" w:rsidRPr="00251ECE">
        <w:t xml:space="preserve">available </w:t>
      </w:r>
      <w:r w:rsidRPr="00251ECE">
        <w:t xml:space="preserve">in Japan. Pimitespib was evaluated against placebo in </w:t>
      </w:r>
      <w:r w:rsidR="00406C9E" w:rsidRPr="00251ECE">
        <w:t xml:space="preserve">a </w:t>
      </w:r>
      <w:r w:rsidRPr="00251ECE">
        <w:t xml:space="preserve">randomized </w:t>
      </w:r>
      <w:r w:rsidR="007B7E02" w:rsidRPr="00251ECE">
        <w:t>p</w:t>
      </w:r>
      <w:r w:rsidRPr="00251ECE">
        <w:t xml:space="preserve">hase </w:t>
      </w:r>
      <w:r w:rsidR="007B7E02" w:rsidRPr="00251ECE">
        <w:t>3</w:t>
      </w:r>
      <w:r w:rsidRPr="00251ECE">
        <w:t xml:space="preserve"> trial </w:t>
      </w:r>
      <w:r w:rsidR="003B3B35">
        <w:rPr>
          <w:noProof/>
        </w:rPr>
        <w:t>[32]</w:t>
      </w:r>
      <w:r w:rsidRPr="00251ECE">
        <w:t>. Pimitespib showed a significant improvement in PFS (median PFS</w:t>
      </w:r>
      <w:r w:rsidR="00406C9E" w:rsidRPr="00251ECE">
        <w:t>:</w:t>
      </w:r>
      <w:r w:rsidRPr="00251ECE">
        <w:t xml:space="preserve"> </w:t>
      </w:r>
      <w:r w:rsidR="00406C9E" w:rsidRPr="00251ECE">
        <w:t xml:space="preserve">pimitespib, </w:t>
      </w:r>
      <w:r w:rsidRPr="00251ECE">
        <w:t>2.8 months</w:t>
      </w:r>
      <w:r w:rsidR="00406C9E" w:rsidRPr="00251ECE">
        <w:t xml:space="preserve">; placebo, </w:t>
      </w:r>
      <w:r w:rsidRPr="00251ECE">
        <w:t>1.4 months</w:t>
      </w:r>
      <w:r w:rsidR="00406C9E" w:rsidRPr="00251ECE">
        <w:t xml:space="preserve">; </w:t>
      </w:r>
      <w:r w:rsidRPr="00251ECE">
        <w:t>HR</w:t>
      </w:r>
      <w:r w:rsidR="00406C9E" w:rsidRPr="00251ECE">
        <w:t>,</w:t>
      </w:r>
      <w:r w:rsidRPr="00251ECE">
        <w:t xml:space="preserve"> 0.51</w:t>
      </w:r>
      <w:r w:rsidR="00406C9E" w:rsidRPr="00251ECE">
        <w:t xml:space="preserve">; p = </w:t>
      </w:r>
      <w:r w:rsidRPr="00251ECE">
        <w:t xml:space="preserve">0.006). </w:t>
      </w:r>
      <w:r w:rsidR="00406C9E" w:rsidRPr="00251ECE">
        <w:t xml:space="preserve">The median </w:t>
      </w:r>
      <w:r w:rsidRPr="00251ECE">
        <w:t xml:space="preserve">OS was significantly improved with pimitespib (median OS in the </w:t>
      </w:r>
      <w:r w:rsidR="0035410A" w:rsidRPr="00251ECE">
        <w:t xml:space="preserve">rank preserving structural failure time </w:t>
      </w:r>
      <w:r w:rsidRPr="00251ECE">
        <w:t xml:space="preserve">model adjusting for </w:t>
      </w:r>
      <w:r w:rsidR="00643A8C" w:rsidRPr="00251ECE">
        <w:rPr>
          <w:rFonts w:hint="eastAsia"/>
        </w:rPr>
        <w:t xml:space="preserve">the </w:t>
      </w:r>
      <w:r w:rsidRPr="00251ECE">
        <w:lastRenderedPageBreak/>
        <w:t>crossover effect</w:t>
      </w:r>
      <w:r w:rsidR="00406C9E" w:rsidRPr="00251ECE">
        <w:t>:</w:t>
      </w:r>
      <w:r w:rsidRPr="00251ECE">
        <w:t xml:space="preserve"> pimitespib</w:t>
      </w:r>
      <w:r w:rsidR="00406C9E" w:rsidRPr="00251ECE">
        <w:t xml:space="preserve">, 13.8 months; </w:t>
      </w:r>
      <w:r w:rsidRPr="00251ECE">
        <w:t xml:space="preserve">placebo, </w:t>
      </w:r>
      <w:r w:rsidR="00406C9E" w:rsidRPr="00251ECE">
        <w:t xml:space="preserve">7.6 months; </w:t>
      </w:r>
      <w:r w:rsidRPr="00251ECE">
        <w:t>HR</w:t>
      </w:r>
      <w:r w:rsidR="00406C9E" w:rsidRPr="00251ECE">
        <w:t>,</w:t>
      </w:r>
      <w:r w:rsidRPr="00251ECE">
        <w:t xml:space="preserve"> 0.42</w:t>
      </w:r>
      <w:r w:rsidR="00406C9E" w:rsidRPr="00251ECE">
        <w:t xml:space="preserve">; p = </w:t>
      </w:r>
      <w:r w:rsidRPr="00251ECE">
        <w:t>0.007). The most common adverse events were diarrhea (74.1%) followed by decreased appetite (31%). Treatment-emergent serious adverse events were reported in 10.6% of patients.</w:t>
      </w:r>
      <w:r w:rsidR="00CF1FD3" w:rsidRPr="00251ECE">
        <w:t xml:space="preserve"> </w:t>
      </w:r>
      <w:r w:rsidRPr="00251ECE">
        <w:t xml:space="preserve">Based on these results, the panel recommends both ripretinib and pimitespib. The </w:t>
      </w:r>
      <w:r w:rsidR="003B4A7F" w:rsidRPr="00251ECE">
        <w:t>p</w:t>
      </w:r>
      <w:r w:rsidRPr="00251ECE">
        <w:t>anel discussed the magnitude of benefit</w:t>
      </w:r>
      <w:r w:rsidR="00406C9E" w:rsidRPr="00251ECE">
        <w:t>s</w:t>
      </w:r>
      <w:r w:rsidRPr="00251ECE">
        <w:t xml:space="preserve"> and toxicities, resulting in a strong recommendation for ripretinib and a recommendation for pimitespib.</w:t>
      </w:r>
    </w:p>
    <w:p w14:paraId="4B8C63C7" w14:textId="3F8114E3" w:rsidR="000B7D9F" w:rsidRPr="00251ECE" w:rsidRDefault="00406C9E" w:rsidP="00CF1FD3">
      <w:pPr>
        <w:spacing w:line="480" w:lineRule="auto"/>
        <w:ind w:firstLine="567"/>
      </w:pPr>
      <w:r w:rsidRPr="00251ECE">
        <w:t xml:space="preserve">To date, </w:t>
      </w:r>
      <w:r w:rsidR="0079341D" w:rsidRPr="00251ECE">
        <w:rPr>
          <w:rFonts w:hint="eastAsia"/>
        </w:rPr>
        <w:t>no study has directly compared</w:t>
      </w:r>
      <w:r w:rsidR="00885B55" w:rsidRPr="00251ECE">
        <w:t xml:space="preserve"> ripretinib and pimitespib, and the optimal treatment sequence or whether the combination of these agents would show superior efficacy is unknown. Currently, ripretinib is being compared with sunitinib in a randomized phase </w:t>
      </w:r>
      <w:r w:rsidR="007B7E02" w:rsidRPr="00251ECE">
        <w:t>3</w:t>
      </w:r>
      <w:r w:rsidR="00885B55" w:rsidRPr="00251ECE">
        <w:t xml:space="preserve"> trial, INSIGHT, in patients with </w:t>
      </w:r>
      <w:r w:rsidR="006F280F" w:rsidRPr="00251ECE">
        <w:t>GIST</w:t>
      </w:r>
      <w:r w:rsidR="00885B55" w:rsidRPr="00251ECE">
        <w:t xml:space="preserve"> previously treated with imatinib and with a secondary mutation in </w:t>
      </w:r>
      <w:r w:rsidR="00885B55" w:rsidRPr="00251ECE">
        <w:rPr>
          <w:i/>
          <w:iCs/>
        </w:rPr>
        <w:t xml:space="preserve">KIT </w:t>
      </w:r>
      <w:r w:rsidR="00175667" w:rsidRPr="00251ECE">
        <w:t xml:space="preserve">exon </w:t>
      </w:r>
      <w:r w:rsidR="00885B55" w:rsidRPr="00251ECE">
        <w:t xml:space="preserve">17 and/or </w:t>
      </w:r>
      <w:r w:rsidRPr="00251ECE">
        <w:t xml:space="preserve">exon </w:t>
      </w:r>
      <w:r w:rsidR="00885B55" w:rsidRPr="00251ECE">
        <w:t xml:space="preserve">18 </w:t>
      </w:r>
      <w:r w:rsidR="003B3B35">
        <w:rPr>
          <w:noProof/>
        </w:rPr>
        <w:t>[33]</w:t>
      </w:r>
      <w:r w:rsidR="00885B55" w:rsidRPr="00EA5C96">
        <w:rPr>
          <w:color w:val="EE0000"/>
        </w:rPr>
        <w:t>.</w:t>
      </w:r>
      <w:r w:rsidR="00885B55" w:rsidRPr="00251ECE">
        <w:t xml:space="preserve"> Pimitespib in combination with imatinib after failure </w:t>
      </w:r>
      <w:r w:rsidRPr="00251ECE">
        <w:t xml:space="preserve">of imatinib </w:t>
      </w:r>
      <w:r w:rsidR="00885B55" w:rsidRPr="00251ECE">
        <w:t xml:space="preserve">is also being compared with sunitinib in a </w:t>
      </w:r>
      <w:r w:rsidR="007B7E02" w:rsidRPr="00251ECE">
        <w:t>p</w:t>
      </w:r>
      <w:r w:rsidR="00885B55" w:rsidRPr="00251ECE">
        <w:t>hase I study</w:t>
      </w:r>
      <w:r w:rsidR="00147964" w:rsidRPr="00251ECE">
        <w:t xml:space="preserve"> (jRCT2011210044)</w:t>
      </w:r>
      <w:r w:rsidR="00F8697B" w:rsidRPr="00251ECE">
        <w:t xml:space="preserve"> </w:t>
      </w:r>
      <w:r w:rsidR="003B3B35">
        <w:rPr>
          <w:noProof/>
        </w:rPr>
        <w:t>[34]</w:t>
      </w:r>
      <w:r w:rsidR="00885B55" w:rsidRPr="00251ECE">
        <w:t>.</w:t>
      </w:r>
    </w:p>
    <w:p w14:paraId="7F761D71" w14:textId="5DB8633C" w:rsidR="000B7D9F" w:rsidRPr="00251ECE" w:rsidRDefault="000B7D9F" w:rsidP="0052767B">
      <w:pPr>
        <w:spacing w:line="480" w:lineRule="auto"/>
        <w:ind w:firstLine="567"/>
      </w:pPr>
      <w:r w:rsidRPr="00251ECE">
        <w:t>When these agents are not available or have failed, rechallenge with previously used treatments</w:t>
      </w:r>
      <w:r w:rsidR="00C420D4" w:rsidRPr="00251ECE">
        <w:rPr>
          <w:rFonts w:hint="eastAsia"/>
        </w:rPr>
        <w:t xml:space="preserve"> that were</w:t>
      </w:r>
      <w:r w:rsidR="00D32244" w:rsidRPr="00251ECE">
        <w:rPr>
          <w:rFonts w:hint="eastAsia"/>
        </w:rPr>
        <w:t xml:space="preserve"> form</w:t>
      </w:r>
      <w:r w:rsidR="00292CD5" w:rsidRPr="00251ECE">
        <w:rPr>
          <w:rFonts w:hint="eastAsia"/>
        </w:rPr>
        <w:t>erly</w:t>
      </w:r>
      <w:r w:rsidR="00C420D4" w:rsidRPr="00251ECE">
        <w:rPr>
          <w:rFonts w:hint="eastAsia"/>
        </w:rPr>
        <w:t xml:space="preserve"> effective</w:t>
      </w:r>
      <w:r w:rsidR="009B67B9" w:rsidRPr="00251ECE">
        <w:rPr>
          <w:rFonts w:hint="eastAsia"/>
        </w:rPr>
        <w:t xml:space="preserve"> </w:t>
      </w:r>
      <w:r w:rsidRPr="00251ECE">
        <w:t xml:space="preserve">may be considered as a therapeutic option, as exemplified by the RIGHT study, which demonstrated </w:t>
      </w:r>
      <w:r w:rsidR="00E92CBD" w:rsidRPr="00251ECE">
        <w:t xml:space="preserve">a </w:t>
      </w:r>
      <w:r w:rsidRPr="00251ECE">
        <w:t xml:space="preserve">benefit of imatinib </w:t>
      </w:r>
      <w:r w:rsidR="00307525" w:rsidRPr="00251ECE">
        <w:t>rechallenge</w:t>
      </w:r>
      <w:r w:rsidR="00307525" w:rsidRPr="00251ECE">
        <w:rPr>
          <w:rFonts w:hint="eastAsia"/>
        </w:rPr>
        <w:t xml:space="preserve"> </w:t>
      </w:r>
      <w:r w:rsidRPr="00251ECE">
        <w:t>over placebo following failure of at least first-line imatinib and second-line sunitinib</w:t>
      </w:r>
      <w:r w:rsidR="00747555" w:rsidRPr="00251ECE">
        <w:rPr>
          <w:rFonts w:hint="eastAsia"/>
        </w:rPr>
        <w:t xml:space="preserve"> </w:t>
      </w:r>
      <w:r w:rsidR="003B3B35">
        <w:rPr>
          <w:noProof/>
        </w:rPr>
        <w:t>[35]</w:t>
      </w:r>
      <w:r w:rsidRPr="00251ECE">
        <w:t>.</w:t>
      </w:r>
    </w:p>
    <w:p w14:paraId="29EE3266" w14:textId="77777777" w:rsidR="000B7D9F" w:rsidRPr="00251ECE" w:rsidRDefault="000B7D9F" w:rsidP="00CF1FD3">
      <w:pPr>
        <w:spacing w:line="480" w:lineRule="auto"/>
        <w:ind w:firstLine="567"/>
      </w:pPr>
    </w:p>
    <w:p w14:paraId="58750975" w14:textId="77777777" w:rsidR="00890771" w:rsidRDefault="00890771">
      <w:pPr>
        <w:spacing w:line="360" w:lineRule="auto"/>
        <w:ind w:left="992" w:hanging="992"/>
        <w:rPr>
          <w:b/>
          <w:bCs/>
        </w:rPr>
      </w:pPr>
      <w:r>
        <w:br w:type="page"/>
      </w:r>
    </w:p>
    <w:p w14:paraId="52AA5D2D" w14:textId="77F6F72A" w:rsidR="00885B55" w:rsidRPr="00251ECE" w:rsidRDefault="00885B55" w:rsidP="00CF1FD3">
      <w:pPr>
        <w:pStyle w:val="Heading3"/>
        <w:pBdr>
          <w:top w:val="single" w:sz="4" w:space="1" w:color="auto"/>
        </w:pBdr>
        <w:ind w:left="0" w:firstLine="0"/>
      </w:pPr>
      <w:r w:rsidRPr="00251ECE">
        <w:lastRenderedPageBreak/>
        <w:t>CQ</w:t>
      </w:r>
      <w:r w:rsidR="00D7390C" w:rsidRPr="00251ECE">
        <w:t>3-2</w:t>
      </w:r>
      <w:r w:rsidRPr="00251ECE">
        <w:t xml:space="preserve">. What is recommended for </w:t>
      </w:r>
      <w:r w:rsidR="006F280F" w:rsidRPr="00251ECE">
        <w:t>GIST</w:t>
      </w:r>
      <w:r w:rsidRPr="00251ECE">
        <w:t xml:space="preserve"> without </w:t>
      </w:r>
      <w:r w:rsidRPr="00251ECE">
        <w:rPr>
          <w:i/>
          <w:iCs/>
        </w:rPr>
        <w:t>KIT</w:t>
      </w:r>
      <w:r w:rsidRPr="00251ECE">
        <w:t xml:space="preserve"> mutation</w:t>
      </w:r>
      <w:r w:rsidR="00406C9E" w:rsidRPr="00251ECE">
        <w:t>s</w:t>
      </w:r>
      <w:r w:rsidRPr="00251ECE">
        <w:t>?</w:t>
      </w:r>
    </w:p>
    <w:p w14:paraId="6CC57AA9" w14:textId="77777777" w:rsidR="00885B55" w:rsidRPr="008903CA" w:rsidRDefault="00885B55" w:rsidP="00EE1500">
      <w:pPr>
        <w:spacing w:line="480" w:lineRule="auto"/>
        <w:rPr>
          <w:b/>
          <w:bCs/>
        </w:rPr>
      </w:pPr>
      <w:r w:rsidRPr="008903CA">
        <w:rPr>
          <w:b/>
          <w:bCs/>
        </w:rPr>
        <w:t>Recommendation</w:t>
      </w:r>
    </w:p>
    <w:p w14:paraId="00DDB87A" w14:textId="5A442F6C" w:rsidR="00CF1FD3" w:rsidRPr="00251ECE" w:rsidRDefault="008903CA" w:rsidP="008903CA">
      <w:pPr>
        <w:spacing w:line="480" w:lineRule="auto"/>
      </w:pPr>
      <w:r>
        <w:rPr>
          <w:rFonts w:eastAsia="Palatino-Roman" w:hint="eastAsia"/>
          <w:b/>
          <w:bCs/>
        </w:rPr>
        <w:t>3-2-1</w:t>
      </w:r>
      <w:r w:rsidRPr="00CC07C8">
        <w:rPr>
          <w:rFonts w:eastAsia="Palatino-Roman" w:hint="eastAsia"/>
          <w:b/>
          <w:bCs/>
        </w:rPr>
        <w:t>:</w:t>
      </w:r>
      <w:r>
        <w:rPr>
          <w:rFonts w:eastAsia="Palatino-Roman" w:hint="eastAsia"/>
          <w:b/>
          <w:bCs/>
        </w:rPr>
        <w:t xml:space="preserve"> </w:t>
      </w:r>
      <w:r w:rsidR="00885B55" w:rsidRPr="008903CA">
        <w:rPr>
          <w:i/>
          <w:iCs/>
        </w:rPr>
        <w:t>PDGFRA</w:t>
      </w:r>
      <w:r w:rsidR="00885B55" w:rsidRPr="00251ECE">
        <w:t xml:space="preserve"> exon 18 mutations including D842V: avapritinib is recommended. </w:t>
      </w:r>
    </w:p>
    <w:p w14:paraId="61070275" w14:textId="37F21C99" w:rsidR="00CF1FD3" w:rsidRPr="00251ECE" w:rsidRDefault="008903CA" w:rsidP="008903CA">
      <w:pPr>
        <w:spacing w:line="480" w:lineRule="auto"/>
      </w:pPr>
      <w:r>
        <w:rPr>
          <w:rFonts w:eastAsia="Palatino-Roman" w:hint="eastAsia"/>
          <w:b/>
          <w:bCs/>
        </w:rPr>
        <w:t>3-2-2</w:t>
      </w:r>
      <w:r w:rsidRPr="00CC07C8">
        <w:rPr>
          <w:rFonts w:eastAsia="Palatino-Roman" w:hint="eastAsia"/>
          <w:b/>
          <w:bCs/>
        </w:rPr>
        <w:t>:</w:t>
      </w:r>
      <w:r>
        <w:rPr>
          <w:rFonts w:eastAsia="Palatino-Roman" w:hint="eastAsia"/>
          <w:b/>
          <w:bCs/>
        </w:rPr>
        <w:t xml:space="preserve"> </w:t>
      </w:r>
      <w:r w:rsidR="00885B55" w:rsidRPr="008903CA">
        <w:rPr>
          <w:i/>
          <w:iCs/>
        </w:rPr>
        <w:t>NTRK1/3</w:t>
      </w:r>
      <w:r w:rsidR="00885B55" w:rsidRPr="00251ECE">
        <w:t xml:space="preserve"> fusions: entrectinib and larotrectinib are recommended.</w:t>
      </w:r>
    </w:p>
    <w:p w14:paraId="65E5E64B" w14:textId="725AF982" w:rsidR="00885B55" w:rsidRPr="00251ECE" w:rsidRDefault="008903CA" w:rsidP="008903CA">
      <w:pPr>
        <w:pBdr>
          <w:bottom w:val="single" w:sz="4" w:space="1" w:color="auto"/>
        </w:pBdr>
        <w:spacing w:line="480" w:lineRule="auto"/>
      </w:pPr>
      <w:r>
        <w:rPr>
          <w:rFonts w:eastAsia="Palatino-Roman" w:hint="eastAsia"/>
          <w:b/>
          <w:bCs/>
        </w:rPr>
        <w:t>3-2-3</w:t>
      </w:r>
      <w:r w:rsidRPr="00CC07C8">
        <w:rPr>
          <w:rFonts w:eastAsia="Palatino-Roman" w:hint="eastAsia"/>
          <w:b/>
          <w:bCs/>
        </w:rPr>
        <w:t>:</w:t>
      </w:r>
      <w:r>
        <w:rPr>
          <w:rFonts w:eastAsia="Palatino-Roman" w:hint="eastAsia"/>
          <w:b/>
          <w:bCs/>
        </w:rPr>
        <w:t xml:space="preserve"> </w:t>
      </w:r>
      <w:r w:rsidR="00885B55" w:rsidRPr="008903CA">
        <w:rPr>
          <w:i/>
          <w:iCs/>
        </w:rPr>
        <w:t>BRAF</w:t>
      </w:r>
      <w:r w:rsidR="00885B55" w:rsidRPr="00251ECE">
        <w:t xml:space="preserve"> V600E mutations: dabrafenib plus trametinib </w:t>
      </w:r>
      <w:r w:rsidR="00A15E4E" w:rsidRPr="00251ECE">
        <w:rPr>
          <w:rFonts w:hint="eastAsia"/>
        </w:rPr>
        <w:t>is</w:t>
      </w:r>
      <w:r w:rsidR="00A15E4E" w:rsidRPr="00251ECE">
        <w:t xml:space="preserve"> </w:t>
      </w:r>
      <w:r w:rsidR="00885B55" w:rsidRPr="00251ECE">
        <w:t>recommended.</w:t>
      </w:r>
    </w:p>
    <w:p w14:paraId="5EC614ED" w14:textId="4D5498DC" w:rsidR="00885B55" w:rsidRPr="00251ECE" w:rsidRDefault="00885B55" w:rsidP="00EE1500">
      <w:pPr>
        <w:spacing w:line="480" w:lineRule="auto"/>
      </w:pPr>
      <w:r w:rsidRPr="00251ECE">
        <w:t xml:space="preserve">The strategy of medical therapy for </w:t>
      </w:r>
      <w:r w:rsidR="006F280F" w:rsidRPr="00251ECE">
        <w:t>GIST</w:t>
      </w:r>
      <w:r w:rsidRPr="00251ECE">
        <w:t xml:space="preserve"> without </w:t>
      </w:r>
      <w:r w:rsidRPr="00251ECE">
        <w:rPr>
          <w:i/>
          <w:iCs/>
        </w:rPr>
        <w:t>KIT</w:t>
      </w:r>
      <w:r w:rsidRPr="00251ECE">
        <w:t xml:space="preserve"> mutations differs from the standard </w:t>
      </w:r>
      <w:r w:rsidR="00A15E4E" w:rsidRPr="00251ECE">
        <w:t>seq</w:t>
      </w:r>
      <w:r w:rsidR="000E5246" w:rsidRPr="00251ECE">
        <w:t>uence</w:t>
      </w:r>
      <w:r w:rsidR="00A15E4E" w:rsidRPr="00251ECE">
        <w:t xml:space="preserve"> </w:t>
      </w:r>
      <w:r w:rsidRPr="00251ECE">
        <w:t xml:space="preserve">for </w:t>
      </w:r>
      <w:r w:rsidR="006F280F" w:rsidRPr="00251ECE">
        <w:t>GIST</w:t>
      </w:r>
      <w:r w:rsidRPr="00251ECE">
        <w:t xml:space="preserve"> with </w:t>
      </w:r>
      <w:r w:rsidRPr="00251ECE">
        <w:rPr>
          <w:i/>
          <w:iCs/>
        </w:rPr>
        <w:t>KIT</w:t>
      </w:r>
      <w:r w:rsidRPr="00251ECE">
        <w:t xml:space="preserve"> mutations. The most common recurrent mutation</w:t>
      </w:r>
      <w:r w:rsidR="00406C9E" w:rsidRPr="00251ECE">
        <w:t>s</w:t>
      </w:r>
      <w:r w:rsidRPr="00251ECE">
        <w:t xml:space="preserve"> in </w:t>
      </w:r>
      <w:r w:rsidR="006F280F" w:rsidRPr="00251ECE">
        <w:t>GIST</w:t>
      </w:r>
      <w:r w:rsidRPr="00251ECE">
        <w:t xml:space="preserve"> other than </w:t>
      </w:r>
      <w:r w:rsidRPr="00251ECE">
        <w:rPr>
          <w:i/>
          <w:iCs/>
        </w:rPr>
        <w:t>KIT</w:t>
      </w:r>
      <w:r w:rsidRPr="00251ECE">
        <w:t xml:space="preserve"> mutation</w:t>
      </w:r>
      <w:r w:rsidR="00406C9E" w:rsidRPr="00251ECE">
        <w:t>s</w:t>
      </w:r>
      <w:r w:rsidRPr="00251ECE">
        <w:t xml:space="preserve"> </w:t>
      </w:r>
      <w:r w:rsidR="00406C9E" w:rsidRPr="00251ECE">
        <w:t xml:space="preserve">are </w:t>
      </w:r>
      <w:r w:rsidRPr="00251ECE">
        <w:rPr>
          <w:i/>
          <w:iCs/>
        </w:rPr>
        <w:t>PDGFRA</w:t>
      </w:r>
      <w:r w:rsidRPr="00251ECE">
        <w:t xml:space="preserve"> mutation</w:t>
      </w:r>
      <w:r w:rsidR="00406C9E" w:rsidRPr="00251ECE">
        <w:t>s</w:t>
      </w:r>
      <w:r w:rsidRPr="00251ECE">
        <w:t xml:space="preserve">. The efficacy of imatinib for </w:t>
      </w:r>
      <w:r w:rsidR="006F280F" w:rsidRPr="00251ECE">
        <w:t>GIST</w:t>
      </w:r>
      <w:r w:rsidRPr="00251ECE">
        <w:t xml:space="preserve"> with </w:t>
      </w:r>
      <w:r w:rsidRPr="00251ECE">
        <w:rPr>
          <w:i/>
          <w:iCs/>
        </w:rPr>
        <w:t>PDGFRA</w:t>
      </w:r>
      <w:r w:rsidRPr="00251ECE">
        <w:t xml:space="preserve"> mutation</w:t>
      </w:r>
      <w:r w:rsidR="00406C9E" w:rsidRPr="00251ECE">
        <w:t>s</w:t>
      </w:r>
      <w:r w:rsidRPr="00251ECE">
        <w:t xml:space="preserve"> depends on the details of the mutation. For example, D842V mutation in </w:t>
      </w:r>
      <w:r w:rsidRPr="00251ECE">
        <w:rPr>
          <w:i/>
          <w:iCs/>
        </w:rPr>
        <w:t>PDGFR</w:t>
      </w:r>
      <w:r w:rsidR="00D95A07" w:rsidRPr="00251ECE">
        <w:rPr>
          <w:i/>
          <w:iCs/>
        </w:rPr>
        <w:t>A</w:t>
      </w:r>
      <w:r w:rsidRPr="00251ECE">
        <w:rPr>
          <w:i/>
          <w:iCs/>
        </w:rPr>
        <w:t xml:space="preserve"> </w:t>
      </w:r>
      <w:r w:rsidRPr="00251ECE">
        <w:t xml:space="preserve">exon 18 is known to </w:t>
      </w:r>
      <w:r w:rsidR="00406C9E" w:rsidRPr="00251ECE">
        <w:t xml:space="preserve">confer resistance </w:t>
      </w:r>
      <w:r w:rsidRPr="00251ECE">
        <w:t>to imatinib</w:t>
      </w:r>
      <w:r w:rsidR="005D4688" w:rsidRPr="00251ECE">
        <w:t xml:space="preserve"> </w:t>
      </w:r>
      <w:r w:rsidR="003B3B35">
        <w:rPr>
          <w:noProof/>
        </w:rPr>
        <w:t>[36]</w:t>
      </w:r>
      <w:r w:rsidRPr="00251ECE">
        <w:t xml:space="preserve">. </w:t>
      </w:r>
      <w:r w:rsidR="00406C9E" w:rsidRPr="00251ECE">
        <w:t xml:space="preserve">While </w:t>
      </w:r>
      <w:r w:rsidRPr="00251ECE">
        <w:t>no randomized trial</w:t>
      </w:r>
      <w:r w:rsidR="00406C9E" w:rsidRPr="00251ECE">
        <w:t>s</w:t>
      </w:r>
      <w:r w:rsidRPr="00251ECE">
        <w:t xml:space="preserve"> </w:t>
      </w:r>
      <w:r w:rsidR="00406C9E" w:rsidRPr="00251ECE">
        <w:t xml:space="preserve">have specifically focused on </w:t>
      </w:r>
      <w:r w:rsidRPr="00251ECE">
        <w:rPr>
          <w:i/>
          <w:iCs/>
        </w:rPr>
        <w:t>PDGFRA</w:t>
      </w:r>
      <w:r w:rsidRPr="00251ECE">
        <w:t xml:space="preserve">-mutant </w:t>
      </w:r>
      <w:r w:rsidR="006F280F" w:rsidRPr="00251ECE">
        <w:t>GIST</w:t>
      </w:r>
      <w:r w:rsidRPr="00251ECE">
        <w:t xml:space="preserve">, avapritinib demonstrated excellent activity against </w:t>
      </w:r>
      <w:r w:rsidRPr="00251ECE">
        <w:rPr>
          <w:i/>
          <w:iCs/>
        </w:rPr>
        <w:t>PDGFR</w:t>
      </w:r>
      <w:r w:rsidR="00D95A07" w:rsidRPr="00251ECE">
        <w:rPr>
          <w:i/>
          <w:iCs/>
        </w:rPr>
        <w:t>A</w:t>
      </w:r>
      <w:r w:rsidRPr="00251ECE">
        <w:t xml:space="preserve">-mutant </w:t>
      </w:r>
      <w:r w:rsidR="006F280F" w:rsidRPr="00251ECE">
        <w:t>GIST</w:t>
      </w:r>
      <w:r w:rsidRPr="00251ECE">
        <w:t xml:space="preserve"> in a </w:t>
      </w:r>
      <w:r w:rsidR="001013DB" w:rsidRPr="00251ECE">
        <w:t>p</w:t>
      </w:r>
      <w:r w:rsidRPr="00251ECE">
        <w:t xml:space="preserve">hase </w:t>
      </w:r>
      <w:r w:rsidR="003B4A7F" w:rsidRPr="00251ECE">
        <w:t>1</w:t>
      </w:r>
      <w:r w:rsidRPr="00251ECE">
        <w:t xml:space="preserve"> study, NAVIGATOR</w:t>
      </w:r>
      <w:r w:rsidRPr="00EA5C96">
        <w:rPr>
          <w:color w:val="EE0000"/>
        </w:rPr>
        <w:t xml:space="preserve"> </w:t>
      </w:r>
      <w:r w:rsidR="003B3B35">
        <w:rPr>
          <w:noProof/>
        </w:rPr>
        <w:t>[37]</w:t>
      </w:r>
      <w:r w:rsidRPr="00251ECE">
        <w:t xml:space="preserve">. In this study, avapritinib demonstrated an excellent </w:t>
      </w:r>
      <w:r w:rsidR="0060699E">
        <w:rPr>
          <w:rFonts w:hint="eastAsia"/>
        </w:rPr>
        <w:t xml:space="preserve">ORR </w:t>
      </w:r>
      <w:r w:rsidRPr="00251ECE">
        <w:t xml:space="preserve">(88%) in patients with </w:t>
      </w:r>
      <w:r w:rsidRPr="00251ECE">
        <w:rPr>
          <w:i/>
          <w:iCs/>
        </w:rPr>
        <w:t>PDGFR</w:t>
      </w:r>
      <w:r w:rsidR="00D95A07" w:rsidRPr="00251ECE">
        <w:rPr>
          <w:i/>
          <w:iCs/>
        </w:rPr>
        <w:t>A</w:t>
      </w:r>
      <w:r w:rsidRPr="00251ECE">
        <w:rPr>
          <w:i/>
          <w:iCs/>
        </w:rPr>
        <w:t xml:space="preserve"> </w:t>
      </w:r>
      <w:r w:rsidRPr="00251ECE">
        <w:t xml:space="preserve">D842V-mutant GIST. The most common adverse events at the </w:t>
      </w:r>
      <w:r w:rsidR="00B3619D" w:rsidRPr="00251ECE">
        <w:t>p</w:t>
      </w:r>
      <w:r w:rsidRPr="00251ECE">
        <w:t xml:space="preserve">hase </w:t>
      </w:r>
      <w:r w:rsidR="003B4A7F" w:rsidRPr="00251ECE">
        <w:t>1</w:t>
      </w:r>
      <w:r w:rsidRPr="00251ECE">
        <w:t xml:space="preserve"> recommended dose (300 mg daily) were nausea (69%), fatigue (41%)</w:t>
      </w:r>
      <w:r w:rsidR="000E5246" w:rsidRPr="00251ECE">
        <w:rPr>
          <w:rFonts w:hint="eastAsia"/>
        </w:rPr>
        <w:t>,</w:t>
      </w:r>
      <w:r w:rsidRPr="00251ECE">
        <w:t xml:space="preserve"> and diarrhea (47%). </w:t>
      </w:r>
      <w:r w:rsidR="008D706A" w:rsidRPr="00251ECE">
        <w:t xml:space="preserve">Noteworthy adverse </w:t>
      </w:r>
      <w:r w:rsidRPr="00251ECE">
        <w:t xml:space="preserve">events included cognitive effects (40%) and intracranial bleeding (2%). Based on the results of NAVIGATOR, the </w:t>
      </w:r>
      <w:r w:rsidR="000E5246" w:rsidRPr="00251ECE">
        <w:rPr>
          <w:rFonts w:hint="eastAsia"/>
        </w:rPr>
        <w:t xml:space="preserve">US </w:t>
      </w:r>
      <w:r w:rsidR="00DF694A" w:rsidRPr="00251ECE">
        <w:t>Food and Drug Administration (</w:t>
      </w:r>
      <w:r w:rsidRPr="00251ECE">
        <w:t>FDA</w:t>
      </w:r>
      <w:r w:rsidR="00DF694A" w:rsidRPr="00251ECE">
        <w:t>)</w:t>
      </w:r>
      <w:r w:rsidRPr="00251ECE">
        <w:t xml:space="preserve"> approved avapritinib for the treatment of adults with unresectable or metastatic </w:t>
      </w:r>
      <w:r w:rsidR="006F280F" w:rsidRPr="00251ECE">
        <w:t>GIST</w:t>
      </w:r>
      <w:r w:rsidRPr="00251ECE">
        <w:t xml:space="preserve"> harboring </w:t>
      </w:r>
      <w:r w:rsidRPr="00251ECE">
        <w:rPr>
          <w:i/>
          <w:iCs/>
        </w:rPr>
        <w:t>PDGFRA</w:t>
      </w:r>
      <w:r w:rsidRPr="00251ECE">
        <w:t xml:space="preserve"> exon 18 mutation</w:t>
      </w:r>
      <w:r w:rsidR="00406C9E" w:rsidRPr="00251ECE">
        <w:t>s</w:t>
      </w:r>
      <w:r w:rsidRPr="00251ECE">
        <w:t xml:space="preserve">, including </w:t>
      </w:r>
      <w:r w:rsidRPr="00251ECE">
        <w:rPr>
          <w:i/>
          <w:iCs/>
        </w:rPr>
        <w:t>PDGFRA</w:t>
      </w:r>
      <w:r w:rsidRPr="00251ECE">
        <w:t xml:space="preserve"> D842V mutations.</w:t>
      </w:r>
    </w:p>
    <w:p w14:paraId="7394E1EB" w14:textId="277B6C9C" w:rsidR="00D7390C" w:rsidRPr="00251ECE" w:rsidRDefault="006F280F" w:rsidP="00105D95">
      <w:pPr>
        <w:spacing w:line="480" w:lineRule="auto"/>
        <w:ind w:firstLine="840"/>
      </w:pPr>
      <w:r w:rsidRPr="00251ECE">
        <w:lastRenderedPageBreak/>
        <w:t>GIST</w:t>
      </w:r>
      <w:r w:rsidR="00885B55" w:rsidRPr="00251ECE">
        <w:t xml:space="preserve"> without </w:t>
      </w:r>
      <w:r w:rsidR="00885B55" w:rsidRPr="00251ECE">
        <w:rPr>
          <w:i/>
          <w:iCs/>
        </w:rPr>
        <w:t>KIT</w:t>
      </w:r>
      <w:r w:rsidR="00885B55" w:rsidRPr="00251ECE">
        <w:t xml:space="preserve"> or </w:t>
      </w:r>
      <w:r w:rsidR="00885B55" w:rsidRPr="00251ECE">
        <w:rPr>
          <w:i/>
          <w:iCs/>
        </w:rPr>
        <w:t>PDGFRA</w:t>
      </w:r>
      <w:r w:rsidR="00885B55" w:rsidRPr="00251ECE">
        <w:t xml:space="preserve"> mutations </w:t>
      </w:r>
      <w:r w:rsidRPr="00251ECE">
        <w:rPr>
          <w:rFonts w:hint="eastAsia"/>
        </w:rPr>
        <w:t>is</w:t>
      </w:r>
      <w:r w:rsidR="00885B55" w:rsidRPr="00251ECE">
        <w:t xml:space="preserve"> sometimes referred to as wild-type </w:t>
      </w:r>
      <w:r w:rsidRPr="00251ECE">
        <w:t>GIST</w:t>
      </w:r>
      <w:r w:rsidR="00885B55" w:rsidRPr="00251ECE">
        <w:t>. Among these</w:t>
      </w:r>
      <w:r w:rsidR="00CE2D95" w:rsidRPr="00251ECE">
        <w:t xml:space="preserve"> tumors</w:t>
      </w:r>
      <w:r w:rsidR="00885B55" w:rsidRPr="00251ECE">
        <w:t>, some</w:t>
      </w:r>
      <w:r w:rsidRPr="00251ECE">
        <w:rPr>
          <w:rFonts w:hint="eastAsia"/>
        </w:rPr>
        <w:t xml:space="preserve"> types of</w:t>
      </w:r>
      <w:r w:rsidR="00885B55" w:rsidRPr="00251ECE">
        <w:t xml:space="preserve"> </w:t>
      </w:r>
      <w:r w:rsidRPr="00251ECE">
        <w:t>GIST</w:t>
      </w:r>
      <w:r w:rsidR="00885B55" w:rsidRPr="00251ECE">
        <w:t xml:space="preserve"> harbor </w:t>
      </w:r>
      <w:r w:rsidR="00885B55" w:rsidRPr="00251ECE">
        <w:rPr>
          <w:i/>
          <w:iCs/>
        </w:rPr>
        <w:t>NTRK</w:t>
      </w:r>
      <w:r w:rsidR="00885B55" w:rsidRPr="00251ECE">
        <w:t xml:space="preserve"> fusion or </w:t>
      </w:r>
      <w:r w:rsidR="00885B55" w:rsidRPr="00251ECE">
        <w:rPr>
          <w:i/>
          <w:iCs/>
        </w:rPr>
        <w:t>BRAF</w:t>
      </w:r>
      <w:r w:rsidR="00885B55" w:rsidRPr="00251ECE">
        <w:t xml:space="preserve"> mutation</w:t>
      </w:r>
      <w:r w:rsidR="00406C9E" w:rsidRPr="00251ECE">
        <w:t>s</w:t>
      </w:r>
      <w:r w:rsidR="00885B55" w:rsidRPr="00251ECE">
        <w:t>.</w:t>
      </w:r>
      <w:r w:rsidR="004877EE" w:rsidRPr="00251ECE">
        <w:t xml:space="preserve"> </w:t>
      </w:r>
      <w:r w:rsidR="00885B55" w:rsidRPr="00251ECE">
        <w:t xml:space="preserve">For GIST with </w:t>
      </w:r>
      <w:r w:rsidR="00885B55" w:rsidRPr="00251ECE">
        <w:rPr>
          <w:i/>
          <w:iCs/>
        </w:rPr>
        <w:t>NTRK</w:t>
      </w:r>
      <w:r w:rsidR="00885B55" w:rsidRPr="00251ECE">
        <w:t xml:space="preserve"> fusion, entrectinib and larotrectinib, the TRK inhibitors, are currently the treatment of choice. The efficacy of entrectinib in patients with solid tumors harboring oncogenic </w:t>
      </w:r>
      <w:r w:rsidR="00885B55" w:rsidRPr="00251ECE">
        <w:rPr>
          <w:i/>
          <w:iCs/>
        </w:rPr>
        <w:t>NTRK1</w:t>
      </w:r>
      <w:r w:rsidR="00885B55" w:rsidRPr="00251ECE">
        <w:t xml:space="preserve">, </w:t>
      </w:r>
      <w:r w:rsidR="00885B55" w:rsidRPr="00251ECE">
        <w:rPr>
          <w:i/>
          <w:iCs/>
        </w:rPr>
        <w:t>NTRK2</w:t>
      </w:r>
      <w:r w:rsidR="00406C9E" w:rsidRPr="00251ECE">
        <w:rPr>
          <w:i/>
          <w:iCs/>
        </w:rPr>
        <w:t>,</w:t>
      </w:r>
      <w:r w:rsidR="00885B55" w:rsidRPr="00251ECE">
        <w:t xml:space="preserve"> and </w:t>
      </w:r>
      <w:r w:rsidR="00885B55" w:rsidRPr="00251ECE">
        <w:rPr>
          <w:i/>
          <w:iCs/>
        </w:rPr>
        <w:t>NTRK3</w:t>
      </w:r>
      <w:r w:rsidR="00885B55" w:rsidRPr="00251ECE">
        <w:t xml:space="preserve"> fusions was reported in the integrated analysis of three early phase studies </w:t>
      </w:r>
      <w:r w:rsidR="003B3B35">
        <w:rPr>
          <w:noProof/>
        </w:rPr>
        <w:t>[38]</w:t>
      </w:r>
      <w:r w:rsidR="00885B55" w:rsidRPr="00251ECE">
        <w:t xml:space="preserve">. This combined analysis included </w:t>
      </w:r>
      <w:r w:rsidR="00406C9E" w:rsidRPr="00251ECE">
        <w:t xml:space="preserve">2 </w:t>
      </w:r>
      <w:r w:rsidR="00885B55" w:rsidRPr="00251ECE">
        <w:t>patients with GIST who both responded to entrectinib</w:t>
      </w:r>
      <w:r w:rsidR="000D1D10" w:rsidRPr="00251ECE">
        <w:t xml:space="preserve"> </w:t>
      </w:r>
      <w:r w:rsidR="003B3B35">
        <w:rPr>
          <w:noProof/>
        </w:rPr>
        <w:t>[39]</w:t>
      </w:r>
      <w:r w:rsidR="00885B55" w:rsidRPr="00251ECE">
        <w:t>.</w:t>
      </w:r>
      <w:r w:rsidR="00F53FD0" w:rsidRPr="00251ECE">
        <w:t xml:space="preserve"> </w:t>
      </w:r>
      <w:r w:rsidR="00885B55" w:rsidRPr="00251ECE">
        <w:t xml:space="preserve">Larotrectinib, another TRK inhibitor, has also shown activity against solid tumors with </w:t>
      </w:r>
      <w:r w:rsidR="00885B55" w:rsidRPr="00251ECE">
        <w:rPr>
          <w:i/>
          <w:iCs/>
        </w:rPr>
        <w:t xml:space="preserve">NTRK </w:t>
      </w:r>
      <w:r w:rsidR="00885B55" w:rsidRPr="00251ECE">
        <w:t>fusions. In a pooled analysis of three early phase trials</w:t>
      </w:r>
      <w:r w:rsidR="00885B55" w:rsidRPr="00EA5C96">
        <w:rPr>
          <w:color w:val="EE0000"/>
        </w:rPr>
        <w:t xml:space="preserve"> </w:t>
      </w:r>
      <w:r w:rsidR="003B3B35">
        <w:rPr>
          <w:noProof/>
        </w:rPr>
        <w:t>[40]</w:t>
      </w:r>
      <w:r w:rsidR="00885B55" w:rsidRPr="00251ECE">
        <w:t xml:space="preserve">, </w:t>
      </w:r>
      <w:r w:rsidR="00406C9E" w:rsidRPr="00251ECE">
        <w:t xml:space="preserve">4 </w:t>
      </w:r>
      <w:r w:rsidR="00885B55" w:rsidRPr="00251ECE">
        <w:t xml:space="preserve">patients with </w:t>
      </w:r>
      <w:r w:rsidRPr="00251ECE">
        <w:t>GIST</w:t>
      </w:r>
      <w:r w:rsidR="00885B55" w:rsidRPr="00251ECE">
        <w:t xml:space="preserve"> were enrolled and all </w:t>
      </w:r>
      <w:r w:rsidR="00406C9E" w:rsidRPr="00251ECE">
        <w:t xml:space="preserve">4 </w:t>
      </w:r>
      <w:r w:rsidR="00885B55" w:rsidRPr="00251ECE">
        <w:t>patients responded to larotrectinib (1 complete response and 3 partial responses)</w:t>
      </w:r>
      <w:r w:rsidR="00E01107">
        <w:rPr>
          <w:rFonts w:hint="eastAsia"/>
        </w:rPr>
        <w:t xml:space="preserve"> </w:t>
      </w:r>
      <w:r w:rsidR="003B3B35">
        <w:rPr>
          <w:noProof/>
        </w:rPr>
        <w:t>[41]</w:t>
      </w:r>
      <w:r w:rsidR="00885B55" w:rsidRPr="00251ECE">
        <w:t>.</w:t>
      </w:r>
      <w:r w:rsidR="00406C9E" w:rsidRPr="00251ECE">
        <w:t xml:space="preserve"> </w:t>
      </w:r>
      <w:r w:rsidR="00885B55" w:rsidRPr="00251ECE">
        <w:t xml:space="preserve">Based on these results, the panel recommends entrectinib and larotrectinib for patients with </w:t>
      </w:r>
      <w:r w:rsidRPr="00251ECE">
        <w:t>GIST</w:t>
      </w:r>
      <w:r w:rsidR="00885B55" w:rsidRPr="00251ECE">
        <w:t xml:space="preserve"> harboring </w:t>
      </w:r>
      <w:r w:rsidR="00885B55" w:rsidRPr="00251ECE">
        <w:rPr>
          <w:i/>
          <w:iCs/>
        </w:rPr>
        <w:t>NTRK</w:t>
      </w:r>
      <w:r w:rsidR="00885B55" w:rsidRPr="00251ECE">
        <w:t xml:space="preserve"> fusions.</w:t>
      </w:r>
      <w:r w:rsidR="00E77119" w:rsidRPr="00251ECE">
        <w:t xml:space="preserve"> </w:t>
      </w:r>
      <w:r w:rsidR="00885B55" w:rsidRPr="00251ECE">
        <w:rPr>
          <w:i/>
          <w:iCs/>
        </w:rPr>
        <w:t>BRAF</w:t>
      </w:r>
      <w:r w:rsidR="00885B55" w:rsidRPr="00251ECE">
        <w:t xml:space="preserve"> class I V600 mutations are occasionally found in wild-type </w:t>
      </w:r>
      <w:r w:rsidRPr="00251ECE">
        <w:t>GIST</w:t>
      </w:r>
      <w:r w:rsidR="00885B55" w:rsidRPr="00251ECE">
        <w:t xml:space="preserve">. RAF inhibitors and MEK inhibitors have been reported to be active against solid tumors harboring </w:t>
      </w:r>
      <w:r w:rsidR="00885B55" w:rsidRPr="00251ECE">
        <w:rPr>
          <w:i/>
          <w:iCs/>
        </w:rPr>
        <w:t>BRAF</w:t>
      </w:r>
      <w:r w:rsidR="00885B55" w:rsidRPr="00251ECE">
        <w:t xml:space="preserve"> class I mutations. </w:t>
      </w:r>
      <w:r w:rsidR="00406C9E" w:rsidRPr="00251ECE">
        <w:t xml:space="preserve">The </w:t>
      </w:r>
      <w:r w:rsidR="003A77C1" w:rsidRPr="00251ECE">
        <w:t>p</w:t>
      </w:r>
      <w:r w:rsidR="00885B55" w:rsidRPr="00251ECE">
        <w:t xml:space="preserve">hase </w:t>
      </w:r>
      <w:r w:rsidR="003B4A7F" w:rsidRPr="00251ECE">
        <w:t>2</w:t>
      </w:r>
      <w:r w:rsidR="00885B55" w:rsidRPr="00251ECE">
        <w:t xml:space="preserve"> ROAR study evaluated dabrafenib and trametinib in patients with rare cancers </w:t>
      </w:r>
      <w:r w:rsidR="00E10F25" w:rsidRPr="00251ECE">
        <w:rPr>
          <w:rFonts w:hint="eastAsia"/>
        </w:rPr>
        <w:t xml:space="preserve">harboring </w:t>
      </w:r>
      <w:r w:rsidR="00406C9E" w:rsidRPr="00251ECE">
        <w:rPr>
          <w:i/>
          <w:iCs/>
        </w:rPr>
        <w:t>BRAF</w:t>
      </w:r>
      <w:r w:rsidR="00406C9E" w:rsidRPr="00251ECE">
        <w:t xml:space="preserve"> V600E mutations</w:t>
      </w:r>
      <w:r w:rsidR="00F64AC9" w:rsidRPr="00251ECE">
        <w:t xml:space="preserve"> </w:t>
      </w:r>
      <w:r w:rsidR="003B3B35">
        <w:rPr>
          <w:noProof/>
        </w:rPr>
        <w:t>[42]</w:t>
      </w:r>
      <w:r w:rsidR="00885B55" w:rsidRPr="00251ECE">
        <w:t xml:space="preserve">. Although only </w:t>
      </w:r>
      <w:r w:rsidR="00E10F25" w:rsidRPr="00251ECE">
        <w:rPr>
          <w:rFonts w:hint="eastAsia"/>
        </w:rPr>
        <w:t>1</w:t>
      </w:r>
      <w:r w:rsidR="00E10F25" w:rsidRPr="00251ECE">
        <w:t xml:space="preserve"> </w:t>
      </w:r>
      <w:r w:rsidR="00406C9E" w:rsidRPr="00251ECE">
        <w:t xml:space="preserve">patient </w:t>
      </w:r>
      <w:r w:rsidR="00885B55" w:rsidRPr="00251ECE">
        <w:t xml:space="preserve">with GIST was included in </w:t>
      </w:r>
      <w:r w:rsidR="00406C9E" w:rsidRPr="00251ECE">
        <w:t xml:space="preserve">the </w:t>
      </w:r>
      <w:r w:rsidR="00885B55" w:rsidRPr="00251ECE">
        <w:t xml:space="preserve">study, the efficacy of dabrafenib and trametinib was reported and the FDA approved dabrafenib and trametinib for the treatment of adult and pediatric patients </w:t>
      </w:r>
      <w:r w:rsidR="00CE2D95" w:rsidRPr="00251ECE">
        <w:t xml:space="preserve">aged </w:t>
      </w:r>
      <w:r w:rsidR="00885B55" w:rsidRPr="00251ECE">
        <w:t xml:space="preserve">1 year </w:t>
      </w:r>
      <w:r w:rsidR="00CE2D95" w:rsidRPr="00251ECE">
        <w:t xml:space="preserve">or </w:t>
      </w:r>
      <w:r w:rsidR="00885B55" w:rsidRPr="00251ECE">
        <w:t xml:space="preserve">older with unresectable or metastatic solid tumors harboring a </w:t>
      </w:r>
      <w:r w:rsidR="00885B55" w:rsidRPr="00251ECE">
        <w:rPr>
          <w:i/>
          <w:iCs/>
        </w:rPr>
        <w:t>BRAF</w:t>
      </w:r>
      <w:r w:rsidR="00885B55" w:rsidRPr="00251ECE">
        <w:t xml:space="preserve"> V600E mutation who have progressed after prior therapy and have no satisfactory alternative treatment options.</w:t>
      </w:r>
      <w:r w:rsidR="00E77119" w:rsidRPr="00251ECE">
        <w:t xml:space="preserve"> </w:t>
      </w:r>
      <w:r w:rsidR="00885B55" w:rsidRPr="00251ECE">
        <w:t xml:space="preserve">SDH-deficient GIST is one of </w:t>
      </w:r>
      <w:r w:rsidR="00885B55" w:rsidRPr="00251ECE">
        <w:lastRenderedPageBreak/>
        <w:t xml:space="preserve">the most common wild-type </w:t>
      </w:r>
      <w:r w:rsidRPr="00251ECE">
        <w:t>GIST</w:t>
      </w:r>
      <w:r w:rsidR="00885B55" w:rsidRPr="00251ECE">
        <w:t>. SDH deficiency can be caused either by mutation</w:t>
      </w:r>
      <w:r w:rsidR="00406C9E" w:rsidRPr="00251ECE">
        <w:t>s</w:t>
      </w:r>
      <w:r w:rsidR="00885B55" w:rsidRPr="00251ECE">
        <w:t xml:space="preserve"> in </w:t>
      </w:r>
      <w:r w:rsidR="00406C9E" w:rsidRPr="00251ECE">
        <w:t xml:space="preserve">the </w:t>
      </w:r>
      <w:r w:rsidR="00885B55" w:rsidRPr="00251ECE">
        <w:rPr>
          <w:i/>
          <w:iCs/>
        </w:rPr>
        <w:t>SDHA</w:t>
      </w:r>
      <w:r w:rsidR="00885B55" w:rsidRPr="00251ECE">
        <w:t xml:space="preserve">, </w:t>
      </w:r>
      <w:r w:rsidR="00885B55" w:rsidRPr="00251ECE">
        <w:rPr>
          <w:i/>
          <w:iCs/>
        </w:rPr>
        <w:t>SDHB</w:t>
      </w:r>
      <w:r w:rsidR="00885B55" w:rsidRPr="00251ECE">
        <w:t xml:space="preserve">, </w:t>
      </w:r>
      <w:r w:rsidR="00885B55" w:rsidRPr="00251ECE">
        <w:rPr>
          <w:i/>
          <w:iCs/>
        </w:rPr>
        <w:t>SDHC</w:t>
      </w:r>
      <w:r w:rsidR="00363CBB" w:rsidRPr="00251ECE">
        <w:t>,</w:t>
      </w:r>
      <w:r w:rsidR="00885B55" w:rsidRPr="00251ECE">
        <w:t xml:space="preserve"> or </w:t>
      </w:r>
      <w:r w:rsidR="00885B55" w:rsidRPr="00251ECE">
        <w:rPr>
          <w:i/>
          <w:iCs/>
        </w:rPr>
        <w:t>SDHD</w:t>
      </w:r>
      <w:r w:rsidR="00885B55" w:rsidRPr="00251ECE">
        <w:t xml:space="preserve"> gene or by epigenetic mechanisms </w:t>
      </w:r>
      <w:r w:rsidR="00406C9E" w:rsidRPr="00251ECE">
        <w:t xml:space="preserve">that lead </w:t>
      </w:r>
      <w:r w:rsidR="00885B55" w:rsidRPr="00251ECE">
        <w:t xml:space="preserve">to </w:t>
      </w:r>
      <w:r w:rsidR="00406C9E" w:rsidRPr="00251ECE">
        <w:t xml:space="preserve">the </w:t>
      </w:r>
      <w:r w:rsidR="00885B55" w:rsidRPr="00251ECE">
        <w:t xml:space="preserve">silencing of SDHC (inactivation by promoter hypermethylation) </w:t>
      </w:r>
      <w:r w:rsidR="003B3B35">
        <w:rPr>
          <w:noProof/>
        </w:rPr>
        <w:t>[43]</w:t>
      </w:r>
      <w:r w:rsidR="00885B55" w:rsidRPr="00251ECE">
        <w:t>. Several targeted therapies have been evaluated in small prospective or retrospective studies. Unfortunately, the efficacy of imatinib in SDH-deficient GIST is limited</w:t>
      </w:r>
      <w:r w:rsidR="00DD752C" w:rsidRPr="00251ECE">
        <w:t xml:space="preserve"> </w:t>
      </w:r>
      <w:r w:rsidR="003B3B35">
        <w:rPr>
          <w:noProof/>
        </w:rPr>
        <w:t>[44, 45]</w:t>
      </w:r>
      <w:r w:rsidR="00406C9E" w:rsidRPr="00251ECE">
        <w:t>.</w:t>
      </w:r>
      <w:r w:rsidR="00885B55" w:rsidRPr="00251ECE">
        <w:t xml:space="preserve"> Sunitinib and regorafenib have shown some activity, with </w:t>
      </w:r>
      <w:r w:rsidR="0060699E">
        <w:rPr>
          <w:rFonts w:hint="eastAsia"/>
        </w:rPr>
        <w:t>ORR</w:t>
      </w:r>
      <w:r w:rsidR="00885B55" w:rsidRPr="00251ECE">
        <w:t>s of approximately 20</w:t>
      </w:r>
      <w:r w:rsidR="00406C9E" w:rsidRPr="00251ECE">
        <w:t>-</w:t>
      </w:r>
      <w:r w:rsidR="00885B55" w:rsidRPr="00251ECE">
        <w:t>30%</w:t>
      </w:r>
      <w:r w:rsidR="00A14B5E" w:rsidRPr="00EA5C96">
        <w:rPr>
          <w:color w:val="EE0000"/>
        </w:rPr>
        <w:t xml:space="preserve"> </w:t>
      </w:r>
      <w:r w:rsidR="003B3B35">
        <w:rPr>
          <w:noProof/>
        </w:rPr>
        <w:t>[46, 47]</w:t>
      </w:r>
      <w:r w:rsidR="00885B55" w:rsidRPr="00251ECE">
        <w:t xml:space="preserve">. </w:t>
      </w:r>
      <w:r w:rsidR="00406C9E" w:rsidRPr="00251ECE">
        <w:t xml:space="preserve">Other than </w:t>
      </w:r>
      <w:r w:rsidR="00885B55" w:rsidRPr="00251ECE">
        <w:rPr>
          <w:i/>
          <w:iCs/>
        </w:rPr>
        <w:t xml:space="preserve">PDGFRA </w:t>
      </w:r>
      <w:r w:rsidR="00885B55" w:rsidRPr="00251ECE">
        <w:t xml:space="preserve">mutations, </w:t>
      </w:r>
      <w:r w:rsidR="00885B55" w:rsidRPr="00251ECE">
        <w:rPr>
          <w:i/>
          <w:iCs/>
        </w:rPr>
        <w:t>NTRK</w:t>
      </w:r>
      <w:r w:rsidR="00885B55" w:rsidRPr="00251ECE">
        <w:t xml:space="preserve"> fusions, and </w:t>
      </w:r>
      <w:r w:rsidR="00885B55" w:rsidRPr="00251ECE">
        <w:rPr>
          <w:i/>
          <w:iCs/>
        </w:rPr>
        <w:t>BRAF</w:t>
      </w:r>
      <w:r w:rsidR="00885B55" w:rsidRPr="00251ECE">
        <w:t xml:space="preserve"> V600E mutations, there is little evidence to support targeted agents for wild-type </w:t>
      </w:r>
      <w:r w:rsidRPr="00251ECE">
        <w:t>GIST</w:t>
      </w:r>
      <w:r w:rsidR="00885B55" w:rsidRPr="00251ECE">
        <w:t xml:space="preserve">, and the </w:t>
      </w:r>
      <w:r w:rsidR="003B4A7F" w:rsidRPr="00251ECE">
        <w:t>p</w:t>
      </w:r>
      <w:r w:rsidR="00885B55" w:rsidRPr="00251ECE">
        <w:t xml:space="preserve">anel makes no recommendations. The </w:t>
      </w:r>
      <w:r w:rsidR="003B4A7F" w:rsidRPr="00251ECE">
        <w:t>p</w:t>
      </w:r>
      <w:r w:rsidR="00885B55" w:rsidRPr="00251ECE">
        <w:t>anel consider</w:t>
      </w:r>
      <w:r w:rsidR="00363CBB" w:rsidRPr="00251ECE">
        <w:rPr>
          <w:rFonts w:hint="eastAsia"/>
        </w:rPr>
        <w:t>s</w:t>
      </w:r>
      <w:r w:rsidR="00885B55" w:rsidRPr="00251ECE">
        <w:t xml:space="preserve"> that sunitinib and regorafenib may be considered </w:t>
      </w:r>
      <w:r w:rsidR="00406C9E" w:rsidRPr="00251ECE">
        <w:t xml:space="preserve">for </w:t>
      </w:r>
      <w:r w:rsidR="00885B55" w:rsidRPr="00251ECE">
        <w:t>patients with metastatic or recurrent SDH-deficient GIST.</w:t>
      </w:r>
      <w:r w:rsidR="008455C7" w:rsidRPr="00251ECE">
        <w:rPr>
          <w:rFonts w:hint="eastAsia"/>
        </w:rPr>
        <w:t xml:space="preserve"> </w:t>
      </w:r>
      <w:r w:rsidR="00516849" w:rsidRPr="00251ECE">
        <w:t>A</w:t>
      </w:r>
      <w:r w:rsidR="00A864E4" w:rsidRPr="00251ECE">
        <w:t>ctive surveillance may be considered as a management option</w:t>
      </w:r>
      <w:r w:rsidR="00516849" w:rsidRPr="00251ECE">
        <w:t xml:space="preserve"> for wild-type </w:t>
      </w:r>
      <w:r w:rsidRPr="00251ECE">
        <w:t>GIST</w:t>
      </w:r>
      <w:r w:rsidR="00516849" w:rsidRPr="00251ECE">
        <w:t xml:space="preserve"> with an indolent clinical course</w:t>
      </w:r>
      <w:r w:rsidR="00A864E4" w:rsidRPr="00251ECE">
        <w:t>.</w:t>
      </w:r>
    </w:p>
    <w:p w14:paraId="7A32956A" w14:textId="77777777" w:rsidR="00890771" w:rsidRDefault="00890771">
      <w:pPr>
        <w:spacing w:line="360" w:lineRule="auto"/>
        <w:ind w:left="992" w:hanging="992"/>
        <w:rPr>
          <w:b/>
          <w:bCs/>
        </w:rPr>
      </w:pPr>
      <w:r>
        <w:br w:type="page"/>
      </w:r>
    </w:p>
    <w:p w14:paraId="16FD8045" w14:textId="305CFBBF" w:rsidR="00885B55" w:rsidRPr="00251ECE" w:rsidRDefault="00885B55" w:rsidP="000402AB">
      <w:pPr>
        <w:pStyle w:val="Heading3"/>
        <w:pBdr>
          <w:top w:val="single" w:sz="4" w:space="1" w:color="auto"/>
        </w:pBdr>
      </w:pPr>
      <w:r w:rsidRPr="00251ECE">
        <w:lastRenderedPageBreak/>
        <w:t>CQ</w:t>
      </w:r>
      <w:r w:rsidR="00D7390C" w:rsidRPr="00251ECE">
        <w:t>3-3</w:t>
      </w:r>
      <w:r w:rsidRPr="00251ECE">
        <w:t>. Are higher doses of imatinib recommended?</w:t>
      </w:r>
    </w:p>
    <w:p w14:paraId="162E9FD3" w14:textId="77777777" w:rsidR="00885B55" w:rsidRPr="00E600BF" w:rsidRDefault="00885B55" w:rsidP="00EE1500">
      <w:pPr>
        <w:spacing w:line="480" w:lineRule="auto"/>
        <w:rPr>
          <w:b/>
          <w:bCs/>
        </w:rPr>
      </w:pPr>
      <w:r w:rsidRPr="00E600BF">
        <w:rPr>
          <w:b/>
          <w:bCs/>
        </w:rPr>
        <w:t>Recommendation</w:t>
      </w:r>
    </w:p>
    <w:p w14:paraId="15B62371" w14:textId="22B74AF1" w:rsidR="00885B55" w:rsidRPr="00251ECE" w:rsidRDefault="00E600BF" w:rsidP="00E600BF">
      <w:pPr>
        <w:pBdr>
          <w:bottom w:val="single" w:sz="4" w:space="1" w:color="auto"/>
        </w:pBdr>
        <w:spacing w:line="480" w:lineRule="auto"/>
      </w:pPr>
      <w:r>
        <w:rPr>
          <w:rFonts w:eastAsia="Palatino-Roman" w:hint="eastAsia"/>
          <w:b/>
          <w:bCs/>
        </w:rPr>
        <w:t>3-3-1</w:t>
      </w:r>
      <w:r w:rsidRPr="00CC07C8">
        <w:rPr>
          <w:rFonts w:eastAsia="Palatino-Roman" w:hint="eastAsia"/>
          <w:b/>
          <w:bCs/>
        </w:rPr>
        <w:t>:</w:t>
      </w:r>
      <w:r>
        <w:rPr>
          <w:rFonts w:eastAsia="Palatino-Roman" w:hint="eastAsia"/>
          <w:b/>
          <w:bCs/>
        </w:rPr>
        <w:t xml:space="preserve"> </w:t>
      </w:r>
      <w:r w:rsidR="00D06E97" w:rsidRPr="00251ECE">
        <w:t xml:space="preserve">Dose escalation of imatinib is recommended for GIST with </w:t>
      </w:r>
      <w:r w:rsidR="00D06E97" w:rsidRPr="00E600BF">
        <w:rPr>
          <w:i/>
          <w:iCs/>
        </w:rPr>
        <w:t xml:space="preserve">KIT </w:t>
      </w:r>
      <w:r w:rsidR="00D06E97" w:rsidRPr="00251ECE">
        <w:t>exon 9 mutations</w:t>
      </w:r>
      <w:r w:rsidR="00AE1A98" w:rsidRPr="00251ECE">
        <w:t>.</w:t>
      </w:r>
    </w:p>
    <w:p w14:paraId="5B1C8531" w14:textId="2E19DB30" w:rsidR="00885B55" w:rsidRPr="00251ECE" w:rsidRDefault="00406C9E" w:rsidP="00EE1500">
      <w:pPr>
        <w:spacing w:line="480" w:lineRule="auto"/>
      </w:pPr>
      <w:r w:rsidRPr="00251ECE">
        <w:t xml:space="preserve">To date, </w:t>
      </w:r>
      <w:r w:rsidR="00885B55" w:rsidRPr="00251ECE">
        <w:t xml:space="preserve">no randomized trial </w:t>
      </w:r>
      <w:r w:rsidR="00BA5C75" w:rsidRPr="00251ECE">
        <w:t xml:space="preserve">has </w:t>
      </w:r>
      <w:r w:rsidR="00885B55" w:rsidRPr="00251ECE">
        <w:t xml:space="preserve">evaluated the benefit of dose escalation in </w:t>
      </w:r>
      <w:r w:rsidR="006F280F" w:rsidRPr="00251ECE">
        <w:t>GIST</w:t>
      </w:r>
      <w:r w:rsidR="00885B55" w:rsidRPr="00251ECE">
        <w:t xml:space="preserve"> that progressed </w:t>
      </w:r>
      <w:r w:rsidR="00363CBB" w:rsidRPr="00251ECE">
        <w:rPr>
          <w:rFonts w:hint="eastAsia"/>
        </w:rPr>
        <w:t xml:space="preserve">on </w:t>
      </w:r>
      <w:r w:rsidR="00885B55" w:rsidRPr="00251ECE">
        <w:t>imatinib</w:t>
      </w:r>
      <w:r w:rsidRPr="00251ECE">
        <w:t xml:space="preserve"> 400 mg/day</w:t>
      </w:r>
      <w:r w:rsidR="00885B55" w:rsidRPr="00251ECE">
        <w:t xml:space="preserve">. </w:t>
      </w:r>
      <w:r w:rsidR="007E31DC" w:rsidRPr="00251ECE">
        <w:t>A meta-analysis suggested that high-dose imatinib (800 mg/day) was associated with significantly higher ORR and</w:t>
      </w:r>
      <w:r w:rsidR="005A3BFD">
        <w:rPr>
          <w:rFonts w:hint="eastAsia"/>
        </w:rPr>
        <w:t xml:space="preserve"> longer</w:t>
      </w:r>
      <w:r w:rsidR="007E31DC" w:rsidRPr="00251ECE">
        <w:t xml:space="preserve"> PFS, but not OS, in patients with </w:t>
      </w:r>
      <w:r w:rsidR="007E31DC" w:rsidRPr="00251ECE">
        <w:rPr>
          <w:i/>
          <w:iCs/>
        </w:rPr>
        <w:t>KIT</w:t>
      </w:r>
      <w:r w:rsidR="007E31DC" w:rsidRPr="00251ECE">
        <w:t xml:space="preserve"> exon 9 mutations</w:t>
      </w:r>
      <w:r w:rsidR="001A20FD" w:rsidRPr="00251ECE">
        <w:rPr>
          <w:rFonts w:hint="eastAsia"/>
        </w:rPr>
        <w:t xml:space="preserve"> </w:t>
      </w:r>
      <w:r w:rsidR="003B3B35">
        <w:rPr>
          <w:noProof/>
        </w:rPr>
        <w:t>[48]</w:t>
      </w:r>
      <w:r w:rsidR="00885B55" w:rsidRPr="00251ECE">
        <w:t xml:space="preserve">. </w:t>
      </w:r>
      <w:r w:rsidR="002340B3" w:rsidRPr="00251ECE">
        <w:t xml:space="preserve">Therefore, the panel acknowledged that a higher dose of imatinib may be considered for patients with GIST harboring </w:t>
      </w:r>
      <w:r w:rsidR="002340B3" w:rsidRPr="00251ECE">
        <w:rPr>
          <w:i/>
          <w:iCs/>
        </w:rPr>
        <w:t>KIT</w:t>
      </w:r>
      <w:r w:rsidR="002340B3" w:rsidRPr="00251ECE">
        <w:t xml:space="preserve"> exon 9 mutations, especially for those who experience disease progression while receiving the standard dose of 400 mg per day.</w:t>
      </w:r>
      <w:r w:rsidR="001A20FD">
        <w:rPr>
          <w:rFonts w:hint="eastAsia"/>
        </w:rPr>
        <w:t xml:space="preserve"> </w:t>
      </w:r>
      <w:r w:rsidR="00885B55" w:rsidRPr="00251ECE">
        <w:t>However, in case-control studies and systematic review</w:t>
      </w:r>
      <w:r w:rsidRPr="00251ECE">
        <w:t>s</w:t>
      </w:r>
      <w:r w:rsidR="00885B55" w:rsidRPr="00251ECE">
        <w:t xml:space="preserve"> comparing imatinib with sunitinib, imatinib dose escalation was inferior to sunitinib in terms of PFS, and there was no difference in OS</w:t>
      </w:r>
      <w:r w:rsidR="00163421" w:rsidRPr="00251ECE">
        <w:t xml:space="preserve"> </w:t>
      </w:r>
      <w:r w:rsidR="003B3B35">
        <w:rPr>
          <w:noProof/>
        </w:rPr>
        <w:t>[49-52]</w:t>
      </w:r>
      <w:r w:rsidR="00885B55" w:rsidRPr="00251ECE">
        <w:t>.</w:t>
      </w:r>
      <w:r w:rsidR="00C57944" w:rsidRPr="00251ECE">
        <w:t xml:space="preserve"> Therefore, the use of dose escalation in patients with</w:t>
      </w:r>
      <w:r w:rsidR="00C57944" w:rsidRPr="00251ECE">
        <w:rPr>
          <w:i/>
          <w:iCs/>
        </w:rPr>
        <w:t xml:space="preserve"> KIT</w:t>
      </w:r>
      <w:r w:rsidR="00C57944" w:rsidRPr="00251ECE">
        <w:t xml:space="preserve"> exon 9 mutant GIST may be an option to be used with caution in Asian GIST patients if they </w:t>
      </w:r>
      <w:r w:rsidR="005A3BFD">
        <w:rPr>
          <w:rFonts w:hint="eastAsia"/>
        </w:rPr>
        <w:t xml:space="preserve">are </w:t>
      </w:r>
      <w:r w:rsidR="00C57944" w:rsidRPr="00251ECE">
        <w:t>deemed likely to tolerate for more than the standard dose of imatinib.</w:t>
      </w:r>
      <w:r w:rsidR="00C57944" w:rsidRPr="00251ECE">
        <w:rPr>
          <w:rFonts w:hint="eastAsia"/>
        </w:rPr>
        <w:t xml:space="preserve"> </w:t>
      </w:r>
      <w:r w:rsidR="00D85C67" w:rsidRPr="00251ECE">
        <w:rPr>
          <w:rFonts w:hint="eastAsia"/>
        </w:rPr>
        <w:t xml:space="preserve">It should be noted that </w:t>
      </w:r>
      <w:r w:rsidR="00BC4A0C" w:rsidRPr="00251ECE">
        <w:t xml:space="preserve">a retrospective study found no survival benefit with an imatinib dose of 800 mg compared </w:t>
      </w:r>
      <w:r w:rsidR="00C95D28" w:rsidRPr="00251ECE">
        <w:t xml:space="preserve">with </w:t>
      </w:r>
      <w:r w:rsidR="00BC4A0C" w:rsidRPr="00251ECE">
        <w:t xml:space="preserve">400 mg in patients with </w:t>
      </w:r>
      <w:r w:rsidR="00BC4A0C" w:rsidRPr="00251ECE">
        <w:rPr>
          <w:i/>
          <w:iCs/>
        </w:rPr>
        <w:t>KIT</w:t>
      </w:r>
      <w:r w:rsidR="00BC4A0C" w:rsidRPr="00251ECE">
        <w:t xml:space="preserve"> exon 9</w:t>
      </w:r>
      <w:r w:rsidR="00EE76FF" w:rsidRPr="00251ECE">
        <w:rPr>
          <w:rFonts w:hint="eastAsia"/>
        </w:rPr>
        <w:t xml:space="preserve"> </w:t>
      </w:r>
      <w:r w:rsidR="00BC4A0C" w:rsidRPr="00251ECE">
        <w:t>mutated GIST</w:t>
      </w:r>
      <w:r w:rsidR="00D85C67" w:rsidRPr="00251ECE">
        <w:rPr>
          <w:rFonts w:hint="eastAsia"/>
        </w:rPr>
        <w:t xml:space="preserve"> </w:t>
      </w:r>
      <w:r w:rsidR="00D85C67" w:rsidRPr="00251ECE">
        <w:t>in the adjuvant setting</w:t>
      </w:r>
      <w:r w:rsidR="003C3AA6" w:rsidRPr="00251ECE" w:rsidDel="00406C9E">
        <w:t xml:space="preserve"> </w:t>
      </w:r>
      <w:r w:rsidR="003B3B35">
        <w:rPr>
          <w:noProof/>
        </w:rPr>
        <w:t>[53]</w:t>
      </w:r>
      <w:r w:rsidR="00BC4A0C" w:rsidRPr="00251ECE">
        <w:t>.</w:t>
      </w:r>
    </w:p>
    <w:p w14:paraId="244DF2DF" w14:textId="06CAA928" w:rsidR="0093262E" w:rsidRPr="00251ECE" w:rsidRDefault="00B56D27" w:rsidP="0093262E">
      <w:pPr>
        <w:spacing w:line="480" w:lineRule="auto"/>
        <w:ind w:firstLine="567"/>
      </w:pPr>
      <w:r w:rsidRPr="00251ECE">
        <w:t>Monitoring of imatinib plasma levels is utilized in clinical practice as supportive information for clinical decision-making when considering dose adjustment.</w:t>
      </w:r>
      <w:r w:rsidRPr="00251ECE">
        <w:rPr>
          <w:rFonts w:hint="eastAsia"/>
        </w:rPr>
        <w:t xml:space="preserve"> In </w:t>
      </w:r>
      <w:r w:rsidR="00463D0B" w:rsidRPr="00251ECE">
        <w:t>this regard</w:t>
      </w:r>
      <w:r w:rsidRPr="00251ECE">
        <w:rPr>
          <w:rFonts w:hint="eastAsia"/>
        </w:rPr>
        <w:t>, d</w:t>
      </w:r>
      <w:r w:rsidR="000014B5" w:rsidRPr="00251ECE">
        <w:t xml:space="preserve">ose </w:t>
      </w:r>
      <w:r w:rsidR="000014B5" w:rsidRPr="00251ECE">
        <w:lastRenderedPageBreak/>
        <w:t>escalation may be indicated for patients with sub-therapeutic</w:t>
      </w:r>
      <w:r w:rsidR="000014B5" w:rsidRPr="00251ECE">
        <w:rPr>
          <w:rFonts w:hint="eastAsia"/>
        </w:rPr>
        <w:t xml:space="preserve"> </w:t>
      </w:r>
      <w:r w:rsidR="000014B5" w:rsidRPr="00251ECE">
        <w:t>imatinib plasma</w:t>
      </w:r>
      <w:r w:rsidR="000014B5" w:rsidRPr="00251ECE">
        <w:rPr>
          <w:rFonts w:hint="eastAsia"/>
        </w:rPr>
        <w:t xml:space="preserve"> </w:t>
      </w:r>
      <w:r w:rsidR="000014B5" w:rsidRPr="00251ECE">
        <w:t>concentrations who</w:t>
      </w:r>
      <w:r w:rsidR="00F75355" w:rsidRPr="00F75355">
        <w:rPr>
          <w:rFonts w:hint="eastAsia"/>
        </w:rPr>
        <w:t xml:space="preserve"> </w:t>
      </w:r>
      <w:r w:rsidR="00F75355">
        <w:rPr>
          <w:rFonts w:hint="eastAsia"/>
        </w:rPr>
        <w:t xml:space="preserve">are </w:t>
      </w:r>
      <w:r w:rsidR="00F75355" w:rsidRPr="004543D9">
        <w:rPr>
          <w:rFonts w:hint="eastAsia"/>
        </w:rPr>
        <w:t>considered able to</w:t>
      </w:r>
      <w:r w:rsidR="00F75355" w:rsidRPr="004543D9">
        <w:t xml:space="preserve"> tolerate</w:t>
      </w:r>
      <w:r w:rsidR="00F75355" w:rsidRPr="004543D9">
        <w:rPr>
          <w:rFonts w:hint="eastAsia"/>
        </w:rPr>
        <w:t xml:space="preserve"> an increased</w:t>
      </w:r>
      <w:r w:rsidR="00F75355" w:rsidRPr="004543D9">
        <w:t xml:space="preserve"> imatinib </w:t>
      </w:r>
      <w:r w:rsidR="00F75355" w:rsidRPr="004543D9">
        <w:rPr>
          <w:rFonts w:hint="eastAsia"/>
        </w:rPr>
        <w:t>dose</w:t>
      </w:r>
      <w:r w:rsidR="00F75355" w:rsidRPr="004543D9">
        <w:t>.</w:t>
      </w:r>
    </w:p>
    <w:p w14:paraId="57218090" w14:textId="77777777" w:rsidR="00890771" w:rsidRDefault="00890771">
      <w:pPr>
        <w:spacing w:line="360" w:lineRule="auto"/>
        <w:ind w:left="992" w:hanging="992"/>
        <w:rPr>
          <w:b/>
          <w:bCs/>
        </w:rPr>
      </w:pPr>
      <w:r>
        <w:br w:type="page"/>
      </w:r>
    </w:p>
    <w:p w14:paraId="44AF8FBB" w14:textId="7B71C863" w:rsidR="00885B55" w:rsidRPr="00251ECE" w:rsidRDefault="00885B55" w:rsidP="000F782B">
      <w:pPr>
        <w:pStyle w:val="Heading3"/>
        <w:pBdr>
          <w:top w:val="single" w:sz="4" w:space="1" w:color="auto"/>
        </w:pBdr>
      </w:pPr>
      <w:r w:rsidRPr="00251ECE">
        <w:lastRenderedPageBreak/>
        <w:t>CQ</w:t>
      </w:r>
      <w:r w:rsidR="00D7390C" w:rsidRPr="00251ECE">
        <w:t>3-4</w:t>
      </w:r>
      <w:r w:rsidRPr="00251ECE">
        <w:t xml:space="preserve">. Is starting with </w:t>
      </w:r>
      <w:r w:rsidR="007C2A31" w:rsidRPr="00251ECE">
        <w:rPr>
          <w:rFonts w:hint="eastAsia"/>
        </w:rPr>
        <w:t xml:space="preserve">a </w:t>
      </w:r>
      <w:r w:rsidRPr="00251ECE">
        <w:t>lower dose of multikinase inhibitor acceptable?</w:t>
      </w:r>
    </w:p>
    <w:p w14:paraId="1E29D6AC" w14:textId="77777777" w:rsidR="00885B55" w:rsidRPr="00E600BF" w:rsidRDefault="00885B55" w:rsidP="00EE1500">
      <w:pPr>
        <w:spacing w:line="480" w:lineRule="auto"/>
        <w:rPr>
          <w:b/>
          <w:bCs/>
        </w:rPr>
      </w:pPr>
      <w:r w:rsidRPr="00E600BF">
        <w:rPr>
          <w:b/>
          <w:bCs/>
        </w:rPr>
        <w:t>Recommendation</w:t>
      </w:r>
    </w:p>
    <w:p w14:paraId="6B4EBAA6" w14:textId="1A4A2CA9" w:rsidR="00885B55" w:rsidRPr="00251ECE" w:rsidRDefault="00E600BF" w:rsidP="00E600BF">
      <w:pPr>
        <w:pBdr>
          <w:bottom w:val="single" w:sz="4" w:space="1" w:color="auto"/>
        </w:pBdr>
        <w:spacing w:line="480" w:lineRule="auto"/>
      </w:pPr>
      <w:r>
        <w:rPr>
          <w:rFonts w:eastAsia="Palatino-Roman" w:hint="eastAsia"/>
          <w:b/>
          <w:bCs/>
        </w:rPr>
        <w:t>3-4-1</w:t>
      </w:r>
      <w:r w:rsidRPr="00CC07C8">
        <w:rPr>
          <w:rFonts w:eastAsia="Palatino-Roman" w:hint="eastAsia"/>
          <w:b/>
          <w:bCs/>
        </w:rPr>
        <w:t>:</w:t>
      </w:r>
      <w:r>
        <w:rPr>
          <w:rFonts w:eastAsia="Palatino-Roman" w:hint="eastAsia"/>
          <w:b/>
          <w:bCs/>
        </w:rPr>
        <w:t xml:space="preserve"> </w:t>
      </w:r>
      <w:r w:rsidR="00885B55" w:rsidRPr="00251ECE">
        <w:t>Starting at</w:t>
      </w:r>
      <w:r w:rsidR="007C2A31" w:rsidRPr="00251ECE">
        <w:rPr>
          <w:rFonts w:hint="eastAsia"/>
        </w:rPr>
        <w:t xml:space="preserve"> a</w:t>
      </w:r>
      <w:r w:rsidR="00885B55" w:rsidRPr="00251ECE">
        <w:t xml:space="preserve"> lower dose may be considered </w:t>
      </w:r>
      <w:r w:rsidR="00406C9E" w:rsidRPr="00251ECE">
        <w:t xml:space="preserve">for </w:t>
      </w:r>
      <w:r w:rsidR="00885B55" w:rsidRPr="00251ECE">
        <w:t>patient</w:t>
      </w:r>
      <w:r w:rsidR="00406C9E" w:rsidRPr="00251ECE">
        <w:t>s</w:t>
      </w:r>
      <w:r w:rsidR="00885B55" w:rsidRPr="00251ECE">
        <w:t xml:space="preserve"> </w:t>
      </w:r>
      <w:r w:rsidR="00C95D28" w:rsidRPr="00251ECE">
        <w:t xml:space="preserve">who have </w:t>
      </w:r>
      <w:r w:rsidR="00885B55" w:rsidRPr="00251ECE">
        <w:t>c</w:t>
      </w:r>
      <w:r w:rsidR="00CB4A46" w:rsidRPr="00251ECE">
        <w:t>omorbidities</w:t>
      </w:r>
      <w:r w:rsidR="00885B55" w:rsidRPr="00251ECE">
        <w:t xml:space="preserve"> or </w:t>
      </w:r>
      <w:r w:rsidR="00406C9E" w:rsidRPr="00251ECE">
        <w:t xml:space="preserve">who are </w:t>
      </w:r>
      <w:r w:rsidR="00DE5D72" w:rsidRPr="00251ECE">
        <w:rPr>
          <w:rFonts w:hint="eastAsia"/>
        </w:rPr>
        <w:t xml:space="preserve">unlikely or </w:t>
      </w:r>
      <w:r w:rsidR="00C54D79" w:rsidRPr="00251ECE">
        <w:t>deemed</w:t>
      </w:r>
      <w:r w:rsidR="00C54D79" w:rsidRPr="00251ECE">
        <w:rPr>
          <w:rFonts w:hint="eastAsia"/>
        </w:rPr>
        <w:t xml:space="preserve"> </w:t>
      </w:r>
      <w:r w:rsidR="00406C9E" w:rsidRPr="00251ECE">
        <w:t xml:space="preserve">unable to tolerate </w:t>
      </w:r>
      <w:r w:rsidR="00DE2195" w:rsidRPr="00251ECE">
        <w:rPr>
          <w:rFonts w:hint="eastAsia"/>
        </w:rPr>
        <w:t xml:space="preserve">the </w:t>
      </w:r>
      <w:r w:rsidR="00DE2195" w:rsidRPr="00251ECE">
        <w:t>standard dose</w:t>
      </w:r>
      <w:r w:rsidR="00DE2195" w:rsidRPr="00251ECE">
        <w:rPr>
          <w:rFonts w:hint="eastAsia"/>
        </w:rPr>
        <w:t>.</w:t>
      </w:r>
    </w:p>
    <w:p w14:paraId="465B5403" w14:textId="44438253" w:rsidR="00885B55" w:rsidRPr="00251ECE" w:rsidRDefault="00406C9E" w:rsidP="00EE1500">
      <w:pPr>
        <w:spacing w:line="480" w:lineRule="auto"/>
      </w:pPr>
      <w:r w:rsidRPr="00251ECE">
        <w:t>To date, t</w:t>
      </w:r>
      <w:r w:rsidR="00885B55" w:rsidRPr="00251ECE">
        <w:t xml:space="preserve">here </w:t>
      </w:r>
      <w:r w:rsidRPr="00251ECE">
        <w:t xml:space="preserve">have been </w:t>
      </w:r>
      <w:r w:rsidR="00885B55" w:rsidRPr="00251ECE">
        <w:t xml:space="preserve">no studies comparing the standard dose with a lower starting dose. Reducing the dose </w:t>
      </w:r>
      <w:r w:rsidR="00AA3327" w:rsidRPr="00251ECE">
        <w:rPr>
          <w:rFonts w:hint="eastAsia"/>
        </w:rPr>
        <w:t>without appropriate justification</w:t>
      </w:r>
      <w:r w:rsidR="00885B55" w:rsidRPr="00251ECE">
        <w:t xml:space="preserve"> may result in a </w:t>
      </w:r>
      <w:r w:rsidRPr="00251ECE">
        <w:t xml:space="preserve">reduced </w:t>
      </w:r>
      <w:r w:rsidR="00885B55" w:rsidRPr="00251ECE">
        <w:t xml:space="preserve">therapeutic effect and is not recommended. The </w:t>
      </w:r>
      <w:r w:rsidR="00B2042A" w:rsidRPr="00251ECE">
        <w:t>p</w:t>
      </w:r>
      <w:r w:rsidR="00885B55" w:rsidRPr="00251ECE">
        <w:t xml:space="preserve">anel considered that starting at a lower dose may be an acceptable option </w:t>
      </w:r>
      <w:r w:rsidRPr="00251ECE">
        <w:t xml:space="preserve">for </w:t>
      </w:r>
      <w:r w:rsidR="00885B55" w:rsidRPr="00251ECE">
        <w:t xml:space="preserve">patients </w:t>
      </w:r>
      <w:r w:rsidR="00EA4A50" w:rsidRPr="00251ECE">
        <w:t xml:space="preserve">who have </w:t>
      </w:r>
      <w:r w:rsidR="00885B55" w:rsidRPr="00251ECE">
        <w:t>c</w:t>
      </w:r>
      <w:r w:rsidR="002D3E97" w:rsidRPr="00251ECE">
        <w:rPr>
          <w:rFonts w:hint="eastAsia"/>
        </w:rPr>
        <w:t>omorbiditie</w:t>
      </w:r>
      <w:r w:rsidR="00885B55" w:rsidRPr="00251ECE">
        <w:t xml:space="preserve">s or </w:t>
      </w:r>
      <w:r w:rsidRPr="00251ECE">
        <w:t xml:space="preserve">who are unable to tolerate </w:t>
      </w:r>
      <w:r w:rsidR="00DE2195" w:rsidRPr="00251ECE">
        <w:rPr>
          <w:rFonts w:hint="eastAsia"/>
        </w:rPr>
        <w:t>the standard</w:t>
      </w:r>
      <w:r w:rsidR="00DE2195" w:rsidRPr="00251ECE">
        <w:t xml:space="preserve"> </w:t>
      </w:r>
      <w:r w:rsidR="00885B55" w:rsidRPr="00251ECE">
        <w:t xml:space="preserve">dose. It has also been shown that the drug is not less effective when </w:t>
      </w:r>
      <w:r w:rsidRPr="00251ECE">
        <w:t xml:space="preserve">the </w:t>
      </w:r>
      <w:r w:rsidR="00885B55" w:rsidRPr="00251ECE">
        <w:t xml:space="preserve">dose </w:t>
      </w:r>
      <w:r w:rsidRPr="00251ECE">
        <w:t xml:space="preserve">is appropriately </w:t>
      </w:r>
      <w:r w:rsidR="00885B55" w:rsidRPr="00251ECE">
        <w:t>adjusted for adverse events</w:t>
      </w:r>
      <w:r w:rsidR="008E332B" w:rsidRPr="00251ECE">
        <w:t xml:space="preserve"> </w:t>
      </w:r>
      <w:r w:rsidR="003B3B35">
        <w:rPr>
          <w:noProof/>
        </w:rPr>
        <w:t>[54]</w:t>
      </w:r>
      <w:r w:rsidR="00885B55" w:rsidRPr="00251ECE">
        <w:t xml:space="preserve">, dose optimization in individual patients should be based on </w:t>
      </w:r>
      <w:r w:rsidRPr="00251ECE">
        <w:t xml:space="preserve">comorbidities </w:t>
      </w:r>
      <w:r w:rsidR="00885B55" w:rsidRPr="00251ECE">
        <w:t xml:space="preserve">and </w:t>
      </w:r>
      <w:r w:rsidRPr="00251ECE">
        <w:t>toxicities</w:t>
      </w:r>
      <w:r w:rsidR="00885B55" w:rsidRPr="00251ECE">
        <w:t>.</w:t>
      </w:r>
    </w:p>
    <w:p w14:paraId="13C6F22D" w14:textId="70C8E4E8" w:rsidR="00C74A58" w:rsidRPr="00251ECE" w:rsidRDefault="00406C9E" w:rsidP="00B2042A">
      <w:pPr>
        <w:spacing w:line="480" w:lineRule="auto"/>
        <w:ind w:firstLine="425"/>
      </w:pPr>
      <w:r w:rsidRPr="00251ECE">
        <w:t xml:space="preserve">The usefulness </w:t>
      </w:r>
      <w:r w:rsidR="00885B55" w:rsidRPr="00251ECE">
        <w:t xml:space="preserve">of </w:t>
      </w:r>
      <w:r w:rsidRPr="00251ECE">
        <w:t xml:space="preserve">measuring </w:t>
      </w:r>
      <w:r w:rsidR="00885B55" w:rsidRPr="00251ECE">
        <w:t>blood level</w:t>
      </w:r>
      <w:r w:rsidRPr="00251ECE">
        <w:t>s</w:t>
      </w:r>
      <w:r w:rsidR="00885B55" w:rsidRPr="00251ECE">
        <w:t xml:space="preserve"> </w:t>
      </w:r>
      <w:r w:rsidRPr="00251ECE">
        <w:t xml:space="preserve">of imatinib in patients with </w:t>
      </w:r>
      <w:r w:rsidR="00885B55" w:rsidRPr="00251ECE">
        <w:t xml:space="preserve">metastatic or recurrent </w:t>
      </w:r>
      <w:r w:rsidR="006F280F" w:rsidRPr="00251ECE">
        <w:t>GIST</w:t>
      </w:r>
      <w:r w:rsidR="00885B55" w:rsidRPr="00251ECE">
        <w:t xml:space="preserve"> has yet to be established. With regard to the association between plasma level</w:t>
      </w:r>
      <w:r w:rsidRPr="00251ECE">
        <w:t>s of imatinib</w:t>
      </w:r>
      <w:r w:rsidR="00885B55" w:rsidRPr="00251ECE">
        <w:t xml:space="preserve"> and antitumor activity, some retrospective studies have </w:t>
      </w:r>
      <w:r w:rsidRPr="00251ECE">
        <w:t xml:space="preserve">reported </w:t>
      </w:r>
      <w:r w:rsidR="00885B55" w:rsidRPr="00251ECE">
        <w:t>that imatinib plasma levels are associated with PFS</w:t>
      </w:r>
      <w:r w:rsidR="00C4109F" w:rsidRPr="00EA5C96">
        <w:rPr>
          <w:color w:val="EE0000"/>
        </w:rPr>
        <w:t xml:space="preserve"> </w:t>
      </w:r>
      <w:r w:rsidR="003B3B35">
        <w:rPr>
          <w:noProof/>
        </w:rPr>
        <w:t>[55]</w:t>
      </w:r>
      <w:r w:rsidR="00885B55" w:rsidRPr="00251ECE">
        <w:t xml:space="preserve"> although there are conflicting data</w:t>
      </w:r>
      <w:r w:rsidR="00257FEA">
        <w:rPr>
          <w:rFonts w:hint="eastAsia"/>
        </w:rPr>
        <w:t xml:space="preserve"> </w:t>
      </w:r>
      <w:r w:rsidR="003B3B35">
        <w:rPr>
          <w:noProof/>
        </w:rPr>
        <w:t>[56-58]</w:t>
      </w:r>
      <w:r w:rsidR="00885B55" w:rsidRPr="00251ECE">
        <w:t xml:space="preserve">. </w:t>
      </w:r>
      <w:r w:rsidR="001D4B12" w:rsidRPr="00251ECE">
        <w:rPr>
          <w:rFonts w:hint="eastAsia"/>
        </w:rPr>
        <w:t>Therefore</w:t>
      </w:r>
      <w:r w:rsidR="00885B55" w:rsidRPr="00251ECE">
        <w:t>, the panel currently make</w:t>
      </w:r>
      <w:r w:rsidR="001D4B12" w:rsidRPr="00251ECE">
        <w:rPr>
          <w:rFonts w:hint="eastAsia"/>
        </w:rPr>
        <w:t>s</w:t>
      </w:r>
      <w:r w:rsidR="00885B55" w:rsidRPr="00251ECE">
        <w:t xml:space="preserve"> no strong </w:t>
      </w:r>
      <w:r w:rsidR="002E4291" w:rsidRPr="00251ECE">
        <w:t>recommendation and</w:t>
      </w:r>
      <w:r w:rsidRPr="00251ECE">
        <w:t xml:space="preserve"> </w:t>
      </w:r>
      <w:r w:rsidR="00885B55" w:rsidRPr="00251ECE">
        <w:t>only suggest</w:t>
      </w:r>
      <w:r w:rsidR="001D4B12" w:rsidRPr="00251ECE">
        <w:rPr>
          <w:rFonts w:hint="eastAsia"/>
        </w:rPr>
        <w:t>s</w:t>
      </w:r>
      <w:r w:rsidR="00885B55" w:rsidRPr="00251ECE">
        <w:t xml:space="preserve"> that the measurement of blood level</w:t>
      </w:r>
      <w:r w:rsidRPr="00251ECE">
        <w:t>s of imatinib</w:t>
      </w:r>
      <w:r w:rsidR="00885B55" w:rsidRPr="00251ECE">
        <w:t xml:space="preserve"> may be considered </w:t>
      </w:r>
      <w:r w:rsidRPr="00251ECE">
        <w:t xml:space="preserve">under </w:t>
      </w:r>
      <w:r w:rsidR="00885B55" w:rsidRPr="00251ECE">
        <w:t xml:space="preserve">limited circumstances, such as dose escalation after imatinib dose reduction, confirmation of drug compliance, and </w:t>
      </w:r>
      <w:r w:rsidR="001D4B12" w:rsidRPr="00251ECE">
        <w:rPr>
          <w:rFonts w:hint="eastAsia"/>
        </w:rPr>
        <w:t xml:space="preserve">dose </w:t>
      </w:r>
      <w:r w:rsidR="00885B55" w:rsidRPr="00251ECE">
        <w:t>reduction of imatinib</w:t>
      </w:r>
      <w:r w:rsidR="00194CB4" w:rsidRPr="00251ECE">
        <w:t xml:space="preserve"> </w:t>
      </w:r>
      <w:r w:rsidR="003B3B35">
        <w:rPr>
          <w:noProof/>
        </w:rPr>
        <w:t>[59]</w:t>
      </w:r>
      <w:r w:rsidR="00885B55" w:rsidRPr="00251ECE">
        <w:t>.</w:t>
      </w:r>
    </w:p>
    <w:p w14:paraId="05F9F407" w14:textId="35EC78B7" w:rsidR="00951B89" w:rsidRPr="00251ECE" w:rsidRDefault="00951B89" w:rsidP="003B15F9">
      <w:pPr>
        <w:pStyle w:val="Heading3"/>
        <w:pBdr>
          <w:top w:val="single" w:sz="4" w:space="1" w:color="auto"/>
        </w:pBdr>
        <w:ind w:left="0" w:firstLine="0"/>
      </w:pPr>
      <w:r w:rsidRPr="00251ECE">
        <w:lastRenderedPageBreak/>
        <w:t xml:space="preserve">CQ4-1. What is the optimal duration of adjuvant imatinib </w:t>
      </w:r>
      <w:r w:rsidR="007A16C6" w:rsidRPr="00251ECE">
        <w:rPr>
          <w:rFonts w:hint="eastAsia"/>
        </w:rPr>
        <w:t>therapy</w:t>
      </w:r>
      <w:r w:rsidR="007A16C6" w:rsidRPr="00251ECE">
        <w:t xml:space="preserve"> </w:t>
      </w:r>
      <w:r w:rsidRPr="00251ECE">
        <w:t xml:space="preserve">for high-risk </w:t>
      </w:r>
      <w:r w:rsidR="006F280F" w:rsidRPr="00251ECE">
        <w:t>GIST</w:t>
      </w:r>
      <w:r w:rsidRPr="00251ECE">
        <w:t xml:space="preserve"> after radical resection?</w:t>
      </w:r>
    </w:p>
    <w:p w14:paraId="34599B2C" w14:textId="77777777" w:rsidR="00951B89" w:rsidRPr="00E600BF" w:rsidRDefault="00951B89" w:rsidP="00EE1500">
      <w:pPr>
        <w:spacing w:line="480" w:lineRule="auto"/>
        <w:rPr>
          <w:b/>
          <w:bCs/>
        </w:rPr>
      </w:pPr>
      <w:r w:rsidRPr="00E600BF">
        <w:rPr>
          <w:b/>
          <w:bCs/>
        </w:rPr>
        <w:t>Recommendation</w:t>
      </w:r>
    </w:p>
    <w:p w14:paraId="6D6F798C" w14:textId="4108C20A" w:rsidR="00951B89" w:rsidRPr="00251ECE" w:rsidRDefault="00E600BF" w:rsidP="00E600BF">
      <w:pPr>
        <w:spacing w:line="480" w:lineRule="auto"/>
      </w:pPr>
      <w:r>
        <w:rPr>
          <w:rFonts w:eastAsia="Palatino-Roman" w:hint="eastAsia"/>
          <w:b/>
          <w:bCs/>
        </w:rPr>
        <w:t>4-1-1</w:t>
      </w:r>
      <w:r w:rsidRPr="00CC07C8">
        <w:rPr>
          <w:rFonts w:eastAsia="Palatino-Roman" w:hint="eastAsia"/>
          <w:b/>
          <w:bCs/>
        </w:rPr>
        <w:t>:</w:t>
      </w:r>
      <w:r>
        <w:rPr>
          <w:rFonts w:eastAsia="Palatino-Roman" w:hint="eastAsia"/>
          <w:b/>
          <w:bCs/>
        </w:rPr>
        <w:t xml:space="preserve"> </w:t>
      </w:r>
      <w:r w:rsidR="00951B89" w:rsidRPr="00251ECE">
        <w:t xml:space="preserve">Adjuvant imatinib </w:t>
      </w:r>
      <w:r w:rsidR="003A4DB6" w:rsidRPr="00251ECE">
        <w:rPr>
          <w:rFonts w:hint="eastAsia"/>
        </w:rPr>
        <w:t>therapy</w:t>
      </w:r>
      <w:r w:rsidR="003A4DB6" w:rsidRPr="00251ECE">
        <w:t xml:space="preserve"> </w:t>
      </w:r>
      <w:r w:rsidR="00951B89" w:rsidRPr="00251ECE">
        <w:t>for 3 years</w:t>
      </w:r>
      <w:r w:rsidR="00406C9E" w:rsidRPr="00251ECE">
        <w:t xml:space="preserve"> is strongly recommended</w:t>
      </w:r>
      <w:r w:rsidR="00951B89" w:rsidRPr="00251ECE">
        <w:t>.</w:t>
      </w:r>
    </w:p>
    <w:p w14:paraId="081F7767" w14:textId="7734C4F2" w:rsidR="00957E92" w:rsidRPr="00251ECE" w:rsidRDefault="00E600BF" w:rsidP="00E600BF">
      <w:pPr>
        <w:spacing w:line="480" w:lineRule="auto"/>
      </w:pPr>
      <w:r>
        <w:rPr>
          <w:rFonts w:eastAsia="Palatino-Roman" w:hint="eastAsia"/>
          <w:b/>
          <w:bCs/>
        </w:rPr>
        <w:t>4-1-2</w:t>
      </w:r>
      <w:r w:rsidRPr="00CC07C8">
        <w:rPr>
          <w:rFonts w:eastAsia="Palatino-Roman" w:hint="eastAsia"/>
          <w:b/>
          <w:bCs/>
        </w:rPr>
        <w:t>:</w:t>
      </w:r>
      <w:r>
        <w:rPr>
          <w:rFonts w:eastAsia="Palatino-Roman" w:hint="eastAsia"/>
          <w:b/>
          <w:bCs/>
        </w:rPr>
        <w:t xml:space="preserve"> </w:t>
      </w:r>
      <w:r w:rsidR="00957E92" w:rsidRPr="00251ECE">
        <w:t xml:space="preserve">Adjuvant imatinib </w:t>
      </w:r>
      <w:r w:rsidR="00957E92" w:rsidRPr="00251ECE">
        <w:rPr>
          <w:rFonts w:hint="eastAsia"/>
        </w:rPr>
        <w:t>therapy</w:t>
      </w:r>
      <w:r w:rsidR="00957E92" w:rsidRPr="00251ECE">
        <w:t xml:space="preserve"> for 6 years </w:t>
      </w:r>
      <w:r w:rsidR="00053D96" w:rsidRPr="00251ECE">
        <w:rPr>
          <w:rFonts w:hint="eastAsia"/>
        </w:rPr>
        <w:t>can be</w:t>
      </w:r>
      <w:r w:rsidR="00957E92" w:rsidRPr="00251ECE">
        <w:t xml:space="preserve"> recommended.</w:t>
      </w:r>
    </w:p>
    <w:p w14:paraId="681EB538" w14:textId="66F17A9E" w:rsidR="00161CAF" w:rsidRPr="00251ECE" w:rsidRDefault="00E600BF" w:rsidP="00E600BF">
      <w:pPr>
        <w:pBdr>
          <w:bottom w:val="single" w:sz="4" w:space="1" w:color="auto"/>
        </w:pBdr>
        <w:spacing w:line="480" w:lineRule="auto"/>
      </w:pPr>
      <w:r>
        <w:rPr>
          <w:rFonts w:eastAsia="Palatino-Roman" w:hint="eastAsia"/>
          <w:b/>
          <w:bCs/>
        </w:rPr>
        <w:t>4-1-3</w:t>
      </w:r>
      <w:r w:rsidRPr="00CC07C8">
        <w:rPr>
          <w:rFonts w:eastAsia="Palatino-Roman" w:hint="eastAsia"/>
          <w:b/>
          <w:bCs/>
        </w:rPr>
        <w:t>:</w:t>
      </w:r>
      <w:r>
        <w:rPr>
          <w:rFonts w:eastAsia="Palatino-Roman" w:hint="eastAsia"/>
          <w:b/>
          <w:bCs/>
        </w:rPr>
        <w:t xml:space="preserve"> </w:t>
      </w:r>
      <w:r w:rsidR="00951B89" w:rsidRPr="00251ECE">
        <w:t xml:space="preserve">Extended or lifelong adjuvant imatinib </w:t>
      </w:r>
      <w:r w:rsidR="003A4DB6" w:rsidRPr="00251ECE">
        <w:rPr>
          <w:rFonts w:hint="eastAsia"/>
        </w:rPr>
        <w:t>therapy</w:t>
      </w:r>
      <w:r w:rsidR="003A4DB6" w:rsidRPr="00251ECE">
        <w:t xml:space="preserve"> </w:t>
      </w:r>
      <w:r w:rsidR="00951B89" w:rsidRPr="00251ECE">
        <w:t xml:space="preserve">is recommended for ruptured </w:t>
      </w:r>
      <w:r w:rsidR="006F280F" w:rsidRPr="00251ECE">
        <w:t>GIST</w:t>
      </w:r>
      <w:r w:rsidR="00951B89" w:rsidRPr="00251ECE">
        <w:t>.</w:t>
      </w:r>
    </w:p>
    <w:p w14:paraId="7201DED3" w14:textId="2FEF7334" w:rsidR="00256E2B" w:rsidRPr="00251ECE" w:rsidRDefault="00162497" w:rsidP="00EE1500">
      <w:pPr>
        <w:spacing w:line="480" w:lineRule="auto"/>
      </w:pPr>
      <w:r w:rsidRPr="00251ECE">
        <w:t xml:space="preserve">The optimal duration </w:t>
      </w:r>
      <w:r w:rsidR="00406C9E" w:rsidRPr="00251ECE">
        <w:t xml:space="preserve">of administration for patients receiving </w:t>
      </w:r>
      <w:r w:rsidRPr="00251ECE">
        <w:t xml:space="preserve">adjuvant </w:t>
      </w:r>
      <w:r w:rsidR="00406C9E" w:rsidRPr="00251ECE">
        <w:t xml:space="preserve">therapy with </w:t>
      </w:r>
      <w:r w:rsidRPr="00251ECE">
        <w:t xml:space="preserve">imatinib is still under consideration. </w:t>
      </w:r>
      <w:r w:rsidR="008E0D5B" w:rsidRPr="00251ECE">
        <w:t xml:space="preserve">The IMADGIST study is a multicenter, open-label, randomized phase </w:t>
      </w:r>
      <w:r w:rsidR="003B4A7F" w:rsidRPr="00251ECE">
        <w:t>3</w:t>
      </w:r>
      <w:r w:rsidR="008E0D5B" w:rsidRPr="00251ECE">
        <w:t xml:space="preserve"> trial that compared a 3-year extension of imatinib </w:t>
      </w:r>
      <w:r w:rsidR="00D41611" w:rsidRPr="00251ECE">
        <w:rPr>
          <w:rFonts w:hint="eastAsia"/>
        </w:rPr>
        <w:t>therapy</w:t>
      </w:r>
      <w:r w:rsidR="00D41611" w:rsidRPr="00251ECE">
        <w:t xml:space="preserve"> </w:t>
      </w:r>
      <w:r w:rsidR="008E0D5B" w:rsidRPr="00251ECE">
        <w:t xml:space="preserve">versus treatment interruption in patients with high-risk </w:t>
      </w:r>
      <w:r w:rsidR="006F280F" w:rsidRPr="00251ECE">
        <w:t>GIST</w:t>
      </w:r>
      <w:r w:rsidR="008E0D5B" w:rsidRPr="00251ECE">
        <w:t xml:space="preserve"> who had completed </w:t>
      </w:r>
      <w:r w:rsidR="007A16C6" w:rsidRPr="00251ECE">
        <w:rPr>
          <w:rFonts w:hint="eastAsia"/>
        </w:rPr>
        <w:t>3</w:t>
      </w:r>
      <w:r w:rsidR="007A16C6" w:rsidRPr="00251ECE">
        <w:t xml:space="preserve"> </w:t>
      </w:r>
      <w:r w:rsidR="008E0D5B" w:rsidRPr="00251ECE">
        <w:t>years of adjuvant therapy</w:t>
      </w:r>
      <w:r w:rsidR="00304C1F" w:rsidRPr="00251ECE">
        <w:t xml:space="preserve"> </w:t>
      </w:r>
      <w:r w:rsidR="00406C9E" w:rsidRPr="00251ECE">
        <w:t xml:space="preserve">with imatinib </w:t>
      </w:r>
      <w:r w:rsidR="003B3B35">
        <w:rPr>
          <w:noProof/>
        </w:rPr>
        <w:t>[60]</w:t>
      </w:r>
      <w:r w:rsidR="00304C1F" w:rsidRPr="00251ECE">
        <w:t>.</w:t>
      </w:r>
      <w:r w:rsidR="001E48DF" w:rsidRPr="00251ECE">
        <w:t xml:space="preserve"> </w:t>
      </w:r>
      <w:r w:rsidR="00B07F20" w:rsidRPr="00251ECE">
        <w:t xml:space="preserve">In this study, </w:t>
      </w:r>
      <w:r w:rsidR="00E62E6A" w:rsidRPr="00251ECE">
        <w:t xml:space="preserve">a significant improvement in </w:t>
      </w:r>
      <w:r w:rsidR="00AD4AA2" w:rsidRPr="00251ECE">
        <w:t>disease-free survival</w:t>
      </w:r>
      <w:r w:rsidR="00E62E6A" w:rsidRPr="00251ECE">
        <w:t xml:space="preserve"> was observed in the 3-year extension group, although the evaluation of OS was still immature</w:t>
      </w:r>
      <w:r w:rsidR="001E48DF" w:rsidRPr="00251ECE">
        <w:t>.</w:t>
      </w:r>
      <w:r w:rsidR="00411101" w:rsidRPr="00251ECE">
        <w:t xml:space="preserve"> </w:t>
      </w:r>
      <w:r w:rsidR="001E48DF" w:rsidRPr="00251ECE">
        <w:t>A</w:t>
      </w:r>
      <w:r w:rsidR="00411101" w:rsidRPr="00251ECE">
        <w:t>nother study</w:t>
      </w:r>
      <w:r w:rsidRPr="00251ECE">
        <w:t xml:space="preserve"> </w:t>
      </w:r>
      <w:r w:rsidR="00411101" w:rsidRPr="00251ECE">
        <w:t>is</w:t>
      </w:r>
      <w:r w:rsidRPr="00251ECE">
        <w:t xml:space="preserve"> </w:t>
      </w:r>
      <w:r w:rsidR="00152F97" w:rsidRPr="00251ECE">
        <w:t xml:space="preserve">underway to investigate whether a longer </w:t>
      </w:r>
      <w:r w:rsidR="00406C9E" w:rsidRPr="00251ECE">
        <w:t xml:space="preserve">duration of </w:t>
      </w:r>
      <w:r w:rsidR="00152F97" w:rsidRPr="00251ECE">
        <w:t xml:space="preserve">adjuvant </w:t>
      </w:r>
      <w:r w:rsidR="00406C9E" w:rsidRPr="00251ECE">
        <w:t xml:space="preserve">imatinib </w:t>
      </w:r>
      <w:r w:rsidR="003A4DB6" w:rsidRPr="00251ECE">
        <w:rPr>
          <w:rFonts w:hint="eastAsia"/>
        </w:rPr>
        <w:t xml:space="preserve">therapy </w:t>
      </w:r>
      <w:r w:rsidR="00152F97" w:rsidRPr="00251ECE">
        <w:t>reduces</w:t>
      </w:r>
      <w:r w:rsidRPr="00251ECE">
        <w:t xml:space="preserve"> recurrence events (NCT02413736: </w:t>
      </w:r>
      <w:r w:rsidR="007A16C6" w:rsidRPr="00251ECE">
        <w:rPr>
          <w:rFonts w:hint="eastAsia"/>
        </w:rPr>
        <w:t>5</w:t>
      </w:r>
      <w:r w:rsidR="007A16C6" w:rsidRPr="00251ECE">
        <w:t xml:space="preserve"> </w:t>
      </w:r>
      <w:r w:rsidRPr="00251ECE">
        <w:t xml:space="preserve">years versus </w:t>
      </w:r>
      <w:r w:rsidR="007A16C6" w:rsidRPr="00251ECE">
        <w:rPr>
          <w:rFonts w:hint="eastAsia"/>
        </w:rPr>
        <w:t>3</w:t>
      </w:r>
      <w:r w:rsidR="007A16C6" w:rsidRPr="00251ECE">
        <w:t xml:space="preserve"> </w:t>
      </w:r>
      <w:r w:rsidRPr="00251ECE">
        <w:t>years).</w:t>
      </w:r>
      <w:r w:rsidR="00CA7E60" w:rsidRPr="00251ECE">
        <w:rPr>
          <w:rFonts w:hint="eastAsia"/>
        </w:rPr>
        <w:t xml:space="preserve"> </w:t>
      </w:r>
      <w:r w:rsidR="00CA7E60" w:rsidRPr="00251ECE">
        <w:t xml:space="preserve">It should be noted that the duration of </w:t>
      </w:r>
      <w:r w:rsidR="00CA7E60" w:rsidRPr="00251ECE">
        <w:rPr>
          <w:rFonts w:hint="eastAsia"/>
        </w:rPr>
        <w:t>adjuvant imatinib</w:t>
      </w:r>
      <w:r w:rsidR="00CA7E60" w:rsidRPr="00251ECE">
        <w:t xml:space="preserve"> may vary across countries </w:t>
      </w:r>
      <w:r w:rsidR="00E66496" w:rsidRPr="00251ECE">
        <w:t>because of differences in</w:t>
      </w:r>
      <w:r w:rsidR="00CA7E60" w:rsidRPr="00251ECE">
        <w:t xml:space="preserve"> national reimbursement policies.</w:t>
      </w:r>
    </w:p>
    <w:p w14:paraId="3D051870" w14:textId="6948C808" w:rsidR="00014225" w:rsidRPr="00251ECE" w:rsidRDefault="00014225" w:rsidP="007213D7">
      <w:pPr>
        <w:spacing w:line="480" w:lineRule="auto"/>
        <w:ind w:firstLine="425"/>
      </w:pPr>
      <w:r w:rsidRPr="00251ECE">
        <w:t xml:space="preserve">Before the establishment of adjuvant imatinib </w:t>
      </w:r>
      <w:r w:rsidRPr="00251ECE">
        <w:rPr>
          <w:rFonts w:hint="eastAsia"/>
        </w:rPr>
        <w:t>therapy</w:t>
      </w:r>
      <w:r w:rsidRPr="00251ECE">
        <w:t xml:space="preserve"> as the standard of care for high-risk GIST, most recurrences occurred in the liver or peritoneum within 2 years of surgery</w:t>
      </w:r>
      <w:r w:rsidR="009C60B5">
        <w:rPr>
          <w:rFonts w:hint="eastAsia"/>
        </w:rPr>
        <w:t xml:space="preserve"> </w:t>
      </w:r>
      <w:r w:rsidR="003B3B35">
        <w:rPr>
          <w:noProof/>
        </w:rPr>
        <w:t>[26]</w:t>
      </w:r>
      <w:r w:rsidRPr="00251ECE">
        <w:t>. In the era of adjuvant imatinib therapy, the risk of recurrence remains highest within the first 1</w:t>
      </w:r>
      <w:r w:rsidR="00E721E2" w:rsidRPr="00E721E2">
        <w:t>–</w:t>
      </w:r>
      <w:r w:rsidRPr="00251ECE">
        <w:t>2 years after the completion of treatment</w:t>
      </w:r>
      <w:r w:rsidR="005274DD" w:rsidRPr="00251ECE">
        <w:t xml:space="preserve"> </w:t>
      </w:r>
      <w:r w:rsidR="003B3B35">
        <w:rPr>
          <w:noProof/>
        </w:rPr>
        <w:t>[61]</w:t>
      </w:r>
      <w:r w:rsidRPr="00251ECE">
        <w:t>.</w:t>
      </w:r>
      <w:r w:rsidRPr="00251ECE">
        <w:rPr>
          <w:rFonts w:hint="eastAsia"/>
        </w:rPr>
        <w:t xml:space="preserve"> Careful follow-up is warranted after </w:t>
      </w:r>
      <w:r w:rsidR="00F6567D" w:rsidRPr="00251ECE">
        <w:t xml:space="preserve">the </w:t>
      </w:r>
      <w:r w:rsidRPr="00251ECE">
        <w:rPr>
          <w:rFonts w:hint="eastAsia"/>
        </w:rPr>
        <w:t xml:space="preserve">completion of </w:t>
      </w:r>
      <w:r w:rsidRPr="00251ECE">
        <w:rPr>
          <w:rFonts w:hint="eastAsia"/>
        </w:rPr>
        <w:lastRenderedPageBreak/>
        <w:t xml:space="preserve">adjuvant therapy with imatinib </w:t>
      </w:r>
      <w:r w:rsidR="00F6567D" w:rsidRPr="00251ECE">
        <w:t>because</w:t>
      </w:r>
      <w:r w:rsidR="00F6567D" w:rsidRPr="00251ECE">
        <w:rPr>
          <w:rFonts w:hint="eastAsia"/>
        </w:rPr>
        <w:t xml:space="preserve"> </w:t>
      </w:r>
      <w:r w:rsidRPr="00251ECE">
        <w:rPr>
          <w:rFonts w:hint="eastAsia"/>
        </w:rPr>
        <w:t>a</w:t>
      </w:r>
      <w:r w:rsidRPr="00251ECE">
        <w:t xml:space="preserve">n increase in the recurrence rate approximately 1–2 years after the discontinuation of imatinib </w:t>
      </w:r>
      <w:r w:rsidR="00F6567D" w:rsidRPr="00251ECE">
        <w:t xml:space="preserve">has been </w:t>
      </w:r>
      <w:r w:rsidRPr="00251ECE">
        <w:t>observed in previous studies</w:t>
      </w:r>
      <w:r w:rsidR="008A3060">
        <w:rPr>
          <w:rFonts w:hint="eastAsia"/>
        </w:rPr>
        <w:t xml:space="preserve"> </w:t>
      </w:r>
      <w:r w:rsidR="003B3B35">
        <w:rPr>
          <w:noProof/>
        </w:rPr>
        <w:t>[62-64]</w:t>
      </w:r>
      <w:r w:rsidRPr="00251ECE">
        <w:t>.</w:t>
      </w:r>
    </w:p>
    <w:p w14:paraId="798A1DB3" w14:textId="143E23DA" w:rsidR="00162497" w:rsidRPr="00251ECE" w:rsidRDefault="00162497" w:rsidP="006E515E">
      <w:pPr>
        <w:spacing w:line="480" w:lineRule="auto"/>
        <w:ind w:firstLine="840"/>
        <w:rPr>
          <w:color w:val="FF0000"/>
        </w:rPr>
      </w:pPr>
      <w:r w:rsidRPr="00251ECE">
        <w:t>Extended or life</w:t>
      </w:r>
      <w:r w:rsidR="009F30F0" w:rsidRPr="00251ECE">
        <w:t>l</w:t>
      </w:r>
      <w:r w:rsidRPr="00251ECE">
        <w:t xml:space="preserve">ong </w:t>
      </w:r>
      <w:r w:rsidR="003A4DB6" w:rsidRPr="00251ECE">
        <w:t xml:space="preserve">adjuvant imatinib </w:t>
      </w:r>
      <w:r w:rsidR="003A4DB6" w:rsidRPr="00251ECE">
        <w:rPr>
          <w:rFonts w:hint="eastAsia"/>
        </w:rPr>
        <w:t xml:space="preserve">therapy </w:t>
      </w:r>
      <w:r w:rsidRPr="00251ECE">
        <w:t xml:space="preserve">is </w:t>
      </w:r>
      <w:r w:rsidR="006C7ED8" w:rsidRPr="00251ECE">
        <w:t>an</w:t>
      </w:r>
      <w:r w:rsidRPr="00251ECE">
        <w:t xml:space="preserve"> option for patients with tumor rupture, as those patients are considered to have </w:t>
      </w:r>
      <w:r w:rsidR="00406C9E" w:rsidRPr="00251ECE">
        <w:t xml:space="preserve">an </w:t>
      </w:r>
      <w:r w:rsidR="0002067E" w:rsidRPr="00251ECE">
        <w:t xml:space="preserve">increased </w:t>
      </w:r>
      <w:r w:rsidR="005D1481" w:rsidRPr="00251ECE">
        <w:t xml:space="preserve">risk of </w:t>
      </w:r>
      <w:r w:rsidR="00300599" w:rsidRPr="00251ECE">
        <w:t>recurrence</w:t>
      </w:r>
      <w:r w:rsidRPr="00251ECE">
        <w:t xml:space="preserve">. </w:t>
      </w:r>
      <w:r w:rsidR="008C73E5" w:rsidRPr="00251ECE">
        <w:t>While a retrospective study indicated that prolonged imatinib treatment following surgical resection was associated with favorable outcomes in patients with tumor rupture</w:t>
      </w:r>
      <w:r w:rsidR="008F1129" w:rsidRPr="00251ECE">
        <w:t xml:space="preserve">, </w:t>
      </w:r>
      <w:r w:rsidRPr="00251ECE">
        <w:t xml:space="preserve">further studies are needed </w:t>
      </w:r>
      <w:r w:rsidR="006C7ED8" w:rsidRPr="00251ECE">
        <w:t>to determine</w:t>
      </w:r>
      <w:r w:rsidRPr="00251ECE">
        <w:t xml:space="preserve"> </w:t>
      </w:r>
      <w:r w:rsidR="006C7ED8" w:rsidRPr="00251ECE">
        <w:t xml:space="preserve">the </w:t>
      </w:r>
      <w:r w:rsidRPr="00251ECE">
        <w:t xml:space="preserve">optimal duration of adjuvant imatinib </w:t>
      </w:r>
      <w:r w:rsidR="003A4DB6" w:rsidRPr="00251ECE">
        <w:rPr>
          <w:rFonts w:hint="eastAsia"/>
        </w:rPr>
        <w:t>therapy</w:t>
      </w:r>
      <w:r w:rsidR="003A4DB6" w:rsidRPr="00251ECE">
        <w:t xml:space="preserve"> </w:t>
      </w:r>
      <w:r w:rsidRPr="00251ECE">
        <w:t xml:space="preserve">for </w:t>
      </w:r>
      <w:r w:rsidR="003E1085" w:rsidRPr="00251ECE">
        <w:t xml:space="preserve">these </w:t>
      </w:r>
      <w:r w:rsidRPr="00251ECE">
        <w:t>patients</w:t>
      </w:r>
      <w:r w:rsidR="000233AA" w:rsidRPr="00251ECE">
        <w:t xml:space="preserve"> </w:t>
      </w:r>
      <w:r w:rsidR="003B3B35">
        <w:rPr>
          <w:noProof/>
        </w:rPr>
        <w:t>[65]</w:t>
      </w:r>
      <w:r w:rsidRPr="00251ECE">
        <w:t>.</w:t>
      </w:r>
    </w:p>
    <w:p w14:paraId="5A9B170A" w14:textId="5D810748" w:rsidR="00162497" w:rsidRPr="00251ECE" w:rsidRDefault="007745A7" w:rsidP="00395800">
      <w:pPr>
        <w:spacing w:line="480" w:lineRule="auto"/>
        <w:ind w:firstLine="840"/>
      </w:pPr>
      <w:r w:rsidRPr="00251ECE">
        <w:t xml:space="preserve">There is no consensus regarding the optimal timing of </w:t>
      </w:r>
      <w:r w:rsidR="00406C9E" w:rsidRPr="00251ECE">
        <w:t xml:space="preserve">the initiation of </w:t>
      </w:r>
      <w:r w:rsidRPr="00251ECE">
        <w:t xml:space="preserve">adjuvant imatinib </w:t>
      </w:r>
      <w:r w:rsidR="003A4DB6" w:rsidRPr="00251ECE">
        <w:rPr>
          <w:rFonts w:hint="eastAsia"/>
        </w:rPr>
        <w:t>therapy</w:t>
      </w:r>
      <w:r w:rsidR="003A4DB6" w:rsidRPr="00251ECE">
        <w:t xml:space="preserve"> </w:t>
      </w:r>
      <w:r w:rsidRPr="00251ECE">
        <w:t xml:space="preserve">for localized </w:t>
      </w:r>
      <w:r w:rsidR="006F280F" w:rsidRPr="00251ECE">
        <w:t>GIST</w:t>
      </w:r>
      <w:r w:rsidRPr="00251ECE">
        <w:t xml:space="preserve"> after curative surgery.</w:t>
      </w:r>
      <w:r w:rsidR="00162497" w:rsidRPr="00251ECE">
        <w:t xml:space="preserve"> In the previous pivotal studies, </w:t>
      </w:r>
      <w:r w:rsidR="00DE2011" w:rsidRPr="00251ECE">
        <w:t xml:space="preserve">the </w:t>
      </w:r>
      <w:r w:rsidR="00162497" w:rsidRPr="00251ECE">
        <w:t xml:space="preserve">interval from surgical resection to randomization or </w:t>
      </w:r>
      <w:r w:rsidR="00406C9E" w:rsidRPr="00251ECE">
        <w:t xml:space="preserve">the </w:t>
      </w:r>
      <w:r w:rsidR="00162497" w:rsidRPr="00251ECE">
        <w:t xml:space="preserve">initiation </w:t>
      </w:r>
      <w:r w:rsidR="00406C9E" w:rsidRPr="00251ECE">
        <w:t xml:space="preserve">of imatinib was </w:t>
      </w:r>
      <w:r w:rsidR="00162497" w:rsidRPr="00251ECE">
        <w:t>a</w:t>
      </w:r>
      <w:r w:rsidR="00996CE4" w:rsidRPr="00251ECE">
        <w:t xml:space="preserve">pproximately </w:t>
      </w:r>
      <w:r w:rsidR="00162497" w:rsidRPr="00251ECE">
        <w:t>12 weeks</w:t>
      </w:r>
      <w:r w:rsidR="00D25126" w:rsidRPr="00251ECE">
        <w:t xml:space="preserve"> </w:t>
      </w:r>
      <w:r w:rsidR="003B3B35">
        <w:rPr>
          <w:noProof/>
        </w:rPr>
        <w:t>[62-64, 66]</w:t>
      </w:r>
      <w:r w:rsidR="002D4E07">
        <w:rPr>
          <w:rFonts w:hint="eastAsia"/>
          <w:noProof/>
          <w:color w:val="EE0000"/>
        </w:rPr>
        <w:t>.</w:t>
      </w:r>
      <w:r w:rsidR="00162497" w:rsidRPr="00251ECE">
        <w:t xml:space="preserve"> A retrospective study reported the possibility of impaired survival by delaying adjuvant imatinib </w:t>
      </w:r>
      <w:r w:rsidR="00821D79" w:rsidRPr="00251ECE">
        <w:rPr>
          <w:rFonts w:hint="eastAsia"/>
        </w:rPr>
        <w:t>therapy</w:t>
      </w:r>
      <w:r w:rsidR="00821D79" w:rsidRPr="00251ECE">
        <w:t xml:space="preserve"> </w:t>
      </w:r>
      <w:r w:rsidR="00162497" w:rsidRPr="00251ECE">
        <w:t xml:space="preserve">(&gt; </w:t>
      </w:r>
      <w:r w:rsidR="00406C9E" w:rsidRPr="00251ECE">
        <w:t xml:space="preserve">4 </w:t>
      </w:r>
      <w:r w:rsidR="00162497" w:rsidRPr="00251ECE">
        <w:t>months)</w:t>
      </w:r>
      <w:r w:rsidR="00162497" w:rsidRPr="00EA5C96">
        <w:rPr>
          <w:color w:val="EE0000"/>
        </w:rPr>
        <w:t xml:space="preserve"> </w:t>
      </w:r>
      <w:r w:rsidR="003B3B35">
        <w:rPr>
          <w:noProof/>
        </w:rPr>
        <w:t>[67]</w:t>
      </w:r>
      <w:r w:rsidR="00162497" w:rsidRPr="00251ECE">
        <w:t xml:space="preserve">. Given the </w:t>
      </w:r>
      <w:r w:rsidR="00494F09" w:rsidRPr="00251ECE">
        <w:t xml:space="preserve">potential </w:t>
      </w:r>
      <w:r w:rsidR="00162497" w:rsidRPr="00251ECE">
        <w:t xml:space="preserve">detrimental effect of delaying adjuvant imatinib </w:t>
      </w:r>
      <w:r w:rsidR="00821D79" w:rsidRPr="00251ECE">
        <w:rPr>
          <w:rFonts w:hint="eastAsia"/>
        </w:rPr>
        <w:t>therapy</w:t>
      </w:r>
      <w:r w:rsidR="00162497" w:rsidRPr="00251ECE">
        <w:t xml:space="preserve">, </w:t>
      </w:r>
      <w:r w:rsidR="005923BD" w:rsidRPr="00251ECE">
        <w:t>the</w:t>
      </w:r>
      <w:r w:rsidR="00162497" w:rsidRPr="00251ECE">
        <w:t xml:space="preserve"> panel recommends </w:t>
      </w:r>
      <w:r w:rsidR="00D636A5" w:rsidRPr="00251ECE">
        <w:t>initiating</w:t>
      </w:r>
      <w:r w:rsidR="00162497" w:rsidRPr="00251ECE">
        <w:t xml:space="preserve"> adjuvant </w:t>
      </w:r>
      <w:r w:rsidR="00B55F83" w:rsidRPr="00251ECE">
        <w:rPr>
          <w:rFonts w:hint="eastAsia"/>
        </w:rPr>
        <w:t>therapy</w:t>
      </w:r>
      <w:r w:rsidR="00B55F83" w:rsidRPr="00251ECE">
        <w:t xml:space="preserve"> </w:t>
      </w:r>
      <w:r w:rsidR="00162497" w:rsidRPr="00251ECE">
        <w:t xml:space="preserve">within approximately 12 weeks. </w:t>
      </w:r>
    </w:p>
    <w:p w14:paraId="7F62EE8F" w14:textId="643EE372" w:rsidR="005725A9" w:rsidRPr="00251ECE" w:rsidRDefault="00406C9E" w:rsidP="00E06928">
      <w:pPr>
        <w:spacing w:line="480" w:lineRule="auto"/>
        <w:ind w:firstLine="567"/>
      </w:pPr>
      <w:r w:rsidRPr="00251ECE">
        <w:t xml:space="preserve">A genotype </w:t>
      </w:r>
      <w:r w:rsidR="00162497" w:rsidRPr="00251ECE">
        <w:t xml:space="preserve">analysis </w:t>
      </w:r>
      <w:r w:rsidRPr="00251ECE">
        <w:t xml:space="preserve">of </w:t>
      </w:r>
      <w:r w:rsidR="00162497" w:rsidRPr="00251ECE">
        <w:t xml:space="preserve">patients being evaluated for adjuvant imatinib </w:t>
      </w:r>
      <w:r w:rsidR="00B55F83" w:rsidRPr="00251ECE">
        <w:rPr>
          <w:rFonts w:hint="eastAsia"/>
        </w:rPr>
        <w:t>therapy</w:t>
      </w:r>
      <w:r w:rsidR="00B55F83" w:rsidRPr="00251ECE">
        <w:t xml:space="preserve"> </w:t>
      </w:r>
      <w:r w:rsidR="00162497" w:rsidRPr="00251ECE">
        <w:t xml:space="preserve">is </w:t>
      </w:r>
      <w:r w:rsidR="00A163A9" w:rsidRPr="00251ECE">
        <w:t xml:space="preserve">preferable </w:t>
      </w:r>
      <w:r w:rsidRPr="00251ECE">
        <w:t xml:space="preserve">for </w:t>
      </w:r>
      <w:r w:rsidR="00162497" w:rsidRPr="00251ECE">
        <w:t xml:space="preserve">identifying imatinib-insensitive </w:t>
      </w:r>
      <w:r w:rsidR="006F280F" w:rsidRPr="00251ECE">
        <w:t>GIST</w:t>
      </w:r>
      <w:r w:rsidR="00162497" w:rsidRPr="00251ECE">
        <w:t xml:space="preserve">, including </w:t>
      </w:r>
      <w:r w:rsidR="00162497" w:rsidRPr="00251ECE">
        <w:rPr>
          <w:i/>
          <w:iCs/>
        </w:rPr>
        <w:t>PDGFRA</w:t>
      </w:r>
      <w:r w:rsidR="00162497" w:rsidRPr="00251ECE">
        <w:t xml:space="preserve"> D842 V mutant </w:t>
      </w:r>
      <w:r w:rsidR="006F280F" w:rsidRPr="00251ECE">
        <w:t>GIST</w:t>
      </w:r>
      <w:r w:rsidR="00162497" w:rsidRPr="00251ECE">
        <w:t xml:space="preserve"> and wild-type </w:t>
      </w:r>
      <w:r w:rsidR="006F280F" w:rsidRPr="00251ECE">
        <w:t>GIST</w:t>
      </w:r>
      <w:r w:rsidR="00162497" w:rsidRPr="00251ECE">
        <w:t xml:space="preserve">. </w:t>
      </w:r>
      <w:r w:rsidRPr="00251ECE">
        <w:t>A</w:t>
      </w:r>
      <w:r w:rsidR="00162497" w:rsidRPr="00251ECE">
        <w:t xml:space="preserve">djuvant imatinib </w:t>
      </w:r>
      <w:r w:rsidR="00821D79" w:rsidRPr="00251ECE">
        <w:rPr>
          <w:rFonts w:hint="eastAsia"/>
        </w:rPr>
        <w:t>therapy</w:t>
      </w:r>
      <w:r w:rsidR="00821D79" w:rsidRPr="00251ECE">
        <w:t xml:space="preserve"> </w:t>
      </w:r>
      <w:r w:rsidRPr="00251ECE">
        <w:t xml:space="preserve">is not recommended </w:t>
      </w:r>
      <w:r w:rsidR="00162497" w:rsidRPr="00251ECE">
        <w:t xml:space="preserve">for </w:t>
      </w:r>
      <w:r w:rsidR="006F280F" w:rsidRPr="00251ECE">
        <w:t>GIST</w:t>
      </w:r>
      <w:r w:rsidR="00162497" w:rsidRPr="00251ECE">
        <w:t xml:space="preserve"> with </w:t>
      </w:r>
      <w:r w:rsidR="00162497" w:rsidRPr="00251ECE">
        <w:rPr>
          <w:i/>
          <w:iCs/>
        </w:rPr>
        <w:t xml:space="preserve">PDGFRA </w:t>
      </w:r>
      <w:r w:rsidR="00162497" w:rsidRPr="00251ECE">
        <w:t>D842V mutation</w:t>
      </w:r>
      <w:r w:rsidRPr="00251ECE">
        <w:t>s</w:t>
      </w:r>
      <w:r w:rsidR="00162497" w:rsidRPr="00251ECE">
        <w:t xml:space="preserve">, which </w:t>
      </w:r>
      <w:r w:rsidRPr="00251ECE">
        <w:t xml:space="preserve">confer resistance </w:t>
      </w:r>
      <w:r w:rsidR="00162497" w:rsidRPr="00251ECE">
        <w:t>to imatinib. Wild</w:t>
      </w:r>
      <w:r w:rsidR="00163A42" w:rsidRPr="00251ECE">
        <w:t>-</w:t>
      </w:r>
      <w:r w:rsidR="00162497" w:rsidRPr="00251ECE">
        <w:t xml:space="preserve">type </w:t>
      </w:r>
      <w:r w:rsidR="006F280F" w:rsidRPr="00251ECE">
        <w:t>GIST</w:t>
      </w:r>
      <w:r w:rsidR="00162497" w:rsidRPr="00251ECE">
        <w:t xml:space="preserve"> also </w:t>
      </w:r>
      <w:r w:rsidRPr="00251ECE">
        <w:t>show</w:t>
      </w:r>
      <w:r w:rsidR="003E1085" w:rsidRPr="00251ECE">
        <w:t>s</w:t>
      </w:r>
      <w:r w:rsidRPr="00251ECE">
        <w:t xml:space="preserve"> </w:t>
      </w:r>
      <w:r w:rsidR="00162497" w:rsidRPr="00251ECE">
        <w:t>lower sensitivity to imatinib</w:t>
      </w:r>
      <w:r w:rsidR="00D636A5" w:rsidRPr="00251ECE">
        <w:t>. It</w:t>
      </w:r>
      <w:r w:rsidR="00162497" w:rsidRPr="00251ECE">
        <w:t xml:space="preserve"> </w:t>
      </w:r>
      <w:r w:rsidR="00D636A5" w:rsidRPr="00251ECE">
        <w:t>is</w:t>
      </w:r>
      <w:r w:rsidR="00162497" w:rsidRPr="00251ECE">
        <w:t xml:space="preserve"> unlikely to benefit </w:t>
      </w:r>
      <w:r w:rsidR="004C11A1" w:rsidRPr="00251ECE">
        <w:t>from</w:t>
      </w:r>
      <w:r w:rsidR="00162497" w:rsidRPr="00251ECE">
        <w:t xml:space="preserve"> adjuvant imatinib </w:t>
      </w:r>
      <w:r w:rsidR="00821D79" w:rsidRPr="00251ECE">
        <w:rPr>
          <w:rFonts w:hint="eastAsia"/>
        </w:rPr>
        <w:t>therapy</w:t>
      </w:r>
      <w:r w:rsidR="004C11A1" w:rsidRPr="00251ECE">
        <w:t>,</w:t>
      </w:r>
      <w:r w:rsidR="00162497" w:rsidRPr="00251ECE">
        <w:t xml:space="preserve"> especially in </w:t>
      </w:r>
      <w:r w:rsidR="00162497" w:rsidRPr="00251ECE">
        <w:lastRenderedPageBreak/>
        <w:t xml:space="preserve">patients with syndromic </w:t>
      </w:r>
      <w:r w:rsidR="006F280F" w:rsidRPr="00251ECE">
        <w:t>GIST</w:t>
      </w:r>
      <w:r w:rsidR="00162497" w:rsidRPr="00251ECE">
        <w:t xml:space="preserve"> such as </w:t>
      </w:r>
      <w:r w:rsidR="00E06928" w:rsidRPr="00251ECE">
        <w:t>NF-</w:t>
      </w:r>
      <w:r w:rsidR="00162497" w:rsidRPr="00251ECE">
        <w:t xml:space="preserve">1–related </w:t>
      </w:r>
      <w:r w:rsidR="006F280F" w:rsidRPr="00251ECE">
        <w:t>GIST</w:t>
      </w:r>
      <w:r w:rsidR="00162497" w:rsidRPr="00251ECE">
        <w:t xml:space="preserve">, </w:t>
      </w:r>
      <w:r w:rsidR="00C06F1F" w:rsidRPr="00251ECE">
        <w:rPr>
          <w:rFonts w:eastAsia="Palatino-Italic"/>
          <w:iCs/>
        </w:rPr>
        <w:t xml:space="preserve">the </w:t>
      </w:r>
      <w:r w:rsidR="00162497" w:rsidRPr="00251ECE">
        <w:t>Carney triad</w:t>
      </w:r>
      <w:r w:rsidR="004C11A1" w:rsidRPr="00251ECE">
        <w:t>,</w:t>
      </w:r>
      <w:r w:rsidR="00162497" w:rsidRPr="00251ECE">
        <w:t xml:space="preserve"> or Carney-Stratakis syndrome</w:t>
      </w:r>
      <w:r w:rsidR="00162497" w:rsidRPr="00EA5C96">
        <w:rPr>
          <w:color w:val="EE0000"/>
        </w:rPr>
        <w:t xml:space="preserve"> </w:t>
      </w:r>
      <w:r w:rsidR="003B3B35">
        <w:rPr>
          <w:rFonts w:eastAsia="Palatino-Roman"/>
          <w:noProof/>
        </w:rPr>
        <w:t>[68, 69]</w:t>
      </w:r>
      <w:r w:rsidR="00162497" w:rsidRPr="00251ECE">
        <w:t xml:space="preserve">. </w:t>
      </w:r>
    </w:p>
    <w:p w14:paraId="6E32849B" w14:textId="77777777" w:rsidR="00780D2A" w:rsidRDefault="00780D2A">
      <w:pPr>
        <w:spacing w:line="360" w:lineRule="auto"/>
        <w:ind w:left="992" w:hanging="992"/>
        <w:rPr>
          <w:b/>
          <w:bCs/>
        </w:rPr>
      </w:pPr>
      <w:r>
        <w:br w:type="page"/>
      </w:r>
    </w:p>
    <w:p w14:paraId="3A5E9EE5" w14:textId="2AFE05D5" w:rsidR="00AA0F1D" w:rsidRPr="00251ECE" w:rsidRDefault="00AA0F1D" w:rsidP="00060463">
      <w:pPr>
        <w:pStyle w:val="Heading3"/>
        <w:pBdr>
          <w:top w:val="single" w:sz="4" w:space="1" w:color="auto"/>
        </w:pBdr>
      </w:pPr>
      <w:r w:rsidRPr="00251ECE">
        <w:lastRenderedPageBreak/>
        <w:t>CQ4-2. Is imatinib useful as</w:t>
      </w:r>
      <w:r w:rsidR="00406C9E" w:rsidRPr="00251ECE">
        <w:t xml:space="preserve"> </w:t>
      </w:r>
      <w:r w:rsidRPr="00251ECE">
        <w:t xml:space="preserve">neoadjuvant </w:t>
      </w:r>
      <w:r w:rsidR="00B55F83" w:rsidRPr="00251ECE">
        <w:rPr>
          <w:rFonts w:hint="eastAsia"/>
        </w:rPr>
        <w:t>therapy</w:t>
      </w:r>
      <w:r w:rsidR="00B55F83" w:rsidRPr="00251ECE">
        <w:t xml:space="preserve"> </w:t>
      </w:r>
      <w:r w:rsidRPr="00251ECE">
        <w:t xml:space="preserve">for large </w:t>
      </w:r>
      <w:r w:rsidR="006F280F" w:rsidRPr="00251ECE">
        <w:t>GIST</w:t>
      </w:r>
      <w:r w:rsidRPr="00251ECE">
        <w:t>?</w:t>
      </w:r>
    </w:p>
    <w:p w14:paraId="09AE522C" w14:textId="77777777" w:rsidR="00AA0F1D" w:rsidRPr="00E600BF" w:rsidRDefault="00AA0F1D" w:rsidP="00060463">
      <w:pPr>
        <w:pBdr>
          <w:top w:val="single" w:sz="4" w:space="1" w:color="auto"/>
        </w:pBdr>
        <w:spacing w:line="480" w:lineRule="auto"/>
        <w:rPr>
          <w:b/>
          <w:bCs/>
        </w:rPr>
      </w:pPr>
      <w:r w:rsidRPr="00E600BF">
        <w:rPr>
          <w:b/>
          <w:bCs/>
        </w:rPr>
        <w:t>Recommendation</w:t>
      </w:r>
    </w:p>
    <w:p w14:paraId="7E11A8F5" w14:textId="6C142062" w:rsidR="00AA0F1D" w:rsidRPr="00251ECE" w:rsidRDefault="00E600BF" w:rsidP="00E600BF">
      <w:pPr>
        <w:pBdr>
          <w:bottom w:val="single" w:sz="4" w:space="1" w:color="auto"/>
        </w:pBdr>
        <w:spacing w:line="480" w:lineRule="auto"/>
      </w:pPr>
      <w:r>
        <w:rPr>
          <w:rFonts w:eastAsia="Palatino-Roman" w:hint="eastAsia"/>
          <w:b/>
          <w:bCs/>
        </w:rPr>
        <w:t>4-2-1</w:t>
      </w:r>
      <w:r w:rsidRPr="00CC07C8">
        <w:rPr>
          <w:rFonts w:eastAsia="Palatino-Roman" w:hint="eastAsia"/>
          <w:b/>
          <w:bCs/>
        </w:rPr>
        <w:t>:</w:t>
      </w:r>
      <w:r>
        <w:rPr>
          <w:rFonts w:eastAsia="Palatino-Roman" w:hint="eastAsia"/>
          <w:b/>
          <w:bCs/>
        </w:rPr>
        <w:t xml:space="preserve"> </w:t>
      </w:r>
      <w:r w:rsidR="00AA0F1D" w:rsidRPr="00251ECE">
        <w:t xml:space="preserve">Neoadjuvant imatinib </w:t>
      </w:r>
      <w:r w:rsidR="00821D79" w:rsidRPr="00251ECE">
        <w:rPr>
          <w:rFonts w:hint="eastAsia"/>
        </w:rPr>
        <w:t>therapy</w:t>
      </w:r>
      <w:r w:rsidR="00821D79" w:rsidRPr="00251ECE">
        <w:t xml:space="preserve"> </w:t>
      </w:r>
      <w:r w:rsidR="00AA0F1D" w:rsidRPr="00251ECE">
        <w:t xml:space="preserve">is recommended for large </w:t>
      </w:r>
      <w:r w:rsidR="006F280F" w:rsidRPr="00251ECE">
        <w:t>GIST</w:t>
      </w:r>
      <w:r w:rsidR="00AA0F1D" w:rsidRPr="00251ECE">
        <w:t xml:space="preserve"> (e.g., </w:t>
      </w:r>
      <w:r w:rsidR="003C0CFD" w:rsidRPr="00251ECE">
        <w:t>&gt; 1</w:t>
      </w:r>
      <w:r w:rsidR="00AA0F1D" w:rsidRPr="00251ECE">
        <w:t>0 cm in diameter)</w:t>
      </w:r>
      <w:r w:rsidR="001F1795" w:rsidRPr="00251ECE">
        <w:rPr>
          <w:rFonts w:hint="eastAsia"/>
        </w:rPr>
        <w:t xml:space="preserve">, </w:t>
      </w:r>
      <w:r w:rsidR="006F280F" w:rsidRPr="00251ECE">
        <w:t>GIST</w:t>
      </w:r>
      <w:r w:rsidR="00AA0F1D" w:rsidRPr="00251ECE">
        <w:t xml:space="preserve"> for which curative resection is </w:t>
      </w:r>
      <w:r w:rsidR="00406C9E" w:rsidRPr="00251ECE">
        <w:t xml:space="preserve">considered </w:t>
      </w:r>
      <w:r w:rsidR="00AA0F1D" w:rsidRPr="00251ECE">
        <w:t>highly unlikely</w:t>
      </w:r>
      <w:r w:rsidR="001F1795" w:rsidRPr="00251ECE">
        <w:rPr>
          <w:rFonts w:hint="eastAsia"/>
        </w:rPr>
        <w:t>,</w:t>
      </w:r>
      <w:r w:rsidR="00AA0F1D" w:rsidRPr="00251ECE">
        <w:t xml:space="preserve"> </w:t>
      </w:r>
      <w:r w:rsidR="00C70415" w:rsidRPr="00251ECE">
        <w:t xml:space="preserve">and </w:t>
      </w:r>
      <w:r w:rsidR="006F280F" w:rsidRPr="00251ECE">
        <w:t>GIST</w:t>
      </w:r>
      <w:r w:rsidR="00AA0F1D" w:rsidRPr="00251ECE">
        <w:t xml:space="preserve"> located </w:t>
      </w:r>
      <w:r w:rsidR="00406C9E" w:rsidRPr="00251ECE">
        <w:t xml:space="preserve">in a </w:t>
      </w:r>
      <w:r w:rsidR="00AA0F1D" w:rsidRPr="00251ECE">
        <w:t xml:space="preserve">specific area </w:t>
      </w:r>
      <w:r w:rsidR="001F1795" w:rsidRPr="00251ECE">
        <w:rPr>
          <w:rFonts w:hint="eastAsia"/>
        </w:rPr>
        <w:t>where</w:t>
      </w:r>
      <w:r w:rsidR="001F1795" w:rsidRPr="00251ECE">
        <w:t xml:space="preserve"> </w:t>
      </w:r>
      <w:r w:rsidR="00AA0F1D" w:rsidRPr="00251ECE">
        <w:t>multivisceral resection is needed.</w:t>
      </w:r>
    </w:p>
    <w:p w14:paraId="2CC1378A" w14:textId="5981EF7A" w:rsidR="004D36BD" w:rsidRPr="00251ECE" w:rsidRDefault="004D36BD" w:rsidP="00EE1500">
      <w:pPr>
        <w:spacing w:line="480" w:lineRule="auto"/>
      </w:pPr>
      <w:r w:rsidRPr="00251ECE">
        <w:t xml:space="preserve">Neoadjuvant </w:t>
      </w:r>
      <w:r w:rsidR="00B55F83" w:rsidRPr="00251ECE">
        <w:rPr>
          <w:rFonts w:hint="eastAsia"/>
        </w:rPr>
        <w:t>therapy</w:t>
      </w:r>
      <w:r w:rsidR="00B55F83" w:rsidRPr="00251ECE">
        <w:t xml:space="preserve"> </w:t>
      </w:r>
      <w:r w:rsidR="000F4C37" w:rsidRPr="00251ECE">
        <w:rPr>
          <w:rFonts w:hint="eastAsia"/>
        </w:rPr>
        <w:t>can</w:t>
      </w:r>
      <w:r w:rsidR="000F4C37" w:rsidRPr="00251ECE">
        <w:t xml:space="preserve"> </w:t>
      </w:r>
      <w:r w:rsidRPr="00251ECE">
        <w:t xml:space="preserve">be considered </w:t>
      </w:r>
      <w:r w:rsidR="00406C9E" w:rsidRPr="00251ECE">
        <w:t xml:space="preserve">to increase the likelihood of curability as well as </w:t>
      </w:r>
      <w:r w:rsidR="000F4C37" w:rsidRPr="00251ECE">
        <w:rPr>
          <w:rFonts w:hint="eastAsia"/>
        </w:rPr>
        <w:t xml:space="preserve">the </w:t>
      </w:r>
      <w:r w:rsidR="00406C9E" w:rsidRPr="00251ECE">
        <w:t xml:space="preserve">safety of surgery and organ function preservation in cases involving </w:t>
      </w:r>
      <w:r w:rsidRPr="00251ECE">
        <w:t xml:space="preserve">large </w:t>
      </w:r>
      <w:r w:rsidR="006F280F" w:rsidRPr="00251ECE">
        <w:t>GIST</w:t>
      </w:r>
      <w:r w:rsidR="00406C9E" w:rsidRPr="00251ECE">
        <w:t xml:space="preserve"> </w:t>
      </w:r>
      <w:r w:rsidRPr="00251ECE">
        <w:t xml:space="preserve">(e.g., </w:t>
      </w:r>
      <w:r w:rsidR="003C0CFD" w:rsidRPr="00251ECE">
        <w:t>&gt; 1</w:t>
      </w:r>
      <w:r w:rsidRPr="00251ECE">
        <w:t xml:space="preserve">0 cm in diameter) and </w:t>
      </w:r>
      <w:r w:rsidR="006F280F" w:rsidRPr="00251ECE">
        <w:t>GIST</w:t>
      </w:r>
      <w:r w:rsidR="00193344" w:rsidRPr="00251ECE">
        <w:t xml:space="preserve"> that </w:t>
      </w:r>
      <w:r w:rsidR="006F280F" w:rsidRPr="00251ECE">
        <w:rPr>
          <w:rFonts w:hint="eastAsia"/>
        </w:rPr>
        <w:t>is</w:t>
      </w:r>
      <w:r w:rsidR="00193344" w:rsidRPr="00251ECE">
        <w:t xml:space="preserve"> difficult to radically </w:t>
      </w:r>
      <w:r w:rsidR="00406C9E" w:rsidRPr="00251ECE">
        <w:t xml:space="preserve">resect </w:t>
      </w:r>
      <w:r w:rsidR="00193344" w:rsidRPr="00251ECE">
        <w:t xml:space="preserve">without significant </w:t>
      </w:r>
      <w:r w:rsidR="00406C9E" w:rsidRPr="00251ECE">
        <w:t>morbidity</w:t>
      </w:r>
      <w:r w:rsidRPr="00251ECE">
        <w:t xml:space="preserve">. Several single-arm phase 2 trials and retrospective studies have indicated that neoadjuvant imatinib </w:t>
      </w:r>
      <w:r w:rsidR="00821D79" w:rsidRPr="00251ECE">
        <w:rPr>
          <w:rFonts w:hint="eastAsia"/>
        </w:rPr>
        <w:t>therapy</w:t>
      </w:r>
      <w:r w:rsidR="00821D79" w:rsidRPr="00251ECE">
        <w:t xml:space="preserve"> </w:t>
      </w:r>
      <w:r w:rsidRPr="00251ECE">
        <w:t xml:space="preserve">results in high R0 resection rates without an increase in surgical </w:t>
      </w:r>
      <w:r w:rsidR="00406C9E" w:rsidRPr="00251ECE">
        <w:t xml:space="preserve">morbidity or mortality </w:t>
      </w:r>
      <w:r w:rsidR="003B3B35">
        <w:rPr>
          <w:noProof/>
        </w:rPr>
        <w:t>[69-74]</w:t>
      </w:r>
      <w:r w:rsidRPr="00251ECE">
        <w:t xml:space="preserve">. </w:t>
      </w:r>
    </w:p>
    <w:p w14:paraId="7345F418" w14:textId="1A7A2A95" w:rsidR="00D605A7" w:rsidRPr="00251ECE" w:rsidRDefault="004D36BD" w:rsidP="0067635C">
      <w:pPr>
        <w:spacing w:line="480" w:lineRule="auto"/>
        <w:ind w:firstLine="840"/>
      </w:pPr>
      <w:r w:rsidRPr="00251ECE">
        <w:t xml:space="preserve">It is preferable to perform mutation </w:t>
      </w:r>
      <w:r w:rsidR="00406C9E" w:rsidRPr="00251ECE">
        <w:t xml:space="preserve">analyses </w:t>
      </w:r>
      <w:r w:rsidRPr="00251ECE">
        <w:t xml:space="preserve">whenever possible to avoid </w:t>
      </w:r>
      <w:r w:rsidR="00C20613" w:rsidRPr="00251ECE">
        <w:t xml:space="preserve">ineffective </w:t>
      </w:r>
      <w:r w:rsidRPr="00251ECE">
        <w:t xml:space="preserve">neoadjuvant therapy for </w:t>
      </w:r>
      <w:r w:rsidR="006F280F" w:rsidRPr="00251ECE">
        <w:t>GIST</w:t>
      </w:r>
      <w:r w:rsidRPr="00251ECE">
        <w:t xml:space="preserve"> with primary </w:t>
      </w:r>
      <w:r w:rsidR="00406C9E" w:rsidRPr="00251ECE">
        <w:t xml:space="preserve">resistance </w:t>
      </w:r>
      <w:r w:rsidR="006509CB" w:rsidRPr="00251ECE">
        <w:t xml:space="preserve">mutations </w:t>
      </w:r>
      <w:r w:rsidRPr="00251ECE">
        <w:t xml:space="preserve">to imatinib (e.g., </w:t>
      </w:r>
      <w:r w:rsidRPr="00251ECE">
        <w:rPr>
          <w:i/>
          <w:iCs/>
        </w:rPr>
        <w:t>PDGFRA</w:t>
      </w:r>
      <w:r w:rsidRPr="00251ECE">
        <w:t xml:space="preserve"> D842 mutated GIST, wild type GIST). Imatinib is the only drug </w:t>
      </w:r>
      <w:r w:rsidR="000F4C37" w:rsidRPr="00251ECE">
        <w:rPr>
          <w:rFonts w:hint="eastAsia"/>
        </w:rPr>
        <w:t>with</w:t>
      </w:r>
      <w:r w:rsidR="000F4C37" w:rsidRPr="00251ECE">
        <w:t xml:space="preserve"> </w:t>
      </w:r>
      <w:r w:rsidRPr="00251ECE">
        <w:t xml:space="preserve">evidence </w:t>
      </w:r>
      <w:r w:rsidR="000F4C37" w:rsidRPr="00251ECE">
        <w:rPr>
          <w:rFonts w:hint="eastAsia"/>
        </w:rPr>
        <w:t xml:space="preserve">to </w:t>
      </w:r>
      <w:r w:rsidR="00406C9E" w:rsidRPr="00251ECE">
        <w:t xml:space="preserve">support its use in </w:t>
      </w:r>
      <w:r w:rsidR="000F4C37" w:rsidRPr="00251ECE">
        <w:rPr>
          <w:rFonts w:hint="eastAsia"/>
        </w:rPr>
        <w:t xml:space="preserve">the </w:t>
      </w:r>
      <w:r w:rsidRPr="00251ECE">
        <w:t xml:space="preserve">neoadjuvant </w:t>
      </w:r>
      <w:r w:rsidR="000F4C37" w:rsidRPr="00251ECE">
        <w:rPr>
          <w:rFonts w:hint="eastAsia"/>
        </w:rPr>
        <w:t>setting</w:t>
      </w:r>
      <w:r w:rsidRPr="00251ECE">
        <w:t xml:space="preserve">. There is no evidence </w:t>
      </w:r>
      <w:r w:rsidR="00406C9E" w:rsidRPr="00251ECE">
        <w:t xml:space="preserve">to support the use of </w:t>
      </w:r>
      <w:r w:rsidRPr="00251ECE">
        <w:t xml:space="preserve">other </w:t>
      </w:r>
      <w:r w:rsidR="00565F74" w:rsidRPr="00251ECE">
        <w:t>drugs</w:t>
      </w:r>
      <w:r w:rsidR="00406C9E" w:rsidRPr="00251ECE">
        <w:t>,</w:t>
      </w:r>
      <w:r w:rsidR="00565F74" w:rsidRPr="00251ECE">
        <w:t xml:space="preserve"> including </w:t>
      </w:r>
      <w:r w:rsidRPr="00251ECE">
        <w:t xml:space="preserve">tyrosine kinase inhibitors (e.g., sunitinib, regorafenib, ripretinib, pimitespib) in neoadjuvant </w:t>
      </w:r>
      <w:r w:rsidR="00B55F83" w:rsidRPr="00251ECE">
        <w:rPr>
          <w:rFonts w:hint="eastAsia"/>
        </w:rPr>
        <w:t>therapy</w:t>
      </w:r>
      <w:r w:rsidRPr="00251ECE">
        <w:t xml:space="preserve">. In an expert opinion, avapritinib as neoadjuvant </w:t>
      </w:r>
      <w:r w:rsidR="00B55F83" w:rsidRPr="00251ECE">
        <w:rPr>
          <w:rFonts w:hint="eastAsia"/>
        </w:rPr>
        <w:t>therapy</w:t>
      </w:r>
      <w:r w:rsidR="00B55F83" w:rsidRPr="00251ECE">
        <w:t xml:space="preserve"> </w:t>
      </w:r>
      <w:r w:rsidRPr="00251ECE">
        <w:t xml:space="preserve">for </w:t>
      </w:r>
      <w:r w:rsidR="006F280F" w:rsidRPr="00251ECE">
        <w:t>GIST</w:t>
      </w:r>
      <w:r w:rsidRPr="00251ECE">
        <w:t xml:space="preserve"> with </w:t>
      </w:r>
      <w:r w:rsidRPr="00251ECE">
        <w:rPr>
          <w:i/>
          <w:iCs/>
        </w:rPr>
        <w:t>PDGFRA</w:t>
      </w:r>
      <w:r w:rsidRPr="00251ECE">
        <w:t xml:space="preserve"> D842V mutation is a therapeutic option considering its high </w:t>
      </w:r>
      <w:r w:rsidR="00815B95">
        <w:rPr>
          <w:rFonts w:hint="eastAsia"/>
        </w:rPr>
        <w:t xml:space="preserve">ORR </w:t>
      </w:r>
      <w:r w:rsidRPr="00251ECE">
        <w:t xml:space="preserve">in the metastatic setting. </w:t>
      </w:r>
      <w:r w:rsidR="00406C9E" w:rsidRPr="00251ECE">
        <w:t xml:space="preserve">The </w:t>
      </w:r>
      <w:r w:rsidR="00424456" w:rsidRPr="00251ECE">
        <w:lastRenderedPageBreak/>
        <w:t xml:space="preserve">accumulation </w:t>
      </w:r>
      <w:r w:rsidR="00406C9E" w:rsidRPr="00251ECE">
        <w:t xml:space="preserve">of further evidence </w:t>
      </w:r>
      <w:r w:rsidR="00424456" w:rsidRPr="00251ECE">
        <w:t xml:space="preserve">is </w:t>
      </w:r>
      <w:r w:rsidR="00640024" w:rsidRPr="00251ECE">
        <w:rPr>
          <w:rFonts w:hint="eastAsia"/>
        </w:rPr>
        <w:t>necessary</w:t>
      </w:r>
      <w:r w:rsidR="00640024" w:rsidRPr="00251ECE">
        <w:t xml:space="preserve"> </w:t>
      </w:r>
      <w:r w:rsidR="00424456" w:rsidRPr="00251ECE">
        <w:t xml:space="preserve">for evaluating the efficacy and safety of avapritinib in the neoadjuvant setting. </w:t>
      </w:r>
    </w:p>
    <w:p w14:paraId="0B7C8539" w14:textId="61473AD2" w:rsidR="004D36BD" w:rsidRPr="00251ECE" w:rsidRDefault="004D36BD" w:rsidP="004C72D3">
      <w:pPr>
        <w:spacing w:line="480" w:lineRule="auto"/>
        <w:ind w:firstLine="840"/>
      </w:pPr>
      <w:r w:rsidRPr="00251ECE">
        <w:t xml:space="preserve">The optimal duration of neoadjuvant imatinib </w:t>
      </w:r>
      <w:r w:rsidR="006F5647" w:rsidRPr="00251ECE">
        <w:rPr>
          <w:rFonts w:hint="eastAsia"/>
        </w:rPr>
        <w:t>therapy</w:t>
      </w:r>
      <w:r w:rsidR="006F5647" w:rsidRPr="00251ECE">
        <w:t xml:space="preserve"> </w:t>
      </w:r>
      <w:r w:rsidRPr="00251ECE">
        <w:t xml:space="preserve">has yet to be determined. Based on the time to </w:t>
      </w:r>
      <w:r w:rsidR="00406C9E" w:rsidRPr="00251ECE">
        <w:t xml:space="preserve">a </w:t>
      </w:r>
      <w:r w:rsidRPr="00251ECE">
        <w:t xml:space="preserve">partial response in advanced GIST, six months of </w:t>
      </w:r>
      <w:r w:rsidR="00406C9E" w:rsidRPr="00251ECE">
        <w:t xml:space="preserve">treatment </w:t>
      </w:r>
      <w:r w:rsidRPr="00251ECE">
        <w:t xml:space="preserve">is required to achieve </w:t>
      </w:r>
      <w:r w:rsidR="00565F74" w:rsidRPr="00251ECE">
        <w:t xml:space="preserve">near </w:t>
      </w:r>
      <w:r w:rsidRPr="00251ECE">
        <w:t>maximum tumor shrinkage</w:t>
      </w:r>
      <w:r w:rsidR="00CA1E4C">
        <w:rPr>
          <w:rFonts w:hint="eastAsia"/>
        </w:rPr>
        <w:t xml:space="preserve"> </w:t>
      </w:r>
      <w:r w:rsidR="003B3B35">
        <w:rPr>
          <w:noProof/>
        </w:rPr>
        <w:t>[75, 76]</w:t>
      </w:r>
      <w:r w:rsidRPr="00251ECE">
        <w:t xml:space="preserve">. Nevertheless, further shrinkage after the 12-month time </w:t>
      </w:r>
      <w:r w:rsidR="00406C9E" w:rsidRPr="00251ECE">
        <w:t xml:space="preserve">point </w:t>
      </w:r>
      <w:r w:rsidRPr="00251ECE">
        <w:t xml:space="preserve">is rare and prolonged administration </w:t>
      </w:r>
      <w:r w:rsidR="00406C9E" w:rsidRPr="00251ECE">
        <w:t xml:space="preserve">may </w:t>
      </w:r>
      <w:r w:rsidRPr="00251ECE">
        <w:t xml:space="preserve">be associated with the emergence of tumor progression due to secondary resistance. Therefore, it is recommended that surgery </w:t>
      </w:r>
      <w:r w:rsidR="00406C9E" w:rsidRPr="00251ECE">
        <w:t xml:space="preserve">be </w:t>
      </w:r>
      <w:r w:rsidR="00640024" w:rsidRPr="00251ECE">
        <w:rPr>
          <w:rFonts w:hint="eastAsia"/>
        </w:rPr>
        <w:t>performed</w:t>
      </w:r>
      <w:r w:rsidR="00640024" w:rsidRPr="00251ECE">
        <w:t xml:space="preserve"> </w:t>
      </w:r>
      <w:r w:rsidRPr="00251ECE">
        <w:t>after 6</w:t>
      </w:r>
      <w:r w:rsidR="00526FC0">
        <w:rPr>
          <w:rFonts w:hint="eastAsia"/>
        </w:rPr>
        <w:t>–</w:t>
      </w:r>
      <w:r w:rsidRPr="00251ECE">
        <w:t xml:space="preserve">12 months of neoadjuvant imatinib </w:t>
      </w:r>
      <w:r w:rsidR="00821D79" w:rsidRPr="00251ECE">
        <w:rPr>
          <w:rFonts w:hint="eastAsia"/>
        </w:rPr>
        <w:t>therapy</w:t>
      </w:r>
      <w:r w:rsidRPr="00251ECE">
        <w:t xml:space="preserve">. Early assessment (e.g., after the first month of treatment) of </w:t>
      </w:r>
      <w:r w:rsidR="00406C9E" w:rsidRPr="00251ECE">
        <w:t xml:space="preserve">the </w:t>
      </w:r>
      <w:r w:rsidRPr="00251ECE">
        <w:t xml:space="preserve">response to neoadjuvant </w:t>
      </w:r>
      <w:r w:rsidR="006F5647" w:rsidRPr="00251ECE">
        <w:rPr>
          <w:rFonts w:hint="eastAsia"/>
          <w:szCs w:val="21"/>
        </w:rPr>
        <w:t>therapy</w:t>
      </w:r>
      <w:r w:rsidR="006F5647" w:rsidRPr="00251ECE">
        <w:rPr>
          <w:szCs w:val="21"/>
        </w:rPr>
        <w:t xml:space="preserve"> </w:t>
      </w:r>
      <w:r w:rsidRPr="00251ECE">
        <w:t xml:space="preserve">by CT and/or </w:t>
      </w:r>
      <w:r w:rsidR="00E12E2C" w:rsidRPr="00251ECE">
        <w:rPr>
          <w:rFonts w:hint="eastAsia"/>
        </w:rPr>
        <w:t>PET</w:t>
      </w:r>
      <w:r w:rsidRPr="00251ECE" w:rsidDel="00BD7FCF">
        <w:t xml:space="preserve"> </w:t>
      </w:r>
      <w:r w:rsidRPr="00251ECE">
        <w:t xml:space="preserve">is preferable to ensure </w:t>
      </w:r>
      <w:r w:rsidR="00406C9E" w:rsidRPr="00251ECE">
        <w:t xml:space="preserve">the potential </w:t>
      </w:r>
      <w:r w:rsidRPr="00251ECE">
        <w:t xml:space="preserve">of curative resection for non-responding </w:t>
      </w:r>
      <w:r w:rsidR="006F280F" w:rsidRPr="00251ECE">
        <w:t>GIST</w:t>
      </w:r>
      <w:r w:rsidRPr="00251ECE">
        <w:t xml:space="preserve">. It is unnecessary to withhold imatinib before surgery </w:t>
      </w:r>
      <w:r w:rsidR="00406C9E" w:rsidRPr="00251ECE">
        <w:t xml:space="preserve">in cases </w:t>
      </w:r>
      <w:r w:rsidRPr="00251ECE">
        <w:t>without significant imatinib-related adverse events.</w:t>
      </w:r>
    </w:p>
    <w:p w14:paraId="66F2B7CE" w14:textId="059F3F8C" w:rsidR="00161CAF" w:rsidRPr="00251ECE" w:rsidRDefault="004D36BD" w:rsidP="007444B6">
      <w:pPr>
        <w:spacing w:line="480" w:lineRule="auto"/>
        <w:ind w:firstLine="567"/>
        <w:rPr>
          <w:szCs w:val="21"/>
        </w:rPr>
      </w:pPr>
      <w:r w:rsidRPr="00251ECE">
        <w:t>Considering the pathological modifications related to imatinib, the indication</w:t>
      </w:r>
      <w:r w:rsidR="00406C9E" w:rsidRPr="00251ECE">
        <w:t>s</w:t>
      </w:r>
      <w:r w:rsidRPr="00251ECE">
        <w:t xml:space="preserve"> for adjuvant imatinib </w:t>
      </w:r>
      <w:r w:rsidR="006F5647" w:rsidRPr="00251ECE">
        <w:rPr>
          <w:rFonts w:hint="eastAsia"/>
          <w:szCs w:val="21"/>
        </w:rPr>
        <w:t>therapy</w:t>
      </w:r>
      <w:r w:rsidR="006F5647" w:rsidRPr="00251ECE">
        <w:rPr>
          <w:szCs w:val="21"/>
        </w:rPr>
        <w:t xml:space="preserve"> </w:t>
      </w:r>
      <w:r w:rsidRPr="00251ECE">
        <w:t xml:space="preserve">should be determined based on the disease status before administering neoadjuvant </w:t>
      </w:r>
      <w:r w:rsidR="006F5647" w:rsidRPr="00251ECE">
        <w:rPr>
          <w:rFonts w:hint="eastAsia"/>
          <w:szCs w:val="21"/>
        </w:rPr>
        <w:t>therapy</w:t>
      </w:r>
      <w:r w:rsidRPr="00251ECE">
        <w:t xml:space="preserve">, as the risk classification for recurrence using surgical specimens cannot be applied. Pre-treatment clinicopathological information (e.g., tumor size, primary tumor site, mitotic index in biopsy samples, presence of tumor rupture) is useful when considering adjuvant imatinib </w:t>
      </w:r>
      <w:r w:rsidR="006F5647" w:rsidRPr="00251ECE">
        <w:rPr>
          <w:rFonts w:hint="eastAsia"/>
          <w:szCs w:val="21"/>
        </w:rPr>
        <w:t>therapy</w:t>
      </w:r>
      <w:r w:rsidRPr="00251ECE">
        <w:t xml:space="preserve">. </w:t>
      </w:r>
      <w:r w:rsidR="00B567A6" w:rsidRPr="00251ECE">
        <w:t xml:space="preserve">The optimal duration for adjuvant imatinib </w:t>
      </w:r>
      <w:r w:rsidR="006F5647" w:rsidRPr="00251ECE">
        <w:rPr>
          <w:rFonts w:hint="eastAsia"/>
          <w:szCs w:val="21"/>
        </w:rPr>
        <w:t>therapy</w:t>
      </w:r>
      <w:r w:rsidR="006F5647" w:rsidRPr="00251ECE">
        <w:rPr>
          <w:szCs w:val="21"/>
        </w:rPr>
        <w:t xml:space="preserve"> </w:t>
      </w:r>
      <w:r w:rsidR="00B567A6" w:rsidRPr="00251ECE">
        <w:t xml:space="preserve">is not established after surgical resection following neoadjuvant imatinib </w:t>
      </w:r>
      <w:r w:rsidR="006F5647" w:rsidRPr="00251ECE">
        <w:rPr>
          <w:rFonts w:hint="eastAsia"/>
          <w:szCs w:val="21"/>
        </w:rPr>
        <w:t>therapy</w:t>
      </w:r>
      <w:r w:rsidR="00B567A6" w:rsidRPr="00251ECE">
        <w:t>.</w:t>
      </w:r>
      <w:r w:rsidR="00565F74" w:rsidRPr="00251ECE">
        <w:t xml:space="preserve"> </w:t>
      </w:r>
      <w:r w:rsidR="00565F74" w:rsidRPr="00067CB0">
        <w:t xml:space="preserve">It </w:t>
      </w:r>
      <w:r w:rsidR="00F755F4" w:rsidRPr="00067CB0">
        <w:rPr>
          <w:szCs w:val="21"/>
        </w:rPr>
        <w:t>is important to no</w:t>
      </w:r>
      <w:r w:rsidR="00681E5E" w:rsidRPr="00067CB0">
        <w:rPr>
          <w:rFonts w:hint="eastAsia"/>
          <w:szCs w:val="21"/>
        </w:rPr>
        <w:t>t</w:t>
      </w:r>
      <w:r w:rsidR="00F755F4" w:rsidRPr="00067CB0">
        <w:rPr>
          <w:szCs w:val="21"/>
        </w:rPr>
        <w:t>e</w:t>
      </w:r>
      <w:r w:rsidR="00565F74" w:rsidRPr="00067CB0">
        <w:rPr>
          <w:szCs w:val="21"/>
        </w:rPr>
        <w:t xml:space="preserve"> that recurrence-</w:t>
      </w:r>
      <w:r w:rsidR="00565F74" w:rsidRPr="00067CB0">
        <w:rPr>
          <w:szCs w:val="21"/>
        </w:rPr>
        <w:lastRenderedPageBreak/>
        <w:t xml:space="preserve">free survival is dependent on </w:t>
      </w:r>
      <w:r w:rsidR="00406C9E" w:rsidRPr="00067CB0">
        <w:rPr>
          <w:szCs w:val="21"/>
        </w:rPr>
        <w:t xml:space="preserve">the </w:t>
      </w:r>
      <w:r w:rsidR="00565F74" w:rsidRPr="00067CB0">
        <w:rPr>
          <w:szCs w:val="21"/>
        </w:rPr>
        <w:t xml:space="preserve">duration </w:t>
      </w:r>
      <w:r w:rsidR="00406C9E" w:rsidRPr="00067CB0">
        <w:rPr>
          <w:szCs w:val="21"/>
        </w:rPr>
        <w:t xml:space="preserve">of adjuvant </w:t>
      </w:r>
      <w:r w:rsidR="006F5647" w:rsidRPr="00067CB0">
        <w:rPr>
          <w:rFonts w:hint="eastAsia"/>
          <w:szCs w:val="21"/>
        </w:rPr>
        <w:t>therapy</w:t>
      </w:r>
      <w:r w:rsidR="00406C9E" w:rsidRPr="00067CB0">
        <w:rPr>
          <w:szCs w:val="21"/>
        </w:rPr>
        <w:t xml:space="preserve"> </w:t>
      </w:r>
      <w:r w:rsidR="00565F74" w:rsidRPr="00067CB0">
        <w:rPr>
          <w:szCs w:val="21"/>
        </w:rPr>
        <w:t>even after neoadjuvant therapy with R0 resection</w:t>
      </w:r>
      <w:r w:rsidR="00A1023F">
        <w:rPr>
          <w:rFonts w:hint="eastAsia"/>
          <w:szCs w:val="21"/>
        </w:rPr>
        <w:t xml:space="preserve"> </w:t>
      </w:r>
      <w:r w:rsidR="003B3B35">
        <w:rPr>
          <w:noProof/>
          <w:szCs w:val="21"/>
        </w:rPr>
        <w:t>[74, 77]</w:t>
      </w:r>
      <w:r w:rsidR="00565F74" w:rsidRPr="00251ECE">
        <w:rPr>
          <w:szCs w:val="21"/>
        </w:rPr>
        <w:t>.</w:t>
      </w:r>
      <w:r w:rsidR="00751C92" w:rsidRPr="00251ECE">
        <w:rPr>
          <w:szCs w:val="21"/>
        </w:rPr>
        <w:t xml:space="preserve"> </w:t>
      </w:r>
      <w:r w:rsidR="00564054" w:rsidRPr="00251ECE">
        <w:rPr>
          <w:szCs w:val="21"/>
        </w:rPr>
        <w:t xml:space="preserve">Thus, the panel recommends </w:t>
      </w:r>
      <w:r w:rsidRPr="00251ECE">
        <w:rPr>
          <w:szCs w:val="21"/>
        </w:rPr>
        <w:t>that the total duration of neoadjuvant and adjuvant imatinib</w:t>
      </w:r>
      <w:r w:rsidR="00835576" w:rsidRPr="00251ECE">
        <w:rPr>
          <w:szCs w:val="21"/>
        </w:rPr>
        <w:t xml:space="preserve"> </w:t>
      </w:r>
      <w:r w:rsidR="00821D79" w:rsidRPr="00251ECE">
        <w:rPr>
          <w:rFonts w:hint="eastAsia"/>
        </w:rPr>
        <w:t>therapy</w:t>
      </w:r>
      <w:r w:rsidR="00821D79" w:rsidRPr="00251ECE">
        <w:t xml:space="preserve"> </w:t>
      </w:r>
      <w:r w:rsidR="00681E5E" w:rsidRPr="00251ECE">
        <w:rPr>
          <w:szCs w:val="21"/>
        </w:rPr>
        <w:t>should be</w:t>
      </w:r>
      <w:r w:rsidR="008C129A" w:rsidRPr="00251ECE">
        <w:rPr>
          <w:szCs w:val="21"/>
        </w:rPr>
        <w:t xml:space="preserve"> </w:t>
      </w:r>
      <w:r w:rsidRPr="00251ECE">
        <w:rPr>
          <w:szCs w:val="21"/>
        </w:rPr>
        <w:t xml:space="preserve">at least </w:t>
      </w:r>
      <w:r w:rsidR="007A16C6" w:rsidRPr="00251ECE">
        <w:rPr>
          <w:rFonts w:hint="eastAsia"/>
          <w:szCs w:val="21"/>
        </w:rPr>
        <w:t>3</w:t>
      </w:r>
      <w:r w:rsidR="007A16C6" w:rsidRPr="00251ECE">
        <w:rPr>
          <w:szCs w:val="21"/>
        </w:rPr>
        <w:t xml:space="preserve"> </w:t>
      </w:r>
      <w:r w:rsidRPr="00251ECE">
        <w:rPr>
          <w:szCs w:val="21"/>
        </w:rPr>
        <w:t>years</w:t>
      </w:r>
      <w:r w:rsidR="00564054" w:rsidRPr="00251ECE">
        <w:rPr>
          <w:szCs w:val="21"/>
        </w:rPr>
        <w:t xml:space="preserve"> (3</w:t>
      </w:r>
      <w:r w:rsidR="00365AC3" w:rsidRPr="00365AC3">
        <w:rPr>
          <w:szCs w:val="21"/>
        </w:rPr>
        <w:t>–</w:t>
      </w:r>
      <w:r w:rsidR="00564054" w:rsidRPr="00251ECE">
        <w:rPr>
          <w:szCs w:val="21"/>
        </w:rPr>
        <w:t>6 years)</w:t>
      </w:r>
      <w:r w:rsidRPr="00251ECE">
        <w:rPr>
          <w:szCs w:val="21"/>
        </w:rPr>
        <w:t xml:space="preserve"> for high-risk GIST.</w:t>
      </w:r>
    </w:p>
    <w:p w14:paraId="39F0C872" w14:textId="77777777" w:rsidR="00780D2A" w:rsidRDefault="00780D2A">
      <w:pPr>
        <w:spacing w:line="360" w:lineRule="auto"/>
        <w:ind w:left="992" w:hanging="992"/>
        <w:rPr>
          <w:b/>
          <w:bCs/>
        </w:rPr>
      </w:pPr>
      <w:r>
        <w:br w:type="page"/>
      </w:r>
    </w:p>
    <w:p w14:paraId="3EF1096C" w14:textId="5FC8EB1E" w:rsidR="005469D8" w:rsidRPr="00251ECE" w:rsidRDefault="005469D8" w:rsidP="00994BF2">
      <w:pPr>
        <w:pStyle w:val="Heading3"/>
        <w:pBdr>
          <w:top w:val="single" w:sz="4" w:space="1" w:color="auto"/>
        </w:pBdr>
        <w:ind w:left="0" w:firstLine="0"/>
      </w:pPr>
      <w:r w:rsidRPr="00251ECE">
        <w:lastRenderedPageBreak/>
        <w:t xml:space="preserve">CQ4-3. Is surgical resection useful as </w:t>
      </w:r>
      <w:r w:rsidR="00406C9E" w:rsidRPr="00251ECE">
        <w:t xml:space="preserve">an </w:t>
      </w:r>
      <w:r w:rsidRPr="00251ECE">
        <w:t xml:space="preserve">initial treatment for metastatic or recurrent </w:t>
      </w:r>
      <w:r w:rsidR="006F280F" w:rsidRPr="00251ECE">
        <w:t>GIST</w:t>
      </w:r>
      <w:r w:rsidRPr="00251ECE">
        <w:t>?</w:t>
      </w:r>
    </w:p>
    <w:p w14:paraId="5ACB5595" w14:textId="77777777" w:rsidR="005469D8" w:rsidRPr="00E600BF" w:rsidRDefault="005469D8" w:rsidP="00780D2A">
      <w:pPr>
        <w:rPr>
          <w:b/>
          <w:bCs/>
        </w:rPr>
      </w:pPr>
      <w:r w:rsidRPr="00E600BF">
        <w:rPr>
          <w:b/>
          <w:bCs/>
        </w:rPr>
        <w:t>Recommendation</w:t>
      </w:r>
    </w:p>
    <w:p w14:paraId="50095A96" w14:textId="1E6263B5" w:rsidR="006B214C" w:rsidRPr="00251ECE" w:rsidRDefault="00E600BF" w:rsidP="00E600BF">
      <w:pPr>
        <w:pBdr>
          <w:bottom w:val="single" w:sz="4" w:space="1" w:color="auto"/>
        </w:pBdr>
        <w:spacing w:line="480" w:lineRule="auto"/>
      </w:pPr>
      <w:r>
        <w:rPr>
          <w:rFonts w:eastAsia="Palatino-Roman" w:hint="eastAsia"/>
          <w:b/>
          <w:bCs/>
        </w:rPr>
        <w:t>4-3-1</w:t>
      </w:r>
      <w:r w:rsidRPr="00CC07C8">
        <w:rPr>
          <w:rFonts w:eastAsia="Palatino-Roman" w:hint="eastAsia"/>
          <w:b/>
          <w:bCs/>
        </w:rPr>
        <w:t>:</w:t>
      </w:r>
      <w:r>
        <w:rPr>
          <w:rFonts w:eastAsia="Palatino-Roman" w:hint="eastAsia"/>
          <w:b/>
          <w:bCs/>
        </w:rPr>
        <w:t xml:space="preserve"> </w:t>
      </w:r>
      <w:r w:rsidR="005469D8" w:rsidRPr="00251ECE">
        <w:t xml:space="preserve">Surgical resection as </w:t>
      </w:r>
      <w:r w:rsidR="007444B6" w:rsidRPr="00251ECE">
        <w:t>an initial</w:t>
      </w:r>
      <w:r w:rsidR="005469D8" w:rsidRPr="00251ECE">
        <w:t xml:space="preserve"> treatment is not recommended for metastatic or recurrent </w:t>
      </w:r>
      <w:r w:rsidR="006F280F" w:rsidRPr="00251ECE">
        <w:t>GIST</w:t>
      </w:r>
      <w:r w:rsidR="00735727" w:rsidRPr="00251ECE">
        <w:rPr>
          <w:rFonts w:hint="eastAsia"/>
        </w:rPr>
        <w:t xml:space="preserve"> in general</w:t>
      </w:r>
      <w:r w:rsidR="005469D8" w:rsidRPr="00251ECE">
        <w:t>.</w:t>
      </w:r>
    </w:p>
    <w:p w14:paraId="48C86A3C" w14:textId="5AB8CF7C" w:rsidR="00735727" w:rsidRPr="00251ECE" w:rsidRDefault="00E600BF" w:rsidP="00E600BF">
      <w:pPr>
        <w:pBdr>
          <w:bottom w:val="single" w:sz="4" w:space="1" w:color="auto"/>
        </w:pBdr>
        <w:spacing w:line="480" w:lineRule="auto"/>
      </w:pPr>
      <w:r>
        <w:rPr>
          <w:rFonts w:eastAsia="Palatino-Roman" w:hint="eastAsia"/>
          <w:b/>
          <w:bCs/>
        </w:rPr>
        <w:t>4-3-2</w:t>
      </w:r>
      <w:r w:rsidRPr="00CC07C8">
        <w:rPr>
          <w:rFonts w:eastAsia="Palatino-Roman" w:hint="eastAsia"/>
          <w:b/>
          <w:bCs/>
        </w:rPr>
        <w:t>:</w:t>
      </w:r>
      <w:r>
        <w:rPr>
          <w:rFonts w:eastAsia="Palatino-Roman" w:hint="eastAsia"/>
          <w:b/>
          <w:bCs/>
        </w:rPr>
        <w:t xml:space="preserve"> </w:t>
      </w:r>
      <w:r w:rsidR="00735727" w:rsidRPr="00251ECE">
        <w:rPr>
          <w:rFonts w:hint="eastAsia"/>
        </w:rPr>
        <w:t xml:space="preserve">Surgical resection can be adopted as </w:t>
      </w:r>
      <w:r w:rsidR="00735727" w:rsidRPr="00251ECE">
        <w:t>initial</w:t>
      </w:r>
      <w:r w:rsidR="00735727" w:rsidRPr="00251ECE">
        <w:rPr>
          <w:rFonts w:hint="eastAsia"/>
        </w:rPr>
        <w:t xml:space="preserve"> treatment </w:t>
      </w:r>
      <w:r w:rsidR="001F33E7" w:rsidRPr="00251ECE">
        <w:rPr>
          <w:rFonts w:hint="eastAsia"/>
        </w:rPr>
        <w:t xml:space="preserve">for metastatic or recurrent GIST requiring local tumor control and </w:t>
      </w:r>
      <w:r w:rsidR="00C70415" w:rsidRPr="00251ECE">
        <w:t xml:space="preserve">for </w:t>
      </w:r>
      <w:r w:rsidR="00555132" w:rsidRPr="00251ECE">
        <w:rPr>
          <w:rFonts w:hint="eastAsia"/>
        </w:rPr>
        <w:t xml:space="preserve">metastatic or recurrent wild-type GIST </w:t>
      </w:r>
      <w:r w:rsidR="00C70415" w:rsidRPr="00251ECE">
        <w:t>for which no</w:t>
      </w:r>
      <w:r w:rsidR="00555132" w:rsidRPr="00251ECE">
        <w:t xml:space="preserve"> effective systemic treatment</w:t>
      </w:r>
      <w:r w:rsidR="00C70415" w:rsidRPr="00251ECE">
        <w:t xml:space="preserve"> is available</w:t>
      </w:r>
      <w:r w:rsidR="00555132" w:rsidRPr="00251ECE">
        <w:t>.</w:t>
      </w:r>
    </w:p>
    <w:p w14:paraId="0655C1E7" w14:textId="7FB8F5E8" w:rsidR="00161CAF" w:rsidRPr="00251ECE" w:rsidRDefault="00E918D7" w:rsidP="00EE1500">
      <w:pPr>
        <w:spacing w:line="480" w:lineRule="auto"/>
      </w:pPr>
      <w:r w:rsidRPr="00251ECE">
        <w:t>Micrometastasis or circulating tumor cells may</w:t>
      </w:r>
      <w:r w:rsidR="00681E5E" w:rsidRPr="00251ECE">
        <w:rPr>
          <w:rFonts w:hint="eastAsia"/>
        </w:rPr>
        <w:t xml:space="preserve"> be</w:t>
      </w:r>
      <w:r w:rsidRPr="00251ECE">
        <w:t xml:space="preserve"> </w:t>
      </w:r>
      <w:r w:rsidR="004C11A1" w:rsidRPr="00251ECE">
        <w:t xml:space="preserve">present at </w:t>
      </w:r>
      <w:r w:rsidR="005C0975" w:rsidRPr="00251ECE">
        <w:t xml:space="preserve">the diagnosis of </w:t>
      </w:r>
      <w:r w:rsidR="004C11A1" w:rsidRPr="00251ECE">
        <w:t>metastatic or recurrent disease</w:t>
      </w:r>
      <w:r w:rsidRPr="00251ECE">
        <w:t xml:space="preserve">. Therefore, </w:t>
      </w:r>
      <w:r w:rsidR="00BD1BF8" w:rsidRPr="00251ECE">
        <w:t xml:space="preserve">surgical resection </w:t>
      </w:r>
      <w:r w:rsidRPr="00251ECE">
        <w:t xml:space="preserve">as </w:t>
      </w:r>
      <w:r w:rsidR="007444B6" w:rsidRPr="00251ECE">
        <w:t>an initial</w:t>
      </w:r>
      <w:r w:rsidRPr="00251ECE">
        <w:t xml:space="preserve"> treatment is not generally recommended for metastatic or recurrent GIST. In a retrospective study, initial debulking surgery prior to imatinib did not </w:t>
      </w:r>
      <w:r w:rsidR="00AE4F0B" w:rsidRPr="00251ECE">
        <w:t>improve</w:t>
      </w:r>
      <w:r w:rsidRPr="00251ECE">
        <w:t xml:space="preserve"> </w:t>
      </w:r>
      <w:r w:rsidR="00406C9E" w:rsidRPr="00251ECE">
        <w:t xml:space="preserve">the </w:t>
      </w:r>
      <w:r w:rsidRPr="00251ECE">
        <w:t xml:space="preserve">prognosis </w:t>
      </w:r>
      <w:r w:rsidR="00406C9E" w:rsidRPr="00251ECE">
        <w:t xml:space="preserve">of </w:t>
      </w:r>
      <w:r w:rsidRPr="00251ECE">
        <w:t>patients with advanced GIST</w:t>
      </w:r>
      <w:r w:rsidR="00916B32" w:rsidRPr="00251ECE">
        <w:t xml:space="preserve"> </w:t>
      </w:r>
      <w:r w:rsidR="003B3B35">
        <w:rPr>
          <w:noProof/>
        </w:rPr>
        <w:t>[78]</w:t>
      </w:r>
      <w:r w:rsidRPr="00251ECE">
        <w:t>.</w:t>
      </w:r>
      <w:r w:rsidR="007F677E" w:rsidRPr="00251ECE">
        <w:t xml:space="preserve"> In a prospective study for GIST with liver oligometastasis, all patients had hepatic recurrence after surgical resection</w:t>
      </w:r>
      <w:r w:rsidR="008D3D6D" w:rsidRPr="00251ECE">
        <w:t xml:space="preserve"> </w:t>
      </w:r>
      <w:r w:rsidR="003B3B35">
        <w:rPr>
          <w:noProof/>
        </w:rPr>
        <w:t>[79]</w:t>
      </w:r>
      <w:r w:rsidR="007F677E" w:rsidRPr="00251ECE">
        <w:t>.</w:t>
      </w:r>
      <w:r w:rsidRPr="00251ECE">
        <w:t xml:space="preserve"> </w:t>
      </w:r>
      <w:r w:rsidR="009F607A" w:rsidRPr="009F607A">
        <w:t>There are no established subgroups of patients with advanced GIST for whom upfront surgical resection has proven beneficial.</w:t>
      </w:r>
      <w:r w:rsidR="009F607A">
        <w:rPr>
          <w:rFonts w:hint="eastAsia"/>
        </w:rPr>
        <w:t xml:space="preserve"> </w:t>
      </w:r>
      <w:r w:rsidRPr="00251ECE">
        <w:t xml:space="preserve">Given the limited evidence on </w:t>
      </w:r>
      <w:r w:rsidR="00AE4F0B" w:rsidRPr="00251ECE">
        <w:t xml:space="preserve">the benefits of initial surgical resection in </w:t>
      </w:r>
      <w:r w:rsidR="00406C9E" w:rsidRPr="00251ECE">
        <w:t>patients with metastasis</w:t>
      </w:r>
      <w:r w:rsidR="00AE4F0B" w:rsidRPr="00251ECE">
        <w:t xml:space="preserve">, further studies are necessary to investigate </w:t>
      </w:r>
      <w:r w:rsidR="00406C9E" w:rsidRPr="00251ECE">
        <w:t xml:space="preserve">the </w:t>
      </w:r>
      <w:r w:rsidR="00AE4F0B" w:rsidRPr="00251ECE">
        <w:t>clinical value</w:t>
      </w:r>
      <w:r w:rsidR="00406C9E" w:rsidRPr="00251ECE">
        <w:t xml:space="preserve"> of this approach</w:t>
      </w:r>
      <w:r w:rsidR="00AE4F0B" w:rsidRPr="00251ECE">
        <w:t>,</w:t>
      </w:r>
      <w:r w:rsidRPr="00251ECE">
        <w:t xml:space="preserve"> particularly in patients with single- or oligo-metastatic recurrence with a long disease-free interval</w:t>
      </w:r>
      <w:r w:rsidR="00131FB4" w:rsidRPr="00251ECE">
        <w:rPr>
          <w:rFonts w:hint="eastAsia"/>
        </w:rPr>
        <w:t>.</w:t>
      </w:r>
      <w:r w:rsidR="00D676C3" w:rsidRPr="00251ECE">
        <w:t xml:space="preserve"> </w:t>
      </w:r>
      <w:r w:rsidR="003F09BF" w:rsidRPr="00251ECE">
        <w:t xml:space="preserve">Upfront </w:t>
      </w:r>
      <w:r w:rsidR="00BD1BF8" w:rsidRPr="00251ECE">
        <w:rPr>
          <w:rFonts w:hint="eastAsia"/>
        </w:rPr>
        <w:t>surgical resection</w:t>
      </w:r>
      <w:r w:rsidR="003F09BF" w:rsidRPr="00251ECE">
        <w:t xml:space="preserve"> </w:t>
      </w:r>
      <w:r w:rsidR="00B30E2C" w:rsidRPr="00251ECE">
        <w:t xml:space="preserve">may </w:t>
      </w:r>
      <w:r w:rsidR="003F09BF" w:rsidRPr="00251ECE">
        <w:t xml:space="preserve">be considered in specific </w:t>
      </w:r>
      <w:r w:rsidR="007F677E" w:rsidRPr="00251ECE">
        <w:t>situations where local tumor control is crucial (</w:t>
      </w:r>
      <w:r w:rsidR="003F09BF" w:rsidRPr="00251ECE">
        <w:t>e.g.,</w:t>
      </w:r>
      <w:r w:rsidR="007F677E" w:rsidRPr="00251ECE">
        <w:t xml:space="preserve"> hemorrhage, </w:t>
      </w:r>
      <w:r w:rsidR="003F09BF" w:rsidRPr="00251ECE">
        <w:t xml:space="preserve">invasion </w:t>
      </w:r>
      <w:r w:rsidR="003F09BF" w:rsidRPr="00251ECE">
        <w:lastRenderedPageBreak/>
        <w:t xml:space="preserve">to </w:t>
      </w:r>
      <w:r w:rsidR="00AD248D">
        <w:rPr>
          <w:rFonts w:hint="eastAsia"/>
        </w:rPr>
        <w:t xml:space="preserve">GI </w:t>
      </w:r>
      <w:r w:rsidR="003F09BF" w:rsidRPr="00251ECE">
        <w:t>tract,</w:t>
      </w:r>
      <w:r w:rsidR="007F677E" w:rsidRPr="00251ECE">
        <w:t xml:space="preserve"> obstruction of </w:t>
      </w:r>
      <w:r w:rsidR="00606054">
        <w:rPr>
          <w:rFonts w:hint="eastAsia"/>
        </w:rPr>
        <w:t>GI</w:t>
      </w:r>
      <w:r w:rsidR="007F677E" w:rsidRPr="00251ECE">
        <w:t xml:space="preserve"> tract, risk of </w:t>
      </w:r>
      <w:r w:rsidR="003F09BF" w:rsidRPr="00251ECE">
        <w:t>tumor rupture by</w:t>
      </w:r>
      <w:r w:rsidR="007F677E" w:rsidRPr="00251ECE">
        <w:t xml:space="preserve"> drug</w:t>
      </w:r>
      <w:r w:rsidR="003F09BF" w:rsidRPr="00251ECE">
        <w:t xml:space="preserve"> response)</w:t>
      </w:r>
      <w:r w:rsidR="00F41133" w:rsidRPr="00251ECE">
        <w:t xml:space="preserve"> </w:t>
      </w:r>
      <w:r w:rsidR="00B30E2C" w:rsidRPr="00251ECE">
        <w:rPr>
          <w:rFonts w:hint="eastAsia"/>
        </w:rPr>
        <w:t>and in</w:t>
      </w:r>
      <w:r w:rsidR="00B30E2C" w:rsidRPr="00251ECE">
        <w:t xml:space="preserve"> </w:t>
      </w:r>
      <w:r w:rsidR="007529B8" w:rsidRPr="00251ECE">
        <w:t xml:space="preserve">patients </w:t>
      </w:r>
      <w:r w:rsidR="00B30E2C" w:rsidRPr="00251ECE">
        <w:rPr>
          <w:rFonts w:hint="eastAsia"/>
        </w:rPr>
        <w:t xml:space="preserve">who </w:t>
      </w:r>
      <w:r w:rsidR="007529B8" w:rsidRPr="00251ECE">
        <w:t>have wild-type GIST</w:t>
      </w:r>
      <w:r w:rsidR="00262658" w:rsidRPr="00251ECE">
        <w:rPr>
          <w:rFonts w:hint="eastAsia"/>
        </w:rPr>
        <w:t xml:space="preserve"> </w:t>
      </w:r>
      <w:r w:rsidR="00F76A33" w:rsidRPr="00251ECE">
        <w:t>for which no effective systemic treatment is available.</w:t>
      </w:r>
    </w:p>
    <w:p w14:paraId="295E7052" w14:textId="77777777" w:rsidR="00780D2A" w:rsidRDefault="00780D2A">
      <w:pPr>
        <w:spacing w:line="360" w:lineRule="auto"/>
        <w:ind w:left="992" w:hanging="992"/>
        <w:rPr>
          <w:b/>
          <w:bCs/>
        </w:rPr>
      </w:pPr>
      <w:r>
        <w:br w:type="page"/>
      </w:r>
    </w:p>
    <w:p w14:paraId="5BBBFF67" w14:textId="32635FC9" w:rsidR="006B214C" w:rsidRPr="00251ECE" w:rsidRDefault="006B214C" w:rsidP="00FD11CA">
      <w:pPr>
        <w:pStyle w:val="Heading3"/>
        <w:pBdr>
          <w:top w:val="single" w:sz="4" w:space="1" w:color="auto"/>
        </w:pBdr>
        <w:ind w:left="0" w:firstLine="0"/>
      </w:pPr>
      <w:r w:rsidRPr="00251ECE">
        <w:lastRenderedPageBreak/>
        <w:t xml:space="preserve">CQ4-4. Is surgical resection useful for metastatic or recurrent </w:t>
      </w:r>
      <w:r w:rsidR="006F280F" w:rsidRPr="00251ECE">
        <w:t>GIST</w:t>
      </w:r>
      <w:r w:rsidRPr="00251ECE">
        <w:t xml:space="preserve"> </w:t>
      </w:r>
      <w:r w:rsidR="00406C9E" w:rsidRPr="00251ECE">
        <w:t xml:space="preserve">that respond </w:t>
      </w:r>
      <w:r w:rsidRPr="00251ECE">
        <w:t>to drug therapy?</w:t>
      </w:r>
    </w:p>
    <w:p w14:paraId="5641F46C" w14:textId="77777777" w:rsidR="006B214C" w:rsidRPr="00E600BF" w:rsidRDefault="006B214C" w:rsidP="00EE1500">
      <w:pPr>
        <w:spacing w:line="480" w:lineRule="auto"/>
        <w:rPr>
          <w:b/>
          <w:bCs/>
        </w:rPr>
      </w:pPr>
      <w:r w:rsidRPr="00E600BF">
        <w:rPr>
          <w:b/>
          <w:bCs/>
        </w:rPr>
        <w:t>Recommendation</w:t>
      </w:r>
    </w:p>
    <w:p w14:paraId="7D0C5BCE" w14:textId="31DB3BA6" w:rsidR="001F37D9" w:rsidRPr="00251ECE" w:rsidRDefault="00E600BF" w:rsidP="00E600BF">
      <w:pPr>
        <w:spacing w:line="480" w:lineRule="auto"/>
      </w:pPr>
      <w:r>
        <w:rPr>
          <w:rFonts w:eastAsia="Palatino-Roman" w:hint="eastAsia"/>
          <w:b/>
          <w:bCs/>
        </w:rPr>
        <w:t>4-4-1</w:t>
      </w:r>
      <w:r w:rsidRPr="00CC07C8">
        <w:rPr>
          <w:rFonts w:eastAsia="Palatino-Roman" w:hint="eastAsia"/>
          <w:b/>
          <w:bCs/>
        </w:rPr>
        <w:t>:</w:t>
      </w:r>
      <w:r>
        <w:rPr>
          <w:rFonts w:eastAsia="Palatino-Roman" w:hint="eastAsia"/>
          <w:b/>
          <w:bCs/>
        </w:rPr>
        <w:t xml:space="preserve"> </w:t>
      </w:r>
      <w:r w:rsidR="00A6436D" w:rsidRPr="00251ECE">
        <w:rPr>
          <w:rFonts w:hint="eastAsia"/>
        </w:rPr>
        <w:t>S</w:t>
      </w:r>
      <w:r w:rsidR="00A6436D" w:rsidRPr="00251ECE">
        <w:t>urgical resection</w:t>
      </w:r>
      <w:r w:rsidR="006B214C" w:rsidRPr="00251ECE">
        <w:t xml:space="preserve"> is not routinely recommended for metastatic or recurrent </w:t>
      </w:r>
      <w:r w:rsidR="006F280F" w:rsidRPr="00251ECE">
        <w:t>GIST</w:t>
      </w:r>
      <w:r w:rsidR="006B214C" w:rsidRPr="00251ECE">
        <w:t xml:space="preserve"> </w:t>
      </w:r>
      <w:r w:rsidR="00406C9E" w:rsidRPr="00251ECE">
        <w:t xml:space="preserve">that respond </w:t>
      </w:r>
      <w:r w:rsidR="006B214C" w:rsidRPr="00251ECE">
        <w:t>to imatinib.</w:t>
      </w:r>
    </w:p>
    <w:p w14:paraId="44B66443" w14:textId="665F5F99" w:rsidR="00161CAF" w:rsidRPr="00251ECE" w:rsidRDefault="00E600BF" w:rsidP="00E600BF">
      <w:pPr>
        <w:pBdr>
          <w:bottom w:val="single" w:sz="4" w:space="1" w:color="auto"/>
        </w:pBdr>
        <w:spacing w:line="480" w:lineRule="auto"/>
      </w:pPr>
      <w:r>
        <w:rPr>
          <w:rFonts w:eastAsia="Palatino-Roman" w:hint="eastAsia"/>
          <w:b/>
          <w:bCs/>
        </w:rPr>
        <w:t>4-4-2</w:t>
      </w:r>
      <w:r w:rsidRPr="00CC07C8">
        <w:rPr>
          <w:rFonts w:eastAsia="Palatino-Roman" w:hint="eastAsia"/>
          <w:b/>
          <w:bCs/>
        </w:rPr>
        <w:t>:</w:t>
      </w:r>
      <w:r>
        <w:rPr>
          <w:rFonts w:eastAsia="Palatino-Roman" w:hint="eastAsia"/>
          <w:b/>
          <w:bCs/>
        </w:rPr>
        <w:t xml:space="preserve"> </w:t>
      </w:r>
      <w:r w:rsidR="006B214C" w:rsidRPr="00251ECE">
        <w:t xml:space="preserve">Given the lack of definitive evidence, </w:t>
      </w:r>
      <w:r w:rsidR="00406C9E" w:rsidRPr="00251ECE">
        <w:t xml:space="preserve">the </w:t>
      </w:r>
      <w:r w:rsidR="006B214C" w:rsidRPr="00251ECE">
        <w:t>indication</w:t>
      </w:r>
      <w:r w:rsidR="00406C9E" w:rsidRPr="00251ECE">
        <w:t>s</w:t>
      </w:r>
      <w:r w:rsidR="006B214C" w:rsidRPr="00251ECE">
        <w:t xml:space="preserve"> of </w:t>
      </w:r>
      <w:r w:rsidR="00B204C4" w:rsidRPr="00251ECE">
        <w:rPr>
          <w:rFonts w:hint="eastAsia"/>
        </w:rPr>
        <w:t>surgical resection</w:t>
      </w:r>
      <w:r w:rsidR="006B214C" w:rsidRPr="00251ECE">
        <w:t xml:space="preserve"> for advanced GIST during drug therapy should be individualized and discussed by a multidisciplinary team of experts.</w:t>
      </w:r>
    </w:p>
    <w:p w14:paraId="208228CE" w14:textId="2A2A9A9F" w:rsidR="000036B2" w:rsidRPr="00251ECE" w:rsidRDefault="0082028B" w:rsidP="00EE1500">
      <w:pPr>
        <w:spacing w:line="480" w:lineRule="auto"/>
      </w:pPr>
      <w:r w:rsidRPr="00251ECE">
        <w:t xml:space="preserve">Systemic </w:t>
      </w:r>
      <w:r w:rsidR="0018347E" w:rsidRPr="00251ECE">
        <w:t>treatment</w:t>
      </w:r>
      <w:r w:rsidR="00A55166" w:rsidRPr="00251ECE">
        <w:t xml:space="preserve"> rarely </w:t>
      </w:r>
      <w:r w:rsidR="00406C9E" w:rsidRPr="00251ECE">
        <w:t xml:space="preserve">eradicates </w:t>
      </w:r>
      <w:r w:rsidR="00A55166" w:rsidRPr="00251ECE">
        <w:t xml:space="preserve">all tumor cells, resulting in a low pathological complete response </w:t>
      </w:r>
      <w:r w:rsidR="00406C9E" w:rsidRPr="00251ECE">
        <w:t xml:space="preserve">rate </w:t>
      </w:r>
      <w:r w:rsidR="00A55166" w:rsidRPr="00251ECE">
        <w:t xml:space="preserve">due to the existence and/or emergence of </w:t>
      </w:r>
      <w:r w:rsidR="00ED4ADF" w:rsidRPr="00251ECE">
        <w:t>drug</w:t>
      </w:r>
      <w:r w:rsidR="00A55166" w:rsidRPr="00251ECE">
        <w:t xml:space="preserve">-resistant tumor clones. </w:t>
      </w:r>
      <w:r w:rsidR="00406C9E" w:rsidRPr="00251ECE">
        <w:t xml:space="preserve">Drug-resistant tumor </w:t>
      </w:r>
      <w:r w:rsidR="00A55166" w:rsidRPr="00251ECE">
        <w:t xml:space="preserve">clones are thought to </w:t>
      </w:r>
      <w:r w:rsidR="00911314" w:rsidRPr="00251ECE">
        <w:rPr>
          <w:rFonts w:hint="eastAsia"/>
        </w:rPr>
        <w:t xml:space="preserve">be </w:t>
      </w:r>
      <w:r w:rsidR="00ED4ADF" w:rsidRPr="00251ECE">
        <w:t xml:space="preserve">present before treatment and/or </w:t>
      </w:r>
      <w:r w:rsidR="00A55166" w:rsidRPr="00251ECE">
        <w:t xml:space="preserve">develop over time </w:t>
      </w:r>
      <w:r w:rsidR="00406C9E" w:rsidRPr="00251ECE">
        <w:t xml:space="preserve">after </w:t>
      </w:r>
      <w:r w:rsidR="00A55166" w:rsidRPr="00251ECE">
        <w:t xml:space="preserve">treatment. </w:t>
      </w:r>
      <w:r w:rsidR="00674F5C" w:rsidRPr="00251ECE">
        <w:rPr>
          <w:rFonts w:hint="eastAsia"/>
        </w:rPr>
        <w:t>S</w:t>
      </w:r>
      <w:r w:rsidR="00674F5C" w:rsidRPr="00251ECE">
        <w:t>urgical resection</w:t>
      </w:r>
      <w:r w:rsidR="00674F5C" w:rsidRPr="00251ECE">
        <w:rPr>
          <w:rFonts w:hint="eastAsia"/>
        </w:rPr>
        <w:t xml:space="preserve"> </w:t>
      </w:r>
      <w:r w:rsidR="00A55166" w:rsidRPr="00251ECE">
        <w:t xml:space="preserve">may play a role in eliminating or delaying the development of tumors that have </w:t>
      </w:r>
      <w:r w:rsidR="00ED4ADF" w:rsidRPr="00251ECE">
        <w:t>drug</w:t>
      </w:r>
      <w:r w:rsidR="00911314" w:rsidRPr="00251ECE">
        <w:rPr>
          <w:rFonts w:hint="eastAsia"/>
        </w:rPr>
        <w:t xml:space="preserve"> resi</w:t>
      </w:r>
      <w:r w:rsidR="00ED4ADF" w:rsidRPr="00251ECE">
        <w:t>s</w:t>
      </w:r>
      <w:r w:rsidR="00911314" w:rsidRPr="00251ECE">
        <w:rPr>
          <w:rFonts w:hint="eastAsia"/>
        </w:rPr>
        <w:t>tance</w:t>
      </w:r>
      <w:r w:rsidR="00A55166" w:rsidRPr="00251ECE">
        <w:t>.</w:t>
      </w:r>
      <w:r w:rsidR="0079236D" w:rsidRPr="00251ECE">
        <w:t xml:space="preserve"> </w:t>
      </w:r>
    </w:p>
    <w:p w14:paraId="68BB4AC6" w14:textId="5F2E0F77" w:rsidR="00A55166" w:rsidRPr="00251ECE" w:rsidRDefault="00674F5C" w:rsidP="00674F5C">
      <w:pPr>
        <w:spacing w:line="480" w:lineRule="auto"/>
        <w:ind w:firstLine="840"/>
      </w:pPr>
      <w:r w:rsidRPr="00251ECE">
        <w:rPr>
          <w:rFonts w:hint="eastAsia"/>
        </w:rPr>
        <w:t>S</w:t>
      </w:r>
      <w:r w:rsidRPr="00251ECE">
        <w:t>urgical resection</w:t>
      </w:r>
      <w:r w:rsidR="00A55166" w:rsidRPr="00251ECE">
        <w:t xml:space="preserve"> can be considered for </w:t>
      </w:r>
      <w:r w:rsidR="00BD564C" w:rsidRPr="00251ECE">
        <w:t xml:space="preserve">advanced </w:t>
      </w:r>
      <w:r w:rsidR="006F280F" w:rsidRPr="00251ECE">
        <w:t>GIST</w:t>
      </w:r>
      <w:r w:rsidR="00A55166" w:rsidRPr="00251ECE">
        <w:t xml:space="preserve"> </w:t>
      </w:r>
      <w:r w:rsidR="00406C9E" w:rsidRPr="00251ECE">
        <w:t xml:space="preserve">that </w:t>
      </w:r>
      <w:r w:rsidR="00911314" w:rsidRPr="00251ECE">
        <w:t>ha</w:t>
      </w:r>
      <w:r w:rsidR="00911314" w:rsidRPr="00251ECE">
        <w:rPr>
          <w:rFonts w:hint="eastAsia"/>
        </w:rPr>
        <w:t>ve</w:t>
      </w:r>
      <w:r w:rsidR="00911314" w:rsidRPr="00251ECE">
        <w:t xml:space="preserve"> </w:t>
      </w:r>
      <w:r w:rsidR="00A55166" w:rsidRPr="00251ECE">
        <w:t xml:space="preserve">responded to imatinib. Although </w:t>
      </w:r>
      <w:r w:rsidR="005C5753" w:rsidRPr="00251ECE">
        <w:t xml:space="preserve">the </w:t>
      </w:r>
      <w:r w:rsidR="00A55166" w:rsidRPr="00251ECE">
        <w:t xml:space="preserve">optimal duration of imatinib </w:t>
      </w:r>
      <w:r w:rsidR="00D41611" w:rsidRPr="00251ECE">
        <w:rPr>
          <w:rFonts w:hint="eastAsia"/>
        </w:rPr>
        <w:t>therapy</w:t>
      </w:r>
      <w:r w:rsidR="00D41611" w:rsidRPr="00251ECE">
        <w:t xml:space="preserve"> </w:t>
      </w:r>
      <w:r w:rsidR="00A55166" w:rsidRPr="00251ECE">
        <w:t xml:space="preserve">is unclear, </w:t>
      </w:r>
      <w:r w:rsidR="004A6056" w:rsidRPr="00251ECE">
        <w:t>the panel</w:t>
      </w:r>
      <w:r w:rsidR="00A55166" w:rsidRPr="00251ECE">
        <w:t xml:space="preserve"> recommend</w:t>
      </w:r>
      <w:r w:rsidR="00A061FE">
        <w:rPr>
          <w:rFonts w:hint="eastAsia"/>
        </w:rPr>
        <w:t>s</w:t>
      </w:r>
      <w:r w:rsidR="00A55166" w:rsidRPr="00251ECE">
        <w:t xml:space="preserve"> </w:t>
      </w:r>
      <w:r w:rsidR="00546C76" w:rsidRPr="00251ECE">
        <w:t>6</w:t>
      </w:r>
      <w:r w:rsidR="0050062C">
        <w:rPr>
          <w:rFonts w:hint="eastAsia"/>
        </w:rPr>
        <w:t>–</w:t>
      </w:r>
      <w:r w:rsidR="00546C76" w:rsidRPr="00251ECE">
        <w:t>12 months</w:t>
      </w:r>
      <w:r w:rsidR="00D41611" w:rsidRPr="00251ECE">
        <w:rPr>
          <w:rFonts w:hint="eastAsia"/>
        </w:rPr>
        <w:t xml:space="preserve"> of</w:t>
      </w:r>
      <w:r w:rsidR="00A55166" w:rsidRPr="00251ECE">
        <w:t xml:space="preserve"> </w:t>
      </w:r>
      <w:r w:rsidR="00435B73" w:rsidRPr="00251ECE">
        <w:t xml:space="preserve">imatinib </w:t>
      </w:r>
      <w:r w:rsidR="00D41611" w:rsidRPr="00251ECE">
        <w:rPr>
          <w:rFonts w:hint="eastAsia"/>
        </w:rPr>
        <w:t>therapy</w:t>
      </w:r>
      <w:r w:rsidR="00D41611" w:rsidRPr="00251ECE">
        <w:t xml:space="preserve"> </w:t>
      </w:r>
      <w:r w:rsidR="00A55166" w:rsidRPr="00251ECE">
        <w:t xml:space="preserve">before </w:t>
      </w:r>
      <w:r w:rsidRPr="00251ECE">
        <w:rPr>
          <w:rFonts w:hint="eastAsia"/>
        </w:rPr>
        <w:t>s</w:t>
      </w:r>
      <w:r w:rsidRPr="00251ECE">
        <w:t>urgical resection</w:t>
      </w:r>
      <w:r w:rsidRPr="00251ECE" w:rsidDel="00674F5C">
        <w:t xml:space="preserve"> </w:t>
      </w:r>
      <w:r w:rsidR="00A55166" w:rsidRPr="00251ECE">
        <w:t xml:space="preserve">to achieve </w:t>
      </w:r>
      <w:r w:rsidR="00406C9E" w:rsidRPr="00251ECE">
        <w:t xml:space="preserve">the </w:t>
      </w:r>
      <w:r w:rsidR="00A55166" w:rsidRPr="00251ECE">
        <w:t>maximum response.</w:t>
      </w:r>
      <w:r w:rsidR="0030511F" w:rsidRPr="00251ECE">
        <w:t xml:space="preserve"> </w:t>
      </w:r>
      <w:r w:rsidR="00A55166" w:rsidRPr="00251ECE">
        <w:t xml:space="preserve">Imatinib can be administered up to the day before </w:t>
      </w:r>
      <w:r w:rsidRPr="00251ECE">
        <w:rPr>
          <w:rFonts w:hint="eastAsia"/>
        </w:rPr>
        <w:t>s</w:t>
      </w:r>
      <w:r w:rsidRPr="00251ECE">
        <w:t>urgical resection</w:t>
      </w:r>
      <w:r w:rsidR="00A55166" w:rsidRPr="00251ECE">
        <w:t xml:space="preserve"> and restarted when patients </w:t>
      </w:r>
      <w:r w:rsidR="00546C76" w:rsidRPr="00251ECE">
        <w:t>can</w:t>
      </w:r>
      <w:r w:rsidR="00A55166" w:rsidRPr="00251ECE">
        <w:t xml:space="preserve"> eat. Imatinib should be continued after </w:t>
      </w:r>
      <w:r w:rsidRPr="00251ECE">
        <w:rPr>
          <w:rFonts w:hint="eastAsia"/>
        </w:rPr>
        <w:t>s</w:t>
      </w:r>
      <w:r w:rsidRPr="00251ECE">
        <w:t>urgical resection</w:t>
      </w:r>
      <w:r w:rsidR="00A55166" w:rsidRPr="00251ECE">
        <w:t>.</w:t>
      </w:r>
      <w:r w:rsidR="00F220E1" w:rsidRPr="00251ECE">
        <w:t xml:space="preserve"> </w:t>
      </w:r>
      <w:r w:rsidR="00A55166" w:rsidRPr="00251ECE">
        <w:t xml:space="preserve">Several retrospective studies have suggested that adding </w:t>
      </w:r>
      <w:r w:rsidRPr="00251ECE">
        <w:rPr>
          <w:rFonts w:hint="eastAsia"/>
        </w:rPr>
        <w:t>s</w:t>
      </w:r>
      <w:r w:rsidRPr="00251ECE">
        <w:t>urgical resection</w:t>
      </w:r>
      <w:r w:rsidRPr="00251ECE" w:rsidDel="00674F5C">
        <w:t xml:space="preserve"> </w:t>
      </w:r>
      <w:r w:rsidR="00A55166" w:rsidRPr="00251ECE">
        <w:t xml:space="preserve">to imatinib at </w:t>
      </w:r>
      <w:r w:rsidR="00453CE2" w:rsidRPr="00251ECE">
        <w:t xml:space="preserve">the </w:t>
      </w:r>
      <w:r w:rsidR="00A55166" w:rsidRPr="00251ECE">
        <w:t xml:space="preserve">maximum response, </w:t>
      </w:r>
      <w:r w:rsidR="00A55166" w:rsidRPr="00251ECE">
        <w:lastRenderedPageBreak/>
        <w:t>including partial response and stable disease</w:t>
      </w:r>
      <w:r w:rsidR="00453CE2" w:rsidRPr="00251ECE">
        <w:t>,</w:t>
      </w:r>
      <w:r w:rsidR="00A55166" w:rsidRPr="00251ECE">
        <w:t xml:space="preserve"> may be associated with long-term survival</w:t>
      </w:r>
      <w:r w:rsidR="0087110C" w:rsidRPr="00251ECE">
        <w:t xml:space="preserve"> </w:t>
      </w:r>
      <w:r w:rsidR="003B3B35">
        <w:rPr>
          <w:noProof/>
        </w:rPr>
        <w:t>[80-84]</w:t>
      </w:r>
      <w:r w:rsidR="00A55166" w:rsidRPr="00251ECE">
        <w:t xml:space="preserve">. Two randomized prospective trials were conducted in Europe (NCT00956072) and China to evaluate the survival benefit of </w:t>
      </w:r>
      <w:r w:rsidRPr="00251ECE">
        <w:rPr>
          <w:rFonts w:hint="eastAsia"/>
        </w:rPr>
        <w:t>s</w:t>
      </w:r>
      <w:r w:rsidRPr="00251ECE">
        <w:t>urgical resection</w:t>
      </w:r>
      <w:r w:rsidRPr="00251ECE" w:rsidDel="00674F5C">
        <w:t xml:space="preserve"> </w:t>
      </w:r>
      <w:r w:rsidR="00A55166" w:rsidRPr="00251ECE">
        <w:t xml:space="preserve">in patients with advanced </w:t>
      </w:r>
      <w:r w:rsidR="006F280F" w:rsidRPr="00251ECE">
        <w:t>GIST</w:t>
      </w:r>
      <w:r w:rsidR="00A55166" w:rsidRPr="00251ECE">
        <w:t xml:space="preserve"> </w:t>
      </w:r>
      <w:r w:rsidR="00406C9E" w:rsidRPr="00251ECE">
        <w:t xml:space="preserve">that </w:t>
      </w:r>
      <w:r w:rsidR="00A55166" w:rsidRPr="00251ECE">
        <w:t>had responded to imatinib</w:t>
      </w:r>
      <w:r w:rsidR="008F0C33">
        <w:rPr>
          <w:rFonts w:hint="eastAsia"/>
        </w:rPr>
        <w:t xml:space="preserve"> </w:t>
      </w:r>
      <w:r w:rsidR="003B3B35">
        <w:rPr>
          <w:noProof/>
        </w:rPr>
        <w:t>[85]</w:t>
      </w:r>
      <w:r w:rsidR="00A55166" w:rsidRPr="00251ECE">
        <w:t xml:space="preserve">. However, these trials were prematurely terminated due to poor patient accrual. Nevertheless, the study in China suggested a possible survival benefit from </w:t>
      </w:r>
      <w:r w:rsidRPr="00251ECE">
        <w:rPr>
          <w:rFonts w:hint="eastAsia"/>
        </w:rPr>
        <w:t>s</w:t>
      </w:r>
      <w:r w:rsidRPr="00251ECE">
        <w:t>urgical resection</w:t>
      </w:r>
      <w:r w:rsidRPr="00251ECE" w:rsidDel="00674F5C">
        <w:t xml:space="preserve"> </w:t>
      </w:r>
      <w:r w:rsidR="00A55166" w:rsidRPr="00251ECE">
        <w:t>in patients whose tumors were controlled by imatinib</w:t>
      </w:r>
      <w:r w:rsidR="008F0C33">
        <w:rPr>
          <w:rFonts w:hint="eastAsia"/>
        </w:rPr>
        <w:t xml:space="preserve"> </w:t>
      </w:r>
      <w:r w:rsidR="003B3B35">
        <w:rPr>
          <w:noProof/>
        </w:rPr>
        <w:t>[85]</w:t>
      </w:r>
      <w:r w:rsidR="002D4E07">
        <w:rPr>
          <w:rFonts w:hint="eastAsia"/>
        </w:rPr>
        <w:t>.</w:t>
      </w:r>
      <w:r w:rsidR="00A55166" w:rsidRPr="00251ECE">
        <w:t xml:space="preserve"> The 2-year </w:t>
      </w:r>
      <w:r w:rsidR="004A6056" w:rsidRPr="00251ECE">
        <w:t>PFS</w:t>
      </w:r>
      <w:r w:rsidR="00A55166" w:rsidRPr="00251ECE">
        <w:t xml:space="preserve"> rate was 88.4% in the </w:t>
      </w:r>
      <w:r w:rsidRPr="00251ECE">
        <w:rPr>
          <w:rFonts w:hint="eastAsia"/>
        </w:rPr>
        <w:t>s</w:t>
      </w:r>
      <w:r w:rsidRPr="00251ECE">
        <w:t>urgical resection</w:t>
      </w:r>
      <w:r w:rsidRPr="00251ECE">
        <w:rPr>
          <w:rFonts w:hint="eastAsia"/>
        </w:rPr>
        <w:t xml:space="preserve"> </w:t>
      </w:r>
      <w:r w:rsidR="00A55166" w:rsidRPr="00251ECE">
        <w:t>group and 57.7% in the non-</w:t>
      </w:r>
      <w:r w:rsidRPr="00251ECE">
        <w:rPr>
          <w:rFonts w:hint="eastAsia"/>
        </w:rPr>
        <w:t>s</w:t>
      </w:r>
      <w:r w:rsidRPr="00251ECE">
        <w:t>urgical resection</w:t>
      </w:r>
      <w:r w:rsidR="00A55166" w:rsidRPr="00251ECE">
        <w:t xml:space="preserve"> group (p = 0.089). The median </w:t>
      </w:r>
      <w:r w:rsidR="005605FF">
        <w:rPr>
          <w:rFonts w:hint="eastAsia"/>
        </w:rPr>
        <w:t>OS</w:t>
      </w:r>
      <w:r w:rsidR="00A55166" w:rsidRPr="00251ECE">
        <w:t xml:space="preserve"> was not reached in the </w:t>
      </w:r>
      <w:r w:rsidRPr="00251ECE">
        <w:rPr>
          <w:rFonts w:hint="eastAsia"/>
        </w:rPr>
        <w:t>s</w:t>
      </w:r>
      <w:r w:rsidRPr="00251ECE">
        <w:t>urgical resection</w:t>
      </w:r>
      <w:r w:rsidRPr="00251ECE" w:rsidDel="00674F5C">
        <w:t xml:space="preserve"> </w:t>
      </w:r>
      <w:r w:rsidR="00A55166" w:rsidRPr="00251ECE">
        <w:t>group, whereas it was 49 months in the non-</w:t>
      </w:r>
      <w:r w:rsidRPr="00251ECE">
        <w:rPr>
          <w:rFonts w:hint="eastAsia"/>
        </w:rPr>
        <w:t>s</w:t>
      </w:r>
      <w:r w:rsidRPr="00251ECE">
        <w:t>urgical resection</w:t>
      </w:r>
      <w:r w:rsidRPr="00251ECE" w:rsidDel="00674F5C">
        <w:t xml:space="preserve"> </w:t>
      </w:r>
      <w:r w:rsidR="00A55166" w:rsidRPr="00251ECE">
        <w:t xml:space="preserve">group (p = 0.024). Focal progression is a scenario where a limited number of lesions display intratumoral nodules or increased size, along with </w:t>
      </w:r>
      <w:r w:rsidR="00341D2D" w:rsidRPr="00251ECE">
        <w:t xml:space="preserve">increased </w:t>
      </w:r>
      <w:r w:rsidR="003940B1" w:rsidRPr="00251ECE">
        <w:t>PET</w:t>
      </w:r>
      <w:r w:rsidR="00341D2D" w:rsidRPr="00251ECE">
        <w:t xml:space="preserve"> uptake</w:t>
      </w:r>
      <w:r w:rsidR="00A55166" w:rsidRPr="00251ECE">
        <w:t xml:space="preserve">, while other lesions remain relatively stable and well-controlled. The potential benefits of </w:t>
      </w:r>
      <w:r w:rsidRPr="00251ECE">
        <w:rPr>
          <w:rFonts w:hint="eastAsia"/>
        </w:rPr>
        <w:t>s</w:t>
      </w:r>
      <w:r w:rsidRPr="00251ECE">
        <w:t>urgical resection</w:t>
      </w:r>
      <w:r w:rsidRPr="00251ECE" w:rsidDel="00674F5C">
        <w:t xml:space="preserve"> </w:t>
      </w:r>
      <w:r w:rsidR="00A55166" w:rsidRPr="00251ECE">
        <w:t xml:space="preserve">have also been proposed in patients with focal progression </w:t>
      </w:r>
      <w:r w:rsidR="00406C9E" w:rsidRPr="00251ECE">
        <w:t xml:space="preserve">in </w:t>
      </w:r>
      <w:r w:rsidR="00A55166" w:rsidRPr="00251ECE">
        <w:t>retrospective studies</w:t>
      </w:r>
      <w:r w:rsidR="006E3AD9" w:rsidRPr="00251ECE">
        <w:t xml:space="preserve"> </w:t>
      </w:r>
      <w:r w:rsidR="003B3B35">
        <w:rPr>
          <w:noProof/>
        </w:rPr>
        <w:t>[80, 86, 87]</w:t>
      </w:r>
      <w:r w:rsidR="002D4E07">
        <w:rPr>
          <w:rFonts w:hint="eastAsia"/>
        </w:rPr>
        <w:t>.</w:t>
      </w:r>
      <w:r w:rsidR="00A55166" w:rsidRPr="00251ECE">
        <w:t xml:space="preserve"> In patients with multifocal progression, characterized by the simultaneous progression of multiple lesions, </w:t>
      </w:r>
      <w:r w:rsidRPr="00251ECE">
        <w:rPr>
          <w:rFonts w:hint="eastAsia"/>
        </w:rPr>
        <w:t>s</w:t>
      </w:r>
      <w:r w:rsidRPr="00251ECE">
        <w:t>urgical resection</w:t>
      </w:r>
      <w:r w:rsidRPr="00251ECE" w:rsidDel="00674F5C">
        <w:t xml:space="preserve"> </w:t>
      </w:r>
      <w:r w:rsidR="00A55166" w:rsidRPr="00251ECE">
        <w:t xml:space="preserve">is </w:t>
      </w:r>
      <w:r w:rsidR="00406C9E" w:rsidRPr="00251ECE">
        <w:t>not expected to be effective</w:t>
      </w:r>
      <w:r w:rsidR="00A55166" w:rsidRPr="00251ECE">
        <w:t xml:space="preserve">. Therefore, </w:t>
      </w:r>
      <w:r w:rsidRPr="00251ECE">
        <w:rPr>
          <w:rFonts w:hint="eastAsia"/>
        </w:rPr>
        <w:t>s</w:t>
      </w:r>
      <w:r w:rsidRPr="00251ECE">
        <w:t>urgical resection</w:t>
      </w:r>
      <w:r w:rsidR="00A55166" w:rsidRPr="00251ECE">
        <w:t xml:space="preserve"> is generally not recommended </w:t>
      </w:r>
      <w:r w:rsidR="00053272" w:rsidRPr="00251ECE">
        <w:t xml:space="preserve">for patients with multifocal progression </w:t>
      </w:r>
      <w:r w:rsidR="00A55166" w:rsidRPr="00251ECE">
        <w:t>ex</w:t>
      </w:r>
      <w:r w:rsidR="0019396D" w:rsidRPr="00251ECE">
        <w:t>cept for</w:t>
      </w:r>
      <w:r w:rsidR="00A55166" w:rsidRPr="00251ECE">
        <w:t xml:space="preserve"> </w:t>
      </w:r>
      <w:r w:rsidR="00406C9E" w:rsidRPr="00251ECE">
        <w:t xml:space="preserve">symptom </w:t>
      </w:r>
      <w:r w:rsidR="00A55166" w:rsidRPr="00251ECE">
        <w:t>palliation.</w:t>
      </w:r>
    </w:p>
    <w:p w14:paraId="73ACECED" w14:textId="5E48514B" w:rsidR="008E3085" w:rsidRPr="00251ECE" w:rsidRDefault="00406C9E" w:rsidP="00693E57">
      <w:pPr>
        <w:spacing w:line="480" w:lineRule="auto"/>
        <w:ind w:firstLine="840"/>
      </w:pPr>
      <w:r w:rsidRPr="00251ECE">
        <w:t xml:space="preserve">There is </w:t>
      </w:r>
      <w:r w:rsidR="00F220E1" w:rsidRPr="00251ECE">
        <w:t xml:space="preserve">limited </w:t>
      </w:r>
      <w:r w:rsidRPr="00251ECE">
        <w:t xml:space="preserve">evidence </w:t>
      </w:r>
      <w:r w:rsidR="00F220E1" w:rsidRPr="00251ECE">
        <w:t xml:space="preserve">to support the recommendation of </w:t>
      </w:r>
      <w:r w:rsidR="00674F5C" w:rsidRPr="00251ECE">
        <w:rPr>
          <w:rFonts w:hint="eastAsia"/>
        </w:rPr>
        <w:t>s</w:t>
      </w:r>
      <w:r w:rsidR="00674F5C" w:rsidRPr="00251ECE">
        <w:t>urgical resection</w:t>
      </w:r>
      <w:r w:rsidR="00674F5C" w:rsidRPr="00251ECE" w:rsidDel="00674F5C">
        <w:t xml:space="preserve"> </w:t>
      </w:r>
      <w:r w:rsidR="00F220E1" w:rsidRPr="00251ECE">
        <w:t xml:space="preserve">during </w:t>
      </w:r>
      <w:r w:rsidR="003F020F" w:rsidRPr="00251ECE">
        <w:t>systemic t</w:t>
      </w:r>
      <w:r w:rsidR="0018347E" w:rsidRPr="00251ECE">
        <w:t>reatment</w:t>
      </w:r>
      <w:r w:rsidR="003F020F" w:rsidRPr="00251ECE">
        <w:t xml:space="preserve"> </w:t>
      </w:r>
      <w:r w:rsidR="00F220E1" w:rsidRPr="00251ECE">
        <w:t xml:space="preserve">with sunitinib, regorafenib, ripretinib, avapritinib, </w:t>
      </w:r>
      <w:r w:rsidRPr="00251ECE">
        <w:t xml:space="preserve">or </w:t>
      </w:r>
      <w:r w:rsidR="00F220E1" w:rsidRPr="00251ECE">
        <w:t>pimitespib.</w:t>
      </w:r>
      <w:r w:rsidR="00193344" w:rsidRPr="00251ECE">
        <w:t xml:space="preserve"> </w:t>
      </w:r>
      <w:r w:rsidR="00674F5C" w:rsidRPr="00251ECE">
        <w:rPr>
          <w:rFonts w:hint="eastAsia"/>
        </w:rPr>
        <w:t>S</w:t>
      </w:r>
      <w:r w:rsidR="00674F5C" w:rsidRPr="00251ECE">
        <w:t xml:space="preserve">urgical </w:t>
      </w:r>
      <w:r w:rsidR="00674F5C" w:rsidRPr="00251ECE">
        <w:lastRenderedPageBreak/>
        <w:t>resection</w:t>
      </w:r>
      <w:r w:rsidR="00674F5C" w:rsidRPr="00251ECE" w:rsidDel="00674F5C">
        <w:t xml:space="preserve"> </w:t>
      </w:r>
      <w:r w:rsidR="00CA0CC5" w:rsidRPr="00251ECE">
        <w:t>might be beneficial for c</w:t>
      </w:r>
      <w:r w:rsidR="00121FB0" w:rsidRPr="00251ECE">
        <w:t xml:space="preserve">arefully selected patients </w:t>
      </w:r>
      <w:r w:rsidR="005C29AC" w:rsidRPr="00251ECE">
        <w:t xml:space="preserve">(e.g., </w:t>
      </w:r>
      <w:r w:rsidR="00F53AFC" w:rsidRPr="00251ECE">
        <w:t xml:space="preserve">patients with </w:t>
      </w:r>
      <w:r w:rsidRPr="00251ECE">
        <w:t xml:space="preserve">a </w:t>
      </w:r>
      <w:r w:rsidR="005C29AC" w:rsidRPr="00251ECE">
        <w:t xml:space="preserve">limited </w:t>
      </w:r>
      <w:r w:rsidR="00F53AFC" w:rsidRPr="00251ECE">
        <w:t xml:space="preserve">number of </w:t>
      </w:r>
      <w:r w:rsidRPr="00251ECE">
        <w:t xml:space="preserve">metastases </w:t>
      </w:r>
      <w:r w:rsidR="00F53AFC" w:rsidRPr="00251ECE">
        <w:t xml:space="preserve">who </w:t>
      </w:r>
      <w:r w:rsidRPr="00251ECE">
        <w:t xml:space="preserve">achieve </w:t>
      </w:r>
      <w:r w:rsidR="00F53AFC" w:rsidRPr="00251ECE">
        <w:t xml:space="preserve">long-term </w:t>
      </w:r>
      <w:r w:rsidR="001C32F6" w:rsidRPr="00251ECE">
        <w:rPr>
          <w:rFonts w:hint="eastAsia"/>
        </w:rPr>
        <w:t>stable disease</w:t>
      </w:r>
      <w:r w:rsidR="00F53AFC" w:rsidRPr="00251ECE">
        <w:t xml:space="preserve"> aft</w:t>
      </w:r>
      <w:r w:rsidR="003F020F" w:rsidRPr="00251ECE">
        <w:t xml:space="preserve">er </w:t>
      </w:r>
      <w:r w:rsidRPr="00251ECE">
        <w:t>the</w:t>
      </w:r>
      <w:r w:rsidR="001C32F6" w:rsidRPr="00251ECE">
        <w:rPr>
          <w:rFonts w:hint="eastAsia"/>
        </w:rPr>
        <w:t xml:space="preserve"> </w:t>
      </w:r>
      <w:r w:rsidR="003F020F" w:rsidRPr="00251ECE">
        <w:t>systemic t</w:t>
      </w:r>
      <w:r w:rsidR="0018347E" w:rsidRPr="00251ECE">
        <w:t>reatment</w:t>
      </w:r>
      <w:r w:rsidR="005C29AC" w:rsidRPr="00251ECE">
        <w:t>)</w:t>
      </w:r>
      <w:r w:rsidR="00CA0CC5" w:rsidRPr="00251ECE">
        <w:t>.</w:t>
      </w:r>
    </w:p>
    <w:p w14:paraId="3DB0F9FB" w14:textId="77777777" w:rsidR="008E3085" w:rsidRPr="00251ECE" w:rsidRDefault="008E3085" w:rsidP="00EE1500">
      <w:pPr>
        <w:spacing w:line="480" w:lineRule="auto"/>
      </w:pPr>
    </w:p>
    <w:p w14:paraId="48338EEC" w14:textId="77777777" w:rsidR="00780D2A" w:rsidRDefault="00780D2A">
      <w:pPr>
        <w:spacing w:line="360" w:lineRule="auto"/>
        <w:ind w:left="992" w:hanging="992"/>
        <w:rPr>
          <w:b/>
          <w:bCs/>
        </w:rPr>
      </w:pPr>
      <w:r>
        <w:br w:type="page"/>
      </w:r>
    </w:p>
    <w:bookmarkEnd w:id="0"/>
    <w:p w14:paraId="7D0FA831" w14:textId="77777777" w:rsidR="007F0C30" w:rsidRPr="00F26C70" w:rsidRDefault="007F0C30" w:rsidP="00F26C70">
      <w:pPr>
        <w:pStyle w:val="Heading1"/>
        <w:rPr>
          <w:szCs w:val="21"/>
        </w:rPr>
      </w:pPr>
      <w:r w:rsidRPr="00F26C70">
        <w:rPr>
          <w:szCs w:val="21"/>
        </w:rPr>
        <w:lastRenderedPageBreak/>
        <w:t>References</w:t>
      </w:r>
    </w:p>
    <w:p w14:paraId="20F57965" w14:textId="1C782896"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w:t>
      </w:r>
      <w:r w:rsidRPr="00F26C70">
        <w:rPr>
          <w:rFonts w:ascii="Arial" w:hAnsi="Arial"/>
          <w:sz w:val="21"/>
          <w:szCs w:val="21"/>
        </w:rPr>
        <w:tab/>
        <w:t>Akahoshi K, Oya M, Koga T, Shiratsuchi Y. Current clinical management of gastrointestinal stromal tumor. World J Gastroenterol. 2018;24:2806-17.</w:t>
      </w:r>
    </w:p>
    <w:p w14:paraId="78AC429C"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w:t>
      </w:r>
      <w:r w:rsidRPr="00F26C70">
        <w:rPr>
          <w:rFonts w:ascii="Arial" w:hAnsi="Arial"/>
          <w:sz w:val="21"/>
          <w:szCs w:val="21"/>
        </w:rPr>
        <w:tab/>
        <w:t>Zhang XC, Li QL, Yu YF, Yao LQ, Xu MD, Zhang YQ, et al. Diagnostic efficacy of endoscopic ultrasound-guided needle sampling for upper gastrointestinal subepithelial lesions: a meta-analysis. Surg Endosc. 2016;30:2431-41.</w:t>
      </w:r>
    </w:p>
    <w:p w14:paraId="28471D4F"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w:t>
      </w:r>
      <w:r w:rsidRPr="00F26C70">
        <w:rPr>
          <w:rFonts w:ascii="Arial" w:hAnsi="Arial"/>
          <w:sz w:val="21"/>
          <w:szCs w:val="21"/>
        </w:rPr>
        <w:tab/>
        <w:t>Cazacu IM, Singh BS, Luzuriaga Chavez AA, Koduru P, Ejaz S, Weston BR, et al. EUS and EUS-guided FNA/core biopsies in the evaluation of subepithelial lesions of the lower gastrointestinal tract: 10-year experience. Endosc Ultrasound. 2020;9:329-36.</w:t>
      </w:r>
    </w:p>
    <w:p w14:paraId="614C90A0"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w:t>
      </w:r>
      <w:r w:rsidRPr="00F26C70">
        <w:rPr>
          <w:rFonts w:ascii="Arial" w:hAnsi="Arial"/>
          <w:sz w:val="21"/>
          <w:szCs w:val="21"/>
        </w:rPr>
        <w:tab/>
        <w:t>Facciorusso A, Sunny SP, Del Prete V, Antonino M, Muscatiello N. Comparison between fine-needle biopsy and fine-needle aspiration for EUS-guided sampling of subepithelial lesions: a meta-analysis. Gastrointest Endosc. 2020;91:14-22.e2.</w:t>
      </w:r>
    </w:p>
    <w:p w14:paraId="783F5DCB"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w:t>
      </w:r>
      <w:r w:rsidRPr="00F26C70">
        <w:rPr>
          <w:rFonts w:ascii="Arial" w:hAnsi="Arial"/>
          <w:sz w:val="21"/>
          <w:szCs w:val="21"/>
        </w:rPr>
        <w:tab/>
        <w:t>Osoegawa T, Minoda Y, Ihara E, Komori K, Aso A, Goto A, et al. Mucosal incision-assisted biopsy versus endoscopic ultrasound-guided fine-needle aspiration with a rapid on-site evaluation for gastric subepithelial lesions: A randomized cross-over study. Dig Endosc. 2019;31:413-21.</w:t>
      </w:r>
    </w:p>
    <w:p w14:paraId="00059E6A"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w:t>
      </w:r>
      <w:r w:rsidRPr="00F26C70">
        <w:rPr>
          <w:rFonts w:ascii="Arial" w:hAnsi="Arial"/>
          <w:sz w:val="21"/>
          <w:szCs w:val="21"/>
        </w:rPr>
        <w:tab/>
        <w:t>Yeh CH, Pan KT, Chu SY, Chen CM, Hsu MY, Hung CF, et al. Safety and efficacy of image-guided percutaneous biopsies in the diagnosis of gastrointestinal stromal tumors. Clin Imaging. 2012;36:19-23.</w:t>
      </w:r>
    </w:p>
    <w:p w14:paraId="0B2A55CC"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7.</w:t>
      </w:r>
      <w:r w:rsidRPr="00F26C70">
        <w:rPr>
          <w:rFonts w:ascii="Arial" w:hAnsi="Arial"/>
          <w:sz w:val="21"/>
          <w:szCs w:val="21"/>
        </w:rPr>
        <w:tab/>
        <w:t>Eriksson M, Reichardt P, Sundby Hall K, Schütte J, Cameron S, Hohenberger P, et al. Needle biopsy through the abdominal wall for the diagnosis of gastrointestinal stromal tumour - Does it increase the risk for tumour cell seeding and recurrence? Eur J Cancer. 2016;59:128-33.</w:t>
      </w:r>
    </w:p>
    <w:p w14:paraId="183FF055"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w:t>
      </w:r>
      <w:r w:rsidRPr="00F26C70">
        <w:rPr>
          <w:rFonts w:ascii="Arial" w:hAnsi="Arial"/>
          <w:sz w:val="21"/>
          <w:szCs w:val="21"/>
        </w:rPr>
        <w:tab/>
        <w:t>Nishimura J, Nakajima K, Omori T, Takahashi T, Nishitani A, Ito T, et al. Surgical strategy for gastric gastrointestinal stromal tumors: laparoscopic vs. open resection. Surg Endosc. 2007;21:875-8.</w:t>
      </w:r>
    </w:p>
    <w:p w14:paraId="0B8ECFE0"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9.</w:t>
      </w:r>
      <w:r w:rsidRPr="00F26C70">
        <w:rPr>
          <w:rFonts w:ascii="Arial" w:hAnsi="Arial"/>
          <w:sz w:val="21"/>
          <w:szCs w:val="21"/>
        </w:rPr>
        <w:tab/>
        <w:t>Novitsky YW, Kercher KW, Sing RF, Heniford BT. Long-term outcomes of laparoscopic resection of gastric gastrointestinal stromal tumors. Ann Surg. 2006;243:738-45; discussion 45-7.</w:t>
      </w:r>
    </w:p>
    <w:p w14:paraId="365CC50D"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10.</w:t>
      </w:r>
      <w:r w:rsidRPr="00F26C70">
        <w:rPr>
          <w:rFonts w:ascii="Arial" w:hAnsi="Arial"/>
          <w:sz w:val="21"/>
          <w:szCs w:val="21"/>
        </w:rPr>
        <w:tab/>
        <w:t>Takahashi T, Nakajima K, Miyazaki Y, Miyazaki Y, Kurokawa Y, Yamasaki M, et al. Surgical strategy for the gastric gastrointestinal stromal tumors (GISTs) larger than 5 cm: laparoscopic surgery is feasible, safe, and oncologically acceptable. Surg Laparosc Endosc Percutan Tech. 2015;25:114-8.</w:t>
      </w:r>
    </w:p>
    <w:p w14:paraId="4871363A"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11.</w:t>
      </w:r>
      <w:r w:rsidRPr="00F26C70">
        <w:rPr>
          <w:rFonts w:ascii="Arial" w:hAnsi="Arial"/>
          <w:sz w:val="21"/>
          <w:szCs w:val="21"/>
        </w:rPr>
        <w:tab/>
        <w:t>Lian X, Feng F, Guo M, Cai L, Liu Z, Liu S, et al. Meta-analysis comparing laparoscopic versus open resection for gastric gastrointestinal stromal tumors larger than 5 cm. BMC Cancer. 2017;17:760.</w:t>
      </w:r>
    </w:p>
    <w:p w14:paraId="6D168498"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12.</w:t>
      </w:r>
      <w:r w:rsidRPr="00F26C70">
        <w:rPr>
          <w:rFonts w:ascii="Arial" w:hAnsi="Arial"/>
          <w:sz w:val="21"/>
          <w:szCs w:val="21"/>
        </w:rPr>
        <w:tab/>
        <w:t>Cui JX, Gao YH, Xi HQ, Cai AZ, Zhang KC, Li JY, et al. Comparison between laparoscopic and open surgery for large gastrointestinal stromal tumors: A meta-analysis. World J Gastrointest Oncol. 2018;10:48-55.</w:t>
      </w:r>
    </w:p>
    <w:p w14:paraId="036F3645"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13.</w:t>
      </w:r>
      <w:r w:rsidRPr="00F26C70">
        <w:rPr>
          <w:rFonts w:ascii="Arial" w:hAnsi="Arial"/>
          <w:sz w:val="21"/>
          <w:szCs w:val="21"/>
        </w:rPr>
        <w:tab/>
        <w:t>Hiki N, Nunobe S, Matsuda T, Hirasawa T, Yamamoto Y, Yamaguchi T. Laparoscopic endoscopic cooperative surgery. Dig Endosc. 2015;27:197-204.</w:t>
      </w:r>
    </w:p>
    <w:p w14:paraId="758D69C5"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14.</w:t>
      </w:r>
      <w:r w:rsidRPr="00F26C70">
        <w:rPr>
          <w:rFonts w:ascii="Arial" w:hAnsi="Arial"/>
          <w:sz w:val="21"/>
          <w:szCs w:val="21"/>
        </w:rPr>
        <w:tab/>
        <w:t>Hiki N, Nunobe S. Laparoscopic endoscopic cooperative surgery (LECS) for the gastrointestinal tract: Updated indications. Ann Gastroenterol Surg. 2019;3:239-46.</w:t>
      </w:r>
    </w:p>
    <w:p w14:paraId="113E4F99"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15.</w:t>
      </w:r>
      <w:r w:rsidRPr="00F26C70">
        <w:rPr>
          <w:rFonts w:ascii="Arial" w:hAnsi="Arial"/>
          <w:sz w:val="21"/>
          <w:szCs w:val="21"/>
        </w:rPr>
        <w:tab/>
        <w:t>Meng Y, Li W, Han L, Zhang Q, Gong W, Cai J, et al. Long-term outcomes of endoscopic submucosal dissection versus laparoscopic resection for gastric stromal tumors less than 2 cm. J Gastroenterol Hepatol. 2017;32:1693-7.</w:t>
      </w:r>
    </w:p>
    <w:p w14:paraId="7ACBB48F"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16.</w:t>
      </w:r>
      <w:r w:rsidRPr="00F26C70">
        <w:rPr>
          <w:rFonts w:ascii="Arial" w:hAnsi="Arial"/>
          <w:sz w:val="21"/>
          <w:szCs w:val="21"/>
        </w:rPr>
        <w:tab/>
        <w:t>Ko EJ, Bang BW, Kwon KS, Shin YW, Kim HK. Endoscopic Enucleation Is Effective and Relatively Safe in Small Gastric Subepithelial Tumors Originating from Muscularis Propria. Dig Dis Sci. 2019;64:524-31.</w:t>
      </w:r>
    </w:p>
    <w:p w14:paraId="503C9BCC"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17.</w:t>
      </w:r>
      <w:r w:rsidRPr="00F26C70">
        <w:rPr>
          <w:rFonts w:ascii="Arial" w:hAnsi="Arial"/>
          <w:sz w:val="21"/>
          <w:szCs w:val="21"/>
        </w:rPr>
        <w:tab/>
        <w:t>Li B, Chen T, Qi ZP, Yao LQ, Xu MD, Shi Q, et al. Efficacy and safety of endoscopic resection for small submucosal tumors originating from the muscularis propria layer in the gastric fundus. Surg Endosc. 2019;33:2553-61.</w:t>
      </w:r>
    </w:p>
    <w:p w14:paraId="208528E7"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18.</w:t>
      </w:r>
      <w:r w:rsidRPr="00F26C70">
        <w:rPr>
          <w:rFonts w:ascii="Arial" w:hAnsi="Arial"/>
          <w:sz w:val="21"/>
          <w:szCs w:val="21"/>
        </w:rPr>
        <w:tab/>
        <w:t>Zhai YQ, Chai NL, Li HK, Lu ZS, Feng XX, Zhang WG, et al. Endoscopic submucosal excavation and endoscopic full-thickness resection for gastric schwannoma: five-year experience from a large tertiary center in China. Surg Endosc. 2020;34:4943-9.</w:t>
      </w:r>
    </w:p>
    <w:p w14:paraId="7615964D"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19.</w:t>
      </w:r>
      <w:r w:rsidRPr="00F26C70">
        <w:rPr>
          <w:rFonts w:ascii="Arial" w:hAnsi="Arial"/>
          <w:sz w:val="21"/>
          <w:szCs w:val="21"/>
        </w:rPr>
        <w:tab/>
        <w:t>Takahashi T, Nakajima K, Nishitani A, Souma Y, Hirota S, Sawa Y, et al. An enhanced risk-group stratification system for more practical prognostication of clinically malignant gastrointestinal stromal tumors. Int J Clin Oncol. 2007;12:369-74.</w:t>
      </w:r>
    </w:p>
    <w:p w14:paraId="41DA34C6"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20.</w:t>
      </w:r>
      <w:r w:rsidRPr="00F26C70">
        <w:rPr>
          <w:rFonts w:ascii="Arial" w:hAnsi="Arial"/>
          <w:sz w:val="21"/>
          <w:szCs w:val="21"/>
        </w:rPr>
        <w:tab/>
        <w:t>Rutkowski P, Bylina E, Wozniak A, Nowecki ZI, Osuch C, Matlok M, et al. Validation of the Joensuu risk criteria for primary resectable gastrointestinal stromal tumour - the impact of tumour rupture on patient outcomes. Eur J Surg Oncol. 2011;37:890-6.</w:t>
      </w:r>
    </w:p>
    <w:p w14:paraId="7D7C566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21.</w:t>
      </w:r>
      <w:r w:rsidRPr="00F26C70">
        <w:rPr>
          <w:rFonts w:ascii="Arial" w:hAnsi="Arial"/>
          <w:sz w:val="21"/>
          <w:szCs w:val="21"/>
        </w:rPr>
        <w:tab/>
        <w:t>Hølmebakk T, Hompland I, Bjerkehagen B, Stoldt S, Bruland Ø S, Hall KS, et al. Recurrence-Free Survival After Resection of Gastric Gastrointestinal Stromal Tumors Classified According to a Strict Definition of Tumor Rupture: A Population-Based Study. Ann Surg Oncol. 2018;25:1133-9.</w:t>
      </w:r>
    </w:p>
    <w:p w14:paraId="5DED0C88"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22.</w:t>
      </w:r>
      <w:r w:rsidRPr="00F26C70">
        <w:rPr>
          <w:rFonts w:ascii="Arial" w:hAnsi="Arial"/>
          <w:sz w:val="21"/>
          <w:szCs w:val="21"/>
        </w:rPr>
        <w:tab/>
        <w:t>Joensuu H, Vehtari A, Riihimaki J, Nishida T, Steigen SE, Brabec P, et al. Risk of recurrence of gastrointestinal stromal tumour after surgery: an analysis of pooled population-based cohorts. Lancet Oncol. 2012;13:265-74.</w:t>
      </w:r>
    </w:p>
    <w:p w14:paraId="1C7A3FD1"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23.</w:t>
      </w:r>
      <w:r w:rsidRPr="00F26C70">
        <w:rPr>
          <w:rFonts w:ascii="Arial" w:hAnsi="Arial"/>
          <w:sz w:val="21"/>
          <w:szCs w:val="21"/>
        </w:rPr>
        <w:tab/>
        <w:t>Nishida T, Hølmebakk T, Raut CP, Rutkowski P. Defining Tumor Rupture in Gastrointestinal Stromal Tumor. Ann Surg Oncol. 2019;26:1669-75.</w:t>
      </w:r>
    </w:p>
    <w:p w14:paraId="3A71A100"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24.</w:t>
      </w:r>
      <w:r w:rsidRPr="00F26C70">
        <w:rPr>
          <w:rFonts w:ascii="Arial" w:hAnsi="Arial"/>
          <w:sz w:val="21"/>
          <w:szCs w:val="21"/>
        </w:rPr>
        <w:tab/>
        <w:t>Gotohda N, Nishida T, Sato S, Ozaka M, Nakahara Y, Komatsu Y, et al. Re-appraisal of the universal definition of tumor rupture among patients with high-risk gastrointestinal stromal tumors. Ann Gastroenterol Surg. 2023;7:1021-31.</w:t>
      </w:r>
    </w:p>
    <w:p w14:paraId="3BBC62E3"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25.</w:t>
      </w:r>
      <w:r w:rsidRPr="00F26C70">
        <w:rPr>
          <w:rFonts w:ascii="Arial" w:hAnsi="Arial"/>
          <w:sz w:val="21"/>
          <w:szCs w:val="21"/>
        </w:rPr>
        <w:tab/>
        <w:t>Cavnar MJ, Seier K, Curtin C, Balachandran VP, Coit DG, Yoon SS, et al. Outcome of 1000 Patients With Gastrointestinal Stromal Tumor (GIST) Treated by Surgery in the Pre- and Post-imatinib Eras. Ann Surg. 2021;273:128-38.</w:t>
      </w:r>
    </w:p>
    <w:p w14:paraId="29721817"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26.</w:t>
      </w:r>
      <w:r w:rsidRPr="00F26C70">
        <w:rPr>
          <w:rFonts w:ascii="Arial" w:hAnsi="Arial"/>
          <w:sz w:val="21"/>
          <w:szCs w:val="21"/>
        </w:rPr>
        <w:tab/>
        <w:t>Wada N, Takahashi T, Kurokawa Y, Nakajima K, Masuzawa T, Nakatsuka R, et al. Appropriate Follow-Up Strategies for Gastrointestinal Stromal Tumor Patients Based on the Analysis of Recurrent Interval and Patterns. Digestion. 2017;95:115-21.</w:t>
      </w:r>
    </w:p>
    <w:p w14:paraId="44FB5CED"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27.</w:t>
      </w:r>
      <w:r w:rsidRPr="00F26C70">
        <w:rPr>
          <w:rFonts w:ascii="Arial" w:hAnsi="Arial"/>
          <w:sz w:val="21"/>
          <w:szCs w:val="21"/>
        </w:rPr>
        <w:tab/>
        <w:t>Joensuu H, Martin-Broto J, Nishida T, Reichardt P, Schöffski P, Maki RG. Follow-up strategies for patients with gastrointestinal stromal tumour treated with or without adjuvant imatinib after surgery. Eur J Cancer. 2015;51:1611-7.</w:t>
      </w:r>
    </w:p>
    <w:p w14:paraId="004AFB65"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28.</w:t>
      </w:r>
      <w:r w:rsidRPr="00F26C70">
        <w:rPr>
          <w:rFonts w:ascii="Arial" w:hAnsi="Arial"/>
          <w:sz w:val="21"/>
          <w:szCs w:val="21"/>
        </w:rPr>
        <w:tab/>
        <w:t>D'Ambrosio L, Palesandro E, Boccone P, Tolomeo F, Miano S, Galizia D, et al. Impact of a risk-based follow-up in patients affected by gastrointestinal stromal tumour. Eur J Cancer. 2017;78:122-32.</w:t>
      </w:r>
    </w:p>
    <w:p w14:paraId="26104051"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29.</w:t>
      </w:r>
      <w:r w:rsidRPr="00F26C70">
        <w:rPr>
          <w:rFonts w:ascii="Arial" w:hAnsi="Arial"/>
          <w:sz w:val="21"/>
          <w:szCs w:val="21"/>
        </w:rPr>
        <w:tab/>
        <w:t>Van Glabbeke M, Verweij J, Casali PG, Le Cesne A, Hohenberger P, Ray-Coquard I, et al. Initial and late resistance to imatinib in advanced gastrointestinal stromal tumors are predicted by different prognostic factors: a European Organisation for Research and Treatment of Cancer-Italian Sarcoma Group-Australasian Gastrointestinal Trials Group study. J Clin Oncol. 2005;23:5795-804.</w:t>
      </w:r>
    </w:p>
    <w:p w14:paraId="2D2D41B3"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30.</w:t>
      </w:r>
      <w:r w:rsidRPr="00F26C70">
        <w:rPr>
          <w:rFonts w:ascii="Arial" w:hAnsi="Arial"/>
          <w:sz w:val="21"/>
          <w:szCs w:val="21"/>
        </w:rPr>
        <w:tab/>
        <w:t>Joensuu H, Reichardt P, Eriksson M, Sundby Hall K, Vehtari A. Gastrointestinal stromal tumor: a method for optimizing the timing of CT scans in the follow-up of cancer patients. Radiology. 2014;271:96-103.</w:t>
      </w:r>
    </w:p>
    <w:p w14:paraId="0C901D50"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31.</w:t>
      </w:r>
      <w:r w:rsidRPr="00F26C70">
        <w:rPr>
          <w:rFonts w:ascii="Arial" w:hAnsi="Arial"/>
          <w:sz w:val="21"/>
          <w:szCs w:val="21"/>
        </w:rPr>
        <w:tab/>
        <w:t>Blay JY, Serrano C, Heinrich MC, Zalcberg J, Bauer S, Gelderblom H, et al. Ripretinib in patients with advanced gastrointestinal stromal tumours (INVICTUS): a double-blind, randomised, placebo-controlled, phase 3 trial. Lancet Oncol. 2020;21:923-34.</w:t>
      </w:r>
    </w:p>
    <w:p w14:paraId="43202EE0"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32.</w:t>
      </w:r>
      <w:r w:rsidRPr="00F26C70">
        <w:rPr>
          <w:rFonts w:ascii="Arial" w:hAnsi="Arial"/>
          <w:sz w:val="21"/>
          <w:szCs w:val="21"/>
        </w:rPr>
        <w:tab/>
        <w:t>Kurokawa Y, Honma Y, Sawaki A, Naito Y, Iwagami S, Komatsu Y, et al. Pimitespib in patients with advanced gastrointestinal stromal tumor (CHAPTER-GIST-301): a randomized, double-blind, placebo-controlled phase III trial. Ann Oncol. 2022;33:959-67.</w:t>
      </w:r>
    </w:p>
    <w:p w14:paraId="1B7C5884"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33.</w:t>
      </w:r>
      <w:r w:rsidRPr="00F26C70">
        <w:rPr>
          <w:rFonts w:ascii="Arial" w:hAnsi="Arial"/>
          <w:sz w:val="21"/>
          <w:szCs w:val="21"/>
        </w:rPr>
        <w:tab/>
        <w:t>George S, Blay JY, Chi P, Jones RL, Serrano C, Somaiah N, et al. The INSIGHT study: a randomized, Phase III study of ripretinib versus sunitinib for advanced gastrointestinal stromal tumor with KIT exon 11 + 17/18 mutations. Future Oncol. 2024;20:1973-82.</w:t>
      </w:r>
    </w:p>
    <w:p w14:paraId="4B96D2C3" w14:textId="54510D03"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34.</w:t>
      </w:r>
      <w:r w:rsidRPr="00F26C70">
        <w:rPr>
          <w:rFonts w:ascii="Arial" w:hAnsi="Arial"/>
          <w:sz w:val="21"/>
          <w:szCs w:val="21"/>
        </w:rPr>
        <w:tab/>
      </w:r>
      <w:r w:rsidR="0032617B" w:rsidRPr="00F26C70">
        <w:rPr>
          <w:rFonts w:ascii="Arial" w:hAnsi="Arial"/>
          <w:sz w:val="21"/>
          <w:szCs w:val="21"/>
        </w:rPr>
        <w:t>Naito Y, Komatsu Y, Kurokawa Y, Hirano H, Nishida T, Doi T. A phase I study of pimitespib combined with imatinib in patients with imatinib-refractory gastrointestinal stromal tumor. Ann Oncol. 2023;34(Suppl):S1031–S1032.</w:t>
      </w:r>
    </w:p>
    <w:p w14:paraId="486D0B04"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35.</w:t>
      </w:r>
      <w:r w:rsidRPr="00F26C70">
        <w:rPr>
          <w:rFonts w:ascii="Arial" w:hAnsi="Arial"/>
          <w:sz w:val="21"/>
          <w:szCs w:val="21"/>
        </w:rPr>
        <w:tab/>
        <w:t xml:space="preserve">Kang YK, Ryu MH, Yoo C, Ryoo BY, Kim HJ, Lee JJ, et al. Resumption of imatinib to control metastatic or unresectable gastrointestinal stromal tumours after failure of </w:t>
      </w:r>
      <w:r w:rsidRPr="00F26C70">
        <w:rPr>
          <w:rFonts w:ascii="Arial" w:hAnsi="Arial"/>
          <w:sz w:val="21"/>
          <w:szCs w:val="21"/>
        </w:rPr>
        <w:lastRenderedPageBreak/>
        <w:t>imatinib and sunitinib (RIGHT): a randomised, placebo-controlled, phase 3 trial. Lancet Oncol. 2013;14:1175-82.</w:t>
      </w:r>
    </w:p>
    <w:p w14:paraId="26EC6D61"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36.</w:t>
      </w:r>
      <w:r w:rsidRPr="00F26C70">
        <w:rPr>
          <w:rFonts w:ascii="Arial" w:hAnsi="Arial"/>
          <w:sz w:val="21"/>
          <w:szCs w:val="21"/>
        </w:rPr>
        <w:tab/>
        <w:t>Corless CL, Schroeder A, Griffith D, Town A, McGreevey L, Harrell P, et al. PDGFRA mutations in gastrointestinal stromal tumors: frequency, spectrum and in vitro sensitivity to imatinib. J Clin Oncol. 2005;23:5357-64.</w:t>
      </w:r>
    </w:p>
    <w:p w14:paraId="0B8E6691"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37.</w:t>
      </w:r>
      <w:r w:rsidRPr="00F26C70">
        <w:rPr>
          <w:rFonts w:ascii="Arial" w:hAnsi="Arial"/>
          <w:sz w:val="21"/>
          <w:szCs w:val="21"/>
        </w:rPr>
        <w:tab/>
        <w:t>Heinrich MC, Jones RL, von Mehren M, Schöffski P, Serrano C, Kang YK, et al. Avapritinib in advanced PDGFRA D842V-mutant gastrointestinal stromal tumour (NAVIGATOR): a multicentre, open-label, phase 1 trial. Lancet Oncol. 2020;21:935-46.</w:t>
      </w:r>
    </w:p>
    <w:p w14:paraId="599A1156"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38.</w:t>
      </w:r>
      <w:r w:rsidRPr="00F26C70">
        <w:rPr>
          <w:rFonts w:ascii="Arial" w:hAnsi="Arial"/>
          <w:sz w:val="21"/>
          <w:szCs w:val="21"/>
        </w:rPr>
        <w:tab/>
        <w:t>Doebele RC, Drilon A, Paz-Ares L, Siena S, Shaw AT, Farago AF, et al. Entrectinib in patients with advanced or metastatic NTRK fusion-positive solid tumours: integrated analysis of three phase 1-2 trials. Lancet Oncol. 2020;21:271-82.</w:t>
      </w:r>
    </w:p>
    <w:p w14:paraId="0207BD8C" w14:textId="33CFBF4C"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39.</w:t>
      </w:r>
      <w:r w:rsidRPr="00F26C70">
        <w:rPr>
          <w:rFonts w:ascii="Arial" w:hAnsi="Arial"/>
          <w:sz w:val="21"/>
          <w:szCs w:val="21"/>
        </w:rPr>
        <w:tab/>
      </w:r>
      <w:r w:rsidR="00E275E7" w:rsidRPr="00F26C70">
        <w:rPr>
          <w:rFonts w:ascii="Arial" w:hAnsi="Arial"/>
          <w:sz w:val="21"/>
          <w:szCs w:val="21"/>
        </w:rPr>
        <w:t>Loong HHF, Tinoco G, Garrido-Laguna I, Goto K, Steuer C, Liu SV, et al. Updated efficacy and safety of entrectinib in patients with NTRK fusion-positive sarcomas. Connective Tissue Oncology Society (CTOS) Annual Meeting; 2022.</w:t>
      </w:r>
    </w:p>
    <w:p w14:paraId="29DA814A"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40.</w:t>
      </w:r>
      <w:r w:rsidRPr="00F26C70">
        <w:rPr>
          <w:rFonts w:ascii="Arial" w:hAnsi="Arial"/>
          <w:sz w:val="21"/>
          <w:szCs w:val="21"/>
        </w:rPr>
        <w:tab/>
        <w:t>Hong DS, DuBois SG, Kummar S, Farago AF, Albert CM, Rohrberg KS, et al. Larotrectinib in patients with TRK fusion-positive solid tumours: a pooled analysis of three phase 1/2 clinical trials. Lancet Oncol. 2020;21:531-40.</w:t>
      </w:r>
    </w:p>
    <w:p w14:paraId="2A588680" w14:textId="26899541"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41.</w:t>
      </w:r>
      <w:r w:rsidRPr="00F26C70">
        <w:rPr>
          <w:rFonts w:ascii="Arial" w:hAnsi="Arial"/>
          <w:sz w:val="21"/>
          <w:szCs w:val="21"/>
        </w:rPr>
        <w:tab/>
      </w:r>
      <w:r w:rsidR="001636DA" w:rsidRPr="00F26C70">
        <w:rPr>
          <w:rFonts w:ascii="Arial" w:hAnsi="Arial"/>
          <w:sz w:val="21"/>
          <w:szCs w:val="21"/>
        </w:rPr>
        <w:t>Demetri GD, Tan DS, Bielack S, Orbach D, DuBois S, Federman NC, et al. Larotrectinib efficacy and safety in patients with TRK fusion sarcomas. Connective Tissue Oncology Society (CTOS) Annual Meeting; 2019.</w:t>
      </w:r>
    </w:p>
    <w:p w14:paraId="5BEDF110"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42.</w:t>
      </w:r>
      <w:r w:rsidRPr="00F26C70">
        <w:rPr>
          <w:rFonts w:ascii="Arial" w:hAnsi="Arial"/>
          <w:sz w:val="21"/>
          <w:szCs w:val="21"/>
        </w:rPr>
        <w:tab/>
        <w:t>Subbiah V, Kreitman RJ, Wainberg ZA, Gazzah A, Lassen U, Stein A, et al. Dabrafenib plus trametinib in BRAFV600E-mutated rare cancers: the phase 2 ROAR trial. Nat Med. 2023;29:1103-12.</w:t>
      </w:r>
    </w:p>
    <w:p w14:paraId="6B7EBC6A"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43.</w:t>
      </w:r>
      <w:r w:rsidRPr="00F26C70">
        <w:rPr>
          <w:rFonts w:ascii="Arial" w:hAnsi="Arial"/>
          <w:sz w:val="21"/>
          <w:szCs w:val="21"/>
        </w:rPr>
        <w:tab/>
        <w:t>Nannini M, Rizzo A, Indio V, Schipani A, Astolfi A, Pantaleo MA. Targeted therapy in SDH-deficient GIST. Ther Adv Med Oncol. 2021;13:17588359211023278.</w:t>
      </w:r>
    </w:p>
    <w:p w14:paraId="44F8259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44.</w:t>
      </w:r>
      <w:r w:rsidRPr="00F26C70">
        <w:rPr>
          <w:rFonts w:ascii="Arial" w:hAnsi="Arial"/>
          <w:sz w:val="21"/>
          <w:szCs w:val="21"/>
        </w:rPr>
        <w:tab/>
        <w:t>Heinrich MC, Rankin C, Blanke CD, Demetri GD, Borden EC, Ryan CW, et al. Correlation of Long-term Results of Imatinib in Advanced Gastrointestinal Stromal Tumors With Next-Generation Sequencing Results: Analysis of Phase 3 SWOG Intergroup Trial S0033. JAMA Oncol. 2017;3:944-52.</w:t>
      </w:r>
    </w:p>
    <w:p w14:paraId="7917304E"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45.</w:t>
      </w:r>
      <w:r w:rsidRPr="00F26C70">
        <w:rPr>
          <w:rFonts w:ascii="Arial" w:hAnsi="Arial"/>
          <w:sz w:val="21"/>
          <w:szCs w:val="21"/>
        </w:rPr>
        <w:tab/>
        <w:t>Boikos SA, Pappo AS, Killian JK, LaQuaglia MP, Weldon CB, George S, et al. Molecular Subtypes of KIT/PDGFRA Wild-Type Gastrointestinal Stromal Tumors: A Report From the National Institutes of Health Gastrointestinal Stromal Tumor Clinic. JAMA Oncol. 2016;2:922-8.</w:t>
      </w:r>
    </w:p>
    <w:p w14:paraId="7401EAB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46.</w:t>
      </w:r>
      <w:r w:rsidRPr="00F26C70">
        <w:rPr>
          <w:rFonts w:ascii="Arial" w:hAnsi="Arial"/>
          <w:sz w:val="21"/>
          <w:szCs w:val="21"/>
        </w:rPr>
        <w:tab/>
        <w:t xml:space="preserve">Ben-Ami E, Barysauskas CM, von Mehren M, Heinrich MC, Corless CL, Butrynski JE, et al. Long-term follow-up results of the multicenter phase II trial of regorafenib in </w:t>
      </w:r>
      <w:r w:rsidRPr="00F26C70">
        <w:rPr>
          <w:rFonts w:ascii="Arial" w:hAnsi="Arial"/>
          <w:sz w:val="21"/>
          <w:szCs w:val="21"/>
        </w:rPr>
        <w:lastRenderedPageBreak/>
        <w:t>patients with metastatic and/or unresectable GI stromal tumor after failure of standard tyrosine kinase inhibitor therapy. Ann Oncol. 2016;27:1794-9.</w:t>
      </w:r>
    </w:p>
    <w:p w14:paraId="18A3B8B3"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47.</w:t>
      </w:r>
      <w:r w:rsidRPr="00F26C70">
        <w:rPr>
          <w:rFonts w:ascii="Arial" w:hAnsi="Arial"/>
          <w:sz w:val="21"/>
          <w:szCs w:val="21"/>
        </w:rPr>
        <w:tab/>
        <w:t>Liu W, Zeng X, Wu X, He J, Gao J, Shuai X, et al. Clinicopathologic study of succinate-dehydrogenase-deficient gastrointestinal stromal tumors: A single-institutional experience in China. Medicine (Baltimore). 2017;96:e7668.</w:t>
      </w:r>
    </w:p>
    <w:p w14:paraId="7CC6F86B" w14:textId="0B8CA1EC"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48.</w:t>
      </w:r>
      <w:r w:rsidRPr="00F26C70">
        <w:rPr>
          <w:rFonts w:ascii="Arial" w:hAnsi="Arial"/>
          <w:sz w:val="21"/>
          <w:szCs w:val="21"/>
        </w:rPr>
        <w:tab/>
      </w:r>
      <w:r w:rsidR="00594FEF" w:rsidRPr="00F26C70">
        <w:rPr>
          <w:rFonts w:ascii="Arial" w:hAnsi="Arial"/>
          <w:sz w:val="21"/>
          <w:szCs w:val="21"/>
        </w:rPr>
        <w:t>Gastrointestinal Stromal Tumor Meta-Analysis Group (MetaGIST)</w:t>
      </w:r>
      <w:r w:rsidRPr="00F26C70">
        <w:rPr>
          <w:rFonts w:ascii="Arial" w:hAnsi="Arial"/>
          <w:sz w:val="21"/>
          <w:szCs w:val="21"/>
        </w:rPr>
        <w:t>. Comparison of two doses of imatinib for the treatment of unresectable or metastatic gastrointestinal stromal tumors: a meta-analysis of 1,640 patients. J Clin Oncol. 2010;28:1247-53.</w:t>
      </w:r>
    </w:p>
    <w:p w14:paraId="401CFF1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49.</w:t>
      </w:r>
      <w:r w:rsidRPr="00F26C70">
        <w:rPr>
          <w:rFonts w:ascii="Arial" w:hAnsi="Arial"/>
          <w:sz w:val="21"/>
          <w:szCs w:val="21"/>
        </w:rPr>
        <w:tab/>
        <w:t>Hislop J, Mowatt G, Sharma P, Fraser C, Elders A, Jenkinson D, et al. Systematic review of escalated imatinib doses compared with sunitinib or best supportive care, for the treatment of people with unresectable/metastatic gastrointestinal stromal tumours whose disease has progressed on the standard imatinib dose. J Gastrointest Cancer. 2012;43:168-76.</w:t>
      </w:r>
    </w:p>
    <w:p w14:paraId="5FA6F7D3"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50.</w:t>
      </w:r>
      <w:r w:rsidRPr="00F26C70">
        <w:rPr>
          <w:rFonts w:ascii="Arial" w:hAnsi="Arial"/>
          <w:sz w:val="21"/>
          <w:szCs w:val="21"/>
        </w:rPr>
        <w:tab/>
        <w:t>Hislop J, Quayyum Z, Elders A, Fraser C, Jenkinson D, Mowatt G, et al. Clinical effectiveness and cost-effectiveness of imatinib dose escalation for the treatment of unresectable and/or metastatic gastrointestinal stromal tumours that have progressed on treatment at a dose of 400 mg/day: a systematic review and economic evaluation. Health Technol Assess. 2011;15:1-178.</w:t>
      </w:r>
    </w:p>
    <w:p w14:paraId="170E79C1"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51.</w:t>
      </w:r>
      <w:r w:rsidRPr="00F26C70">
        <w:rPr>
          <w:rFonts w:ascii="Arial" w:hAnsi="Arial"/>
          <w:sz w:val="21"/>
          <w:szCs w:val="21"/>
        </w:rPr>
        <w:tab/>
        <w:t>Vincenzi B, Nannini M, Fumagalli E, Bronte G, Frezza AM, De Lisi D, et al. Imatinib dose escalation versus sunitinib as a second line treatment in KIT exon 11 mutated GIST: a retrospective analysis. Oncotarget. 2016;7:69412-9.</w:t>
      </w:r>
    </w:p>
    <w:p w14:paraId="36186215"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52.</w:t>
      </w:r>
      <w:r w:rsidRPr="00F26C70">
        <w:rPr>
          <w:rFonts w:ascii="Arial" w:hAnsi="Arial"/>
          <w:sz w:val="21"/>
          <w:szCs w:val="21"/>
        </w:rPr>
        <w:tab/>
        <w:t>Dong Z, Gao J, Gong J, Li J, Li Y, Shen L, et al. Clinical benefit of sunitinib in gastrointestinal stromal tumors with different exon 11 mutation genotypes. Future Oncol. 2017;13:2035-43.</w:t>
      </w:r>
    </w:p>
    <w:p w14:paraId="6BB8653F"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53.</w:t>
      </w:r>
      <w:r w:rsidRPr="00F26C70">
        <w:rPr>
          <w:rFonts w:ascii="Arial" w:hAnsi="Arial"/>
          <w:sz w:val="21"/>
          <w:szCs w:val="21"/>
        </w:rPr>
        <w:tab/>
        <w:t>Vincenzi B, Napolitano A, Fiocco M, Mir O, Rutkowski P, Blay JY, et al. Adjuvant Imatinib in Patients with GIST Harboring Exon 9 KIT Mutations: Results from a Multi-institutional European Retrospective Study. Clin Cancer Res. 2022;28:1672-9.</w:t>
      </w:r>
    </w:p>
    <w:p w14:paraId="22C1B469"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54.</w:t>
      </w:r>
      <w:r w:rsidRPr="00F26C70">
        <w:rPr>
          <w:rFonts w:ascii="Arial" w:hAnsi="Arial"/>
          <w:sz w:val="21"/>
          <w:szCs w:val="21"/>
        </w:rPr>
        <w:tab/>
        <w:t>Reichardt P, Kang YK, Rutkowski P, Schuette J, Rosen LS, Seddon B, et al. Clinical outcomes of patients with advanced gastrointestinal stromal tumors: safety and efficacy in a worldwide treatment-use trial of sunitinib. Cancer. 2015;121:1405-13.</w:t>
      </w:r>
    </w:p>
    <w:p w14:paraId="6C288E5F"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55.</w:t>
      </w:r>
      <w:r w:rsidRPr="00F26C70">
        <w:rPr>
          <w:rFonts w:ascii="Arial" w:hAnsi="Arial"/>
          <w:sz w:val="21"/>
          <w:szCs w:val="21"/>
        </w:rPr>
        <w:tab/>
        <w:t>Demetri GD, Wang Y, Wehrle E, Racine A, Nikolova Z, Blanke CD, et al. Imatinib plasma levels are correlated with clinical benefit in patients with unresectable/metastatic gastrointestinal stromal tumors. J Clin Oncol. 2009;27:3141-7.</w:t>
      </w:r>
    </w:p>
    <w:p w14:paraId="61A6459B"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56.</w:t>
      </w:r>
      <w:r w:rsidRPr="00F26C70">
        <w:rPr>
          <w:rFonts w:ascii="Arial" w:hAnsi="Arial"/>
          <w:sz w:val="21"/>
          <w:szCs w:val="21"/>
        </w:rPr>
        <w:tab/>
        <w:t>Yoo C, Ryu MH, Ryoo BY, Beck MY, Kang YK. Efficacy, safety, and pharmacokinetics of imatinib dose escalation to 800 mg/day in patients with advanced gastrointestinal stromal tumors. Invest New Drugs. 2013;31:1367-74.</w:t>
      </w:r>
    </w:p>
    <w:p w14:paraId="6CAA85B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57.</w:t>
      </w:r>
      <w:r w:rsidRPr="00F26C70">
        <w:rPr>
          <w:rFonts w:ascii="Arial" w:hAnsi="Arial"/>
          <w:sz w:val="21"/>
          <w:szCs w:val="21"/>
        </w:rPr>
        <w:tab/>
        <w:t>Eechoute K, Fransson MN, Reyners AK, de Jong FA, Sparreboom A, van der Graaf WT, et al. A long-term prospective population pharmacokinetic study on imatinib plasma concentrations in GIST patients. Clin Cancer Res. 2012;18:5780-7.</w:t>
      </w:r>
    </w:p>
    <w:p w14:paraId="5CAA80E8"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58.</w:t>
      </w:r>
      <w:r w:rsidRPr="00F26C70">
        <w:rPr>
          <w:rFonts w:ascii="Arial" w:hAnsi="Arial"/>
          <w:sz w:val="21"/>
          <w:szCs w:val="21"/>
        </w:rPr>
        <w:tab/>
        <w:t>Koo DH, Ryu MH, Ryoo BY, Beck MY, Na YS, Shin JG, et al. Association of ABCG2 polymorphism with clinical efficacy of imatinib in patients with gastrointestinal stromal tumor. Cancer Chemother Pharmacol. 2015;75:173-82.</w:t>
      </w:r>
    </w:p>
    <w:p w14:paraId="6CAF679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59.</w:t>
      </w:r>
      <w:r w:rsidRPr="00F26C70">
        <w:rPr>
          <w:rFonts w:ascii="Arial" w:hAnsi="Arial"/>
          <w:sz w:val="21"/>
          <w:szCs w:val="21"/>
        </w:rPr>
        <w:tab/>
        <w:t>Hirota S, Tateishi U, Nakamoto Y, Yamamoto H, Sakurai S, Kikuchi H, et al. English version of Japanese Clinical Practice Guidelines 2022 for gastrointestinal stromal tumor (GIST) issued by the Japan Society of Clinical Oncology. Int J Clin Oncol. 2024;29:647-80.</w:t>
      </w:r>
    </w:p>
    <w:p w14:paraId="391848F5"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60.</w:t>
      </w:r>
      <w:r w:rsidRPr="00F26C70">
        <w:rPr>
          <w:rFonts w:ascii="Arial" w:hAnsi="Arial"/>
          <w:sz w:val="21"/>
          <w:szCs w:val="21"/>
        </w:rPr>
        <w:tab/>
        <w:t>Blay JY, Schiffler C, Bouché O, Brahmi M, Duffaud F, Toulmonde M, et al. A randomized study of 6 versus 3 years of adjuvant imatinib in patients with localized GIST at high risk of relapse. Ann Oncol. 2024;Sep 4:S0923-7534(24)03924-3.</w:t>
      </w:r>
    </w:p>
    <w:p w14:paraId="1436A1D1"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61.</w:t>
      </w:r>
      <w:r w:rsidRPr="00F26C70">
        <w:rPr>
          <w:rFonts w:ascii="Arial" w:hAnsi="Arial"/>
          <w:sz w:val="21"/>
          <w:szCs w:val="21"/>
        </w:rPr>
        <w:tab/>
        <w:t>Ushimaru Y, Takahashi T, Nakajima K, Teranishi R, Nishida T, Hirota S, et al. Real-world data on the efficacy and safety of adjuvant chemotherapy in Japanese patients with a high-risk of gastrointestinal stromal tumor recurrence. Int J Clin Oncol. 2022;27:921-9.</w:t>
      </w:r>
    </w:p>
    <w:p w14:paraId="23B2466A"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62.</w:t>
      </w:r>
      <w:r w:rsidRPr="00F26C70">
        <w:rPr>
          <w:rFonts w:ascii="Arial" w:hAnsi="Arial"/>
          <w:sz w:val="21"/>
          <w:szCs w:val="21"/>
        </w:rPr>
        <w:tab/>
        <w:t xml:space="preserve">Dematteo RP, Ballman KV, Antonescu CR, Maki RG, Pisters PW, Demetri GD, et al. Adjuvant imatinib mesylate after resection of localised, primary gastrointestinal stromal </w:t>
      </w:r>
      <w:r w:rsidRPr="00F26C70">
        <w:rPr>
          <w:rFonts w:ascii="Arial" w:hAnsi="Arial"/>
          <w:sz w:val="21"/>
          <w:szCs w:val="21"/>
        </w:rPr>
        <w:lastRenderedPageBreak/>
        <w:t>tumour: a randomised, double-blind, placebo-controlled trial. Lancet. 2009;373:1097-104.</w:t>
      </w:r>
    </w:p>
    <w:p w14:paraId="14170CAB"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63.</w:t>
      </w:r>
      <w:r w:rsidRPr="00F26C70">
        <w:rPr>
          <w:rFonts w:ascii="Arial" w:hAnsi="Arial"/>
          <w:sz w:val="21"/>
          <w:szCs w:val="21"/>
        </w:rPr>
        <w:tab/>
        <w:t>Joensuu H, Eriksson M, Sundby Hall K, Hartmann JT, Pink D, Schütte J, et al. One vs Three Years of Adjuvant Imatinib for Operable Gastrointestinal Stromal Tumor. JAMA. 2012;307:1265.</w:t>
      </w:r>
    </w:p>
    <w:p w14:paraId="086751B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64.</w:t>
      </w:r>
      <w:r w:rsidRPr="00F26C70">
        <w:rPr>
          <w:rFonts w:ascii="Arial" w:hAnsi="Arial"/>
          <w:sz w:val="21"/>
          <w:szCs w:val="21"/>
        </w:rPr>
        <w:tab/>
        <w:t>Casali PG, Le Cesne A, Poveda Velasco A, Kotasek D, Rutkowski P, Hohenberger P, et al. Time to Definitive Failure to the First Tyrosine Kinase Inhibitor in Localized GI Stromal Tumors Treated With Imatinib As an Adjuvant: A European Organisation for Research and Treatment of Cancer Soft Tissue and Bone Sarcoma Group Intergroup Randomized Trial in Collaboration With the Australasian Gastro-Intestinal Trials Group, UNICANCER, French Sarcoma Group, Italian Sarcoma Group, and Spanish Group for Research on Sarcomas. J Clin Oncol. 2015;33:4276-83.</w:t>
      </w:r>
    </w:p>
    <w:p w14:paraId="0F9D6B35"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65.</w:t>
      </w:r>
      <w:r w:rsidRPr="00F26C70">
        <w:rPr>
          <w:rFonts w:ascii="Arial" w:hAnsi="Arial"/>
          <w:sz w:val="21"/>
          <w:szCs w:val="21"/>
        </w:rPr>
        <w:tab/>
        <w:t>Kang S, Ryu MH, Bang YH, Kim HD, Lee HE, Kang YK. Adjuvant Imatinib Treatment for 5 Years versus 3 Years in Patients with Ruptured Localized Gastrointestinal Stromal Tumor: A Retrospective Analysis. Cancer Res Treat. 2022;54:1167-74.</w:t>
      </w:r>
    </w:p>
    <w:p w14:paraId="6B9EB966" w14:textId="16AFA0EE"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66.</w:t>
      </w:r>
      <w:r w:rsidRPr="00F26C70">
        <w:rPr>
          <w:rFonts w:ascii="Arial" w:hAnsi="Arial"/>
          <w:sz w:val="21"/>
          <w:szCs w:val="21"/>
        </w:rPr>
        <w:tab/>
        <w:t>Raut CP, Espat NJ, Maki RG, Araujo DM, Trent J, Williams TF, et al. Efficacy and Tolerability of 5-Year Adjuvant Imatinib Treatment for Patients With Resected Intermediate- or High-Risk Primary Gastrointestinal Stromal Tumor. JAMA Oncol. 2018;4:e184060.</w:t>
      </w:r>
    </w:p>
    <w:p w14:paraId="7F419A07" w14:textId="2080AEFB"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67.</w:t>
      </w:r>
      <w:r w:rsidRPr="00F26C70">
        <w:rPr>
          <w:rFonts w:ascii="Arial" w:hAnsi="Arial"/>
          <w:sz w:val="21"/>
          <w:szCs w:val="21"/>
        </w:rPr>
        <w:tab/>
        <w:t xml:space="preserve">Qianyi W, Mei X, Rui Z, Yong W, Yutao W, Xiaoding S, et al. Delayed adjuvant imatinib in patients with high risk of recurrence of gastrointestinal stromal tumor after radical surgery: a retrospective cohort study. </w:t>
      </w:r>
      <w:r w:rsidR="00A771A0" w:rsidRPr="00F26C70">
        <w:rPr>
          <w:rFonts w:ascii="Arial" w:hAnsi="Arial"/>
          <w:sz w:val="21"/>
          <w:szCs w:val="21"/>
        </w:rPr>
        <w:t>J Cancer Res Clin Oncol</w:t>
      </w:r>
      <w:r w:rsidRPr="00F26C70">
        <w:rPr>
          <w:rFonts w:ascii="Arial" w:hAnsi="Arial"/>
          <w:sz w:val="21"/>
          <w:szCs w:val="21"/>
        </w:rPr>
        <w:t>. 2022;148:1493-500.</w:t>
      </w:r>
    </w:p>
    <w:p w14:paraId="41AEF606"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68.</w:t>
      </w:r>
      <w:r w:rsidRPr="00F26C70">
        <w:rPr>
          <w:rFonts w:ascii="Arial" w:hAnsi="Arial"/>
          <w:sz w:val="21"/>
          <w:szCs w:val="21"/>
        </w:rPr>
        <w:tab/>
        <w:t>Janeway KA, Kim SY, Lodish M, Nose V, Rustin P, Gaal J, et al. Defects in succinate dehydrogenase in gastrointestinal stromal tumors lacking KIT and PDGFRA mutations. Proc Natl Acad Sci U S A. 2011;108:314-8.</w:t>
      </w:r>
    </w:p>
    <w:p w14:paraId="5B7A7E55" w14:textId="3303CF65"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69.</w:t>
      </w:r>
      <w:r w:rsidRPr="00F26C70">
        <w:rPr>
          <w:rFonts w:ascii="Arial" w:hAnsi="Arial"/>
          <w:sz w:val="21"/>
          <w:szCs w:val="21"/>
        </w:rPr>
        <w:tab/>
        <w:t xml:space="preserve">Wang D, Zhang Q, Blanke CD, Demetri GD, Heinrich MC, Watson JC, et al. Phase II Trial of Neoadjuvant/adjuvant Imatinib Mesylate for Advanced Primary and Metastatic/recurrent Operable Gastrointestinal Stromal Tumors: Long-term Follow-up Results of Radiation Therapy Oncology Group 0132. </w:t>
      </w:r>
      <w:r w:rsidR="00A771A0" w:rsidRPr="00F26C70">
        <w:rPr>
          <w:rFonts w:ascii="Arial" w:hAnsi="Arial"/>
          <w:sz w:val="21"/>
          <w:szCs w:val="21"/>
        </w:rPr>
        <w:t>Ann Surg Oncol</w:t>
      </w:r>
      <w:r w:rsidRPr="00F26C70">
        <w:rPr>
          <w:rFonts w:ascii="Arial" w:hAnsi="Arial"/>
          <w:sz w:val="21"/>
          <w:szCs w:val="21"/>
        </w:rPr>
        <w:t>. 2012;19:1074-80.</w:t>
      </w:r>
    </w:p>
    <w:p w14:paraId="4E6F7CF4" w14:textId="3AADAC9D"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70.</w:t>
      </w:r>
      <w:r w:rsidRPr="00F26C70">
        <w:rPr>
          <w:rFonts w:ascii="Arial" w:hAnsi="Arial"/>
          <w:sz w:val="21"/>
          <w:szCs w:val="21"/>
        </w:rPr>
        <w:tab/>
        <w:t xml:space="preserve">Eisenberg BL, Harris J, Blanke CD, Demetri GD, Heinrich MC, Watson JC, et al. Phase II trial of neoadjuvant/adjuvant imatinib mesylate (IM) for advanced primary and metastatic/recurrent operable gastrointestinal stromal tumor (GIST): Early results of RTOG 0132/ACRIN 6665. </w:t>
      </w:r>
      <w:r w:rsidR="00D23385" w:rsidRPr="00F26C70">
        <w:rPr>
          <w:rFonts w:ascii="Arial" w:hAnsi="Arial"/>
          <w:sz w:val="21"/>
          <w:szCs w:val="21"/>
        </w:rPr>
        <w:t>J Surg Oncol</w:t>
      </w:r>
      <w:r w:rsidRPr="00F26C70">
        <w:rPr>
          <w:rFonts w:ascii="Arial" w:hAnsi="Arial"/>
          <w:sz w:val="21"/>
          <w:szCs w:val="21"/>
        </w:rPr>
        <w:t>. 2009;99:42-7.</w:t>
      </w:r>
    </w:p>
    <w:p w14:paraId="3114BF76" w14:textId="28905A30"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71.</w:t>
      </w:r>
      <w:r w:rsidRPr="00F26C70">
        <w:rPr>
          <w:rFonts w:ascii="Arial" w:hAnsi="Arial"/>
          <w:sz w:val="21"/>
          <w:szCs w:val="21"/>
        </w:rPr>
        <w:tab/>
        <w:t xml:space="preserve">Kurokawa Y, Yang H-K, Cho H, Ryu M-H, Masuzawa T, Park SR, et al. Phase II study of neoadjuvant imatinib in large gastrointestinal stromal tumours of the stomach. </w:t>
      </w:r>
      <w:r w:rsidR="00D23385" w:rsidRPr="00F26C70">
        <w:rPr>
          <w:rFonts w:ascii="Arial" w:hAnsi="Arial"/>
          <w:sz w:val="21"/>
          <w:szCs w:val="21"/>
        </w:rPr>
        <w:t>Br J Cancer</w:t>
      </w:r>
      <w:r w:rsidRPr="00F26C70">
        <w:rPr>
          <w:rFonts w:ascii="Arial" w:hAnsi="Arial"/>
          <w:sz w:val="21"/>
          <w:szCs w:val="21"/>
        </w:rPr>
        <w:t>. 2017;117:25-32.</w:t>
      </w:r>
    </w:p>
    <w:p w14:paraId="185E9AF1" w14:textId="13C54CBE"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72.</w:t>
      </w:r>
      <w:r w:rsidRPr="00F26C70">
        <w:rPr>
          <w:rFonts w:ascii="Arial" w:hAnsi="Arial"/>
          <w:sz w:val="21"/>
          <w:szCs w:val="21"/>
        </w:rPr>
        <w:tab/>
        <w:t xml:space="preserve">Tielen R, Verhoef C, Van Coevorden F, Gelderblom H, Sleijfer S, Hartgrink HH, et al. Surgical treatment of locally advanced, non-metastatic, gastrointestinal stromal tumours after treatment with imatinib. </w:t>
      </w:r>
      <w:r w:rsidR="00B11855" w:rsidRPr="00F26C70">
        <w:rPr>
          <w:rFonts w:ascii="Arial" w:hAnsi="Arial"/>
          <w:sz w:val="21"/>
          <w:szCs w:val="21"/>
        </w:rPr>
        <w:t>Eur J Surg Oncol</w:t>
      </w:r>
      <w:r w:rsidRPr="00F26C70">
        <w:rPr>
          <w:rFonts w:ascii="Arial" w:hAnsi="Arial"/>
          <w:sz w:val="21"/>
          <w:szCs w:val="21"/>
        </w:rPr>
        <w:t>. 2013;39:150-5.</w:t>
      </w:r>
    </w:p>
    <w:p w14:paraId="69E84F15" w14:textId="5524A0DE"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73.</w:t>
      </w:r>
      <w:r w:rsidRPr="00F26C70">
        <w:rPr>
          <w:rFonts w:ascii="Arial" w:hAnsi="Arial"/>
          <w:sz w:val="21"/>
          <w:szCs w:val="21"/>
        </w:rPr>
        <w:tab/>
        <w:t xml:space="preserve">Mcauliffe JC, Hunt KK, Lazar AJF, Choi H, Qiao W, Thall P, et al. A Randomized, Phase II Study of Preoperative plus Postoperative Imatinib in GIST: Evidence of Rapid Radiographic Response and Temporal Induction of Tumor Cell Apoptosis. </w:t>
      </w:r>
      <w:r w:rsidR="00B11855" w:rsidRPr="00F26C70">
        <w:rPr>
          <w:rFonts w:ascii="Arial" w:hAnsi="Arial"/>
          <w:sz w:val="21"/>
          <w:szCs w:val="21"/>
        </w:rPr>
        <w:t>Ann Surg Oncol</w:t>
      </w:r>
      <w:r w:rsidRPr="00F26C70">
        <w:rPr>
          <w:rFonts w:ascii="Arial" w:hAnsi="Arial"/>
          <w:sz w:val="21"/>
          <w:szCs w:val="21"/>
        </w:rPr>
        <w:t>. 2009;16:910-9.</w:t>
      </w:r>
    </w:p>
    <w:p w14:paraId="653F17EF" w14:textId="151CA47C"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74.</w:t>
      </w:r>
      <w:r w:rsidRPr="00F26C70">
        <w:rPr>
          <w:rFonts w:ascii="Arial" w:hAnsi="Arial"/>
          <w:sz w:val="21"/>
          <w:szCs w:val="21"/>
        </w:rPr>
        <w:tab/>
        <w:t xml:space="preserve">Rutkowski P, Gronchi A, Hohenberger P, Bonvalot S, Schöffski P, Bauer S, et al. Neoadjuvant Imatinib in Locally Advanced Gastrointestinal Stromal Tumors (GIST): The EORTC STBSG Experience. </w:t>
      </w:r>
      <w:r w:rsidR="00B11855" w:rsidRPr="00F26C70">
        <w:rPr>
          <w:rFonts w:ascii="Arial" w:hAnsi="Arial"/>
          <w:sz w:val="21"/>
          <w:szCs w:val="21"/>
        </w:rPr>
        <w:t>Ann Surg Oncol</w:t>
      </w:r>
      <w:r w:rsidRPr="00F26C70">
        <w:rPr>
          <w:rFonts w:ascii="Arial" w:hAnsi="Arial"/>
          <w:sz w:val="21"/>
          <w:szCs w:val="21"/>
        </w:rPr>
        <w:t>. 2013;20:2937-43.</w:t>
      </w:r>
    </w:p>
    <w:p w14:paraId="6CE377FB"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75.</w:t>
      </w:r>
      <w:r w:rsidRPr="00F26C70">
        <w:rPr>
          <w:rFonts w:ascii="Arial" w:hAnsi="Arial"/>
          <w:sz w:val="21"/>
          <w:szCs w:val="21"/>
        </w:rPr>
        <w:tab/>
        <w:t>Blanke CD, Demetri GD, von Mehren M, Heinrich MC, Eisenberg B, Fletcher JA, et al. Long-term results from a randomized phase II trial of standard- versus higher-dose imatinib mesylate for patients with unresectable or metastatic gastrointestinal stromal tumors expressing KIT. J Clin Oncol. 2008;26:620-5.</w:t>
      </w:r>
    </w:p>
    <w:p w14:paraId="1419F785" w14:textId="7D4AFF19"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76.</w:t>
      </w:r>
      <w:r w:rsidRPr="00F26C70">
        <w:rPr>
          <w:rFonts w:ascii="Arial" w:hAnsi="Arial"/>
          <w:sz w:val="21"/>
          <w:szCs w:val="21"/>
        </w:rPr>
        <w:tab/>
        <w:t xml:space="preserve">Nishida T, Shirao K, Sawaki A, Koseki M, Okamura T, Ohtsu A, et al. Efficacy and safety profile of imatinib mesylate (ST1571) in Japanese patients with advanced gastrointestinal stromal tumors: a phase II study (STI571B1202). </w:t>
      </w:r>
      <w:r w:rsidR="008A3390" w:rsidRPr="00F26C70">
        <w:rPr>
          <w:rFonts w:ascii="Arial" w:hAnsi="Arial"/>
          <w:sz w:val="21"/>
          <w:szCs w:val="21"/>
        </w:rPr>
        <w:t>Int J Clin Oncol</w:t>
      </w:r>
      <w:r w:rsidRPr="00F26C70">
        <w:rPr>
          <w:rFonts w:ascii="Arial" w:hAnsi="Arial"/>
          <w:sz w:val="21"/>
          <w:szCs w:val="21"/>
        </w:rPr>
        <w:t>. 2008;13:244-51.</w:t>
      </w:r>
    </w:p>
    <w:p w14:paraId="0BB96FEB"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77.</w:t>
      </w:r>
      <w:r w:rsidRPr="00F26C70">
        <w:rPr>
          <w:rFonts w:ascii="Arial" w:hAnsi="Arial"/>
          <w:sz w:val="21"/>
          <w:szCs w:val="21"/>
        </w:rPr>
        <w:tab/>
        <w:t>Kong SH, Kurokawa Y, Yook JH, Cho H, Kwon OK, Masuzawa T, et al. Long-term outcomes of a phase II study of neoadjuvant imatinib in large gastrointestinal stromal tumors of the stomach. Gastric Cancer. 2023;26:775-87.</w:t>
      </w:r>
    </w:p>
    <w:p w14:paraId="186BA768" w14:textId="33D93AAE"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78.</w:t>
      </w:r>
      <w:r w:rsidRPr="00F26C70">
        <w:rPr>
          <w:rFonts w:ascii="Arial" w:hAnsi="Arial"/>
          <w:sz w:val="21"/>
          <w:szCs w:val="21"/>
        </w:rPr>
        <w:tab/>
        <w:t xml:space="preserve">An HJ, Ryu M-H, Ryoo B-Y, Sohn BS, Kim K-H, Oh ST, et al. The Effects of Surgical Cytoreduction Prior to Imatinib Therapy on the Prognosis of Patients with Advanced GIST. </w:t>
      </w:r>
      <w:r w:rsidR="008A3390" w:rsidRPr="00F26C70">
        <w:rPr>
          <w:rFonts w:ascii="Arial" w:hAnsi="Arial"/>
          <w:sz w:val="21"/>
          <w:szCs w:val="21"/>
        </w:rPr>
        <w:t>Ann Surg Oncol</w:t>
      </w:r>
      <w:r w:rsidRPr="00F26C70">
        <w:rPr>
          <w:rFonts w:ascii="Arial" w:hAnsi="Arial"/>
          <w:sz w:val="21"/>
          <w:szCs w:val="21"/>
        </w:rPr>
        <w:t>. 2013;20:4212-8.</w:t>
      </w:r>
    </w:p>
    <w:p w14:paraId="7D1CA8B9"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79.</w:t>
      </w:r>
      <w:r w:rsidRPr="00F26C70">
        <w:rPr>
          <w:rFonts w:ascii="Arial" w:hAnsi="Arial"/>
          <w:sz w:val="21"/>
          <w:szCs w:val="21"/>
        </w:rPr>
        <w:tab/>
        <w:t>Kanda T, Masuzawa T, Hirai T, Ikawa O, Takagane A, Hata Y, et al. Surgery and imatinib therapy for liver oligometastasis of GIST: a study of Japanese Study Group on GIST. Jpn J Clin Oncol. 2017;47:369-72.</w:t>
      </w:r>
    </w:p>
    <w:p w14:paraId="60E3C57B" w14:textId="361F6739"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80.</w:t>
      </w:r>
      <w:r w:rsidRPr="00F26C70">
        <w:rPr>
          <w:rFonts w:ascii="Arial" w:hAnsi="Arial"/>
          <w:sz w:val="21"/>
          <w:szCs w:val="21"/>
        </w:rPr>
        <w:tab/>
        <w:t xml:space="preserve">Raut CP, Posner M, Desai J, Morgan JA, George S, Zahrieh D, et al. Surgical Management of Advanced Gastrointestinal Stromal Tumors After Treatment With Targeted Systemic Therapy Using Kinase Inhibitors. </w:t>
      </w:r>
      <w:r w:rsidR="008A3390" w:rsidRPr="00F26C70">
        <w:rPr>
          <w:rFonts w:ascii="Arial" w:hAnsi="Arial"/>
          <w:sz w:val="21"/>
          <w:szCs w:val="21"/>
        </w:rPr>
        <w:t>J Clin Oncol.</w:t>
      </w:r>
      <w:r w:rsidRPr="00F26C70">
        <w:rPr>
          <w:rFonts w:ascii="Arial" w:hAnsi="Arial"/>
          <w:sz w:val="21"/>
          <w:szCs w:val="21"/>
        </w:rPr>
        <w:t xml:space="preserve"> 2006;24:2325-31.</w:t>
      </w:r>
    </w:p>
    <w:p w14:paraId="5A84222D" w14:textId="0663A5E3"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81.</w:t>
      </w:r>
      <w:r w:rsidRPr="00F26C70">
        <w:rPr>
          <w:rFonts w:ascii="Arial" w:hAnsi="Arial"/>
          <w:sz w:val="21"/>
          <w:szCs w:val="21"/>
        </w:rPr>
        <w:tab/>
        <w:t xml:space="preserve">Sym SJ, Ryu MH, Lee JL, Chang HM, Kim TW, Kim HC, et al. Surgical intervention following imatinib treatment in patients with advanced gastrointestinal stromal tumors (GISTs). </w:t>
      </w:r>
      <w:r w:rsidR="00141AFF" w:rsidRPr="00F26C70">
        <w:rPr>
          <w:rFonts w:ascii="Arial" w:hAnsi="Arial"/>
          <w:sz w:val="21"/>
          <w:szCs w:val="21"/>
        </w:rPr>
        <w:t>J Surg Oncol</w:t>
      </w:r>
      <w:r w:rsidRPr="00F26C70">
        <w:rPr>
          <w:rFonts w:ascii="Arial" w:hAnsi="Arial"/>
          <w:sz w:val="21"/>
          <w:szCs w:val="21"/>
        </w:rPr>
        <w:t>. 2008;98:27-33.</w:t>
      </w:r>
    </w:p>
    <w:p w14:paraId="4EF820FF" w14:textId="1A071278"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82.</w:t>
      </w:r>
      <w:r w:rsidRPr="00F26C70">
        <w:rPr>
          <w:rFonts w:ascii="Arial" w:hAnsi="Arial"/>
          <w:sz w:val="21"/>
          <w:szCs w:val="21"/>
        </w:rPr>
        <w:tab/>
        <w:t xml:space="preserve">Fairweather M, Balachandran VP, Li GZ, Bertagnolli MM, Antonescu C, Tap W, et al. Cytoreductive Surgery for Metastatic Gastrointestinal Stromal Tumors Treated With Tyrosine Kinase Inhibitors. </w:t>
      </w:r>
      <w:r w:rsidR="00141AFF" w:rsidRPr="00F26C70">
        <w:rPr>
          <w:rFonts w:ascii="Arial" w:hAnsi="Arial"/>
          <w:sz w:val="21"/>
          <w:szCs w:val="21"/>
        </w:rPr>
        <w:t>Ann Surg</w:t>
      </w:r>
      <w:r w:rsidRPr="00F26C70">
        <w:rPr>
          <w:rFonts w:ascii="Arial" w:hAnsi="Arial"/>
          <w:sz w:val="21"/>
          <w:szCs w:val="21"/>
        </w:rPr>
        <w:t>. 2018;268:296-302.</w:t>
      </w:r>
    </w:p>
    <w:p w14:paraId="220CA7B9" w14:textId="61F361AC"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lastRenderedPageBreak/>
        <w:t>83.</w:t>
      </w:r>
      <w:r w:rsidRPr="00F26C70">
        <w:rPr>
          <w:rFonts w:ascii="Arial" w:hAnsi="Arial"/>
          <w:sz w:val="21"/>
          <w:szCs w:val="21"/>
        </w:rPr>
        <w:tab/>
        <w:t xml:space="preserve">Park SJ, Ryu M-H, Ryoo B-Y, Park YS, Sohn BS, Kim HJ, et al. The Role of Surgical Resection Following Imatinib Treatment in Patients with Recurrent or Metastatic Gastrointestinal Stromal Tumors: Results of Propensity Score Analyses. </w:t>
      </w:r>
      <w:r w:rsidR="00A51A01" w:rsidRPr="00F26C70">
        <w:rPr>
          <w:rFonts w:ascii="Arial" w:hAnsi="Arial"/>
          <w:sz w:val="21"/>
          <w:szCs w:val="21"/>
        </w:rPr>
        <w:t>Ann Surg Oncol</w:t>
      </w:r>
      <w:r w:rsidRPr="00F26C70">
        <w:rPr>
          <w:rFonts w:ascii="Arial" w:hAnsi="Arial"/>
          <w:sz w:val="21"/>
          <w:szCs w:val="21"/>
        </w:rPr>
        <w:t>. 2014;21:4211-7.</w:t>
      </w:r>
    </w:p>
    <w:p w14:paraId="0A92288C"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84.</w:t>
      </w:r>
      <w:r w:rsidRPr="00F26C70">
        <w:rPr>
          <w:rFonts w:ascii="Arial" w:hAnsi="Arial"/>
          <w:sz w:val="21"/>
          <w:szCs w:val="21"/>
        </w:rPr>
        <w:tab/>
        <w:t>Bauer S, Rutkowski P, Hohenberger P, Miceli R, Fumagalli E, Siedlecki JA, et al. Long-term follow-up of patients with GIST undergoing metastasectomy in the era of imatinib -- analysis of prognostic factors (EORTC-STBSG collaborative study). Eur J Surg Oncol. 2014;40:412-9.</w:t>
      </w:r>
    </w:p>
    <w:p w14:paraId="0904A8B1"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85.</w:t>
      </w:r>
      <w:r w:rsidRPr="00F26C70">
        <w:rPr>
          <w:rFonts w:ascii="Arial" w:hAnsi="Arial"/>
          <w:sz w:val="21"/>
          <w:szCs w:val="21"/>
        </w:rPr>
        <w:tab/>
        <w:t>Du CY, Zhou Y, Song C, Wang YP, Jie ZG, He YL, et al. Is there a role of surgery in patients with recurrent or metastatic gastrointestinal stromal tumours responding to imatinib: a prospective randomised trial in China. Eur J Cancer. 2014;50:1772-8.</w:t>
      </w:r>
    </w:p>
    <w:p w14:paraId="20A3357E"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86.</w:t>
      </w:r>
      <w:r w:rsidRPr="00F26C70">
        <w:rPr>
          <w:rFonts w:ascii="Arial" w:hAnsi="Arial"/>
          <w:sz w:val="21"/>
          <w:szCs w:val="21"/>
        </w:rPr>
        <w:tab/>
        <w:t>Yeh CN, Chen TW, Tseng JH, Liu YY, Wang SY, Tsai CY, et al. Surgical management in metastatic gastrointestinal stromal tumor (GIST) patients after imatinib mesylate treatment. J Surg Oncol. 2010;102:599-603.</w:t>
      </w:r>
    </w:p>
    <w:p w14:paraId="3191D1E2" w14:textId="77777777" w:rsidR="006E3AD9" w:rsidRPr="00F26C70" w:rsidRDefault="006E3AD9" w:rsidP="00F26C70">
      <w:pPr>
        <w:pStyle w:val="EndNoteBibliography"/>
        <w:spacing w:line="480" w:lineRule="auto"/>
        <w:ind w:left="720" w:hanging="720"/>
        <w:rPr>
          <w:rFonts w:ascii="Arial" w:hAnsi="Arial"/>
          <w:sz w:val="21"/>
          <w:szCs w:val="21"/>
        </w:rPr>
      </w:pPr>
      <w:r w:rsidRPr="00F26C70">
        <w:rPr>
          <w:rFonts w:ascii="Arial" w:hAnsi="Arial"/>
          <w:sz w:val="21"/>
          <w:szCs w:val="21"/>
        </w:rPr>
        <w:t>87.</w:t>
      </w:r>
      <w:r w:rsidRPr="00F26C70">
        <w:rPr>
          <w:rFonts w:ascii="Arial" w:hAnsi="Arial"/>
          <w:sz w:val="21"/>
          <w:szCs w:val="21"/>
        </w:rPr>
        <w:tab/>
        <w:t>Cho H, Ryu MH, Lee Y, Park YS, Kim KH, Kim JH, et al. Role of Resection Following Focal Progression with Standard Doses of Imatinib in Patients with Advanced Gastrointestinal Stromal Tumors: Results of Propensity Score Analyses. Oncologist. 2019;24:e1443-e9.</w:t>
      </w:r>
    </w:p>
    <w:p w14:paraId="751A4EA9" w14:textId="0E0622F7" w:rsidR="00B34FF9" w:rsidRPr="00251ECE" w:rsidRDefault="00B34FF9" w:rsidP="007D0000">
      <w:pPr>
        <w:pStyle w:val="EndNoteBibliography"/>
        <w:ind w:left="720" w:hanging="720"/>
      </w:pPr>
    </w:p>
    <w:sectPr w:rsidR="00B34FF9" w:rsidRPr="00251ECE" w:rsidSect="004C535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B91CE" w14:textId="77777777" w:rsidR="00C01A71" w:rsidRDefault="00C01A71" w:rsidP="00356564">
      <w:r>
        <w:separator/>
      </w:r>
    </w:p>
  </w:endnote>
  <w:endnote w:type="continuationSeparator" w:id="0">
    <w:p w14:paraId="6E3C672F" w14:textId="77777777" w:rsidR="00C01A71" w:rsidRDefault="00C01A71" w:rsidP="00356564">
      <w:r>
        <w:continuationSeparator/>
      </w:r>
    </w:p>
  </w:endnote>
  <w:endnote w:type="continuationNotice" w:id="1">
    <w:p w14:paraId="67710B05" w14:textId="77777777" w:rsidR="00C01A71" w:rsidRDefault="00C01A71" w:rsidP="003565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Palatino-Roman">
    <w:altName w:val="Yu Gothic"/>
    <w:panose1 w:val="00000000000000000000"/>
    <w:charset w:val="80"/>
    <w:family w:val="auto"/>
    <w:notTrueType/>
    <w:pitch w:val="default"/>
    <w:sig w:usb0="00000001" w:usb1="08070000" w:usb2="00000010" w:usb3="00000000" w:csb0="00020000" w:csb1="00000000"/>
  </w:font>
  <w:font w:name="Palatino-Italic">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81C5C" w14:textId="77777777" w:rsidR="00C01A71" w:rsidRDefault="00C01A71" w:rsidP="00356564">
      <w:r>
        <w:separator/>
      </w:r>
    </w:p>
  </w:footnote>
  <w:footnote w:type="continuationSeparator" w:id="0">
    <w:p w14:paraId="6FC7758C" w14:textId="77777777" w:rsidR="00C01A71" w:rsidRDefault="00C01A71" w:rsidP="00356564">
      <w:r>
        <w:continuationSeparator/>
      </w:r>
    </w:p>
  </w:footnote>
  <w:footnote w:type="continuationNotice" w:id="1">
    <w:p w14:paraId="51A5438F" w14:textId="77777777" w:rsidR="00C01A71" w:rsidRDefault="00C01A71" w:rsidP="0035656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B25D2"/>
    <w:multiLevelType w:val="hybridMultilevel"/>
    <w:tmpl w:val="5AEEDC9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D854AE1"/>
    <w:multiLevelType w:val="hybridMultilevel"/>
    <w:tmpl w:val="9714683E"/>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F130CA0"/>
    <w:multiLevelType w:val="hybridMultilevel"/>
    <w:tmpl w:val="121C2EDA"/>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48D1B5F"/>
    <w:multiLevelType w:val="hybridMultilevel"/>
    <w:tmpl w:val="A9268B4A"/>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E137856"/>
    <w:multiLevelType w:val="hybridMultilevel"/>
    <w:tmpl w:val="BCC0CA82"/>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EC512F8"/>
    <w:multiLevelType w:val="multilevel"/>
    <w:tmpl w:val="B0C27EDC"/>
    <w:lvl w:ilvl="0">
      <w:start w:val="1"/>
      <w:numFmt w:val="decimal"/>
      <w:pStyle w:val="Heading2"/>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15:restartNumberingAfterBreak="0">
    <w:nsid w:val="21BD7EAF"/>
    <w:multiLevelType w:val="hybridMultilevel"/>
    <w:tmpl w:val="A00C87D2"/>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A774945"/>
    <w:multiLevelType w:val="hybridMultilevel"/>
    <w:tmpl w:val="4A0C1966"/>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D7F6D91"/>
    <w:multiLevelType w:val="hybridMultilevel"/>
    <w:tmpl w:val="9A0056CC"/>
    <w:lvl w:ilvl="0" w:tplc="E2E4F19C">
      <w:start w:val="2"/>
      <w:numFmt w:val="bullet"/>
      <w:lvlText w:val=""/>
      <w:lvlJc w:val="left"/>
      <w:pPr>
        <w:ind w:left="360" w:hanging="360"/>
      </w:pPr>
      <w:rPr>
        <w:rFonts w:ascii="Wingdings" w:eastAsia="Yu Gothic"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F265ACB"/>
    <w:multiLevelType w:val="hybridMultilevel"/>
    <w:tmpl w:val="C6F2B89C"/>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3E615E6"/>
    <w:multiLevelType w:val="hybridMultilevel"/>
    <w:tmpl w:val="DED661B4"/>
    <w:lvl w:ilvl="0" w:tplc="878EB6F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4121F15"/>
    <w:multiLevelType w:val="hybridMultilevel"/>
    <w:tmpl w:val="FD622BB6"/>
    <w:lvl w:ilvl="0" w:tplc="7C7C38AC">
      <w:start w:val="1"/>
      <w:numFmt w:val="bullet"/>
      <w:lvlText w:val="‧"/>
      <w:lvlJc w:val="left"/>
      <w:pPr>
        <w:ind w:left="540" w:hanging="440"/>
      </w:pPr>
      <w:rPr>
        <w:rFonts w:ascii="MS Mincho" w:eastAsia="MS Mincho" w:hAnsi="MS Mincho" w:hint="eastAsia"/>
      </w:rPr>
    </w:lvl>
    <w:lvl w:ilvl="1" w:tplc="0409000B" w:tentative="1">
      <w:start w:val="1"/>
      <w:numFmt w:val="bullet"/>
      <w:lvlText w:val=""/>
      <w:lvlJc w:val="left"/>
      <w:pPr>
        <w:ind w:left="980" w:hanging="440"/>
      </w:pPr>
      <w:rPr>
        <w:rFonts w:ascii="Wingdings" w:hAnsi="Wingdings" w:hint="default"/>
      </w:rPr>
    </w:lvl>
    <w:lvl w:ilvl="2" w:tplc="0409000D" w:tentative="1">
      <w:start w:val="1"/>
      <w:numFmt w:val="bullet"/>
      <w:lvlText w:val=""/>
      <w:lvlJc w:val="left"/>
      <w:pPr>
        <w:ind w:left="1420" w:hanging="440"/>
      </w:pPr>
      <w:rPr>
        <w:rFonts w:ascii="Wingdings" w:hAnsi="Wingdings" w:hint="default"/>
      </w:rPr>
    </w:lvl>
    <w:lvl w:ilvl="3" w:tplc="04090001" w:tentative="1">
      <w:start w:val="1"/>
      <w:numFmt w:val="bullet"/>
      <w:lvlText w:val=""/>
      <w:lvlJc w:val="left"/>
      <w:pPr>
        <w:ind w:left="1860" w:hanging="440"/>
      </w:pPr>
      <w:rPr>
        <w:rFonts w:ascii="Wingdings" w:hAnsi="Wingdings" w:hint="default"/>
      </w:rPr>
    </w:lvl>
    <w:lvl w:ilvl="4" w:tplc="0409000B" w:tentative="1">
      <w:start w:val="1"/>
      <w:numFmt w:val="bullet"/>
      <w:lvlText w:val=""/>
      <w:lvlJc w:val="left"/>
      <w:pPr>
        <w:ind w:left="2300" w:hanging="440"/>
      </w:pPr>
      <w:rPr>
        <w:rFonts w:ascii="Wingdings" w:hAnsi="Wingdings" w:hint="default"/>
      </w:rPr>
    </w:lvl>
    <w:lvl w:ilvl="5" w:tplc="0409000D" w:tentative="1">
      <w:start w:val="1"/>
      <w:numFmt w:val="bullet"/>
      <w:lvlText w:val=""/>
      <w:lvlJc w:val="left"/>
      <w:pPr>
        <w:ind w:left="2740" w:hanging="440"/>
      </w:pPr>
      <w:rPr>
        <w:rFonts w:ascii="Wingdings" w:hAnsi="Wingdings" w:hint="default"/>
      </w:rPr>
    </w:lvl>
    <w:lvl w:ilvl="6" w:tplc="04090001" w:tentative="1">
      <w:start w:val="1"/>
      <w:numFmt w:val="bullet"/>
      <w:lvlText w:val=""/>
      <w:lvlJc w:val="left"/>
      <w:pPr>
        <w:ind w:left="3180" w:hanging="440"/>
      </w:pPr>
      <w:rPr>
        <w:rFonts w:ascii="Wingdings" w:hAnsi="Wingdings" w:hint="default"/>
      </w:rPr>
    </w:lvl>
    <w:lvl w:ilvl="7" w:tplc="0409000B" w:tentative="1">
      <w:start w:val="1"/>
      <w:numFmt w:val="bullet"/>
      <w:lvlText w:val=""/>
      <w:lvlJc w:val="left"/>
      <w:pPr>
        <w:ind w:left="3620" w:hanging="440"/>
      </w:pPr>
      <w:rPr>
        <w:rFonts w:ascii="Wingdings" w:hAnsi="Wingdings" w:hint="default"/>
      </w:rPr>
    </w:lvl>
    <w:lvl w:ilvl="8" w:tplc="0409000D" w:tentative="1">
      <w:start w:val="1"/>
      <w:numFmt w:val="bullet"/>
      <w:lvlText w:val=""/>
      <w:lvlJc w:val="left"/>
      <w:pPr>
        <w:ind w:left="4060" w:hanging="440"/>
      </w:pPr>
      <w:rPr>
        <w:rFonts w:ascii="Wingdings" w:hAnsi="Wingdings" w:hint="default"/>
      </w:rPr>
    </w:lvl>
  </w:abstractNum>
  <w:abstractNum w:abstractNumId="12" w15:restartNumberingAfterBreak="0">
    <w:nsid w:val="44F35C62"/>
    <w:multiLevelType w:val="hybridMultilevel"/>
    <w:tmpl w:val="AF8C1D64"/>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5EF3515"/>
    <w:multiLevelType w:val="hybridMultilevel"/>
    <w:tmpl w:val="C76630BA"/>
    <w:lvl w:ilvl="0" w:tplc="351CC366">
      <w:start w:val="2"/>
      <w:numFmt w:val="bullet"/>
      <w:lvlText w:val=""/>
      <w:lvlJc w:val="left"/>
      <w:pPr>
        <w:ind w:left="360" w:hanging="360"/>
      </w:pPr>
      <w:rPr>
        <w:rFonts w:ascii="Wingdings" w:eastAsia="Yu Gothic"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B66452A"/>
    <w:multiLevelType w:val="hybridMultilevel"/>
    <w:tmpl w:val="40124B58"/>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1E878E6"/>
    <w:multiLevelType w:val="hybridMultilevel"/>
    <w:tmpl w:val="DE4E0AE2"/>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CD47C98"/>
    <w:multiLevelType w:val="hybridMultilevel"/>
    <w:tmpl w:val="13F2A1F4"/>
    <w:lvl w:ilvl="0" w:tplc="DE7A8606">
      <w:start w:val="2"/>
      <w:numFmt w:val="bullet"/>
      <w:lvlText w:val=""/>
      <w:lvlJc w:val="left"/>
      <w:pPr>
        <w:ind w:left="360" w:hanging="360"/>
      </w:pPr>
      <w:rPr>
        <w:rFonts w:ascii="Wingdings" w:eastAsia="Yu Gothic"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65D14CEA"/>
    <w:multiLevelType w:val="hybridMultilevel"/>
    <w:tmpl w:val="01C2F14A"/>
    <w:lvl w:ilvl="0" w:tplc="DCF64596">
      <w:start w:val="2"/>
      <w:numFmt w:val="bullet"/>
      <w:lvlText w:val=""/>
      <w:lvlJc w:val="left"/>
      <w:pPr>
        <w:ind w:left="360" w:hanging="360"/>
      </w:pPr>
      <w:rPr>
        <w:rFonts w:ascii="Wingdings" w:eastAsiaTheme="minorEastAsia" w:hAnsi="Wingdings"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91E6B5E"/>
    <w:multiLevelType w:val="hybridMultilevel"/>
    <w:tmpl w:val="6E3A4262"/>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75E65252"/>
    <w:multiLevelType w:val="hybridMultilevel"/>
    <w:tmpl w:val="D610C73A"/>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7A3761C4"/>
    <w:multiLevelType w:val="hybridMultilevel"/>
    <w:tmpl w:val="00B432A2"/>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AB71161"/>
    <w:multiLevelType w:val="hybridMultilevel"/>
    <w:tmpl w:val="7714A3E4"/>
    <w:lvl w:ilvl="0" w:tplc="7C7C38AC">
      <w:start w:val="1"/>
      <w:numFmt w:val="bullet"/>
      <w:lvlText w:val="‧"/>
      <w:lvlJc w:val="left"/>
      <w:pPr>
        <w:ind w:left="440" w:hanging="440"/>
      </w:pPr>
      <w:rPr>
        <w:rFonts w:ascii="MS Mincho" w:eastAsia="MS Mincho" w:hAnsi="MS 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7C5352B3"/>
    <w:multiLevelType w:val="hybridMultilevel"/>
    <w:tmpl w:val="EBD6F8FE"/>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20"/>
  </w:num>
  <w:num w:numId="3">
    <w:abstractNumId w:val="9"/>
  </w:num>
  <w:num w:numId="4">
    <w:abstractNumId w:val="1"/>
  </w:num>
  <w:num w:numId="5">
    <w:abstractNumId w:val="7"/>
  </w:num>
  <w:num w:numId="6">
    <w:abstractNumId w:val="6"/>
  </w:num>
  <w:num w:numId="7">
    <w:abstractNumId w:val="14"/>
  </w:num>
  <w:num w:numId="8">
    <w:abstractNumId w:val="15"/>
  </w:num>
  <w:num w:numId="9">
    <w:abstractNumId w:val="18"/>
  </w:num>
  <w:num w:numId="10">
    <w:abstractNumId w:val="19"/>
  </w:num>
  <w:num w:numId="11">
    <w:abstractNumId w:val="2"/>
  </w:num>
  <w:num w:numId="12">
    <w:abstractNumId w:val="3"/>
  </w:num>
  <w:num w:numId="13">
    <w:abstractNumId w:val="12"/>
  </w:num>
  <w:num w:numId="14">
    <w:abstractNumId w:val="21"/>
  </w:num>
  <w:num w:numId="15">
    <w:abstractNumId w:val="16"/>
  </w:num>
  <w:num w:numId="16">
    <w:abstractNumId w:val="13"/>
  </w:num>
  <w:num w:numId="17">
    <w:abstractNumId w:val="8"/>
  </w:num>
  <w:num w:numId="18">
    <w:abstractNumId w:val="17"/>
  </w:num>
  <w:num w:numId="19">
    <w:abstractNumId w:val="0"/>
  </w:num>
  <w:num w:numId="20">
    <w:abstractNumId w:val="10"/>
  </w:num>
  <w:num w:numId="21">
    <w:abstractNumId w:val="22"/>
  </w:num>
  <w:num w:numId="22">
    <w:abstractNumId w:val="11"/>
  </w:num>
  <w:num w:numId="2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jS0tDQxNzIwMjUxNjFV0lEKTi0uzszPAykwNK0FAKTWF8YtAAAA"/>
    <w:docVar w:name="EN.InstantFormat" w:val="&lt;ENInstantFormat&gt;&lt;Enabled&gt;1&lt;/Enabled&gt;&lt;ScanUnformatted&gt;1&lt;/ScanUnformatted&gt;&lt;ScanChanges&gt;1&lt;/ScanChanges&gt;&lt;Suspended&gt;1&lt;/Suspended&gt;&lt;/ENInstantFormat&gt;"/>
    <w:docVar w:name="EN.Layout" w:val="&lt;ENLayout&gt;&lt;Style&gt;Gastric_Cancer Copy&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sxdwtwrxr2xyeatfo5f5xdvsxa9rzf9rzd&quot;&gt;My EndNote Library_20250127&lt;record-ids&gt;&lt;item&gt;424&lt;/item&gt;&lt;item&gt;504&lt;/item&gt;&lt;item&gt;505&lt;/item&gt;&lt;item&gt;506&lt;/item&gt;&lt;item&gt;507&lt;/item&gt;&lt;item&gt;508&lt;/item&gt;&lt;item&gt;531&lt;/item&gt;&lt;item&gt;728&lt;/item&gt;&lt;item&gt;730&lt;/item&gt;&lt;item&gt;737&lt;/item&gt;&lt;item&gt;751&lt;/item&gt;&lt;item&gt;752&lt;/item&gt;&lt;item&gt;753&lt;/item&gt;&lt;item&gt;754&lt;/item&gt;&lt;item&gt;755&lt;/item&gt;&lt;item&gt;760&lt;/item&gt;&lt;item&gt;761&lt;/item&gt;&lt;item&gt;762&lt;/item&gt;&lt;item&gt;765&lt;/item&gt;&lt;item&gt;766&lt;/item&gt;&lt;item&gt;767&lt;/item&gt;&lt;item&gt;768&lt;/item&gt;&lt;item&gt;879&lt;/item&gt;&lt;item&gt;1376&lt;/item&gt;&lt;item&gt;1380&lt;/item&gt;&lt;item&gt;1475&lt;/item&gt;&lt;item&gt;1476&lt;/item&gt;&lt;item&gt;1477&lt;/item&gt;&lt;item&gt;1478&lt;/item&gt;&lt;item&gt;1479&lt;/item&gt;&lt;item&gt;1480&lt;/item&gt;&lt;item&gt;1481&lt;/item&gt;&lt;item&gt;1482&lt;/item&gt;&lt;item&gt;1483&lt;/item&gt;&lt;item&gt;1484&lt;/item&gt;&lt;item&gt;1485&lt;/item&gt;&lt;item&gt;1486&lt;/item&gt;&lt;item&gt;1487&lt;/item&gt;&lt;item&gt;1488&lt;/item&gt;&lt;item&gt;1489&lt;/item&gt;&lt;item&gt;1490&lt;/item&gt;&lt;item&gt;1491&lt;/item&gt;&lt;item&gt;1492&lt;/item&gt;&lt;item&gt;1493&lt;/item&gt;&lt;item&gt;1494&lt;/item&gt;&lt;item&gt;1495&lt;/item&gt;&lt;item&gt;1496&lt;/item&gt;&lt;item&gt;1497&lt;/item&gt;&lt;item&gt;1498&lt;/item&gt;&lt;item&gt;1499&lt;/item&gt;&lt;item&gt;1505&lt;/item&gt;&lt;item&gt;1506&lt;/item&gt;&lt;item&gt;1607&lt;/item&gt;&lt;item&gt;1608&lt;/item&gt;&lt;item&gt;1610&lt;/item&gt;&lt;item&gt;1614&lt;/item&gt;&lt;item&gt;1657&lt;/item&gt;&lt;item&gt;1658&lt;/item&gt;&lt;item&gt;1731&lt;/item&gt;&lt;item&gt;1732&lt;/item&gt;&lt;item&gt;1733&lt;/item&gt;&lt;item&gt;1736&lt;/item&gt;&lt;item&gt;1746&lt;/item&gt;&lt;item&gt;1747&lt;/item&gt;&lt;item&gt;1749&lt;/item&gt;&lt;item&gt;1750&lt;/item&gt;&lt;item&gt;1751&lt;/item&gt;&lt;item&gt;1752&lt;/item&gt;&lt;item&gt;1753&lt;/item&gt;&lt;item&gt;1754&lt;/item&gt;&lt;item&gt;1756&lt;/item&gt;&lt;item&gt;1757&lt;/item&gt;&lt;item&gt;1758&lt;/item&gt;&lt;item&gt;1759&lt;/item&gt;&lt;item&gt;1761&lt;/item&gt;&lt;item&gt;1762&lt;/item&gt;&lt;item&gt;1765&lt;/item&gt;&lt;item&gt;1768&lt;/item&gt;&lt;/record-ids&gt;&lt;/item&gt;&lt;/Libraries&gt;"/>
  </w:docVars>
  <w:rsids>
    <w:rsidRoot w:val="00545DD8"/>
    <w:rsid w:val="000014B5"/>
    <w:rsid w:val="000017F6"/>
    <w:rsid w:val="000018F7"/>
    <w:rsid w:val="0000199D"/>
    <w:rsid w:val="000035A5"/>
    <w:rsid w:val="000036B2"/>
    <w:rsid w:val="000065F7"/>
    <w:rsid w:val="00006608"/>
    <w:rsid w:val="0000660F"/>
    <w:rsid w:val="00006C6D"/>
    <w:rsid w:val="00011BC7"/>
    <w:rsid w:val="00011D23"/>
    <w:rsid w:val="00012267"/>
    <w:rsid w:val="00013FED"/>
    <w:rsid w:val="00014225"/>
    <w:rsid w:val="00016195"/>
    <w:rsid w:val="00017DE9"/>
    <w:rsid w:val="0002067E"/>
    <w:rsid w:val="00020798"/>
    <w:rsid w:val="00020A60"/>
    <w:rsid w:val="000233AA"/>
    <w:rsid w:val="000247DE"/>
    <w:rsid w:val="000247EF"/>
    <w:rsid w:val="00024ABA"/>
    <w:rsid w:val="00026EEB"/>
    <w:rsid w:val="00027678"/>
    <w:rsid w:val="000317CE"/>
    <w:rsid w:val="000327DA"/>
    <w:rsid w:val="000336C5"/>
    <w:rsid w:val="00036A6F"/>
    <w:rsid w:val="000402AB"/>
    <w:rsid w:val="00040F10"/>
    <w:rsid w:val="0004156B"/>
    <w:rsid w:val="00042286"/>
    <w:rsid w:val="000425CA"/>
    <w:rsid w:val="00042762"/>
    <w:rsid w:val="00044251"/>
    <w:rsid w:val="000447F9"/>
    <w:rsid w:val="000459A9"/>
    <w:rsid w:val="00045F36"/>
    <w:rsid w:val="0004679A"/>
    <w:rsid w:val="000521DC"/>
    <w:rsid w:val="000526D6"/>
    <w:rsid w:val="00053272"/>
    <w:rsid w:val="00053D96"/>
    <w:rsid w:val="00055346"/>
    <w:rsid w:val="00060463"/>
    <w:rsid w:val="00060588"/>
    <w:rsid w:val="00061898"/>
    <w:rsid w:val="00061A04"/>
    <w:rsid w:val="00061CCE"/>
    <w:rsid w:val="0006464D"/>
    <w:rsid w:val="000649A8"/>
    <w:rsid w:val="00065973"/>
    <w:rsid w:val="00067211"/>
    <w:rsid w:val="00067263"/>
    <w:rsid w:val="00067713"/>
    <w:rsid w:val="00067CB0"/>
    <w:rsid w:val="00070D1A"/>
    <w:rsid w:val="000716C5"/>
    <w:rsid w:val="00072A10"/>
    <w:rsid w:val="000741D7"/>
    <w:rsid w:val="00075135"/>
    <w:rsid w:val="00075328"/>
    <w:rsid w:val="00075534"/>
    <w:rsid w:val="000762A4"/>
    <w:rsid w:val="00077457"/>
    <w:rsid w:val="00080036"/>
    <w:rsid w:val="00080862"/>
    <w:rsid w:val="00081957"/>
    <w:rsid w:val="00081CA5"/>
    <w:rsid w:val="00082A9C"/>
    <w:rsid w:val="00082E7B"/>
    <w:rsid w:val="00082E8C"/>
    <w:rsid w:val="00086CBA"/>
    <w:rsid w:val="000876FC"/>
    <w:rsid w:val="00090D8B"/>
    <w:rsid w:val="00092E87"/>
    <w:rsid w:val="00093906"/>
    <w:rsid w:val="00095A0B"/>
    <w:rsid w:val="000A1B62"/>
    <w:rsid w:val="000A3190"/>
    <w:rsid w:val="000A4EBB"/>
    <w:rsid w:val="000A53D7"/>
    <w:rsid w:val="000A5BAD"/>
    <w:rsid w:val="000A5CCE"/>
    <w:rsid w:val="000A628F"/>
    <w:rsid w:val="000A6742"/>
    <w:rsid w:val="000A7095"/>
    <w:rsid w:val="000B0E80"/>
    <w:rsid w:val="000B1FE4"/>
    <w:rsid w:val="000B22C0"/>
    <w:rsid w:val="000B23EC"/>
    <w:rsid w:val="000B28BF"/>
    <w:rsid w:val="000B3461"/>
    <w:rsid w:val="000B3AED"/>
    <w:rsid w:val="000B413F"/>
    <w:rsid w:val="000B4540"/>
    <w:rsid w:val="000B4A2F"/>
    <w:rsid w:val="000B5711"/>
    <w:rsid w:val="000B7968"/>
    <w:rsid w:val="000B7D9F"/>
    <w:rsid w:val="000C1F8C"/>
    <w:rsid w:val="000C2610"/>
    <w:rsid w:val="000C4278"/>
    <w:rsid w:val="000C498D"/>
    <w:rsid w:val="000C6554"/>
    <w:rsid w:val="000C6566"/>
    <w:rsid w:val="000C6841"/>
    <w:rsid w:val="000D0786"/>
    <w:rsid w:val="000D0CC3"/>
    <w:rsid w:val="000D0CF7"/>
    <w:rsid w:val="000D117F"/>
    <w:rsid w:val="000D1D10"/>
    <w:rsid w:val="000D3758"/>
    <w:rsid w:val="000D47CF"/>
    <w:rsid w:val="000D4944"/>
    <w:rsid w:val="000D4A3F"/>
    <w:rsid w:val="000D6825"/>
    <w:rsid w:val="000D70EB"/>
    <w:rsid w:val="000E1190"/>
    <w:rsid w:val="000E37BD"/>
    <w:rsid w:val="000E4D2B"/>
    <w:rsid w:val="000E4F51"/>
    <w:rsid w:val="000E5246"/>
    <w:rsid w:val="000E5647"/>
    <w:rsid w:val="000E6837"/>
    <w:rsid w:val="000E7874"/>
    <w:rsid w:val="000E7F76"/>
    <w:rsid w:val="000F15FF"/>
    <w:rsid w:val="000F220D"/>
    <w:rsid w:val="000F4C37"/>
    <w:rsid w:val="000F5B49"/>
    <w:rsid w:val="000F72D0"/>
    <w:rsid w:val="000F782B"/>
    <w:rsid w:val="001013DB"/>
    <w:rsid w:val="00101BB6"/>
    <w:rsid w:val="0010249C"/>
    <w:rsid w:val="0010258E"/>
    <w:rsid w:val="0010274C"/>
    <w:rsid w:val="0010362F"/>
    <w:rsid w:val="001039FB"/>
    <w:rsid w:val="00104AE8"/>
    <w:rsid w:val="00104E19"/>
    <w:rsid w:val="00105D95"/>
    <w:rsid w:val="00106405"/>
    <w:rsid w:val="00111815"/>
    <w:rsid w:val="00112EFD"/>
    <w:rsid w:val="00114463"/>
    <w:rsid w:val="00114F74"/>
    <w:rsid w:val="0011516E"/>
    <w:rsid w:val="00117C1A"/>
    <w:rsid w:val="00121FB0"/>
    <w:rsid w:val="00122DAD"/>
    <w:rsid w:val="00125954"/>
    <w:rsid w:val="001259B7"/>
    <w:rsid w:val="001260BE"/>
    <w:rsid w:val="00126D3F"/>
    <w:rsid w:val="00126F0F"/>
    <w:rsid w:val="00131FB4"/>
    <w:rsid w:val="00133563"/>
    <w:rsid w:val="0013483F"/>
    <w:rsid w:val="00134D86"/>
    <w:rsid w:val="00135EEE"/>
    <w:rsid w:val="00136583"/>
    <w:rsid w:val="001368A8"/>
    <w:rsid w:val="001370DD"/>
    <w:rsid w:val="00137A93"/>
    <w:rsid w:val="00140148"/>
    <w:rsid w:val="00140D27"/>
    <w:rsid w:val="00141AFF"/>
    <w:rsid w:val="001432B9"/>
    <w:rsid w:val="00145592"/>
    <w:rsid w:val="00145DEC"/>
    <w:rsid w:val="00146F63"/>
    <w:rsid w:val="0014770D"/>
    <w:rsid w:val="00147964"/>
    <w:rsid w:val="001479F6"/>
    <w:rsid w:val="00150726"/>
    <w:rsid w:val="00151C9F"/>
    <w:rsid w:val="001522A3"/>
    <w:rsid w:val="00152B16"/>
    <w:rsid w:val="00152F97"/>
    <w:rsid w:val="00155500"/>
    <w:rsid w:val="001567AB"/>
    <w:rsid w:val="00156DFC"/>
    <w:rsid w:val="0016040E"/>
    <w:rsid w:val="0016045F"/>
    <w:rsid w:val="00161CAF"/>
    <w:rsid w:val="001621D8"/>
    <w:rsid w:val="00162265"/>
    <w:rsid w:val="00162497"/>
    <w:rsid w:val="00163421"/>
    <w:rsid w:val="001636DA"/>
    <w:rsid w:val="00163A42"/>
    <w:rsid w:val="00163DE3"/>
    <w:rsid w:val="00164698"/>
    <w:rsid w:val="00166A52"/>
    <w:rsid w:val="00167161"/>
    <w:rsid w:val="00167CF4"/>
    <w:rsid w:val="00170725"/>
    <w:rsid w:val="00171100"/>
    <w:rsid w:val="001712E9"/>
    <w:rsid w:val="001713C6"/>
    <w:rsid w:val="00171619"/>
    <w:rsid w:val="0017301B"/>
    <w:rsid w:val="00173425"/>
    <w:rsid w:val="001742DD"/>
    <w:rsid w:val="0017539B"/>
    <w:rsid w:val="00175667"/>
    <w:rsid w:val="00176CBC"/>
    <w:rsid w:val="00176F8A"/>
    <w:rsid w:val="00182430"/>
    <w:rsid w:val="0018347E"/>
    <w:rsid w:val="001835B5"/>
    <w:rsid w:val="001863F3"/>
    <w:rsid w:val="00186555"/>
    <w:rsid w:val="00186A9E"/>
    <w:rsid w:val="00187DA8"/>
    <w:rsid w:val="00193175"/>
    <w:rsid w:val="00193344"/>
    <w:rsid w:val="00193371"/>
    <w:rsid w:val="0019396D"/>
    <w:rsid w:val="00194CB4"/>
    <w:rsid w:val="00195B63"/>
    <w:rsid w:val="001970DD"/>
    <w:rsid w:val="001A153C"/>
    <w:rsid w:val="001A1DFC"/>
    <w:rsid w:val="001A20FD"/>
    <w:rsid w:val="001A5145"/>
    <w:rsid w:val="001A5309"/>
    <w:rsid w:val="001A57C1"/>
    <w:rsid w:val="001A5C00"/>
    <w:rsid w:val="001B10BE"/>
    <w:rsid w:val="001B1BF7"/>
    <w:rsid w:val="001B1F04"/>
    <w:rsid w:val="001B3FDF"/>
    <w:rsid w:val="001B4C57"/>
    <w:rsid w:val="001B501E"/>
    <w:rsid w:val="001B5511"/>
    <w:rsid w:val="001B7105"/>
    <w:rsid w:val="001B7AB4"/>
    <w:rsid w:val="001C0663"/>
    <w:rsid w:val="001C0AF8"/>
    <w:rsid w:val="001C0B2D"/>
    <w:rsid w:val="001C2FA1"/>
    <w:rsid w:val="001C32F6"/>
    <w:rsid w:val="001C4083"/>
    <w:rsid w:val="001C7886"/>
    <w:rsid w:val="001C7AFD"/>
    <w:rsid w:val="001D0AC4"/>
    <w:rsid w:val="001D131B"/>
    <w:rsid w:val="001D21FB"/>
    <w:rsid w:val="001D2722"/>
    <w:rsid w:val="001D3227"/>
    <w:rsid w:val="001D3247"/>
    <w:rsid w:val="001D3FC8"/>
    <w:rsid w:val="001D4B12"/>
    <w:rsid w:val="001E0816"/>
    <w:rsid w:val="001E2236"/>
    <w:rsid w:val="001E2B7A"/>
    <w:rsid w:val="001E2BCE"/>
    <w:rsid w:val="001E2F98"/>
    <w:rsid w:val="001E3870"/>
    <w:rsid w:val="001E3D93"/>
    <w:rsid w:val="001E3DD9"/>
    <w:rsid w:val="001E48DF"/>
    <w:rsid w:val="001E4B37"/>
    <w:rsid w:val="001E5490"/>
    <w:rsid w:val="001E61F2"/>
    <w:rsid w:val="001E6B27"/>
    <w:rsid w:val="001E6F2C"/>
    <w:rsid w:val="001F01B0"/>
    <w:rsid w:val="001F175E"/>
    <w:rsid w:val="001F1795"/>
    <w:rsid w:val="001F190C"/>
    <w:rsid w:val="001F1A4D"/>
    <w:rsid w:val="001F2489"/>
    <w:rsid w:val="001F25C1"/>
    <w:rsid w:val="001F33E7"/>
    <w:rsid w:val="001F37D9"/>
    <w:rsid w:val="001F44CE"/>
    <w:rsid w:val="001F79EA"/>
    <w:rsid w:val="00200557"/>
    <w:rsid w:val="002018E4"/>
    <w:rsid w:val="002025AF"/>
    <w:rsid w:val="002032B5"/>
    <w:rsid w:val="002058F6"/>
    <w:rsid w:val="00206AC4"/>
    <w:rsid w:val="00207B66"/>
    <w:rsid w:val="00210C5A"/>
    <w:rsid w:val="002119DC"/>
    <w:rsid w:val="00212956"/>
    <w:rsid w:val="002139B9"/>
    <w:rsid w:val="00213BD4"/>
    <w:rsid w:val="002143A6"/>
    <w:rsid w:val="00215BAA"/>
    <w:rsid w:val="00216DAD"/>
    <w:rsid w:val="00220512"/>
    <w:rsid w:val="00220AED"/>
    <w:rsid w:val="00220F08"/>
    <w:rsid w:val="00221251"/>
    <w:rsid w:val="00221F82"/>
    <w:rsid w:val="002233D5"/>
    <w:rsid w:val="002236E3"/>
    <w:rsid w:val="00223902"/>
    <w:rsid w:val="00224DAB"/>
    <w:rsid w:val="00224EEC"/>
    <w:rsid w:val="002253B7"/>
    <w:rsid w:val="00225680"/>
    <w:rsid w:val="0022748C"/>
    <w:rsid w:val="0022768E"/>
    <w:rsid w:val="00227A4A"/>
    <w:rsid w:val="00230229"/>
    <w:rsid w:val="00230D68"/>
    <w:rsid w:val="002313CC"/>
    <w:rsid w:val="00232180"/>
    <w:rsid w:val="00232CE7"/>
    <w:rsid w:val="00233294"/>
    <w:rsid w:val="00233EF8"/>
    <w:rsid w:val="002340B3"/>
    <w:rsid w:val="00235988"/>
    <w:rsid w:val="00236667"/>
    <w:rsid w:val="00236A43"/>
    <w:rsid w:val="0024005C"/>
    <w:rsid w:val="00241F65"/>
    <w:rsid w:val="0024246E"/>
    <w:rsid w:val="0024250A"/>
    <w:rsid w:val="00242982"/>
    <w:rsid w:val="00242ECB"/>
    <w:rsid w:val="00245D2C"/>
    <w:rsid w:val="0025078E"/>
    <w:rsid w:val="00250E8C"/>
    <w:rsid w:val="00251ECE"/>
    <w:rsid w:val="0025280E"/>
    <w:rsid w:val="002530C4"/>
    <w:rsid w:val="00253FCA"/>
    <w:rsid w:val="00254945"/>
    <w:rsid w:val="00255039"/>
    <w:rsid w:val="00255E9B"/>
    <w:rsid w:val="00256E2B"/>
    <w:rsid w:val="00256EC1"/>
    <w:rsid w:val="00257FEA"/>
    <w:rsid w:val="002603BF"/>
    <w:rsid w:val="00262658"/>
    <w:rsid w:val="00263142"/>
    <w:rsid w:val="00263698"/>
    <w:rsid w:val="00263C27"/>
    <w:rsid w:val="0026438D"/>
    <w:rsid w:val="00270264"/>
    <w:rsid w:val="00270536"/>
    <w:rsid w:val="002730D4"/>
    <w:rsid w:val="00273AF1"/>
    <w:rsid w:val="00274824"/>
    <w:rsid w:val="002801E8"/>
    <w:rsid w:val="002805BD"/>
    <w:rsid w:val="0028094D"/>
    <w:rsid w:val="00280BF9"/>
    <w:rsid w:val="002818F6"/>
    <w:rsid w:val="00281A9E"/>
    <w:rsid w:val="00281EF0"/>
    <w:rsid w:val="002825C0"/>
    <w:rsid w:val="00282A0D"/>
    <w:rsid w:val="002834C4"/>
    <w:rsid w:val="00285064"/>
    <w:rsid w:val="00292CD5"/>
    <w:rsid w:val="00292E51"/>
    <w:rsid w:val="00292E55"/>
    <w:rsid w:val="00294B45"/>
    <w:rsid w:val="00295EFA"/>
    <w:rsid w:val="0029642F"/>
    <w:rsid w:val="002A0630"/>
    <w:rsid w:val="002A14B3"/>
    <w:rsid w:val="002A331E"/>
    <w:rsid w:val="002A3652"/>
    <w:rsid w:val="002A48F8"/>
    <w:rsid w:val="002A4910"/>
    <w:rsid w:val="002A67E1"/>
    <w:rsid w:val="002A7637"/>
    <w:rsid w:val="002A7B59"/>
    <w:rsid w:val="002B01B6"/>
    <w:rsid w:val="002B08B3"/>
    <w:rsid w:val="002B0A1D"/>
    <w:rsid w:val="002B0E21"/>
    <w:rsid w:val="002B2D7F"/>
    <w:rsid w:val="002B68D7"/>
    <w:rsid w:val="002B6CDD"/>
    <w:rsid w:val="002C01FB"/>
    <w:rsid w:val="002C0D0F"/>
    <w:rsid w:val="002C0EB3"/>
    <w:rsid w:val="002C21F1"/>
    <w:rsid w:val="002C2B77"/>
    <w:rsid w:val="002C5E1B"/>
    <w:rsid w:val="002D2BFB"/>
    <w:rsid w:val="002D3E97"/>
    <w:rsid w:val="002D47B9"/>
    <w:rsid w:val="002D4E07"/>
    <w:rsid w:val="002E3563"/>
    <w:rsid w:val="002E4291"/>
    <w:rsid w:val="002E60EA"/>
    <w:rsid w:val="002F03EE"/>
    <w:rsid w:val="002F3197"/>
    <w:rsid w:val="002F3BAF"/>
    <w:rsid w:val="002F3E2E"/>
    <w:rsid w:val="002F4356"/>
    <w:rsid w:val="002F4A0E"/>
    <w:rsid w:val="002F54F7"/>
    <w:rsid w:val="002F62F4"/>
    <w:rsid w:val="002F75C1"/>
    <w:rsid w:val="002F7BFD"/>
    <w:rsid w:val="00300591"/>
    <w:rsid w:val="00300599"/>
    <w:rsid w:val="00300AFC"/>
    <w:rsid w:val="00303379"/>
    <w:rsid w:val="003046F6"/>
    <w:rsid w:val="00304C1F"/>
    <w:rsid w:val="0030511F"/>
    <w:rsid w:val="003052E9"/>
    <w:rsid w:val="00307525"/>
    <w:rsid w:val="00307EEB"/>
    <w:rsid w:val="00310D3D"/>
    <w:rsid w:val="0031107A"/>
    <w:rsid w:val="00315184"/>
    <w:rsid w:val="00316482"/>
    <w:rsid w:val="0031689B"/>
    <w:rsid w:val="00316C13"/>
    <w:rsid w:val="0031776C"/>
    <w:rsid w:val="003207CA"/>
    <w:rsid w:val="00321520"/>
    <w:rsid w:val="00321B68"/>
    <w:rsid w:val="00322702"/>
    <w:rsid w:val="00322C91"/>
    <w:rsid w:val="0032536C"/>
    <w:rsid w:val="00325677"/>
    <w:rsid w:val="0032617B"/>
    <w:rsid w:val="003273B2"/>
    <w:rsid w:val="003303AF"/>
    <w:rsid w:val="003308E1"/>
    <w:rsid w:val="00331370"/>
    <w:rsid w:val="003346F2"/>
    <w:rsid w:val="00334860"/>
    <w:rsid w:val="003368A0"/>
    <w:rsid w:val="0034132E"/>
    <w:rsid w:val="00341D2D"/>
    <w:rsid w:val="00342184"/>
    <w:rsid w:val="00343109"/>
    <w:rsid w:val="003437D0"/>
    <w:rsid w:val="00343BFD"/>
    <w:rsid w:val="00343D30"/>
    <w:rsid w:val="0034547E"/>
    <w:rsid w:val="00346A0B"/>
    <w:rsid w:val="0035023C"/>
    <w:rsid w:val="00350EDF"/>
    <w:rsid w:val="00351076"/>
    <w:rsid w:val="00351273"/>
    <w:rsid w:val="003513D5"/>
    <w:rsid w:val="00352486"/>
    <w:rsid w:val="0035410A"/>
    <w:rsid w:val="003546E9"/>
    <w:rsid w:val="00356564"/>
    <w:rsid w:val="00356651"/>
    <w:rsid w:val="00356A40"/>
    <w:rsid w:val="00360D60"/>
    <w:rsid w:val="00361954"/>
    <w:rsid w:val="00362630"/>
    <w:rsid w:val="00362D5E"/>
    <w:rsid w:val="00363026"/>
    <w:rsid w:val="003634E7"/>
    <w:rsid w:val="00363CBB"/>
    <w:rsid w:val="00364208"/>
    <w:rsid w:val="00365AC3"/>
    <w:rsid w:val="00370F87"/>
    <w:rsid w:val="00371CCD"/>
    <w:rsid w:val="003722CB"/>
    <w:rsid w:val="0037437D"/>
    <w:rsid w:val="00375145"/>
    <w:rsid w:val="00375465"/>
    <w:rsid w:val="003754A1"/>
    <w:rsid w:val="00377DDD"/>
    <w:rsid w:val="0038169D"/>
    <w:rsid w:val="003823EA"/>
    <w:rsid w:val="00382C16"/>
    <w:rsid w:val="00383558"/>
    <w:rsid w:val="0038363D"/>
    <w:rsid w:val="0038511B"/>
    <w:rsid w:val="00391396"/>
    <w:rsid w:val="00391E1C"/>
    <w:rsid w:val="003920C5"/>
    <w:rsid w:val="003922CE"/>
    <w:rsid w:val="00392D66"/>
    <w:rsid w:val="003940B1"/>
    <w:rsid w:val="00395800"/>
    <w:rsid w:val="003968A7"/>
    <w:rsid w:val="00396F68"/>
    <w:rsid w:val="00397A4A"/>
    <w:rsid w:val="003A1958"/>
    <w:rsid w:val="003A1D55"/>
    <w:rsid w:val="003A33D2"/>
    <w:rsid w:val="003A4DB6"/>
    <w:rsid w:val="003A621F"/>
    <w:rsid w:val="003A74CA"/>
    <w:rsid w:val="003A77C1"/>
    <w:rsid w:val="003A7A78"/>
    <w:rsid w:val="003B036B"/>
    <w:rsid w:val="003B0C19"/>
    <w:rsid w:val="003B15F9"/>
    <w:rsid w:val="003B2075"/>
    <w:rsid w:val="003B3200"/>
    <w:rsid w:val="003B3B35"/>
    <w:rsid w:val="003B475A"/>
    <w:rsid w:val="003B4A7F"/>
    <w:rsid w:val="003B58D9"/>
    <w:rsid w:val="003B631B"/>
    <w:rsid w:val="003B7E4F"/>
    <w:rsid w:val="003B7EBE"/>
    <w:rsid w:val="003B7F96"/>
    <w:rsid w:val="003C0A85"/>
    <w:rsid w:val="003C0CFD"/>
    <w:rsid w:val="003C0FED"/>
    <w:rsid w:val="003C1729"/>
    <w:rsid w:val="003C2E81"/>
    <w:rsid w:val="003C3AA6"/>
    <w:rsid w:val="003C631A"/>
    <w:rsid w:val="003C703A"/>
    <w:rsid w:val="003C793A"/>
    <w:rsid w:val="003D11A4"/>
    <w:rsid w:val="003D261E"/>
    <w:rsid w:val="003D2D68"/>
    <w:rsid w:val="003D5F2F"/>
    <w:rsid w:val="003D6C37"/>
    <w:rsid w:val="003E1085"/>
    <w:rsid w:val="003E4AE9"/>
    <w:rsid w:val="003E4DB8"/>
    <w:rsid w:val="003F020F"/>
    <w:rsid w:val="003F09BF"/>
    <w:rsid w:val="003F10AB"/>
    <w:rsid w:val="003F2B0B"/>
    <w:rsid w:val="003F3F14"/>
    <w:rsid w:val="003F5385"/>
    <w:rsid w:val="003F76B9"/>
    <w:rsid w:val="00401DAB"/>
    <w:rsid w:val="004026C7"/>
    <w:rsid w:val="004031F6"/>
    <w:rsid w:val="0040375E"/>
    <w:rsid w:val="004043FB"/>
    <w:rsid w:val="00406C9E"/>
    <w:rsid w:val="00407920"/>
    <w:rsid w:val="00411101"/>
    <w:rsid w:val="00411131"/>
    <w:rsid w:val="004126EE"/>
    <w:rsid w:val="004144F4"/>
    <w:rsid w:val="00416004"/>
    <w:rsid w:val="0041766C"/>
    <w:rsid w:val="004211C8"/>
    <w:rsid w:val="00423E7F"/>
    <w:rsid w:val="00424456"/>
    <w:rsid w:val="00425966"/>
    <w:rsid w:val="004272B2"/>
    <w:rsid w:val="00427BAE"/>
    <w:rsid w:val="004311B9"/>
    <w:rsid w:val="00431CB8"/>
    <w:rsid w:val="004328EE"/>
    <w:rsid w:val="00435B73"/>
    <w:rsid w:val="0043623A"/>
    <w:rsid w:val="00440753"/>
    <w:rsid w:val="004478D4"/>
    <w:rsid w:val="00447DA8"/>
    <w:rsid w:val="004523B6"/>
    <w:rsid w:val="00453091"/>
    <w:rsid w:val="00453CE2"/>
    <w:rsid w:val="004540CD"/>
    <w:rsid w:val="00454F3D"/>
    <w:rsid w:val="0045596A"/>
    <w:rsid w:val="00455F30"/>
    <w:rsid w:val="00456602"/>
    <w:rsid w:val="004572D5"/>
    <w:rsid w:val="004601BD"/>
    <w:rsid w:val="00461857"/>
    <w:rsid w:val="00463D0B"/>
    <w:rsid w:val="004646B7"/>
    <w:rsid w:val="00465253"/>
    <w:rsid w:val="00465853"/>
    <w:rsid w:val="00466834"/>
    <w:rsid w:val="00466946"/>
    <w:rsid w:val="00467A77"/>
    <w:rsid w:val="00467C01"/>
    <w:rsid w:val="00467CA8"/>
    <w:rsid w:val="004701CF"/>
    <w:rsid w:val="00471695"/>
    <w:rsid w:val="00471A4D"/>
    <w:rsid w:val="00475163"/>
    <w:rsid w:val="00475706"/>
    <w:rsid w:val="00475BFC"/>
    <w:rsid w:val="004764A4"/>
    <w:rsid w:val="004764E8"/>
    <w:rsid w:val="00476BF8"/>
    <w:rsid w:val="0048176F"/>
    <w:rsid w:val="00481DCA"/>
    <w:rsid w:val="00485115"/>
    <w:rsid w:val="00485BC4"/>
    <w:rsid w:val="00487640"/>
    <w:rsid w:val="004877EE"/>
    <w:rsid w:val="00487AE9"/>
    <w:rsid w:val="00491D04"/>
    <w:rsid w:val="00491E6F"/>
    <w:rsid w:val="00492167"/>
    <w:rsid w:val="00492EA2"/>
    <w:rsid w:val="00494BEF"/>
    <w:rsid w:val="00494F09"/>
    <w:rsid w:val="0049512A"/>
    <w:rsid w:val="0049636B"/>
    <w:rsid w:val="00496EDE"/>
    <w:rsid w:val="00497633"/>
    <w:rsid w:val="004976C8"/>
    <w:rsid w:val="00497D64"/>
    <w:rsid w:val="00497F65"/>
    <w:rsid w:val="004A2852"/>
    <w:rsid w:val="004A3470"/>
    <w:rsid w:val="004A3975"/>
    <w:rsid w:val="004A4701"/>
    <w:rsid w:val="004A54D0"/>
    <w:rsid w:val="004A5672"/>
    <w:rsid w:val="004A6056"/>
    <w:rsid w:val="004A6535"/>
    <w:rsid w:val="004A7034"/>
    <w:rsid w:val="004B0284"/>
    <w:rsid w:val="004B0374"/>
    <w:rsid w:val="004B11CC"/>
    <w:rsid w:val="004B1DDE"/>
    <w:rsid w:val="004B281D"/>
    <w:rsid w:val="004B434E"/>
    <w:rsid w:val="004B5423"/>
    <w:rsid w:val="004B55C9"/>
    <w:rsid w:val="004B5657"/>
    <w:rsid w:val="004B7112"/>
    <w:rsid w:val="004B7F89"/>
    <w:rsid w:val="004C11A1"/>
    <w:rsid w:val="004C1FF3"/>
    <w:rsid w:val="004C535A"/>
    <w:rsid w:val="004C5504"/>
    <w:rsid w:val="004C5BFF"/>
    <w:rsid w:val="004C68EB"/>
    <w:rsid w:val="004C72D3"/>
    <w:rsid w:val="004C76BC"/>
    <w:rsid w:val="004C7C8E"/>
    <w:rsid w:val="004D039C"/>
    <w:rsid w:val="004D0C42"/>
    <w:rsid w:val="004D1171"/>
    <w:rsid w:val="004D36BD"/>
    <w:rsid w:val="004D48BF"/>
    <w:rsid w:val="004D77F4"/>
    <w:rsid w:val="004E3710"/>
    <w:rsid w:val="004E49CF"/>
    <w:rsid w:val="004E60B5"/>
    <w:rsid w:val="004E69B7"/>
    <w:rsid w:val="004E6F8A"/>
    <w:rsid w:val="004E745C"/>
    <w:rsid w:val="004F011A"/>
    <w:rsid w:val="004F3F41"/>
    <w:rsid w:val="004F41FC"/>
    <w:rsid w:val="004F4800"/>
    <w:rsid w:val="004F51AB"/>
    <w:rsid w:val="004F51D5"/>
    <w:rsid w:val="0050062C"/>
    <w:rsid w:val="0050165B"/>
    <w:rsid w:val="005016A4"/>
    <w:rsid w:val="00501853"/>
    <w:rsid w:val="00501A68"/>
    <w:rsid w:val="0050205B"/>
    <w:rsid w:val="00503B9D"/>
    <w:rsid w:val="0050445A"/>
    <w:rsid w:val="00504FE7"/>
    <w:rsid w:val="00506FD5"/>
    <w:rsid w:val="00507F3C"/>
    <w:rsid w:val="00510A38"/>
    <w:rsid w:val="00510BF7"/>
    <w:rsid w:val="00510D3E"/>
    <w:rsid w:val="0051142E"/>
    <w:rsid w:val="00511A79"/>
    <w:rsid w:val="005122D0"/>
    <w:rsid w:val="00512588"/>
    <w:rsid w:val="00512C89"/>
    <w:rsid w:val="00513564"/>
    <w:rsid w:val="00513C66"/>
    <w:rsid w:val="00513D5D"/>
    <w:rsid w:val="005142F7"/>
    <w:rsid w:val="00515D03"/>
    <w:rsid w:val="00516849"/>
    <w:rsid w:val="00516BEE"/>
    <w:rsid w:val="005218C5"/>
    <w:rsid w:val="00522E40"/>
    <w:rsid w:val="00524426"/>
    <w:rsid w:val="00524835"/>
    <w:rsid w:val="00524F2A"/>
    <w:rsid w:val="00525CBB"/>
    <w:rsid w:val="00525E1E"/>
    <w:rsid w:val="00525F85"/>
    <w:rsid w:val="00526389"/>
    <w:rsid w:val="00526FC0"/>
    <w:rsid w:val="005274DD"/>
    <w:rsid w:val="0052767B"/>
    <w:rsid w:val="00530B33"/>
    <w:rsid w:val="00530C00"/>
    <w:rsid w:val="0053224A"/>
    <w:rsid w:val="005330BA"/>
    <w:rsid w:val="00533BB7"/>
    <w:rsid w:val="0053476C"/>
    <w:rsid w:val="00534828"/>
    <w:rsid w:val="005349AF"/>
    <w:rsid w:val="005362E7"/>
    <w:rsid w:val="0053683D"/>
    <w:rsid w:val="00536904"/>
    <w:rsid w:val="005371F4"/>
    <w:rsid w:val="00537278"/>
    <w:rsid w:val="005376F2"/>
    <w:rsid w:val="00537DED"/>
    <w:rsid w:val="00540846"/>
    <w:rsid w:val="00540A27"/>
    <w:rsid w:val="00541033"/>
    <w:rsid w:val="00541F09"/>
    <w:rsid w:val="00542569"/>
    <w:rsid w:val="005439C1"/>
    <w:rsid w:val="005439F3"/>
    <w:rsid w:val="00544363"/>
    <w:rsid w:val="00544927"/>
    <w:rsid w:val="00545DD8"/>
    <w:rsid w:val="0054675A"/>
    <w:rsid w:val="005469D8"/>
    <w:rsid w:val="00546B63"/>
    <w:rsid w:val="00546C76"/>
    <w:rsid w:val="005509CA"/>
    <w:rsid w:val="00550E0C"/>
    <w:rsid w:val="00550EF8"/>
    <w:rsid w:val="00552292"/>
    <w:rsid w:val="00553E4F"/>
    <w:rsid w:val="00554365"/>
    <w:rsid w:val="005545A1"/>
    <w:rsid w:val="00555132"/>
    <w:rsid w:val="00556E3A"/>
    <w:rsid w:val="005573CE"/>
    <w:rsid w:val="005605FF"/>
    <w:rsid w:val="0056092A"/>
    <w:rsid w:val="0056101F"/>
    <w:rsid w:val="005617C9"/>
    <w:rsid w:val="00564054"/>
    <w:rsid w:val="00564950"/>
    <w:rsid w:val="00565F74"/>
    <w:rsid w:val="00566500"/>
    <w:rsid w:val="00570224"/>
    <w:rsid w:val="0057165A"/>
    <w:rsid w:val="005725A9"/>
    <w:rsid w:val="005757AF"/>
    <w:rsid w:val="00577244"/>
    <w:rsid w:val="00577D07"/>
    <w:rsid w:val="00581F70"/>
    <w:rsid w:val="0058270B"/>
    <w:rsid w:val="005843F2"/>
    <w:rsid w:val="00584597"/>
    <w:rsid w:val="00584F28"/>
    <w:rsid w:val="005858D4"/>
    <w:rsid w:val="00585C6F"/>
    <w:rsid w:val="00587030"/>
    <w:rsid w:val="0058735A"/>
    <w:rsid w:val="005923BD"/>
    <w:rsid w:val="00592E88"/>
    <w:rsid w:val="00594E35"/>
    <w:rsid w:val="00594FEF"/>
    <w:rsid w:val="005955C6"/>
    <w:rsid w:val="00597423"/>
    <w:rsid w:val="005A07B0"/>
    <w:rsid w:val="005A1354"/>
    <w:rsid w:val="005A1415"/>
    <w:rsid w:val="005A1D0D"/>
    <w:rsid w:val="005A20A8"/>
    <w:rsid w:val="005A278F"/>
    <w:rsid w:val="005A2FC2"/>
    <w:rsid w:val="005A3BFD"/>
    <w:rsid w:val="005A3E6B"/>
    <w:rsid w:val="005A4CBE"/>
    <w:rsid w:val="005A6082"/>
    <w:rsid w:val="005A64FD"/>
    <w:rsid w:val="005A6CE1"/>
    <w:rsid w:val="005A76C3"/>
    <w:rsid w:val="005A7A10"/>
    <w:rsid w:val="005A7F13"/>
    <w:rsid w:val="005B00F8"/>
    <w:rsid w:val="005B0E58"/>
    <w:rsid w:val="005B2490"/>
    <w:rsid w:val="005B2B07"/>
    <w:rsid w:val="005B3F8A"/>
    <w:rsid w:val="005B52A3"/>
    <w:rsid w:val="005B656C"/>
    <w:rsid w:val="005B77D5"/>
    <w:rsid w:val="005B7B98"/>
    <w:rsid w:val="005B7D24"/>
    <w:rsid w:val="005C0040"/>
    <w:rsid w:val="005C0975"/>
    <w:rsid w:val="005C29AC"/>
    <w:rsid w:val="005C5753"/>
    <w:rsid w:val="005D071B"/>
    <w:rsid w:val="005D1481"/>
    <w:rsid w:val="005D150A"/>
    <w:rsid w:val="005D2F30"/>
    <w:rsid w:val="005D4370"/>
    <w:rsid w:val="005D4688"/>
    <w:rsid w:val="005D50D6"/>
    <w:rsid w:val="005E020A"/>
    <w:rsid w:val="005E0C3C"/>
    <w:rsid w:val="005E34CB"/>
    <w:rsid w:val="005E4F6E"/>
    <w:rsid w:val="005E4FA4"/>
    <w:rsid w:val="005E5B84"/>
    <w:rsid w:val="005E63D6"/>
    <w:rsid w:val="005E6574"/>
    <w:rsid w:val="005E65F8"/>
    <w:rsid w:val="005E6F92"/>
    <w:rsid w:val="005E7441"/>
    <w:rsid w:val="005F00E6"/>
    <w:rsid w:val="005F01A6"/>
    <w:rsid w:val="005F047F"/>
    <w:rsid w:val="005F1350"/>
    <w:rsid w:val="005F13F6"/>
    <w:rsid w:val="005F2C35"/>
    <w:rsid w:val="005F57B4"/>
    <w:rsid w:val="005F6247"/>
    <w:rsid w:val="005F68C1"/>
    <w:rsid w:val="00603BAD"/>
    <w:rsid w:val="00604C04"/>
    <w:rsid w:val="0060602B"/>
    <w:rsid w:val="00606054"/>
    <w:rsid w:val="00606197"/>
    <w:rsid w:val="00606413"/>
    <w:rsid w:val="0060699E"/>
    <w:rsid w:val="00606DA7"/>
    <w:rsid w:val="00611D39"/>
    <w:rsid w:val="00611DBE"/>
    <w:rsid w:val="00612151"/>
    <w:rsid w:val="006130E3"/>
    <w:rsid w:val="00615DB9"/>
    <w:rsid w:val="00615E0A"/>
    <w:rsid w:val="0061659C"/>
    <w:rsid w:val="00616DA3"/>
    <w:rsid w:val="00616EEB"/>
    <w:rsid w:val="00617861"/>
    <w:rsid w:val="0062413B"/>
    <w:rsid w:val="006244C1"/>
    <w:rsid w:val="00624F46"/>
    <w:rsid w:val="00626A7A"/>
    <w:rsid w:val="006271B3"/>
    <w:rsid w:val="0063355E"/>
    <w:rsid w:val="00633701"/>
    <w:rsid w:val="006338D8"/>
    <w:rsid w:val="00633F47"/>
    <w:rsid w:val="00634AB7"/>
    <w:rsid w:val="006355D8"/>
    <w:rsid w:val="00635E51"/>
    <w:rsid w:val="006365BC"/>
    <w:rsid w:val="006375AD"/>
    <w:rsid w:val="00637A52"/>
    <w:rsid w:val="00637D20"/>
    <w:rsid w:val="00640024"/>
    <w:rsid w:val="00640074"/>
    <w:rsid w:val="006401AE"/>
    <w:rsid w:val="006407D7"/>
    <w:rsid w:val="00643A8C"/>
    <w:rsid w:val="00643AFE"/>
    <w:rsid w:val="00644222"/>
    <w:rsid w:val="00644844"/>
    <w:rsid w:val="00644E3D"/>
    <w:rsid w:val="00646F19"/>
    <w:rsid w:val="0064765D"/>
    <w:rsid w:val="006509CB"/>
    <w:rsid w:val="00650AFC"/>
    <w:rsid w:val="0065317A"/>
    <w:rsid w:val="006536B7"/>
    <w:rsid w:val="00654D59"/>
    <w:rsid w:val="00656248"/>
    <w:rsid w:val="00657841"/>
    <w:rsid w:val="00657F29"/>
    <w:rsid w:val="00660D07"/>
    <w:rsid w:val="0066103F"/>
    <w:rsid w:val="00661AB8"/>
    <w:rsid w:val="006633EE"/>
    <w:rsid w:val="0066386D"/>
    <w:rsid w:val="00664C55"/>
    <w:rsid w:val="00666487"/>
    <w:rsid w:val="006664D1"/>
    <w:rsid w:val="00666F77"/>
    <w:rsid w:val="006670ED"/>
    <w:rsid w:val="0066788E"/>
    <w:rsid w:val="00672908"/>
    <w:rsid w:val="0067302B"/>
    <w:rsid w:val="00673EAC"/>
    <w:rsid w:val="00674F5C"/>
    <w:rsid w:val="0067635C"/>
    <w:rsid w:val="006765A5"/>
    <w:rsid w:val="00681E5E"/>
    <w:rsid w:val="006829EF"/>
    <w:rsid w:val="006840F1"/>
    <w:rsid w:val="006852A2"/>
    <w:rsid w:val="0068632A"/>
    <w:rsid w:val="00693E57"/>
    <w:rsid w:val="00693E84"/>
    <w:rsid w:val="006950E0"/>
    <w:rsid w:val="006968E6"/>
    <w:rsid w:val="00697E08"/>
    <w:rsid w:val="006A1318"/>
    <w:rsid w:val="006A2545"/>
    <w:rsid w:val="006A27B3"/>
    <w:rsid w:val="006A54B3"/>
    <w:rsid w:val="006A6B3E"/>
    <w:rsid w:val="006B0658"/>
    <w:rsid w:val="006B06C6"/>
    <w:rsid w:val="006B1515"/>
    <w:rsid w:val="006B18D6"/>
    <w:rsid w:val="006B214C"/>
    <w:rsid w:val="006B333F"/>
    <w:rsid w:val="006B4096"/>
    <w:rsid w:val="006B51EA"/>
    <w:rsid w:val="006C0159"/>
    <w:rsid w:val="006C0478"/>
    <w:rsid w:val="006C05DA"/>
    <w:rsid w:val="006C3B45"/>
    <w:rsid w:val="006C61DE"/>
    <w:rsid w:val="006C6C41"/>
    <w:rsid w:val="006C755C"/>
    <w:rsid w:val="006C7CD8"/>
    <w:rsid w:val="006C7ED8"/>
    <w:rsid w:val="006D4B21"/>
    <w:rsid w:val="006D4BA0"/>
    <w:rsid w:val="006D63BA"/>
    <w:rsid w:val="006D73E1"/>
    <w:rsid w:val="006D7D8F"/>
    <w:rsid w:val="006E2ECA"/>
    <w:rsid w:val="006E3791"/>
    <w:rsid w:val="006E3AD9"/>
    <w:rsid w:val="006E412E"/>
    <w:rsid w:val="006E46DF"/>
    <w:rsid w:val="006E515E"/>
    <w:rsid w:val="006E59E0"/>
    <w:rsid w:val="006F1DE2"/>
    <w:rsid w:val="006F2001"/>
    <w:rsid w:val="006F270D"/>
    <w:rsid w:val="006F280F"/>
    <w:rsid w:val="006F29C0"/>
    <w:rsid w:val="006F4DF9"/>
    <w:rsid w:val="006F5647"/>
    <w:rsid w:val="006F63CE"/>
    <w:rsid w:val="006F6E46"/>
    <w:rsid w:val="006F752B"/>
    <w:rsid w:val="007002F2"/>
    <w:rsid w:val="007019F4"/>
    <w:rsid w:val="00701F28"/>
    <w:rsid w:val="00702FA6"/>
    <w:rsid w:val="00703747"/>
    <w:rsid w:val="00703B88"/>
    <w:rsid w:val="00704882"/>
    <w:rsid w:val="00704E83"/>
    <w:rsid w:val="007050BD"/>
    <w:rsid w:val="00705CEC"/>
    <w:rsid w:val="00706690"/>
    <w:rsid w:val="00710D97"/>
    <w:rsid w:val="00710F0E"/>
    <w:rsid w:val="007117C0"/>
    <w:rsid w:val="00712AE1"/>
    <w:rsid w:val="00713EAE"/>
    <w:rsid w:val="00714DBF"/>
    <w:rsid w:val="007159A9"/>
    <w:rsid w:val="00716D45"/>
    <w:rsid w:val="00717C57"/>
    <w:rsid w:val="007213D7"/>
    <w:rsid w:val="007228AC"/>
    <w:rsid w:val="0072294F"/>
    <w:rsid w:val="00722B81"/>
    <w:rsid w:val="00723318"/>
    <w:rsid w:val="0072448A"/>
    <w:rsid w:val="007250D5"/>
    <w:rsid w:val="00725575"/>
    <w:rsid w:val="00725BBE"/>
    <w:rsid w:val="00726D2D"/>
    <w:rsid w:val="00726F4B"/>
    <w:rsid w:val="00730E62"/>
    <w:rsid w:val="00731F7A"/>
    <w:rsid w:val="00732C8E"/>
    <w:rsid w:val="00734760"/>
    <w:rsid w:val="00734770"/>
    <w:rsid w:val="00735727"/>
    <w:rsid w:val="00735DB4"/>
    <w:rsid w:val="00736965"/>
    <w:rsid w:val="007373A1"/>
    <w:rsid w:val="00740156"/>
    <w:rsid w:val="00742F68"/>
    <w:rsid w:val="0074317D"/>
    <w:rsid w:val="007435B4"/>
    <w:rsid w:val="00744322"/>
    <w:rsid w:val="007444B6"/>
    <w:rsid w:val="00745733"/>
    <w:rsid w:val="00746CC8"/>
    <w:rsid w:val="007472D2"/>
    <w:rsid w:val="00747555"/>
    <w:rsid w:val="007475D8"/>
    <w:rsid w:val="00747E40"/>
    <w:rsid w:val="00747FDC"/>
    <w:rsid w:val="00750B91"/>
    <w:rsid w:val="007511B1"/>
    <w:rsid w:val="00751C92"/>
    <w:rsid w:val="007529B8"/>
    <w:rsid w:val="00753660"/>
    <w:rsid w:val="00754284"/>
    <w:rsid w:val="00754CCE"/>
    <w:rsid w:val="007563CA"/>
    <w:rsid w:val="00756F5B"/>
    <w:rsid w:val="0075751D"/>
    <w:rsid w:val="00760226"/>
    <w:rsid w:val="007609B6"/>
    <w:rsid w:val="00761E9D"/>
    <w:rsid w:val="00762D01"/>
    <w:rsid w:val="00763152"/>
    <w:rsid w:val="007633C7"/>
    <w:rsid w:val="00763A1E"/>
    <w:rsid w:val="00767A1F"/>
    <w:rsid w:val="00767E6D"/>
    <w:rsid w:val="0077135C"/>
    <w:rsid w:val="00771ABC"/>
    <w:rsid w:val="00771E42"/>
    <w:rsid w:val="00771E57"/>
    <w:rsid w:val="00772112"/>
    <w:rsid w:val="0077290A"/>
    <w:rsid w:val="007731AA"/>
    <w:rsid w:val="007745A7"/>
    <w:rsid w:val="00774FFD"/>
    <w:rsid w:val="007752F5"/>
    <w:rsid w:val="00775B12"/>
    <w:rsid w:val="0077626D"/>
    <w:rsid w:val="007766F3"/>
    <w:rsid w:val="00776AD8"/>
    <w:rsid w:val="00780D2A"/>
    <w:rsid w:val="00781398"/>
    <w:rsid w:val="0078239C"/>
    <w:rsid w:val="007829AC"/>
    <w:rsid w:val="00782DFE"/>
    <w:rsid w:val="007835E2"/>
    <w:rsid w:val="00784110"/>
    <w:rsid w:val="00784337"/>
    <w:rsid w:val="0078536C"/>
    <w:rsid w:val="00785A33"/>
    <w:rsid w:val="00786504"/>
    <w:rsid w:val="00787322"/>
    <w:rsid w:val="007876A1"/>
    <w:rsid w:val="00790753"/>
    <w:rsid w:val="00790E8F"/>
    <w:rsid w:val="00791C86"/>
    <w:rsid w:val="0079236D"/>
    <w:rsid w:val="0079341D"/>
    <w:rsid w:val="00797BD2"/>
    <w:rsid w:val="007A036C"/>
    <w:rsid w:val="007A0EDC"/>
    <w:rsid w:val="007A16C6"/>
    <w:rsid w:val="007A1BD5"/>
    <w:rsid w:val="007A21B6"/>
    <w:rsid w:val="007A36F3"/>
    <w:rsid w:val="007A539B"/>
    <w:rsid w:val="007A641C"/>
    <w:rsid w:val="007A6A9E"/>
    <w:rsid w:val="007A6B81"/>
    <w:rsid w:val="007A6C9A"/>
    <w:rsid w:val="007B3973"/>
    <w:rsid w:val="007B3A39"/>
    <w:rsid w:val="007B3B75"/>
    <w:rsid w:val="007B48CF"/>
    <w:rsid w:val="007B4C7E"/>
    <w:rsid w:val="007B52A2"/>
    <w:rsid w:val="007B6ED4"/>
    <w:rsid w:val="007B7E02"/>
    <w:rsid w:val="007C07C0"/>
    <w:rsid w:val="007C0F51"/>
    <w:rsid w:val="007C2327"/>
    <w:rsid w:val="007C2A31"/>
    <w:rsid w:val="007C2FE8"/>
    <w:rsid w:val="007C4091"/>
    <w:rsid w:val="007C5365"/>
    <w:rsid w:val="007C6A98"/>
    <w:rsid w:val="007C6DB4"/>
    <w:rsid w:val="007C7871"/>
    <w:rsid w:val="007C79C1"/>
    <w:rsid w:val="007D0000"/>
    <w:rsid w:val="007D08DB"/>
    <w:rsid w:val="007D1B37"/>
    <w:rsid w:val="007D315B"/>
    <w:rsid w:val="007D3A4D"/>
    <w:rsid w:val="007D3C0B"/>
    <w:rsid w:val="007D4452"/>
    <w:rsid w:val="007D46C1"/>
    <w:rsid w:val="007D4855"/>
    <w:rsid w:val="007D5A0C"/>
    <w:rsid w:val="007D64F4"/>
    <w:rsid w:val="007D736B"/>
    <w:rsid w:val="007E2EA1"/>
    <w:rsid w:val="007E2FA7"/>
    <w:rsid w:val="007E31DC"/>
    <w:rsid w:val="007E3B9B"/>
    <w:rsid w:val="007E47C6"/>
    <w:rsid w:val="007E58CA"/>
    <w:rsid w:val="007E5967"/>
    <w:rsid w:val="007E5E80"/>
    <w:rsid w:val="007E7193"/>
    <w:rsid w:val="007E7309"/>
    <w:rsid w:val="007E7F4D"/>
    <w:rsid w:val="007F0984"/>
    <w:rsid w:val="007F0C30"/>
    <w:rsid w:val="007F14FA"/>
    <w:rsid w:val="007F14FD"/>
    <w:rsid w:val="007F1A80"/>
    <w:rsid w:val="007F25D1"/>
    <w:rsid w:val="007F432F"/>
    <w:rsid w:val="007F4456"/>
    <w:rsid w:val="007F4722"/>
    <w:rsid w:val="007F4738"/>
    <w:rsid w:val="007F53ED"/>
    <w:rsid w:val="007F574B"/>
    <w:rsid w:val="007F6587"/>
    <w:rsid w:val="007F677E"/>
    <w:rsid w:val="007F68EF"/>
    <w:rsid w:val="00800BD9"/>
    <w:rsid w:val="00801268"/>
    <w:rsid w:val="00802884"/>
    <w:rsid w:val="00803152"/>
    <w:rsid w:val="00803D46"/>
    <w:rsid w:val="00805505"/>
    <w:rsid w:val="00805E87"/>
    <w:rsid w:val="0080782C"/>
    <w:rsid w:val="00811244"/>
    <w:rsid w:val="008114A0"/>
    <w:rsid w:val="0081299B"/>
    <w:rsid w:val="00812C8C"/>
    <w:rsid w:val="00814CB9"/>
    <w:rsid w:val="00815B95"/>
    <w:rsid w:val="00816156"/>
    <w:rsid w:val="008172DA"/>
    <w:rsid w:val="0081732C"/>
    <w:rsid w:val="0082028B"/>
    <w:rsid w:val="008205B5"/>
    <w:rsid w:val="00821D79"/>
    <w:rsid w:val="00822301"/>
    <w:rsid w:val="008223AA"/>
    <w:rsid w:val="00825ED9"/>
    <w:rsid w:val="00825F1D"/>
    <w:rsid w:val="0082613B"/>
    <w:rsid w:val="008267B8"/>
    <w:rsid w:val="00827B6C"/>
    <w:rsid w:val="00827FE7"/>
    <w:rsid w:val="0083113F"/>
    <w:rsid w:val="00833060"/>
    <w:rsid w:val="008343E1"/>
    <w:rsid w:val="0083487D"/>
    <w:rsid w:val="008349F4"/>
    <w:rsid w:val="0083528B"/>
    <w:rsid w:val="00835576"/>
    <w:rsid w:val="00835F0D"/>
    <w:rsid w:val="00836C18"/>
    <w:rsid w:val="00837D5C"/>
    <w:rsid w:val="00837E44"/>
    <w:rsid w:val="00841FF1"/>
    <w:rsid w:val="00842749"/>
    <w:rsid w:val="008440C3"/>
    <w:rsid w:val="008440C6"/>
    <w:rsid w:val="0084542B"/>
    <w:rsid w:val="008455C7"/>
    <w:rsid w:val="00847A3F"/>
    <w:rsid w:val="00850979"/>
    <w:rsid w:val="00851445"/>
    <w:rsid w:val="00851528"/>
    <w:rsid w:val="0085168A"/>
    <w:rsid w:val="00851C83"/>
    <w:rsid w:val="00852EB2"/>
    <w:rsid w:val="00853A7F"/>
    <w:rsid w:val="00855B07"/>
    <w:rsid w:val="008562B0"/>
    <w:rsid w:val="00857554"/>
    <w:rsid w:val="00857EEA"/>
    <w:rsid w:val="00857F9A"/>
    <w:rsid w:val="00860455"/>
    <w:rsid w:val="00860B4D"/>
    <w:rsid w:val="008628CC"/>
    <w:rsid w:val="00864A8D"/>
    <w:rsid w:val="00864D49"/>
    <w:rsid w:val="008665B0"/>
    <w:rsid w:val="00866746"/>
    <w:rsid w:val="0086736F"/>
    <w:rsid w:val="00870223"/>
    <w:rsid w:val="0087110C"/>
    <w:rsid w:val="008713C4"/>
    <w:rsid w:val="00871916"/>
    <w:rsid w:val="0087234A"/>
    <w:rsid w:val="008753A5"/>
    <w:rsid w:val="00876492"/>
    <w:rsid w:val="00876539"/>
    <w:rsid w:val="0087785B"/>
    <w:rsid w:val="008804B2"/>
    <w:rsid w:val="00880792"/>
    <w:rsid w:val="00881FB7"/>
    <w:rsid w:val="00882AF8"/>
    <w:rsid w:val="00882BA0"/>
    <w:rsid w:val="00883E24"/>
    <w:rsid w:val="00885B55"/>
    <w:rsid w:val="00885E1A"/>
    <w:rsid w:val="008903CA"/>
    <w:rsid w:val="00890771"/>
    <w:rsid w:val="0089118F"/>
    <w:rsid w:val="008917EC"/>
    <w:rsid w:val="00892F32"/>
    <w:rsid w:val="00893794"/>
    <w:rsid w:val="00893C09"/>
    <w:rsid w:val="00893DDA"/>
    <w:rsid w:val="0089421E"/>
    <w:rsid w:val="00894A6E"/>
    <w:rsid w:val="00894FFD"/>
    <w:rsid w:val="00896E04"/>
    <w:rsid w:val="008974C4"/>
    <w:rsid w:val="00897591"/>
    <w:rsid w:val="008A1E00"/>
    <w:rsid w:val="008A210B"/>
    <w:rsid w:val="008A2868"/>
    <w:rsid w:val="008A2D63"/>
    <w:rsid w:val="008A3060"/>
    <w:rsid w:val="008A3320"/>
    <w:rsid w:val="008A3390"/>
    <w:rsid w:val="008A367A"/>
    <w:rsid w:val="008A3701"/>
    <w:rsid w:val="008A64C0"/>
    <w:rsid w:val="008A772B"/>
    <w:rsid w:val="008A7E7C"/>
    <w:rsid w:val="008B0B5C"/>
    <w:rsid w:val="008B1278"/>
    <w:rsid w:val="008B1737"/>
    <w:rsid w:val="008B1890"/>
    <w:rsid w:val="008B4B8A"/>
    <w:rsid w:val="008B5908"/>
    <w:rsid w:val="008B6DC5"/>
    <w:rsid w:val="008B6F63"/>
    <w:rsid w:val="008C129A"/>
    <w:rsid w:val="008C1C27"/>
    <w:rsid w:val="008C4FBE"/>
    <w:rsid w:val="008C66CF"/>
    <w:rsid w:val="008C73E5"/>
    <w:rsid w:val="008D0A41"/>
    <w:rsid w:val="008D211B"/>
    <w:rsid w:val="008D3229"/>
    <w:rsid w:val="008D3D6D"/>
    <w:rsid w:val="008D3FCD"/>
    <w:rsid w:val="008D50F9"/>
    <w:rsid w:val="008D5955"/>
    <w:rsid w:val="008D6971"/>
    <w:rsid w:val="008D6AB7"/>
    <w:rsid w:val="008D706A"/>
    <w:rsid w:val="008E0D5B"/>
    <w:rsid w:val="008E1335"/>
    <w:rsid w:val="008E1D81"/>
    <w:rsid w:val="008E2340"/>
    <w:rsid w:val="008E3085"/>
    <w:rsid w:val="008E3304"/>
    <w:rsid w:val="008E332B"/>
    <w:rsid w:val="008E3A9D"/>
    <w:rsid w:val="008E47BC"/>
    <w:rsid w:val="008E7A3D"/>
    <w:rsid w:val="008E7F79"/>
    <w:rsid w:val="008F04E3"/>
    <w:rsid w:val="008F067F"/>
    <w:rsid w:val="008F0C33"/>
    <w:rsid w:val="008F1129"/>
    <w:rsid w:val="008F18EA"/>
    <w:rsid w:val="008F1954"/>
    <w:rsid w:val="008F1B9E"/>
    <w:rsid w:val="008F35E3"/>
    <w:rsid w:val="008F4B12"/>
    <w:rsid w:val="008F6366"/>
    <w:rsid w:val="009005B7"/>
    <w:rsid w:val="00901917"/>
    <w:rsid w:val="009038C5"/>
    <w:rsid w:val="00906238"/>
    <w:rsid w:val="00906262"/>
    <w:rsid w:val="00906426"/>
    <w:rsid w:val="00906DB2"/>
    <w:rsid w:val="00911314"/>
    <w:rsid w:val="00912103"/>
    <w:rsid w:val="0091373F"/>
    <w:rsid w:val="0091536B"/>
    <w:rsid w:val="00916B32"/>
    <w:rsid w:val="00916F00"/>
    <w:rsid w:val="0091745D"/>
    <w:rsid w:val="00920310"/>
    <w:rsid w:val="009211C8"/>
    <w:rsid w:val="009218C0"/>
    <w:rsid w:val="00922230"/>
    <w:rsid w:val="0092344E"/>
    <w:rsid w:val="009236A8"/>
    <w:rsid w:val="00923714"/>
    <w:rsid w:val="00926534"/>
    <w:rsid w:val="00930E27"/>
    <w:rsid w:val="0093262E"/>
    <w:rsid w:val="00933CF8"/>
    <w:rsid w:val="00934523"/>
    <w:rsid w:val="009347C2"/>
    <w:rsid w:val="0093503A"/>
    <w:rsid w:val="009354DC"/>
    <w:rsid w:val="00935DC0"/>
    <w:rsid w:val="009360A2"/>
    <w:rsid w:val="00936F31"/>
    <w:rsid w:val="00937297"/>
    <w:rsid w:val="009407D0"/>
    <w:rsid w:val="00940E50"/>
    <w:rsid w:val="00941B4A"/>
    <w:rsid w:val="009445F8"/>
    <w:rsid w:val="0094511A"/>
    <w:rsid w:val="00946031"/>
    <w:rsid w:val="0094619C"/>
    <w:rsid w:val="00947131"/>
    <w:rsid w:val="00951B89"/>
    <w:rsid w:val="009560E5"/>
    <w:rsid w:val="00957B5E"/>
    <w:rsid w:val="00957E92"/>
    <w:rsid w:val="00960DEF"/>
    <w:rsid w:val="0096155B"/>
    <w:rsid w:val="00962927"/>
    <w:rsid w:val="00962C9A"/>
    <w:rsid w:val="009630D6"/>
    <w:rsid w:val="00963894"/>
    <w:rsid w:val="00963D5B"/>
    <w:rsid w:val="00963DB4"/>
    <w:rsid w:val="009655CE"/>
    <w:rsid w:val="00967683"/>
    <w:rsid w:val="00967E5E"/>
    <w:rsid w:val="00970F61"/>
    <w:rsid w:val="009715AA"/>
    <w:rsid w:val="009717D6"/>
    <w:rsid w:val="00971E68"/>
    <w:rsid w:val="0097343C"/>
    <w:rsid w:val="0097386B"/>
    <w:rsid w:val="0097716E"/>
    <w:rsid w:val="00977305"/>
    <w:rsid w:val="009778D1"/>
    <w:rsid w:val="00981757"/>
    <w:rsid w:val="00982184"/>
    <w:rsid w:val="00985C45"/>
    <w:rsid w:val="0098615B"/>
    <w:rsid w:val="00986A19"/>
    <w:rsid w:val="00987B47"/>
    <w:rsid w:val="009924BD"/>
    <w:rsid w:val="0099306C"/>
    <w:rsid w:val="00994276"/>
    <w:rsid w:val="009944F1"/>
    <w:rsid w:val="00994BF2"/>
    <w:rsid w:val="00996CE4"/>
    <w:rsid w:val="00996D03"/>
    <w:rsid w:val="00997D98"/>
    <w:rsid w:val="009A2100"/>
    <w:rsid w:val="009A24A4"/>
    <w:rsid w:val="009A25E5"/>
    <w:rsid w:val="009A3D1E"/>
    <w:rsid w:val="009A430E"/>
    <w:rsid w:val="009A47EC"/>
    <w:rsid w:val="009A5877"/>
    <w:rsid w:val="009A7F79"/>
    <w:rsid w:val="009B0E91"/>
    <w:rsid w:val="009B4713"/>
    <w:rsid w:val="009B6406"/>
    <w:rsid w:val="009B67B9"/>
    <w:rsid w:val="009B6845"/>
    <w:rsid w:val="009C01AC"/>
    <w:rsid w:val="009C0BB5"/>
    <w:rsid w:val="009C1CA5"/>
    <w:rsid w:val="009C449E"/>
    <w:rsid w:val="009C49DF"/>
    <w:rsid w:val="009C5957"/>
    <w:rsid w:val="009C5A9D"/>
    <w:rsid w:val="009C60B5"/>
    <w:rsid w:val="009C644E"/>
    <w:rsid w:val="009C6A37"/>
    <w:rsid w:val="009C77BF"/>
    <w:rsid w:val="009C7A50"/>
    <w:rsid w:val="009D106F"/>
    <w:rsid w:val="009D155D"/>
    <w:rsid w:val="009D16C1"/>
    <w:rsid w:val="009D31C9"/>
    <w:rsid w:val="009D3B5A"/>
    <w:rsid w:val="009D3B6E"/>
    <w:rsid w:val="009D48FA"/>
    <w:rsid w:val="009D4E31"/>
    <w:rsid w:val="009D4F7E"/>
    <w:rsid w:val="009D5F80"/>
    <w:rsid w:val="009D6C68"/>
    <w:rsid w:val="009D6C6E"/>
    <w:rsid w:val="009E2537"/>
    <w:rsid w:val="009E359D"/>
    <w:rsid w:val="009E3807"/>
    <w:rsid w:val="009E3BD2"/>
    <w:rsid w:val="009E58C0"/>
    <w:rsid w:val="009E6624"/>
    <w:rsid w:val="009E7C57"/>
    <w:rsid w:val="009F125C"/>
    <w:rsid w:val="009F30F0"/>
    <w:rsid w:val="009F4C63"/>
    <w:rsid w:val="009F5A15"/>
    <w:rsid w:val="009F607A"/>
    <w:rsid w:val="009F6C8B"/>
    <w:rsid w:val="00A000F9"/>
    <w:rsid w:val="00A0396D"/>
    <w:rsid w:val="00A039A4"/>
    <w:rsid w:val="00A04D42"/>
    <w:rsid w:val="00A061FE"/>
    <w:rsid w:val="00A06464"/>
    <w:rsid w:val="00A06BC2"/>
    <w:rsid w:val="00A1023F"/>
    <w:rsid w:val="00A102C7"/>
    <w:rsid w:val="00A109D7"/>
    <w:rsid w:val="00A11715"/>
    <w:rsid w:val="00A11D40"/>
    <w:rsid w:val="00A133FF"/>
    <w:rsid w:val="00A13EED"/>
    <w:rsid w:val="00A1491C"/>
    <w:rsid w:val="00A14B5E"/>
    <w:rsid w:val="00A14EAB"/>
    <w:rsid w:val="00A14FD6"/>
    <w:rsid w:val="00A150FF"/>
    <w:rsid w:val="00A1544A"/>
    <w:rsid w:val="00A15E4E"/>
    <w:rsid w:val="00A163A9"/>
    <w:rsid w:val="00A168DC"/>
    <w:rsid w:val="00A17F52"/>
    <w:rsid w:val="00A214C7"/>
    <w:rsid w:val="00A22067"/>
    <w:rsid w:val="00A256D3"/>
    <w:rsid w:val="00A25E33"/>
    <w:rsid w:val="00A269D1"/>
    <w:rsid w:val="00A26D28"/>
    <w:rsid w:val="00A27DDB"/>
    <w:rsid w:val="00A30A2C"/>
    <w:rsid w:val="00A3192F"/>
    <w:rsid w:val="00A32024"/>
    <w:rsid w:val="00A32AF4"/>
    <w:rsid w:val="00A32C3D"/>
    <w:rsid w:val="00A33593"/>
    <w:rsid w:val="00A346F3"/>
    <w:rsid w:val="00A3540D"/>
    <w:rsid w:val="00A367A9"/>
    <w:rsid w:val="00A3689C"/>
    <w:rsid w:val="00A36BA7"/>
    <w:rsid w:val="00A40260"/>
    <w:rsid w:val="00A41924"/>
    <w:rsid w:val="00A41D70"/>
    <w:rsid w:val="00A41F4F"/>
    <w:rsid w:val="00A434A6"/>
    <w:rsid w:val="00A434E1"/>
    <w:rsid w:val="00A447B9"/>
    <w:rsid w:val="00A46B8B"/>
    <w:rsid w:val="00A4747B"/>
    <w:rsid w:val="00A506E4"/>
    <w:rsid w:val="00A51A01"/>
    <w:rsid w:val="00A55166"/>
    <w:rsid w:val="00A55658"/>
    <w:rsid w:val="00A5606A"/>
    <w:rsid w:val="00A57B89"/>
    <w:rsid w:val="00A6102C"/>
    <w:rsid w:val="00A61620"/>
    <w:rsid w:val="00A6340A"/>
    <w:rsid w:val="00A6436D"/>
    <w:rsid w:val="00A64762"/>
    <w:rsid w:val="00A65151"/>
    <w:rsid w:val="00A6670F"/>
    <w:rsid w:val="00A709D3"/>
    <w:rsid w:val="00A70B6F"/>
    <w:rsid w:val="00A71D0C"/>
    <w:rsid w:val="00A741FD"/>
    <w:rsid w:val="00A7469D"/>
    <w:rsid w:val="00A7473C"/>
    <w:rsid w:val="00A75199"/>
    <w:rsid w:val="00A763F6"/>
    <w:rsid w:val="00A771A0"/>
    <w:rsid w:val="00A8022C"/>
    <w:rsid w:val="00A809B1"/>
    <w:rsid w:val="00A80E59"/>
    <w:rsid w:val="00A80F8C"/>
    <w:rsid w:val="00A864E4"/>
    <w:rsid w:val="00A8728F"/>
    <w:rsid w:val="00A9031D"/>
    <w:rsid w:val="00A93EA0"/>
    <w:rsid w:val="00A946F1"/>
    <w:rsid w:val="00A95540"/>
    <w:rsid w:val="00A958DE"/>
    <w:rsid w:val="00A960DF"/>
    <w:rsid w:val="00A96B17"/>
    <w:rsid w:val="00A96BD1"/>
    <w:rsid w:val="00A9721D"/>
    <w:rsid w:val="00A9776C"/>
    <w:rsid w:val="00A9790D"/>
    <w:rsid w:val="00A97BB1"/>
    <w:rsid w:val="00AA0808"/>
    <w:rsid w:val="00AA0988"/>
    <w:rsid w:val="00AA0F1D"/>
    <w:rsid w:val="00AA18F9"/>
    <w:rsid w:val="00AA2552"/>
    <w:rsid w:val="00AA2822"/>
    <w:rsid w:val="00AA2B74"/>
    <w:rsid w:val="00AA3092"/>
    <w:rsid w:val="00AA3327"/>
    <w:rsid w:val="00AA3565"/>
    <w:rsid w:val="00AA42FA"/>
    <w:rsid w:val="00AA43E3"/>
    <w:rsid w:val="00AA52E1"/>
    <w:rsid w:val="00AA580A"/>
    <w:rsid w:val="00AA5F8A"/>
    <w:rsid w:val="00AA770E"/>
    <w:rsid w:val="00AA7F9F"/>
    <w:rsid w:val="00AB0CD8"/>
    <w:rsid w:val="00AB314A"/>
    <w:rsid w:val="00AB414B"/>
    <w:rsid w:val="00AB43C7"/>
    <w:rsid w:val="00AB463B"/>
    <w:rsid w:val="00AB4EE0"/>
    <w:rsid w:val="00AB7498"/>
    <w:rsid w:val="00AC1D9C"/>
    <w:rsid w:val="00AC3196"/>
    <w:rsid w:val="00AC331B"/>
    <w:rsid w:val="00AC3C13"/>
    <w:rsid w:val="00AC4488"/>
    <w:rsid w:val="00AC5013"/>
    <w:rsid w:val="00AC5FB0"/>
    <w:rsid w:val="00AC6DD3"/>
    <w:rsid w:val="00AC72F5"/>
    <w:rsid w:val="00AD00D0"/>
    <w:rsid w:val="00AD1ECD"/>
    <w:rsid w:val="00AD248D"/>
    <w:rsid w:val="00AD35B2"/>
    <w:rsid w:val="00AD3BCF"/>
    <w:rsid w:val="00AD4802"/>
    <w:rsid w:val="00AD4AA2"/>
    <w:rsid w:val="00AD50F9"/>
    <w:rsid w:val="00AD574A"/>
    <w:rsid w:val="00AD58E2"/>
    <w:rsid w:val="00AD5BA8"/>
    <w:rsid w:val="00AD692B"/>
    <w:rsid w:val="00AD7DEC"/>
    <w:rsid w:val="00AE0416"/>
    <w:rsid w:val="00AE0DE2"/>
    <w:rsid w:val="00AE1A98"/>
    <w:rsid w:val="00AE2823"/>
    <w:rsid w:val="00AE3F75"/>
    <w:rsid w:val="00AE47C0"/>
    <w:rsid w:val="00AE4F0B"/>
    <w:rsid w:val="00AE5096"/>
    <w:rsid w:val="00AE6725"/>
    <w:rsid w:val="00AE7412"/>
    <w:rsid w:val="00AE7DF5"/>
    <w:rsid w:val="00AF0045"/>
    <w:rsid w:val="00AF056D"/>
    <w:rsid w:val="00AF1C96"/>
    <w:rsid w:val="00AF20E3"/>
    <w:rsid w:val="00AF25A6"/>
    <w:rsid w:val="00AF2C25"/>
    <w:rsid w:val="00AF7B47"/>
    <w:rsid w:val="00B00396"/>
    <w:rsid w:val="00B031E8"/>
    <w:rsid w:val="00B0353E"/>
    <w:rsid w:val="00B050BA"/>
    <w:rsid w:val="00B06997"/>
    <w:rsid w:val="00B077B5"/>
    <w:rsid w:val="00B07F20"/>
    <w:rsid w:val="00B10261"/>
    <w:rsid w:val="00B10745"/>
    <w:rsid w:val="00B11855"/>
    <w:rsid w:val="00B13AEB"/>
    <w:rsid w:val="00B13DCA"/>
    <w:rsid w:val="00B1421A"/>
    <w:rsid w:val="00B15559"/>
    <w:rsid w:val="00B162F3"/>
    <w:rsid w:val="00B2042A"/>
    <w:rsid w:val="00B204C4"/>
    <w:rsid w:val="00B228A1"/>
    <w:rsid w:val="00B2466D"/>
    <w:rsid w:val="00B25069"/>
    <w:rsid w:val="00B30E2C"/>
    <w:rsid w:val="00B325AB"/>
    <w:rsid w:val="00B34FF9"/>
    <w:rsid w:val="00B3619D"/>
    <w:rsid w:val="00B36BBD"/>
    <w:rsid w:val="00B379D3"/>
    <w:rsid w:val="00B402B4"/>
    <w:rsid w:val="00B40D0A"/>
    <w:rsid w:val="00B41EF1"/>
    <w:rsid w:val="00B4375D"/>
    <w:rsid w:val="00B44CB8"/>
    <w:rsid w:val="00B4661E"/>
    <w:rsid w:val="00B50251"/>
    <w:rsid w:val="00B5051A"/>
    <w:rsid w:val="00B508D3"/>
    <w:rsid w:val="00B54D16"/>
    <w:rsid w:val="00B55F83"/>
    <w:rsid w:val="00B567A6"/>
    <w:rsid w:val="00B56D27"/>
    <w:rsid w:val="00B56ED0"/>
    <w:rsid w:val="00B5743A"/>
    <w:rsid w:val="00B63850"/>
    <w:rsid w:val="00B644D2"/>
    <w:rsid w:val="00B70C36"/>
    <w:rsid w:val="00B717A5"/>
    <w:rsid w:val="00B72641"/>
    <w:rsid w:val="00B72AAF"/>
    <w:rsid w:val="00B72F3E"/>
    <w:rsid w:val="00B75A4D"/>
    <w:rsid w:val="00B75CB5"/>
    <w:rsid w:val="00B76C64"/>
    <w:rsid w:val="00B8447C"/>
    <w:rsid w:val="00B914FE"/>
    <w:rsid w:val="00B91861"/>
    <w:rsid w:val="00B91F64"/>
    <w:rsid w:val="00B92640"/>
    <w:rsid w:val="00B929E9"/>
    <w:rsid w:val="00B93E97"/>
    <w:rsid w:val="00B950F3"/>
    <w:rsid w:val="00B9721F"/>
    <w:rsid w:val="00B97D99"/>
    <w:rsid w:val="00BA5A1B"/>
    <w:rsid w:val="00BA5C75"/>
    <w:rsid w:val="00BA6425"/>
    <w:rsid w:val="00BA6624"/>
    <w:rsid w:val="00BB11AE"/>
    <w:rsid w:val="00BB12B1"/>
    <w:rsid w:val="00BB1366"/>
    <w:rsid w:val="00BB332D"/>
    <w:rsid w:val="00BB3ECA"/>
    <w:rsid w:val="00BB3F5B"/>
    <w:rsid w:val="00BB6409"/>
    <w:rsid w:val="00BC4A0C"/>
    <w:rsid w:val="00BC4CE3"/>
    <w:rsid w:val="00BC4DD2"/>
    <w:rsid w:val="00BC5F45"/>
    <w:rsid w:val="00BC67A7"/>
    <w:rsid w:val="00BC74B7"/>
    <w:rsid w:val="00BC76D9"/>
    <w:rsid w:val="00BC79CD"/>
    <w:rsid w:val="00BD0240"/>
    <w:rsid w:val="00BD07EC"/>
    <w:rsid w:val="00BD10C0"/>
    <w:rsid w:val="00BD1BF8"/>
    <w:rsid w:val="00BD2318"/>
    <w:rsid w:val="00BD2878"/>
    <w:rsid w:val="00BD30C5"/>
    <w:rsid w:val="00BD332F"/>
    <w:rsid w:val="00BD564C"/>
    <w:rsid w:val="00BD6BF4"/>
    <w:rsid w:val="00BD75CC"/>
    <w:rsid w:val="00BD78AE"/>
    <w:rsid w:val="00BD7E8D"/>
    <w:rsid w:val="00BD7FCF"/>
    <w:rsid w:val="00BE0201"/>
    <w:rsid w:val="00BE050A"/>
    <w:rsid w:val="00BE1D5F"/>
    <w:rsid w:val="00BE3A11"/>
    <w:rsid w:val="00BE436E"/>
    <w:rsid w:val="00BE57F7"/>
    <w:rsid w:val="00BE6B80"/>
    <w:rsid w:val="00BE71ED"/>
    <w:rsid w:val="00BE7E23"/>
    <w:rsid w:val="00BE7E8C"/>
    <w:rsid w:val="00BF1CB7"/>
    <w:rsid w:val="00BF2500"/>
    <w:rsid w:val="00BF276B"/>
    <w:rsid w:val="00BF67D7"/>
    <w:rsid w:val="00C01A3A"/>
    <w:rsid w:val="00C01A71"/>
    <w:rsid w:val="00C02A17"/>
    <w:rsid w:val="00C03F42"/>
    <w:rsid w:val="00C0432D"/>
    <w:rsid w:val="00C058F4"/>
    <w:rsid w:val="00C0668D"/>
    <w:rsid w:val="00C06EEA"/>
    <w:rsid w:val="00C06F1F"/>
    <w:rsid w:val="00C11F4C"/>
    <w:rsid w:val="00C1552B"/>
    <w:rsid w:val="00C15989"/>
    <w:rsid w:val="00C167A4"/>
    <w:rsid w:val="00C20613"/>
    <w:rsid w:val="00C20B38"/>
    <w:rsid w:val="00C21C53"/>
    <w:rsid w:val="00C23307"/>
    <w:rsid w:val="00C23E55"/>
    <w:rsid w:val="00C25313"/>
    <w:rsid w:val="00C305C0"/>
    <w:rsid w:val="00C326BA"/>
    <w:rsid w:val="00C328E5"/>
    <w:rsid w:val="00C34AFB"/>
    <w:rsid w:val="00C3603F"/>
    <w:rsid w:val="00C3641B"/>
    <w:rsid w:val="00C366D3"/>
    <w:rsid w:val="00C375C3"/>
    <w:rsid w:val="00C401D0"/>
    <w:rsid w:val="00C4109F"/>
    <w:rsid w:val="00C4168A"/>
    <w:rsid w:val="00C420D4"/>
    <w:rsid w:val="00C42E1E"/>
    <w:rsid w:val="00C44183"/>
    <w:rsid w:val="00C500E4"/>
    <w:rsid w:val="00C50671"/>
    <w:rsid w:val="00C51952"/>
    <w:rsid w:val="00C54D79"/>
    <w:rsid w:val="00C55155"/>
    <w:rsid w:val="00C55259"/>
    <w:rsid w:val="00C5572C"/>
    <w:rsid w:val="00C558DA"/>
    <w:rsid w:val="00C55FE8"/>
    <w:rsid w:val="00C56C63"/>
    <w:rsid w:val="00C57238"/>
    <w:rsid w:val="00C57803"/>
    <w:rsid w:val="00C57944"/>
    <w:rsid w:val="00C57D50"/>
    <w:rsid w:val="00C63439"/>
    <w:rsid w:val="00C6390D"/>
    <w:rsid w:val="00C63D60"/>
    <w:rsid w:val="00C64041"/>
    <w:rsid w:val="00C64048"/>
    <w:rsid w:val="00C64F38"/>
    <w:rsid w:val="00C669BF"/>
    <w:rsid w:val="00C676CE"/>
    <w:rsid w:val="00C67B05"/>
    <w:rsid w:val="00C7032A"/>
    <w:rsid w:val="00C70415"/>
    <w:rsid w:val="00C71FCC"/>
    <w:rsid w:val="00C7205C"/>
    <w:rsid w:val="00C73BEF"/>
    <w:rsid w:val="00C7480A"/>
    <w:rsid w:val="00C74A58"/>
    <w:rsid w:val="00C77385"/>
    <w:rsid w:val="00C84063"/>
    <w:rsid w:val="00C855DF"/>
    <w:rsid w:val="00C85A01"/>
    <w:rsid w:val="00C861C0"/>
    <w:rsid w:val="00C86E83"/>
    <w:rsid w:val="00C87FAF"/>
    <w:rsid w:val="00C902CA"/>
    <w:rsid w:val="00C90B09"/>
    <w:rsid w:val="00C90B2E"/>
    <w:rsid w:val="00C91052"/>
    <w:rsid w:val="00C9146A"/>
    <w:rsid w:val="00C91B10"/>
    <w:rsid w:val="00C92F1D"/>
    <w:rsid w:val="00C93A7C"/>
    <w:rsid w:val="00C95D28"/>
    <w:rsid w:val="00C97A2B"/>
    <w:rsid w:val="00CA0156"/>
    <w:rsid w:val="00CA0648"/>
    <w:rsid w:val="00CA0CC5"/>
    <w:rsid w:val="00CA0F20"/>
    <w:rsid w:val="00CA163C"/>
    <w:rsid w:val="00CA1726"/>
    <w:rsid w:val="00CA1E4C"/>
    <w:rsid w:val="00CA3F02"/>
    <w:rsid w:val="00CA4288"/>
    <w:rsid w:val="00CA43A4"/>
    <w:rsid w:val="00CA5688"/>
    <w:rsid w:val="00CA5CEA"/>
    <w:rsid w:val="00CA7709"/>
    <w:rsid w:val="00CA7A5D"/>
    <w:rsid w:val="00CA7E60"/>
    <w:rsid w:val="00CB1B1C"/>
    <w:rsid w:val="00CB2716"/>
    <w:rsid w:val="00CB2E75"/>
    <w:rsid w:val="00CB34BF"/>
    <w:rsid w:val="00CB34EF"/>
    <w:rsid w:val="00CB4A46"/>
    <w:rsid w:val="00CB557F"/>
    <w:rsid w:val="00CB55AD"/>
    <w:rsid w:val="00CB5C5E"/>
    <w:rsid w:val="00CB6717"/>
    <w:rsid w:val="00CB6D7C"/>
    <w:rsid w:val="00CC051D"/>
    <w:rsid w:val="00CC07C8"/>
    <w:rsid w:val="00CC088C"/>
    <w:rsid w:val="00CC1655"/>
    <w:rsid w:val="00CC2075"/>
    <w:rsid w:val="00CC21BD"/>
    <w:rsid w:val="00CC4914"/>
    <w:rsid w:val="00CC4FC9"/>
    <w:rsid w:val="00CC77FA"/>
    <w:rsid w:val="00CC7F2B"/>
    <w:rsid w:val="00CD0435"/>
    <w:rsid w:val="00CD403B"/>
    <w:rsid w:val="00CD5B53"/>
    <w:rsid w:val="00CD5C99"/>
    <w:rsid w:val="00CD7ECF"/>
    <w:rsid w:val="00CE2D95"/>
    <w:rsid w:val="00CE2F8B"/>
    <w:rsid w:val="00CE306F"/>
    <w:rsid w:val="00CE3B65"/>
    <w:rsid w:val="00CE62EE"/>
    <w:rsid w:val="00CE66A6"/>
    <w:rsid w:val="00CE6B30"/>
    <w:rsid w:val="00CE78C4"/>
    <w:rsid w:val="00CF1AFA"/>
    <w:rsid w:val="00CF1FD3"/>
    <w:rsid w:val="00CF3304"/>
    <w:rsid w:val="00CF3B14"/>
    <w:rsid w:val="00CF496A"/>
    <w:rsid w:val="00CF57F2"/>
    <w:rsid w:val="00D00A70"/>
    <w:rsid w:val="00D029E6"/>
    <w:rsid w:val="00D06E97"/>
    <w:rsid w:val="00D073BD"/>
    <w:rsid w:val="00D10CF8"/>
    <w:rsid w:val="00D11DC9"/>
    <w:rsid w:val="00D11E34"/>
    <w:rsid w:val="00D1221C"/>
    <w:rsid w:val="00D13415"/>
    <w:rsid w:val="00D13D72"/>
    <w:rsid w:val="00D13F8E"/>
    <w:rsid w:val="00D14B3B"/>
    <w:rsid w:val="00D205E5"/>
    <w:rsid w:val="00D20ABE"/>
    <w:rsid w:val="00D214CD"/>
    <w:rsid w:val="00D21BBC"/>
    <w:rsid w:val="00D21D6E"/>
    <w:rsid w:val="00D2223A"/>
    <w:rsid w:val="00D22803"/>
    <w:rsid w:val="00D22E8B"/>
    <w:rsid w:val="00D23385"/>
    <w:rsid w:val="00D23758"/>
    <w:rsid w:val="00D23EC6"/>
    <w:rsid w:val="00D25126"/>
    <w:rsid w:val="00D25D7D"/>
    <w:rsid w:val="00D27DBC"/>
    <w:rsid w:val="00D3206A"/>
    <w:rsid w:val="00D32244"/>
    <w:rsid w:val="00D3278E"/>
    <w:rsid w:val="00D331D9"/>
    <w:rsid w:val="00D41611"/>
    <w:rsid w:val="00D4299D"/>
    <w:rsid w:val="00D42D32"/>
    <w:rsid w:val="00D432A3"/>
    <w:rsid w:val="00D44BA7"/>
    <w:rsid w:val="00D44BC0"/>
    <w:rsid w:val="00D45F08"/>
    <w:rsid w:val="00D47E3E"/>
    <w:rsid w:val="00D47E8E"/>
    <w:rsid w:val="00D50B22"/>
    <w:rsid w:val="00D5204B"/>
    <w:rsid w:val="00D52CDB"/>
    <w:rsid w:val="00D54AA4"/>
    <w:rsid w:val="00D54CBB"/>
    <w:rsid w:val="00D55CA7"/>
    <w:rsid w:val="00D56BB4"/>
    <w:rsid w:val="00D56C2A"/>
    <w:rsid w:val="00D56D89"/>
    <w:rsid w:val="00D57E4B"/>
    <w:rsid w:val="00D60535"/>
    <w:rsid w:val="00D605A7"/>
    <w:rsid w:val="00D60768"/>
    <w:rsid w:val="00D633E7"/>
    <w:rsid w:val="00D636A5"/>
    <w:rsid w:val="00D644F8"/>
    <w:rsid w:val="00D65AA6"/>
    <w:rsid w:val="00D676C3"/>
    <w:rsid w:val="00D67EB2"/>
    <w:rsid w:val="00D71375"/>
    <w:rsid w:val="00D71EA6"/>
    <w:rsid w:val="00D72625"/>
    <w:rsid w:val="00D7390C"/>
    <w:rsid w:val="00D762F5"/>
    <w:rsid w:val="00D76C1E"/>
    <w:rsid w:val="00D8050D"/>
    <w:rsid w:val="00D80FBF"/>
    <w:rsid w:val="00D8261B"/>
    <w:rsid w:val="00D82CD8"/>
    <w:rsid w:val="00D830F9"/>
    <w:rsid w:val="00D8317B"/>
    <w:rsid w:val="00D83477"/>
    <w:rsid w:val="00D8388E"/>
    <w:rsid w:val="00D83B88"/>
    <w:rsid w:val="00D83D33"/>
    <w:rsid w:val="00D85C67"/>
    <w:rsid w:val="00D8664D"/>
    <w:rsid w:val="00D87ED4"/>
    <w:rsid w:val="00D87F3C"/>
    <w:rsid w:val="00D910EE"/>
    <w:rsid w:val="00D91844"/>
    <w:rsid w:val="00D91AD3"/>
    <w:rsid w:val="00D94076"/>
    <w:rsid w:val="00D94C59"/>
    <w:rsid w:val="00D95205"/>
    <w:rsid w:val="00D9574D"/>
    <w:rsid w:val="00D95A07"/>
    <w:rsid w:val="00D9668F"/>
    <w:rsid w:val="00D97305"/>
    <w:rsid w:val="00D97493"/>
    <w:rsid w:val="00DA1EC3"/>
    <w:rsid w:val="00DA5292"/>
    <w:rsid w:val="00DA5769"/>
    <w:rsid w:val="00DA74FF"/>
    <w:rsid w:val="00DB2FC2"/>
    <w:rsid w:val="00DB4F9E"/>
    <w:rsid w:val="00DB6068"/>
    <w:rsid w:val="00DB74FA"/>
    <w:rsid w:val="00DC0875"/>
    <w:rsid w:val="00DC158D"/>
    <w:rsid w:val="00DC16F2"/>
    <w:rsid w:val="00DC2BA4"/>
    <w:rsid w:val="00DC3A22"/>
    <w:rsid w:val="00DC6D78"/>
    <w:rsid w:val="00DC75AD"/>
    <w:rsid w:val="00DC7CAF"/>
    <w:rsid w:val="00DC7D50"/>
    <w:rsid w:val="00DC7E25"/>
    <w:rsid w:val="00DD022C"/>
    <w:rsid w:val="00DD0BAA"/>
    <w:rsid w:val="00DD2DFA"/>
    <w:rsid w:val="00DD3E2A"/>
    <w:rsid w:val="00DD4876"/>
    <w:rsid w:val="00DD752C"/>
    <w:rsid w:val="00DD7F3E"/>
    <w:rsid w:val="00DE2011"/>
    <w:rsid w:val="00DE2195"/>
    <w:rsid w:val="00DE2AE2"/>
    <w:rsid w:val="00DE51E1"/>
    <w:rsid w:val="00DE5D72"/>
    <w:rsid w:val="00DE67CC"/>
    <w:rsid w:val="00DE680B"/>
    <w:rsid w:val="00DF06B8"/>
    <w:rsid w:val="00DF137F"/>
    <w:rsid w:val="00DF3545"/>
    <w:rsid w:val="00DF3C76"/>
    <w:rsid w:val="00DF4BC5"/>
    <w:rsid w:val="00DF5FC3"/>
    <w:rsid w:val="00DF683D"/>
    <w:rsid w:val="00DF694A"/>
    <w:rsid w:val="00DF7F0F"/>
    <w:rsid w:val="00E00DCF"/>
    <w:rsid w:val="00E010D9"/>
    <w:rsid w:val="00E01107"/>
    <w:rsid w:val="00E01689"/>
    <w:rsid w:val="00E01744"/>
    <w:rsid w:val="00E01EB8"/>
    <w:rsid w:val="00E02261"/>
    <w:rsid w:val="00E06928"/>
    <w:rsid w:val="00E10862"/>
    <w:rsid w:val="00E10F25"/>
    <w:rsid w:val="00E126BC"/>
    <w:rsid w:val="00E12E2C"/>
    <w:rsid w:val="00E1393D"/>
    <w:rsid w:val="00E15C61"/>
    <w:rsid w:val="00E15ED0"/>
    <w:rsid w:val="00E208A3"/>
    <w:rsid w:val="00E2135B"/>
    <w:rsid w:val="00E220D7"/>
    <w:rsid w:val="00E2383E"/>
    <w:rsid w:val="00E23BD9"/>
    <w:rsid w:val="00E24AFA"/>
    <w:rsid w:val="00E25829"/>
    <w:rsid w:val="00E25943"/>
    <w:rsid w:val="00E25B30"/>
    <w:rsid w:val="00E260C0"/>
    <w:rsid w:val="00E2694A"/>
    <w:rsid w:val="00E275E7"/>
    <w:rsid w:val="00E30662"/>
    <w:rsid w:val="00E310A5"/>
    <w:rsid w:val="00E31659"/>
    <w:rsid w:val="00E31C4D"/>
    <w:rsid w:val="00E32278"/>
    <w:rsid w:val="00E33058"/>
    <w:rsid w:val="00E33AFE"/>
    <w:rsid w:val="00E33FFF"/>
    <w:rsid w:val="00E34E46"/>
    <w:rsid w:val="00E36EA5"/>
    <w:rsid w:val="00E37619"/>
    <w:rsid w:val="00E40EAC"/>
    <w:rsid w:val="00E4114C"/>
    <w:rsid w:val="00E4168B"/>
    <w:rsid w:val="00E421A9"/>
    <w:rsid w:val="00E42679"/>
    <w:rsid w:val="00E43291"/>
    <w:rsid w:val="00E43A5C"/>
    <w:rsid w:val="00E442E4"/>
    <w:rsid w:val="00E45DAB"/>
    <w:rsid w:val="00E47F2B"/>
    <w:rsid w:val="00E47FEA"/>
    <w:rsid w:val="00E5004D"/>
    <w:rsid w:val="00E5040C"/>
    <w:rsid w:val="00E50525"/>
    <w:rsid w:val="00E5057B"/>
    <w:rsid w:val="00E50D4B"/>
    <w:rsid w:val="00E50E8E"/>
    <w:rsid w:val="00E527AD"/>
    <w:rsid w:val="00E566B0"/>
    <w:rsid w:val="00E600BF"/>
    <w:rsid w:val="00E60A2B"/>
    <w:rsid w:val="00E62E6A"/>
    <w:rsid w:val="00E63434"/>
    <w:rsid w:val="00E64EAA"/>
    <w:rsid w:val="00E66496"/>
    <w:rsid w:val="00E668E4"/>
    <w:rsid w:val="00E66B8A"/>
    <w:rsid w:val="00E6783F"/>
    <w:rsid w:val="00E70049"/>
    <w:rsid w:val="00E715B2"/>
    <w:rsid w:val="00E721E2"/>
    <w:rsid w:val="00E74488"/>
    <w:rsid w:val="00E74514"/>
    <w:rsid w:val="00E751CA"/>
    <w:rsid w:val="00E75B8D"/>
    <w:rsid w:val="00E76837"/>
    <w:rsid w:val="00E76B39"/>
    <w:rsid w:val="00E77119"/>
    <w:rsid w:val="00E81899"/>
    <w:rsid w:val="00E819A6"/>
    <w:rsid w:val="00E83641"/>
    <w:rsid w:val="00E83A88"/>
    <w:rsid w:val="00E83FAD"/>
    <w:rsid w:val="00E84E16"/>
    <w:rsid w:val="00E868B1"/>
    <w:rsid w:val="00E90218"/>
    <w:rsid w:val="00E90B88"/>
    <w:rsid w:val="00E918D7"/>
    <w:rsid w:val="00E91BD5"/>
    <w:rsid w:val="00E91CD7"/>
    <w:rsid w:val="00E92876"/>
    <w:rsid w:val="00E928B0"/>
    <w:rsid w:val="00E92CBD"/>
    <w:rsid w:val="00E93921"/>
    <w:rsid w:val="00E94A55"/>
    <w:rsid w:val="00E94B73"/>
    <w:rsid w:val="00E954B0"/>
    <w:rsid w:val="00EA035A"/>
    <w:rsid w:val="00EA05CC"/>
    <w:rsid w:val="00EA1711"/>
    <w:rsid w:val="00EA1FDB"/>
    <w:rsid w:val="00EA3EB1"/>
    <w:rsid w:val="00EA46D2"/>
    <w:rsid w:val="00EA4A50"/>
    <w:rsid w:val="00EA4B55"/>
    <w:rsid w:val="00EA509E"/>
    <w:rsid w:val="00EA5C96"/>
    <w:rsid w:val="00EA6F6C"/>
    <w:rsid w:val="00EA7279"/>
    <w:rsid w:val="00EA7A64"/>
    <w:rsid w:val="00EB15FD"/>
    <w:rsid w:val="00EB1907"/>
    <w:rsid w:val="00EB2759"/>
    <w:rsid w:val="00EB3A67"/>
    <w:rsid w:val="00EB430C"/>
    <w:rsid w:val="00EB4996"/>
    <w:rsid w:val="00EB66E6"/>
    <w:rsid w:val="00EB71D4"/>
    <w:rsid w:val="00EB7D5D"/>
    <w:rsid w:val="00EC02E2"/>
    <w:rsid w:val="00EC0D80"/>
    <w:rsid w:val="00EC0E7C"/>
    <w:rsid w:val="00EC12D9"/>
    <w:rsid w:val="00EC1513"/>
    <w:rsid w:val="00EC18E8"/>
    <w:rsid w:val="00EC21B9"/>
    <w:rsid w:val="00EC5701"/>
    <w:rsid w:val="00ED0350"/>
    <w:rsid w:val="00ED12EA"/>
    <w:rsid w:val="00ED160F"/>
    <w:rsid w:val="00ED1F7E"/>
    <w:rsid w:val="00ED397C"/>
    <w:rsid w:val="00ED3E81"/>
    <w:rsid w:val="00ED49B5"/>
    <w:rsid w:val="00ED4ADF"/>
    <w:rsid w:val="00ED552C"/>
    <w:rsid w:val="00ED648A"/>
    <w:rsid w:val="00ED7B46"/>
    <w:rsid w:val="00EE1500"/>
    <w:rsid w:val="00EE4559"/>
    <w:rsid w:val="00EE4F54"/>
    <w:rsid w:val="00EE561B"/>
    <w:rsid w:val="00EE5CD8"/>
    <w:rsid w:val="00EE66F6"/>
    <w:rsid w:val="00EE718B"/>
    <w:rsid w:val="00EE76FF"/>
    <w:rsid w:val="00EE7B26"/>
    <w:rsid w:val="00EE7B95"/>
    <w:rsid w:val="00EE7F24"/>
    <w:rsid w:val="00EF3072"/>
    <w:rsid w:val="00EF39BB"/>
    <w:rsid w:val="00EF4A20"/>
    <w:rsid w:val="00EF58D1"/>
    <w:rsid w:val="00EF5958"/>
    <w:rsid w:val="00EF5C13"/>
    <w:rsid w:val="00EF6FB7"/>
    <w:rsid w:val="00EF722C"/>
    <w:rsid w:val="00F0293D"/>
    <w:rsid w:val="00F03092"/>
    <w:rsid w:val="00F030B6"/>
    <w:rsid w:val="00F03AD1"/>
    <w:rsid w:val="00F05426"/>
    <w:rsid w:val="00F05753"/>
    <w:rsid w:val="00F05AEB"/>
    <w:rsid w:val="00F06685"/>
    <w:rsid w:val="00F10547"/>
    <w:rsid w:val="00F13D36"/>
    <w:rsid w:val="00F14D96"/>
    <w:rsid w:val="00F1661C"/>
    <w:rsid w:val="00F16B15"/>
    <w:rsid w:val="00F16B2D"/>
    <w:rsid w:val="00F1719F"/>
    <w:rsid w:val="00F2041D"/>
    <w:rsid w:val="00F209AB"/>
    <w:rsid w:val="00F212CA"/>
    <w:rsid w:val="00F21BB0"/>
    <w:rsid w:val="00F21E47"/>
    <w:rsid w:val="00F21E77"/>
    <w:rsid w:val="00F21E81"/>
    <w:rsid w:val="00F220E1"/>
    <w:rsid w:val="00F221A3"/>
    <w:rsid w:val="00F229F6"/>
    <w:rsid w:val="00F22FBA"/>
    <w:rsid w:val="00F24063"/>
    <w:rsid w:val="00F24A2E"/>
    <w:rsid w:val="00F25C9F"/>
    <w:rsid w:val="00F26C70"/>
    <w:rsid w:val="00F30D13"/>
    <w:rsid w:val="00F3451B"/>
    <w:rsid w:val="00F367CD"/>
    <w:rsid w:val="00F37F8B"/>
    <w:rsid w:val="00F4079A"/>
    <w:rsid w:val="00F409D7"/>
    <w:rsid w:val="00F41133"/>
    <w:rsid w:val="00F41473"/>
    <w:rsid w:val="00F41985"/>
    <w:rsid w:val="00F425D1"/>
    <w:rsid w:val="00F437F2"/>
    <w:rsid w:val="00F47228"/>
    <w:rsid w:val="00F47558"/>
    <w:rsid w:val="00F47644"/>
    <w:rsid w:val="00F4794E"/>
    <w:rsid w:val="00F47991"/>
    <w:rsid w:val="00F50C48"/>
    <w:rsid w:val="00F51928"/>
    <w:rsid w:val="00F5228D"/>
    <w:rsid w:val="00F53714"/>
    <w:rsid w:val="00F53AFC"/>
    <w:rsid w:val="00F53FD0"/>
    <w:rsid w:val="00F5461D"/>
    <w:rsid w:val="00F566B2"/>
    <w:rsid w:val="00F57396"/>
    <w:rsid w:val="00F5771C"/>
    <w:rsid w:val="00F60075"/>
    <w:rsid w:val="00F6185B"/>
    <w:rsid w:val="00F62083"/>
    <w:rsid w:val="00F6421E"/>
    <w:rsid w:val="00F643F5"/>
    <w:rsid w:val="00F64AC9"/>
    <w:rsid w:val="00F6567D"/>
    <w:rsid w:val="00F65BC4"/>
    <w:rsid w:val="00F663C3"/>
    <w:rsid w:val="00F673FE"/>
    <w:rsid w:val="00F7049E"/>
    <w:rsid w:val="00F71B5A"/>
    <w:rsid w:val="00F7246A"/>
    <w:rsid w:val="00F73DB9"/>
    <w:rsid w:val="00F74ADB"/>
    <w:rsid w:val="00F75355"/>
    <w:rsid w:val="00F755F4"/>
    <w:rsid w:val="00F76A33"/>
    <w:rsid w:val="00F7759D"/>
    <w:rsid w:val="00F80EA2"/>
    <w:rsid w:val="00F818EB"/>
    <w:rsid w:val="00F81A19"/>
    <w:rsid w:val="00F84A61"/>
    <w:rsid w:val="00F853ED"/>
    <w:rsid w:val="00F86523"/>
    <w:rsid w:val="00F8697B"/>
    <w:rsid w:val="00F90FA5"/>
    <w:rsid w:val="00F91C34"/>
    <w:rsid w:val="00F92442"/>
    <w:rsid w:val="00F9278F"/>
    <w:rsid w:val="00F934E0"/>
    <w:rsid w:val="00F93B52"/>
    <w:rsid w:val="00F93F42"/>
    <w:rsid w:val="00F95401"/>
    <w:rsid w:val="00F96618"/>
    <w:rsid w:val="00FA2F02"/>
    <w:rsid w:val="00FA38EE"/>
    <w:rsid w:val="00FA3B3C"/>
    <w:rsid w:val="00FA4856"/>
    <w:rsid w:val="00FA719B"/>
    <w:rsid w:val="00FA72B7"/>
    <w:rsid w:val="00FA7A20"/>
    <w:rsid w:val="00FB29AB"/>
    <w:rsid w:val="00FB2E88"/>
    <w:rsid w:val="00FB34BA"/>
    <w:rsid w:val="00FB4CAD"/>
    <w:rsid w:val="00FB5FDB"/>
    <w:rsid w:val="00FB6FF9"/>
    <w:rsid w:val="00FB74C1"/>
    <w:rsid w:val="00FC09C1"/>
    <w:rsid w:val="00FC202E"/>
    <w:rsid w:val="00FC2958"/>
    <w:rsid w:val="00FC3633"/>
    <w:rsid w:val="00FC376E"/>
    <w:rsid w:val="00FC671E"/>
    <w:rsid w:val="00FC6D3B"/>
    <w:rsid w:val="00FC7D12"/>
    <w:rsid w:val="00FD029F"/>
    <w:rsid w:val="00FD065F"/>
    <w:rsid w:val="00FD0ACA"/>
    <w:rsid w:val="00FD11CA"/>
    <w:rsid w:val="00FD19BF"/>
    <w:rsid w:val="00FD1A54"/>
    <w:rsid w:val="00FD24B1"/>
    <w:rsid w:val="00FD37A8"/>
    <w:rsid w:val="00FD37D2"/>
    <w:rsid w:val="00FD4215"/>
    <w:rsid w:val="00FD46BF"/>
    <w:rsid w:val="00FD4A4D"/>
    <w:rsid w:val="00FD6BC6"/>
    <w:rsid w:val="00FE09A9"/>
    <w:rsid w:val="00FE151E"/>
    <w:rsid w:val="00FE30B3"/>
    <w:rsid w:val="00FE37B5"/>
    <w:rsid w:val="00FE6D44"/>
    <w:rsid w:val="00FF1188"/>
    <w:rsid w:val="00FF2F11"/>
    <w:rsid w:val="00FF4426"/>
    <w:rsid w:val="00FF7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38EC2E"/>
  <w15:chartTrackingRefBased/>
  <w15:docId w15:val="{624966CD-25BE-48A2-96D0-365A227F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pPr>
        <w:spacing w:line="360" w:lineRule="auto"/>
        <w:ind w:left="992" w:right="862" w:hanging="99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8A7"/>
    <w:pPr>
      <w:spacing w:line="280" w:lineRule="atLeast"/>
      <w:ind w:left="0" w:firstLine="0"/>
    </w:pPr>
    <w:rPr>
      <w:rFonts w:ascii="Arial" w:hAnsi="Arial" w:cs="Arial"/>
    </w:rPr>
  </w:style>
  <w:style w:type="paragraph" w:styleId="Heading1">
    <w:name w:val="heading 1"/>
    <w:basedOn w:val="0"/>
    <w:next w:val="Normal"/>
    <w:link w:val="Heading1Char"/>
    <w:uiPriority w:val="9"/>
    <w:qFormat/>
    <w:rsid w:val="00EE1500"/>
    <w:pPr>
      <w:outlineLvl w:val="0"/>
    </w:pPr>
  </w:style>
  <w:style w:type="paragraph" w:styleId="Heading2">
    <w:name w:val="heading 2"/>
    <w:basedOn w:val="ListParagraph"/>
    <w:next w:val="Normal"/>
    <w:link w:val="Heading2Char"/>
    <w:uiPriority w:val="9"/>
    <w:unhideWhenUsed/>
    <w:qFormat/>
    <w:rsid w:val="003C631A"/>
    <w:pPr>
      <w:numPr>
        <w:numId w:val="1"/>
      </w:numPr>
      <w:spacing w:line="480" w:lineRule="auto"/>
      <w:ind w:leftChars="0" w:left="0"/>
      <w:outlineLvl w:val="1"/>
    </w:pPr>
    <w:rPr>
      <w:b/>
      <w:bCs/>
    </w:rPr>
  </w:style>
  <w:style w:type="paragraph" w:styleId="Heading3">
    <w:name w:val="heading 3"/>
    <w:basedOn w:val="Heading2"/>
    <w:link w:val="Heading3Char"/>
    <w:uiPriority w:val="9"/>
    <w:qFormat/>
    <w:rsid w:val="00CA5688"/>
    <w:pPr>
      <w:numPr>
        <w:numId w:val="0"/>
      </w:numPr>
      <w:ind w:left="567" w:hanging="567"/>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F3E"/>
    <w:rPr>
      <w:color w:val="0000FF"/>
      <w:u w:val="single"/>
    </w:rPr>
  </w:style>
  <w:style w:type="paragraph" w:customStyle="1" w:styleId="EndNoteBibliographyTitle">
    <w:name w:val="EndNote Bibliography Title"/>
    <w:basedOn w:val="Normal"/>
    <w:link w:val="EndNoteBibliographyTitle0"/>
    <w:rsid w:val="00EE718B"/>
    <w:rPr>
      <w:rFonts w:ascii="Yu Mincho" w:eastAsia="Yu Mincho" w:hAnsi="Yu Mincho"/>
      <w:noProof/>
      <w:sz w:val="20"/>
    </w:rPr>
  </w:style>
  <w:style w:type="character" w:customStyle="1" w:styleId="EndNoteBibliographyTitle0">
    <w:name w:val="EndNote Bibliography Title (文字)"/>
    <w:basedOn w:val="DefaultParagraphFont"/>
    <w:link w:val="EndNoteBibliographyTitle"/>
    <w:rsid w:val="00EE718B"/>
    <w:rPr>
      <w:rFonts w:ascii="Yu Mincho" w:eastAsia="Yu Mincho" w:hAnsi="Yu Mincho" w:cs="Arial"/>
      <w:noProof/>
      <w:sz w:val="20"/>
    </w:rPr>
  </w:style>
  <w:style w:type="paragraph" w:customStyle="1" w:styleId="EndNoteBibliography">
    <w:name w:val="EndNote Bibliography"/>
    <w:basedOn w:val="Normal"/>
    <w:link w:val="EndNoteBibliography0"/>
    <w:rsid w:val="00EE718B"/>
    <w:pPr>
      <w:spacing w:line="240" w:lineRule="atLeast"/>
    </w:pPr>
    <w:rPr>
      <w:rFonts w:ascii="Yu Mincho" w:eastAsia="Yu Mincho" w:hAnsi="Yu Mincho"/>
      <w:noProof/>
      <w:sz w:val="20"/>
    </w:rPr>
  </w:style>
  <w:style w:type="character" w:customStyle="1" w:styleId="EndNoteBibliography0">
    <w:name w:val="EndNote Bibliography (文字)"/>
    <w:basedOn w:val="DefaultParagraphFont"/>
    <w:link w:val="EndNoteBibliography"/>
    <w:rsid w:val="00EE718B"/>
    <w:rPr>
      <w:rFonts w:ascii="Yu Mincho" w:eastAsia="Yu Mincho" w:hAnsi="Yu Mincho" w:cs="Arial"/>
      <w:noProof/>
      <w:sz w:val="20"/>
    </w:rPr>
  </w:style>
  <w:style w:type="paragraph" w:styleId="Header">
    <w:name w:val="header"/>
    <w:basedOn w:val="Normal"/>
    <w:link w:val="HeaderChar"/>
    <w:uiPriority w:val="99"/>
    <w:unhideWhenUsed/>
    <w:rsid w:val="004764E8"/>
    <w:pPr>
      <w:tabs>
        <w:tab w:val="center" w:pos="4252"/>
        <w:tab w:val="right" w:pos="8504"/>
      </w:tabs>
      <w:snapToGrid w:val="0"/>
    </w:pPr>
  </w:style>
  <w:style w:type="character" w:customStyle="1" w:styleId="HeaderChar">
    <w:name w:val="Header Char"/>
    <w:basedOn w:val="DefaultParagraphFont"/>
    <w:link w:val="Header"/>
    <w:uiPriority w:val="99"/>
    <w:rsid w:val="004764E8"/>
  </w:style>
  <w:style w:type="paragraph" w:styleId="Footer">
    <w:name w:val="footer"/>
    <w:basedOn w:val="Normal"/>
    <w:link w:val="FooterChar"/>
    <w:uiPriority w:val="99"/>
    <w:unhideWhenUsed/>
    <w:rsid w:val="004764E8"/>
    <w:pPr>
      <w:tabs>
        <w:tab w:val="center" w:pos="4252"/>
        <w:tab w:val="right" w:pos="8504"/>
      </w:tabs>
      <w:snapToGrid w:val="0"/>
    </w:pPr>
  </w:style>
  <w:style w:type="character" w:customStyle="1" w:styleId="FooterChar">
    <w:name w:val="Footer Char"/>
    <w:basedOn w:val="DefaultParagraphFont"/>
    <w:link w:val="Footer"/>
    <w:uiPriority w:val="99"/>
    <w:rsid w:val="004764E8"/>
  </w:style>
  <w:style w:type="paragraph" w:styleId="Revision">
    <w:name w:val="Revision"/>
    <w:hidden/>
    <w:uiPriority w:val="99"/>
    <w:semiHidden/>
    <w:rsid w:val="004976C8"/>
    <w:pPr>
      <w:spacing w:line="240" w:lineRule="auto"/>
      <w:ind w:left="0" w:right="0" w:firstLine="0"/>
    </w:pPr>
  </w:style>
  <w:style w:type="character" w:styleId="CommentReference">
    <w:name w:val="annotation reference"/>
    <w:basedOn w:val="DefaultParagraphFont"/>
    <w:uiPriority w:val="99"/>
    <w:semiHidden/>
    <w:unhideWhenUsed/>
    <w:rsid w:val="00FD0ACA"/>
    <w:rPr>
      <w:sz w:val="18"/>
      <w:szCs w:val="18"/>
    </w:rPr>
  </w:style>
  <w:style w:type="paragraph" w:styleId="CommentText">
    <w:name w:val="annotation text"/>
    <w:basedOn w:val="Normal"/>
    <w:link w:val="CommentTextChar"/>
    <w:uiPriority w:val="99"/>
    <w:unhideWhenUsed/>
    <w:rsid w:val="00FD0ACA"/>
  </w:style>
  <w:style w:type="character" w:customStyle="1" w:styleId="CommentTextChar">
    <w:name w:val="Comment Text Char"/>
    <w:basedOn w:val="DefaultParagraphFont"/>
    <w:link w:val="CommentText"/>
    <w:uiPriority w:val="99"/>
    <w:rsid w:val="00FD0ACA"/>
  </w:style>
  <w:style w:type="paragraph" w:styleId="CommentSubject">
    <w:name w:val="annotation subject"/>
    <w:basedOn w:val="CommentText"/>
    <w:next w:val="CommentText"/>
    <w:link w:val="CommentSubjectChar"/>
    <w:uiPriority w:val="99"/>
    <w:semiHidden/>
    <w:unhideWhenUsed/>
    <w:rsid w:val="00FD0ACA"/>
    <w:rPr>
      <w:b/>
      <w:bCs/>
    </w:rPr>
  </w:style>
  <w:style w:type="character" w:customStyle="1" w:styleId="CommentSubjectChar">
    <w:name w:val="Comment Subject Char"/>
    <w:basedOn w:val="CommentTextChar"/>
    <w:link w:val="CommentSubject"/>
    <w:uiPriority w:val="99"/>
    <w:semiHidden/>
    <w:rsid w:val="00FD0ACA"/>
    <w:rPr>
      <w:b/>
      <w:bCs/>
    </w:rPr>
  </w:style>
  <w:style w:type="paragraph" w:styleId="BalloonText">
    <w:name w:val="Balloon Text"/>
    <w:basedOn w:val="Normal"/>
    <w:link w:val="BalloonTextChar"/>
    <w:uiPriority w:val="99"/>
    <w:semiHidden/>
    <w:unhideWhenUsed/>
    <w:rsid w:val="0058270B"/>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8270B"/>
    <w:rPr>
      <w:rFonts w:asciiTheme="majorHAnsi" w:eastAsiaTheme="majorEastAsia" w:hAnsiTheme="majorHAnsi" w:cstheme="majorBidi"/>
      <w:sz w:val="18"/>
      <w:szCs w:val="18"/>
    </w:rPr>
  </w:style>
  <w:style w:type="table" w:styleId="TableGrid">
    <w:name w:val="Table Grid"/>
    <w:basedOn w:val="TableNormal"/>
    <w:uiPriority w:val="39"/>
    <w:rsid w:val="00FB5FDB"/>
    <w:pPr>
      <w:spacing w:line="240" w:lineRule="auto"/>
      <w:ind w:left="0" w:righ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1659"/>
    <w:pPr>
      <w:ind w:leftChars="400" w:left="840"/>
    </w:pPr>
  </w:style>
  <w:style w:type="character" w:customStyle="1" w:styleId="period">
    <w:name w:val="period"/>
    <w:basedOn w:val="DefaultParagraphFont"/>
    <w:rsid w:val="00233EF8"/>
  </w:style>
  <w:style w:type="character" w:customStyle="1" w:styleId="cit">
    <w:name w:val="cit"/>
    <w:basedOn w:val="DefaultParagraphFont"/>
    <w:rsid w:val="00233EF8"/>
  </w:style>
  <w:style w:type="character" w:customStyle="1" w:styleId="citation-doi">
    <w:name w:val="citation-doi"/>
    <w:basedOn w:val="DefaultParagraphFont"/>
    <w:rsid w:val="00233EF8"/>
  </w:style>
  <w:style w:type="paragraph" w:styleId="NormalWeb">
    <w:name w:val="Normal (Web)"/>
    <w:basedOn w:val="Normal"/>
    <w:uiPriority w:val="99"/>
    <w:semiHidden/>
    <w:unhideWhenUsed/>
    <w:rsid w:val="00751C92"/>
    <w:pPr>
      <w:spacing w:before="100" w:beforeAutospacing="1" w:after="100" w:afterAutospacing="1" w:line="240" w:lineRule="auto"/>
      <w:ind w:right="0"/>
    </w:pPr>
    <w:rPr>
      <w:rFonts w:ascii="MS PGothic" w:eastAsia="MS PGothic" w:hAnsi="MS PGothic" w:cs="MS PGothic"/>
      <w:kern w:val="0"/>
      <w:sz w:val="24"/>
      <w:szCs w:val="24"/>
    </w:rPr>
  </w:style>
  <w:style w:type="paragraph" w:customStyle="1" w:styleId="0">
    <w:name w:val="見出し0"/>
    <w:basedOn w:val="Normal"/>
    <w:link w:val="00"/>
    <w:qFormat/>
    <w:rsid w:val="00EE1500"/>
    <w:pPr>
      <w:spacing w:line="480" w:lineRule="auto"/>
    </w:pPr>
    <w:rPr>
      <w:b/>
      <w:bCs/>
    </w:rPr>
  </w:style>
  <w:style w:type="character" w:customStyle="1" w:styleId="00">
    <w:name w:val="見出し0 (文字)"/>
    <w:basedOn w:val="DefaultParagraphFont"/>
    <w:link w:val="0"/>
    <w:rsid w:val="00EE1500"/>
    <w:rPr>
      <w:rFonts w:ascii="Arial" w:hAnsi="Arial" w:cs="Arial"/>
      <w:b/>
      <w:bCs/>
    </w:rPr>
  </w:style>
  <w:style w:type="character" w:customStyle="1" w:styleId="Heading1Char">
    <w:name w:val="Heading 1 Char"/>
    <w:basedOn w:val="DefaultParagraphFont"/>
    <w:link w:val="Heading1"/>
    <w:uiPriority w:val="9"/>
    <w:rsid w:val="00EE1500"/>
    <w:rPr>
      <w:rFonts w:ascii="Arial" w:hAnsi="Arial" w:cs="Arial"/>
      <w:b/>
      <w:bCs/>
    </w:rPr>
  </w:style>
  <w:style w:type="character" w:customStyle="1" w:styleId="Heading2Char">
    <w:name w:val="Heading 2 Char"/>
    <w:basedOn w:val="DefaultParagraphFont"/>
    <w:link w:val="Heading2"/>
    <w:uiPriority w:val="9"/>
    <w:rsid w:val="003C631A"/>
    <w:rPr>
      <w:rFonts w:ascii="Arial" w:hAnsi="Arial" w:cs="Arial"/>
      <w:b/>
      <w:bCs/>
    </w:rPr>
  </w:style>
  <w:style w:type="paragraph" w:styleId="EndnoteText">
    <w:name w:val="endnote text"/>
    <w:basedOn w:val="Normal"/>
    <w:link w:val="EndnoteTextChar"/>
    <w:uiPriority w:val="99"/>
    <w:semiHidden/>
    <w:unhideWhenUsed/>
    <w:rsid w:val="00356564"/>
    <w:pPr>
      <w:widowControl w:val="0"/>
      <w:snapToGrid w:val="0"/>
      <w:spacing w:line="240" w:lineRule="auto"/>
      <w:ind w:right="0"/>
    </w:pPr>
    <w:rPr>
      <w:rFonts w:asciiTheme="minorHAnsi" w:hAnsiTheme="minorHAnsi" w:cstheme="minorBidi"/>
    </w:rPr>
  </w:style>
  <w:style w:type="character" w:customStyle="1" w:styleId="EndnoteTextChar">
    <w:name w:val="Endnote Text Char"/>
    <w:basedOn w:val="DefaultParagraphFont"/>
    <w:link w:val="EndnoteText"/>
    <w:uiPriority w:val="99"/>
    <w:semiHidden/>
    <w:rsid w:val="00356564"/>
  </w:style>
  <w:style w:type="character" w:styleId="EndnoteReference">
    <w:name w:val="endnote reference"/>
    <w:basedOn w:val="DefaultParagraphFont"/>
    <w:uiPriority w:val="99"/>
    <w:semiHidden/>
    <w:unhideWhenUsed/>
    <w:rsid w:val="00356564"/>
    <w:rPr>
      <w:vertAlign w:val="superscript"/>
    </w:rPr>
  </w:style>
  <w:style w:type="character" w:styleId="Emphasis">
    <w:name w:val="Emphasis"/>
    <w:basedOn w:val="DefaultParagraphFont"/>
    <w:uiPriority w:val="20"/>
    <w:qFormat/>
    <w:rsid w:val="00356564"/>
    <w:rPr>
      <w:i/>
      <w:iCs/>
    </w:rPr>
  </w:style>
  <w:style w:type="character" w:customStyle="1" w:styleId="authors-list-item">
    <w:name w:val="authors-list-item"/>
    <w:basedOn w:val="DefaultParagraphFont"/>
    <w:rsid w:val="00135EEE"/>
  </w:style>
  <w:style w:type="character" w:customStyle="1" w:styleId="author-sup-separator">
    <w:name w:val="author-sup-separator"/>
    <w:basedOn w:val="DefaultParagraphFont"/>
    <w:rsid w:val="00135EEE"/>
  </w:style>
  <w:style w:type="character" w:customStyle="1" w:styleId="comma">
    <w:name w:val="comma"/>
    <w:basedOn w:val="DefaultParagraphFont"/>
    <w:rsid w:val="00135EEE"/>
  </w:style>
  <w:style w:type="character" w:customStyle="1" w:styleId="Heading3Char">
    <w:name w:val="Heading 3 Char"/>
    <w:basedOn w:val="DefaultParagraphFont"/>
    <w:link w:val="Heading3"/>
    <w:uiPriority w:val="9"/>
    <w:rsid w:val="00CA5688"/>
    <w:rPr>
      <w:rFonts w:ascii="Arial" w:hAnsi="Arial" w:cs="Arial"/>
      <w:b/>
      <w:bCs/>
      <w:color w:val="000000" w:themeColor="text1"/>
      <w:lang w:val="de-DE"/>
    </w:rPr>
  </w:style>
  <w:style w:type="character" w:customStyle="1" w:styleId="docsum-authors">
    <w:name w:val="docsum-authors"/>
    <w:basedOn w:val="DefaultParagraphFont"/>
    <w:rsid w:val="005C0040"/>
  </w:style>
  <w:style w:type="character" w:customStyle="1" w:styleId="docsum-journal-citation">
    <w:name w:val="docsum-journal-citation"/>
    <w:basedOn w:val="DefaultParagraphFont"/>
    <w:rsid w:val="005C0040"/>
  </w:style>
  <w:style w:type="paragraph" w:customStyle="1" w:styleId="p">
    <w:name w:val="p"/>
    <w:basedOn w:val="Normal"/>
    <w:rsid w:val="005C0040"/>
    <w:pPr>
      <w:spacing w:before="100" w:beforeAutospacing="1" w:after="100" w:afterAutospacing="1" w:line="240" w:lineRule="auto"/>
      <w:ind w:right="0"/>
    </w:pPr>
    <w:rPr>
      <w:rFonts w:ascii="MS PGothic" w:eastAsia="MS PGothic" w:hAnsi="MS PGothic" w:cs="MS PGothic"/>
      <w:kern w:val="0"/>
      <w:sz w:val="24"/>
      <w:szCs w:val="24"/>
    </w:rPr>
  </w:style>
  <w:style w:type="character" w:customStyle="1" w:styleId="dropblock">
    <w:name w:val="dropblock"/>
    <w:basedOn w:val="DefaultParagraphFont"/>
    <w:rsid w:val="005C0040"/>
  </w:style>
  <w:style w:type="character" w:styleId="FollowedHyperlink">
    <w:name w:val="FollowedHyperlink"/>
    <w:basedOn w:val="DefaultParagraphFont"/>
    <w:uiPriority w:val="99"/>
    <w:semiHidden/>
    <w:unhideWhenUsed/>
    <w:rsid w:val="005C0040"/>
    <w:rPr>
      <w:color w:val="954F72" w:themeColor="followedHyperlink"/>
      <w:u w:val="single"/>
    </w:rPr>
  </w:style>
  <w:style w:type="character" w:styleId="LineNumber">
    <w:name w:val="line number"/>
    <w:basedOn w:val="DefaultParagraphFont"/>
    <w:uiPriority w:val="99"/>
    <w:semiHidden/>
    <w:unhideWhenUsed/>
    <w:rsid w:val="006E59E0"/>
  </w:style>
  <w:style w:type="character" w:customStyle="1" w:styleId="UnresolvedMention">
    <w:name w:val="Unresolved Mention"/>
    <w:basedOn w:val="DefaultParagraphFont"/>
    <w:uiPriority w:val="99"/>
    <w:semiHidden/>
    <w:unhideWhenUsed/>
    <w:rsid w:val="00C36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94298">
      <w:bodyDiv w:val="1"/>
      <w:marLeft w:val="0"/>
      <w:marRight w:val="0"/>
      <w:marTop w:val="0"/>
      <w:marBottom w:val="0"/>
      <w:divBdr>
        <w:top w:val="none" w:sz="0" w:space="0" w:color="auto"/>
        <w:left w:val="none" w:sz="0" w:space="0" w:color="auto"/>
        <w:bottom w:val="none" w:sz="0" w:space="0" w:color="auto"/>
        <w:right w:val="none" w:sz="0" w:space="0" w:color="auto"/>
      </w:divBdr>
    </w:div>
    <w:div w:id="143199647">
      <w:bodyDiv w:val="1"/>
      <w:marLeft w:val="0"/>
      <w:marRight w:val="0"/>
      <w:marTop w:val="0"/>
      <w:marBottom w:val="0"/>
      <w:divBdr>
        <w:top w:val="none" w:sz="0" w:space="0" w:color="auto"/>
        <w:left w:val="none" w:sz="0" w:space="0" w:color="auto"/>
        <w:bottom w:val="none" w:sz="0" w:space="0" w:color="auto"/>
        <w:right w:val="none" w:sz="0" w:space="0" w:color="auto"/>
      </w:divBdr>
    </w:div>
    <w:div w:id="339703237">
      <w:bodyDiv w:val="1"/>
      <w:marLeft w:val="0"/>
      <w:marRight w:val="0"/>
      <w:marTop w:val="0"/>
      <w:marBottom w:val="0"/>
      <w:divBdr>
        <w:top w:val="none" w:sz="0" w:space="0" w:color="auto"/>
        <w:left w:val="none" w:sz="0" w:space="0" w:color="auto"/>
        <w:bottom w:val="none" w:sz="0" w:space="0" w:color="auto"/>
        <w:right w:val="none" w:sz="0" w:space="0" w:color="auto"/>
      </w:divBdr>
    </w:div>
    <w:div w:id="393358741">
      <w:bodyDiv w:val="1"/>
      <w:marLeft w:val="0"/>
      <w:marRight w:val="0"/>
      <w:marTop w:val="0"/>
      <w:marBottom w:val="0"/>
      <w:divBdr>
        <w:top w:val="none" w:sz="0" w:space="0" w:color="auto"/>
        <w:left w:val="none" w:sz="0" w:space="0" w:color="auto"/>
        <w:bottom w:val="none" w:sz="0" w:space="0" w:color="auto"/>
        <w:right w:val="none" w:sz="0" w:space="0" w:color="auto"/>
      </w:divBdr>
    </w:div>
    <w:div w:id="494031875">
      <w:bodyDiv w:val="1"/>
      <w:marLeft w:val="0"/>
      <w:marRight w:val="0"/>
      <w:marTop w:val="0"/>
      <w:marBottom w:val="0"/>
      <w:divBdr>
        <w:top w:val="none" w:sz="0" w:space="0" w:color="auto"/>
        <w:left w:val="none" w:sz="0" w:space="0" w:color="auto"/>
        <w:bottom w:val="none" w:sz="0" w:space="0" w:color="auto"/>
        <w:right w:val="none" w:sz="0" w:space="0" w:color="auto"/>
      </w:divBdr>
    </w:div>
    <w:div w:id="569584642">
      <w:bodyDiv w:val="1"/>
      <w:marLeft w:val="0"/>
      <w:marRight w:val="0"/>
      <w:marTop w:val="0"/>
      <w:marBottom w:val="0"/>
      <w:divBdr>
        <w:top w:val="none" w:sz="0" w:space="0" w:color="auto"/>
        <w:left w:val="none" w:sz="0" w:space="0" w:color="auto"/>
        <w:bottom w:val="none" w:sz="0" w:space="0" w:color="auto"/>
        <w:right w:val="none" w:sz="0" w:space="0" w:color="auto"/>
      </w:divBdr>
    </w:div>
    <w:div w:id="743842740">
      <w:bodyDiv w:val="1"/>
      <w:marLeft w:val="0"/>
      <w:marRight w:val="0"/>
      <w:marTop w:val="0"/>
      <w:marBottom w:val="0"/>
      <w:divBdr>
        <w:top w:val="none" w:sz="0" w:space="0" w:color="auto"/>
        <w:left w:val="none" w:sz="0" w:space="0" w:color="auto"/>
        <w:bottom w:val="none" w:sz="0" w:space="0" w:color="auto"/>
        <w:right w:val="none" w:sz="0" w:space="0" w:color="auto"/>
      </w:divBdr>
    </w:div>
    <w:div w:id="744180537">
      <w:bodyDiv w:val="1"/>
      <w:marLeft w:val="0"/>
      <w:marRight w:val="0"/>
      <w:marTop w:val="0"/>
      <w:marBottom w:val="0"/>
      <w:divBdr>
        <w:top w:val="none" w:sz="0" w:space="0" w:color="auto"/>
        <w:left w:val="none" w:sz="0" w:space="0" w:color="auto"/>
        <w:bottom w:val="none" w:sz="0" w:space="0" w:color="auto"/>
        <w:right w:val="none" w:sz="0" w:space="0" w:color="auto"/>
      </w:divBdr>
      <w:divsChild>
        <w:div w:id="114952364">
          <w:marLeft w:val="446"/>
          <w:marRight w:val="0"/>
          <w:marTop w:val="0"/>
          <w:marBottom w:val="0"/>
          <w:divBdr>
            <w:top w:val="none" w:sz="0" w:space="0" w:color="auto"/>
            <w:left w:val="none" w:sz="0" w:space="0" w:color="auto"/>
            <w:bottom w:val="none" w:sz="0" w:space="0" w:color="auto"/>
            <w:right w:val="none" w:sz="0" w:space="0" w:color="auto"/>
          </w:divBdr>
        </w:div>
        <w:div w:id="556934355">
          <w:marLeft w:val="446"/>
          <w:marRight w:val="0"/>
          <w:marTop w:val="0"/>
          <w:marBottom w:val="0"/>
          <w:divBdr>
            <w:top w:val="none" w:sz="0" w:space="0" w:color="auto"/>
            <w:left w:val="none" w:sz="0" w:space="0" w:color="auto"/>
            <w:bottom w:val="none" w:sz="0" w:space="0" w:color="auto"/>
            <w:right w:val="none" w:sz="0" w:space="0" w:color="auto"/>
          </w:divBdr>
        </w:div>
      </w:divsChild>
    </w:div>
    <w:div w:id="788624489">
      <w:bodyDiv w:val="1"/>
      <w:marLeft w:val="0"/>
      <w:marRight w:val="0"/>
      <w:marTop w:val="0"/>
      <w:marBottom w:val="0"/>
      <w:divBdr>
        <w:top w:val="none" w:sz="0" w:space="0" w:color="auto"/>
        <w:left w:val="none" w:sz="0" w:space="0" w:color="auto"/>
        <w:bottom w:val="none" w:sz="0" w:space="0" w:color="auto"/>
        <w:right w:val="none" w:sz="0" w:space="0" w:color="auto"/>
      </w:divBdr>
    </w:div>
    <w:div w:id="1007638941">
      <w:bodyDiv w:val="1"/>
      <w:marLeft w:val="0"/>
      <w:marRight w:val="0"/>
      <w:marTop w:val="0"/>
      <w:marBottom w:val="0"/>
      <w:divBdr>
        <w:top w:val="none" w:sz="0" w:space="0" w:color="auto"/>
        <w:left w:val="none" w:sz="0" w:space="0" w:color="auto"/>
        <w:bottom w:val="none" w:sz="0" w:space="0" w:color="auto"/>
        <w:right w:val="none" w:sz="0" w:space="0" w:color="auto"/>
      </w:divBdr>
    </w:div>
    <w:div w:id="1099371920">
      <w:bodyDiv w:val="1"/>
      <w:marLeft w:val="0"/>
      <w:marRight w:val="0"/>
      <w:marTop w:val="0"/>
      <w:marBottom w:val="0"/>
      <w:divBdr>
        <w:top w:val="none" w:sz="0" w:space="0" w:color="auto"/>
        <w:left w:val="none" w:sz="0" w:space="0" w:color="auto"/>
        <w:bottom w:val="none" w:sz="0" w:space="0" w:color="auto"/>
        <w:right w:val="none" w:sz="0" w:space="0" w:color="auto"/>
      </w:divBdr>
    </w:div>
    <w:div w:id="1159034627">
      <w:bodyDiv w:val="1"/>
      <w:marLeft w:val="0"/>
      <w:marRight w:val="0"/>
      <w:marTop w:val="0"/>
      <w:marBottom w:val="0"/>
      <w:divBdr>
        <w:top w:val="none" w:sz="0" w:space="0" w:color="auto"/>
        <w:left w:val="none" w:sz="0" w:space="0" w:color="auto"/>
        <w:bottom w:val="none" w:sz="0" w:space="0" w:color="auto"/>
        <w:right w:val="none" w:sz="0" w:space="0" w:color="auto"/>
      </w:divBdr>
    </w:div>
    <w:div w:id="1220705455">
      <w:bodyDiv w:val="1"/>
      <w:marLeft w:val="0"/>
      <w:marRight w:val="0"/>
      <w:marTop w:val="0"/>
      <w:marBottom w:val="0"/>
      <w:divBdr>
        <w:top w:val="none" w:sz="0" w:space="0" w:color="auto"/>
        <w:left w:val="none" w:sz="0" w:space="0" w:color="auto"/>
        <w:bottom w:val="none" w:sz="0" w:space="0" w:color="auto"/>
        <w:right w:val="none" w:sz="0" w:space="0" w:color="auto"/>
      </w:divBdr>
      <w:divsChild>
        <w:div w:id="884416426">
          <w:marLeft w:val="446"/>
          <w:marRight w:val="0"/>
          <w:marTop w:val="0"/>
          <w:marBottom w:val="0"/>
          <w:divBdr>
            <w:top w:val="none" w:sz="0" w:space="0" w:color="auto"/>
            <w:left w:val="none" w:sz="0" w:space="0" w:color="auto"/>
            <w:bottom w:val="none" w:sz="0" w:space="0" w:color="auto"/>
            <w:right w:val="none" w:sz="0" w:space="0" w:color="auto"/>
          </w:divBdr>
        </w:div>
        <w:div w:id="1387099076">
          <w:marLeft w:val="446"/>
          <w:marRight w:val="0"/>
          <w:marTop w:val="0"/>
          <w:marBottom w:val="0"/>
          <w:divBdr>
            <w:top w:val="none" w:sz="0" w:space="0" w:color="auto"/>
            <w:left w:val="none" w:sz="0" w:space="0" w:color="auto"/>
            <w:bottom w:val="none" w:sz="0" w:space="0" w:color="auto"/>
            <w:right w:val="none" w:sz="0" w:space="0" w:color="auto"/>
          </w:divBdr>
        </w:div>
      </w:divsChild>
    </w:div>
    <w:div w:id="1244142002">
      <w:bodyDiv w:val="1"/>
      <w:marLeft w:val="0"/>
      <w:marRight w:val="0"/>
      <w:marTop w:val="0"/>
      <w:marBottom w:val="0"/>
      <w:divBdr>
        <w:top w:val="none" w:sz="0" w:space="0" w:color="auto"/>
        <w:left w:val="none" w:sz="0" w:space="0" w:color="auto"/>
        <w:bottom w:val="none" w:sz="0" w:space="0" w:color="auto"/>
        <w:right w:val="none" w:sz="0" w:space="0" w:color="auto"/>
      </w:divBdr>
    </w:div>
    <w:div w:id="1326785897">
      <w:bodyDiv w:val="1"/>
      <w:marLeft w:val="0"/>
      <w:marRight w:val="0"/>
      <w:marTop w:val="0"/>
      <w:marBottom w:val="0"/>
      <w:divBdr>
        <w:top w:val="none" w:sz="0" w:space="0" w:color="auto"/>
        <w:left w:val="none" w:sz="0" w:space="0" w:color="auto"/>
        <w:bottom w:val="none" w:sz="0" w:space="0" w:color="auto"/>
        <w:right w:val="none" w:sz="0" w:space="0" w:color="auto"/>
      </w:divBdr>
    </w:div>
    <w:div w:id="1495146650">
      <w:bodyDiv w:val="1"/>
      <w:marLeft w:val="0"/>
      <w:marRight w:val="0"/>
      <w:marTop w:val="0"/>
      <w:marBottom w:val="0"/>
      <w:divBdr>
        <w:top w:val="none" w:sz="0" w:space="0" w:color="auto"/>
        <w:left w:val="none" w:sz="0" w:space="0" w:color="auto"/>
        <w:bottom w:val="none" w:sz="0" w:space="0" w:color="auto"/>
        <w:right w:val="none" w:sz="0" w:space="0" w:color="auto"/>
      </w:divBdr>
    </w:div>
    <w:div w:id="1637906737">
      <w:bodyDiv w:val="1"/>
      <w:marLeft w:val="0"/>
      <w:marRight w:val="0"/>
      <w:marTop w:val="0"/>
      <w:marBottom w:val="0"/>
      <w:divBdr>
        <w:top w:val="none" w:sz="0" w:space="0" w:color="auto"/>
        <w:left w:val="none" w:sz="0" w:space="0" w:color="auto"/>
        <w:bottom w:val="none" w:sz="0" w:space="0" w:color="auto"/>
        <w:right w:val="none" w:sz="0" w:space="0" w:color="auto"/>
      </w:divBdr>
    </w:div>
    <w:div w:id="1640525755">
      <w:bodyDiv w:val="1"/>
      <w:marLeft w:val="0"/>
      <w:marRight w:val="0"/>
      <w:marTop w:val="0"/>
      <w:marBottom w:val="0"/>
      <w:divBdr>
        <w:top w:val="none" w:sz="0" w:space="0" w:color="auto"/>
        <w:left w:val="none" w:sz="0" w:space="0" w:color="auto"/>
        <w:bottom w:val="none" w:sz="0" w:space="0" w:color="auto"/>
        <w:right w:val="none" w:sz="0" w:space="0" w:color="auto"/>
      </w:divBdr>
    </w:div>
    <w:div w:id="1679379536">
      <w:bodyDiv w:val="1"/>
      <w:marLeft w:val="0"/>
      <w:marRight w:val="0"/>
      <w:marTop w:val="0"/>
      <w:marBottom w:val="0"/>
      <w:divBdr>
        <w:top w:val="none" w:sz="0" w:space="0" w:color="auto"/>
        <w:left w:val="none" w:sz="0" w:space="0" w:color="auto"/>
        <w:bottom w:val="none" w:sz="0" w:space="0" w:color="auto"/>
        <w:right w:val="none" w:sz="0" w:space="0" w:color="auto"/>
      </w:divBdr>
    </w:div>
    <w:div w:id="1720786999">
      <w:bodyDiv w:val="1"/>
      <w:marLeft w:val="0"/>
      <w:marRight w:val="0"/>
      <w:marTop w:val="0"/>
      <w:marBottom w:val="0"/>
      <w:divBdr>
        <w:top w:val="none" w:sz="0" w:space="0" w:color="auto"/>
        <w:left w:val="none" w:sz="0" w:space="0" w:color="auto"/>
        <w:bottom w:val="none" w:sz="0" w:space="0" w:color="auto"/>
        <w:right w:val="none" w:sz="0" w:space="0" w:color="auto"/>
      </w:divBdr>
    </w:div>
    <w:div w:id="1762096936">
      <w:bodyDiv w:val="1"/>
      <w:marLeft w:val="0"/>
      <w:marRight w:val="0"/>
      <w:marTop w:val="0"/>
      <w:marBottom w:val="0"/>
      <w:divBdr>
        <w:top w:val="none" w:sz="0" w:space="0" w:color="auto"/>
        <w:left w:val="none" w:sz="0" w:space="0" w:color="auto"/>
        <w:bottom w:val="none" w:sz="0" w:space="0" w:color="auto"/>
        <w:right w:val="none" w:sz="0" w:space="0" w:color="auto"/>
      </w:divBdr>
    </w:div>
    <w:div w:id="1768621476">
      <w:bodyDiv w:val="1"/>
      <w:marLeft w:val="0"/>
      <w:marRight w:val="0"/>
      <w:marTop w:val="0"/>
      <w:marBottom w:val="0"/>
      <w:divBdr>
        <w:top w:val="none" w:sz="0" w:space="0" w:color="auto"/>
        <w:left w:val="none" w:sz="0" w:space="0" w:color="auto"/>
        <w:bottom w:val="none" w:sz="0" w:space="0" w:color="auto"/>
        <w:right w:val="none" w:sz="0" w:space="0" w:color="auto"/>
      </w:divBdr>
      <w:divsChild>
        <w:div w:id="102460239">
          <w:marLeft w:val="0"/>
          <w:marRight w:val="0"/>
          <w:marTop w:val="0"/>
          <w:marBottom w:val="0"/>
          <w:divBdr>
            <w:top w:val="none" w:sz="0" w:space="0" w:color="auto"/>
            <w:left w:val="none" w:sz="0" w:space="0" w:color="auto"/>
            <w:bottom w:val="none" w:sz="0" w:space="0" w:color="auto"/>
            <w:right w:val="none" w:sz="0" w:space="0" w:color="auto"/>
          </w:divBdr>
          <w:divsChild>
            <w:div w:id="297339428">
              <w:marLeft w:val="0"/>
              <w:marRight w:val="0"/>
              <w:marTop w:val="0"/>
              <w:marBottom w:val="0"/>
              <w:divBdr>
                <w:top w:val="none" w:sz="0" w:space="0" w:color="auto"/>
                <w:left w:val="none" w:sz="0" w:space="0" w:color="auto"/>
                <w:bottom w:val="none" w:sz="0" w:space="0" w:color="auto"/>
                <w:right w:val="none" w:sz="0" w:space="0" w:color="auto"/>
              </w:divBdr>
              <w:divsChild>
                <w:div w:id="22950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21620">
      <w:bodyDiv w:val="1"/>
      <w:marLeft w:val="0"/>
      <w:marRight w:val="0"/>
      <w:marTop w:val="0"/>
      <w:marBottom w:val="0"/>
      <w:divBdr>
        <w:top w:val="none" w:sz="0" w:space="0" w:color="auto"/>
        <w:left w:val="none" w:sz="0" w:space="0" w:color="auto"/>
        <w:bottom w:val="none" w:sz="0" w:space="0" w:color="auto"/>
        <w:right w:val="none" w:sz="0" w:space="0" w:color="auto"/>
      </w:divBdr>
      <w:divsChild>
        <w:div w:id="684747192">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shida-toshirou@osaka.jcho.g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6C90F-3ECF-42A5-9CA4-00F5E4BDE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49</Pages>
  <Words>8321</Words>
  <Characters>49078</Characters>
  <Application>Microsoft Office Word</Application>
  <DocSecurity>0</DocSecurity>
  <PresentationFormat/>
  <Lines>408</Lines>
  <Paragraphs>114</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57285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Kalpana K</cp:lastModifiedBy>
  <cp:revision>155</cp:revision>
  <dcterms:created xsi:type="dcterms:W3CDTF">2025-10-22T02:30:00Z</dcterms:created>
  <dcterms:modified xsi:type="dcterms:W3CDTF">2026-06-13T09:38:00Z</dcterms:modified>
  <cp:category/>
  <cp:contentStatus/>
  <dc:language/>
  <cp:version/>
</cp:coreProperties>
</file>