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C57976" w14:textId="606C63E2" w:rsidR="00EF61C5" w:rsidRPr="00954CEA" w:rsidRDefault="00000000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954CEA">
        <w:rPr>
          <w:rFonts w:ascii="Times New Roman" w:eastAsia="Times New Roman" w:hAnsi="Times New Roman" w:cs="Times New Roman"/>
          <w:b/>
        </w:rPr>
        <w:t>Supplementary Table 1: Scoring components and risk classification of prediction models for lymph node metastasis after noncurative ESD</w:t>
      </w:r>
    </w:p>
    <w:tbl>
      <w:tblPr>
        <w:tblW w:w="7563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911"/>
        <w:gridCol w:w="1652"/>
      </w:tblGrid>
      <w:tr w:rsidR="002D74A8" w14:paraId="0EBB61C9" w14:textId="77777777">
        <w:trPr>
          <w:trHeight w:val="341"/>
          <w:jc w:val="center"/>
        </w:trPr>
        <w:tc>
          <w:tcPr>
            <w:tcW w:w="7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19E87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eCura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 xml:space="preserve"> system</w:t>
            </w:r>
          </w:p>
        </w:tc>
      </w:tr>
      <w:tr w:rsidR="002D74A8" w14:paraId="1B3A50F3" w14:textId="77777777">
        <w:trPr>
          <w:trHeight w:val="341"/>
          <w:jc w:val="center"/>
        </w:trPr>
        <w:tc>
          <w:tcPr>
            <w:tcW w:w="7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30D19" w14:textId="77777777" w:rsidR="00EF61C5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7-point score</w:t>
            </w:r>
          </w:p>
        </w:tc>
      </w:tr>
      <w:tr w:rsidR="002D74A8" w14:paraId="58F52293" w14:textId="77777777">
        <w:trPr>
          <w:trHeight w:val="341"/>
          <w:jc w:val="center"/>
        </w:trPr>
        <w:tc>
          <w:tcPr>
            <w:tcW w:w="5911" w:type="dxa"/>
            <w:tcBorders>
              <w:top w:val="single" w:sz="4" w:space="0" w:color="auto"/>
            </w:tcBorders>
            <w:vAlign w:val="center"/>
          </w:tcPr>
          <w:p w14:paraId="27403E17" w14:textId="59161E2E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Variable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vAlign w:val="center"/>
          </w:tcPr>
          <w:p w14:paraId="669ABA97" w14:textId="20C119BA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Point</w:t>
            </w:r>
          </w:p>
        </w:tc>
      </w:tr>
      <w:tr w:rsidR="002D74A8" w14:paraId="16A3064A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4F3C3492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Lymphatic invasion</w:t>
            </w:r>
          </w:p>
        </w:tc>
        <w:tc>
          <w:tcPr>
            <w:tcW w:w="1652" w:type="dxa"/>
            <w:vAlign w:val="center"/>
          </w:tcPr>
          <w:p w14:paraId="53B9B6B4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3</w:t>
            </w:r>
          </w:p>
        </w:tc>
      </w:tr>
      <w:tr w:rsidR="002D74A8" w14:paraId="4A3712BB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0734F1C5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Tumor size &gt;30 mm</w:t>
            </w:r>
          </w:p>
        </w:tc>
        <w:tc>
          <w:tcPr>
            <w:tcW w:w="1652" w:type="dxa"/>
            <w:vAlign w:val="center"/>
          </w:tcPr>
          <w:p w14:paraId="152BBE7A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1</w:t>
            </w:r>
          </w:p>
        </w:tc>
      </w:tr>
      <w:tr w:rsidR="002D74A8" w14:paraId="372A7269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3DD6638E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Submucosal invasion ≥500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μm</w:t>
            </w:r>
            <w:proofErr w:type="spellEnd"/>
          </w:p>
        </w:tc>
        <w:tc>
          <w:tcPr>
            <w:tcW w:w="1652" w:type="dxa"/>
            <w:vAlign w:val="center"/>
          </w:tcPr>
          <w:p w14:paraId="64B60D55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1</w:t>
            </w:r>
          </w:p>
        </w:tc>
      </w:tr>
      <w:tr w:rsidR="002D74A8" w14:paraId="43F59813" w14:textId="77777777">
        <w:trPr>
          <w:trHeight w:val="341"/>
          <w:jc w:val="center"/>
        </w:trPr>
        <w:tc>
          <w:tcPr>
            <w:tcW w:w="5911" w:type="dxa"/>
            <w:tcBorders>
              <w:bottom w:val="nil"/>
            </w:tcBorders>
            <w:vAlign w:val="center"/>
          </w:tcPr>
          <w:p w14:paraId="7273FBA3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Venous invasion </w:t>
            </w:r>
          </w:p>
        </w:tc>
        <w:tc>
          <w:tcPr>
            <w:tcW w:w="1652" w:type="dxa"/>
            <w:tcBorders>
              <w:bottom w:val="nil"/>
            </w:tcBorders>
            <w:vAlign w:val="center"/>
          </w:tcPr>
          <w:p w14:paraId="66897FB8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1</w:t>
            </w:r>
          </w:p>
        </w:tc>
      </w:tr>
      <w:tr w:rsidR="002D74A8" w14:paraId="14D9D8BB" w14:textId="77777777">
        <w:trPr>
          <w:trHeight w:val="341"/>
          <w:jc w:val="center"/>
        </w:trPr>
        <w:tc>
          <w:tcPr>
            <w:tcW w:w="5911" w:type="dxa"/>
            <w:tcBorders>
              <w:top w:val="nil"/>
              <w:bottom w:val="single" w:sz="4" w:space="0" w:color="000000"/>
            </w:tcBorders>
            <w:vAlign w:val="center"/>
          </w:tcPr>
          <w:p w14:paraId="3FD7EFC3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Positive vertical margin</w:t>
            </w:r>
          </w:p>
        </w:tc>
        <w:tc>
          <w:tcPr>
            <w:tcW w:w="1652" w:type="dxa"/>
            <w:tcBorders>
              <w:top w:val="nil"/>
              <w:bottom w:val="single" w:sz="4" w:space="0" w:color="000000"/>
            </w:tcBorders>
            <w:vAlign w:val="center"/>
          </w:tcPr>
          <w:p w14:paraId="5A15E407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1</w:t>
            </w:r>
          </w:p>
        </w:tc>
      </w:tr>
      <w:tr w:rsidR="002D74A8" w14:paraId="61E5C389" w14:textId="77777777">
        <w:trPr>
          <w:trHeight w:val="341"/>
          <w:jc w:val="center"/>
        </w:trPr>
        <w:tc>
          <w:tcPr>
            <w:tcW w:w="7563" w:type="dxa"/>
            <w:gridSpan w:val="2"/>
            <w:tcBorders>
              <w:top w:val="single" w:sz="4" w:space="0" w:color="000000"/>
            </w:tcBorders>
            <w:vAlign w:val="center"/>
          </w:tcPr>
          <w:p w14:paraId="045C3EE7" w14:textId="77777777" w:rsidR="00EF61C5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Three-risk classification based on total score</w:t>
            </w:r>
          </w:p>
        </w:tc>
      </w:tr>
      <w:tr w:rsidR="002D74A8" w14:paraId="69C79F26" w14:textId="77777777">
        <w:trPr>
          <w:trHeight w:val="341"/>
          <w:jc w:val="center"/>
        </w:trPr>
        <w:tc>
          <w:tcPr>
            <w:tcW w:w="7563" w:type="dxa"/>
            <w:gridSpan w:val="2"/>
            <w:tcBorders>
              <w:bottom w:val="nil"/>
            </w:tcBorders>
            <w:vAlign w:val="center"/>
          </w:tcPr>
          <w:p w14:paraId="468B51A2" w14:textId="415B85C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 Low risk: 0–1 point</w:t>
            </w:r>
          </w:p>
        </w:tc>
      </w:tr>
      <w:tr w:rsidR="002D74A8" w14:paraId="4143DA5F" w14:textId="77777777">
        <w:trPr>
          <w:trHeight w:val="341"/>
          <w:jc w:val="center"/>
        </w:trPr>
        <w:tc>
          <w:tcPr>
            <w:tcW w:w="7563" w:type="dxa"/>
            <w:gridSpan w:val="2"/>
            <w:tcBorders>
              <w:top w:val="nil"/>
              <w:bottom w:val="nil"/>
            </w:tcBorders>
            <w:vAlign w:val="center"/>
          </w:tcPr>
          <w:p w14:paraId="2A3152D7" w14:textId="647BFF2A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 Intermediate risk: 2–4 points</w:t>
            </w:r>
          </w:p>
        </w:tc>
      </w:tr>
      <w:tr w:rsidR="002D74A8" w14:paraId="7545382D" w14:textId="77777777">
        <w:trPr>
          <w:trHeight w:val="341"/>
          <w:jc w:val="center"/>
        </w:trPr>
        <w:tc>
          <w:tcPr>
            <w:tcW w:w="7563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631D474D" w14:textId="3FE1DA06" w:rsidR="00EF61C5" w:rsidRDefault="00000000">
            <w:pPr>
              <w:ind w:firstLine="210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High risk: 5–7 points</w:t>
            </w:r>
          </w:p>
        </w:tc>
      </w:tr>
      <w:tr w:rsidR="002D74A8" w14:paraId="52479298" w14:textId="77777777">
        <w:trPr>
          <w:trHeight w:val="341"/>
          <w:jc w:val="center"/>
        </w:trPr>
        <w:tc>
          <w:tcPr>
            <w:tcW w:w="756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890311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 xml:space="preserve">W-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eCura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 xml:space="preserve"> score</w:t>
            </w:r>
          </w:p>
        </w:tc>
      </w:tr>
      <w:tr w:rsidR="002D74A8" w14:paraId="2077A966" w14:textId="77777777">
        <w:trPr>
          <w:trHeight w:val="341"/>
          <w:jc w:val="center"/>
        </w:trPr>
        <w:tc>
          <w:tcPr>
            <w:tcW w:w="756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CFAEF5" w14:textId="77777777" w:rsidR="00EF61C5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7-point score</w:t>
            </w:r>
          </w:p>
        </w:tc>
      </w:tr>
      <w:tr w:rsidR="002D74A8" w14:paraId="7FBDBE21" w14:textId="77777777">
        <w:trPr>
          <w:trHeight w:val="341"/>
          <w:jc w:val="center"/>
        </w:trPr>
        <w:tc>
          <w:tcPr>
            <w:tcW w:w="5911" w:type="dxa"/>
            <w:tcBorders>
              <w:top w:val="single" w:sz="4" w:space="0" w:color="000000"/>
            </w:tcBorders>
            <w:vAlign w:val="center"/>
          </w:tcPr>
          <w:p w14:paraId="29AA70F8" w14:textId="7F8AF607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Variable</w:t>
            </w:r>
          </w:p>
        </w:tc>
        <w:tc>
          <w:tcPr>
            <w:tcW w:w="1652" w:type="dxa"/>
            <w:tcBorders>
              <w:top w:val="single" w:sz="4" w:space="0" w:color="000000"/>
            </w:tcBorders>
            <w:vAlign w:val="center"/>
          </w:tcPr>
          <w:p w14:paraId="0ABC9571" w14:textId="787E6A76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Point</w:t>
            </w:r>
          </w:p>
        </w:tc>
      </w:tr>
      <w:tr w:rsidR="002D74A8" w14:paraId="2471F6A4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2D33ED07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Lymphatic invasion</w:t>
            </w:r>
          </w:p>
        </w:tc>
        <w:tc>
          <w:tcPr>
            <w:tcW w:w="1652" w:type="dxa"/>
            <w:vAlign w:val="center"/>
          </w:tcPr>
          <w:p w14:paraId="3C18F4BE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3</w:t>
            </w:r>
          </w:p>
        </w:tc>
      </w:tr>
      <w:tr w:rsidR="002D74A8" w14:paraId="5F85C54F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430FAE58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Tumor size &gt;30 mm</w:t>
            </w:r>
          </w:p>
        </w:tc>
        <w:tc>
          <w:tcPr>
            <w:tcW w:w="1652" w:type="dxa"/>
            <w:vAlign w:val="center"/>
          </w:tcPr>
          <w:p w14:paraId="4BA04BB9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1</w:t>
            </w:r>
          </w:p>
        </w:tc>
      </w:tr>
      <w:tr w:rsidR="002D74A8" w14:paraId="3F1A735D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29EF3E05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Submucosal invasion ≥1000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μm</w:t>
            </w:r>
            <w:proofErr w:type="spellEnd"/>
          </w:p>
        </w:tc>
        <w:tc>
          <w:tcPr>
            <w:tcW w:w="1652" w:type="dxa"/>
            <w:vAlign w:val="center"/>
          </w:tcPr>
          <w:p w14:paraId="5A2B02E2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1</w:t>
            </w:r>
          </w:p>
        </w:tc>
      </w:tr>
      <w:tr w:rsidR="002D74A8" w14:paraId="2F02B129" w14:textId="77777777">
        <w:trPr>
          <w:trHeight w:val="341"/>
          <w:jc w:val="center"/>
        </w:trPr>
        <w:tc>
          <w:tcPr>
            <w:tcW w:w="5911" w:type="dxa"/>
            <w:tcBorders>
              <w:bottom w:val="nil"/>
            </w:tcBorders>
            <w:vAlign w:val="center"/>
          </w:tcPr>
          <w:p w14:paraId="74C899C3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Venous invasion </w:t>
            </w:r>
          </w:p>
        </w:tc>
        <w:tc>
          <w:tcPr>
            <w:tcW w:w="1652" w:type="dxa"/>
            <w:tcBorders>
              <w:bottom w:val="nil"/>
            </w:tcBorders>
            <w:vAlign w:val="center"/>
          </w:tcPr>
          <w:p w14:paraId="4EBFCC05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1</w:t>
            </w:r>
          </w:p>
        </w:tc>
      </w:tr>
      <w:tr w:rsidR="002D74A8" w14:paraId="32BB3BB7" w14:textId="77777777">
        <w:trPr>
          <w:trHeight w:val="341"/>
          <w:jc w:val="center"/>
        </w:trPr>
        <w:tc>
          <w:tcPr>
            <w:tcW w:w="5911" w:type="dxa"/>
            <w:tcBorders>
              <w:top w:val="nil"/>
              <w:bottom w:val="single" w:sz="4" w:space="0" w:color="000000"/>
            </w:tcBorders>
            <w:vAlign w:val="center"/>
          </w:tcPr>
          <w:p w14:paraId="15534777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Positive vertical margin</w:t>
            </w:r>
          </w:p>
        </w:tc>
        <w:tc>
          <w:tcPr>
            <w:tcW w:w="1652" w:type="dxa"/>
            <w:tcBorders>
              <w:top w:val="nil"/>
              <w:bottom w:val="single" w:sz="4" w:space="0" w:color="000000"/>
            </w:tcBorders>
            <w:vAlign w:val="center"/>
          </w:tcPr>
          <w:p w14:paraId="36E96457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1</w:t>
            </w:r>
          </w:p>
        </w:tc>
      </w:tr>
      <w:tr w:rsidR="002D74A8" w14:paraId="087DD327" w14:textId="77777777">
        <w:trPr>
          <w:trHeight w:val="341"/>
          <w:jc w:val="center"/>
        </w:trPr>
        <w:tc>
          <w:tcPr>
            <w:tcW w:w="7563" w:type="dxa"/>
            <w:gridSpan w:val="2"/>
            <w:vAlign w:val="center"/>
          </w:tcPr>
          <w:p w14:paraId="53EEBAB7" w14:textId="0A2534D0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 xml:space="preserve">Three-risk classification based on </w:t>
            </w:r>
            <w:r w:rsidR="00E179E7"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total score</w:t>
            </w:r>
          </w:p>
        </w:tc>
      </w:tr>
      <w:tr w:rsidR="002D74A8" w14:paraId="2F8B64CD" w14:textId="77777777">
        <w:trPr>
          <w:trHeight w:val="341"/>
          <w:jc w:val="center"/>
        </w:trPr>
        <w:tc>
          <w:tcPr>
            <w:tcW w:w="7563" w:type="dxa"/>
            <w:gridSpan w:val="2"/>
            <w:vAlign w:val="center"/>
          </w:tcPr>
          <w:p w14:paraId="5E1A3C62" w14:textId="48246D79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 Low risk: 0–1 point</w:t>
            </w:r>
          </w:p>
        </w:tc>
      </w:tr>
      <w:tr w:rsidR="002D74A8" w14:paraId="4B00DB2F" w14:textId="77777777">
        <w:trPr>
          <w:trHeight w:val="341"/>
          <w:jc w:val="center"/>
        </w:trPr>
        <w:tc>
          <w:tcPr>
            <w:tcW w:w="7563" w:type="dxa"/>
            <w:gridSpan w:val="2"/>
            <w:tcBorders>
              <w:bottom w:val="nil"/>
            </w:tcBorders>
            <w:vAlign w:val="center"/>
          </w:tcPr>
          <w:p w14:paraId="11A6E737" w14:textId="664FF939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 Intermediate risk: 2–4 points</w:t>
            </w:r>
          </w:p>
        </w:tc>
      </w:tr>
      <w:tr w:rsidR="002D74A8" w14:paraId="4DE1FD98" w14:textId="77777777">
        <w:trPr>
          <w:trHeight w:val="341"/>
          <w:jc w:val="center"/>
        </w:trPr>
        <w:tc>
          <w:tcPr>
            <w:tcW w:w="7563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7AE5685F" w14:textId="2518E922" w:rsidR="00EF61C5" w:rsidRDefault="00000000">
            <w:pPr>
              <w:ind w:firstLine="210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High risk: 5–7 points</w:t>
            </w:r>
          </w:p>
        </w:tc>
      </w:tr>
      <w:tr w:rsidR="002D74A8" w14:paraId="052D0FF3" w14:textId="77777777">
        <w:trPr>
          <w:trHeight w:val="341"/>
          <w:jc w:val="center"/>
        </w:trPr>
        <w:tc>
          <w:tcPr>
            <w:tcW w:w="756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CA9E70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11-point score</w:t>
            </w:r>
          </w:p>
        </w:tc>
      </w:tr>
      <w:tr w:rsidR="002D74A8" w14:paraId="407FE250" w14:textId="77777777">
        <w:trPr>
          <w:trHeight w:val="341"/>
          <w:jc w:val="center"/>
        </w:trPr>
        <w:tc>
          <w:tcPr>
            <w:tcW w:w="5911" w:type="dxa"/>
            <w:tcBorders>
              <w:top w:val="single" w:sz="4" w:space="0" w:color="000000"/>
            </w:tcBorders>
            <w:vAlign w:val="center"/>
          </w:tcPr>
          <w:p w14:paraId="2CC987EA" w14:textId="7AA3138C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Variable</w:t>
            </w:r>
          </w:p>
        </w:tc>
        <w:tc>
          <w:tcPr>
            <w:tcW w:w="1652" w:type="dxa"/>
            <w:tcBorders>
              <w:top w:val="single" w:sz="4" w:space="0" w:color="000000"/>
            </w:tcBorders>
            <w:vAlign w:val="center"/>
          </w:tcPr>
          <w:p w14:paraId="4A6FDD0C" w14:textId="44976CB5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Point</w:t>
            </w:r>
          </w:p>
        </w:tc>
      </w:tr>
      <w:tr w:rsidR="002D74A8" w14:paraId="5F4FDCB8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0519DF72" w14:textId="77777777" w:rsidR="00EF61C5" w:rsidRDefault="00000000">
            <w:pPr>
              <w:rPr>
                <w:rFonts w:ascii="Times New Roman" w:eastAsia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Lymphovascular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invasion</w:t>
            </w:r>
          </w:p>
        </w:tc>
        <w:tc>
          <w:tcPr>
            <w:tcW w:w="1652" w:type="dxa"/>
            <w:vAlign w:val="center"/>
          </w:tcPr>
          <w:p w14:paraId="4C9DDDB9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4</w:t>
            </w:r>
          </w:p>
        </w:tc>
      </w:tr>
      <w:tr w:rsidR="002D74A8" w14:paraId="2238B9A9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15D368DF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Tumor size</w:t>
            </w:r>
          </w:p>
        </w:tc>
        <w:tc>
          <w:tcPr>
            <w:tcW w:w="1652" w:type="dxa"/>
            <w:vAlign w:val="center"/>
          </w:tcPr>
          <w:p w14:paraId="6A6AE74F" w14:textId="77777777" w:rsidR="00EF61C5" w:rsidRDefault="00EF61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</w:p>
        </w:tc>
      </w:tr>
      <w:tr w:rsidR="002D74A8" w14:paraId="136006E3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75375AD0" w14:textId="77777777" w:rsidR="00EF61C5" w:rsidRDefault="00000000">
            <w:pPr>
              <w:ind w:firstLine="210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&gt;20 mm and ≤30 mm</w:t>
            </w:r>
          </w:p>
        </w:tc>
        <w:tc>
          <w:tcPr>
            <w:tcW w:w="1652" w:type="dxa"/>
            <w:vAlign w:val="center"/>
          </w:tcPr>
          <w:p w14:paraId="67A3D645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1</w:t>
            </w:r>
          </w:p>
        </w:tc>
      </w:tr>
      <w:tr w:rsidR="002D74A8" w14:paraId="124E6705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65F4E291" w14:textId="77777777" w:rsidR="00EF61C5" w:rsidRDefault="00000000">
            <w:pPr>
              <w:ind w:firstLine="210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&gt;30 mm</w:t>
            </w:r>
          </w:p>
        </w:tc>
        <w:tc>
          <w:tcPr>
            <w:tcW w:w="1652" w:type="dxa"/>
            <w:vAlign w:val="center"/>
          </w:tcPr>
          <w:p w14:paraId="7EA4C60A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2</w:t>
            </w:r>
          </w:p>
        </w:tc>
      </w:tr>
      <w:tr w:rsidR="002D74A8" w14:paraId="5AC60E54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64D2E82E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Submucosal invasion ≥500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μm</w:t>
            </w:r>
            <w:proofErr w:type="spellEnd"/>
          </w:p>
        </w:tc>
        <w:tc>
          <w:tcPr>
            <w:tcW w:w="1652" w:type="dxa"/>
            <w:vAlign w:val="center"/>
          </w:tcPr>
          <w:p w14:paraId="0A2223DA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2</w:t>
            </w:r>
          </w:p>
        </w:tc>
      </w:tr>
      <w:tr w:rsidR="002D74A8" w14:paraId="0687542B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7B2085D4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Histological type</w:t>
            </w:r>
          </w:p>
        </w:tc>
        <w:tc>
          <w:tcPr>
            <w:tcW w:w="1652" w:type="dxa"/>
            <w:vAlign w:val="center"/>
          </w:tcPr>
          <w:p w14:paraId="29BB03A3" w14:textId="77777777" w:rsidR="00EF61C5" w:rsidRDefault="00EF61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</w:p>
        </w:tc>
      </w:tr>
      <w:tr w:rsidR="002D74A8" w14:paraId="327DA71C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10B4A1D5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Pure undifferentiated-type (poor)</w:t>
            </w:r>
          </w:p>
        </w:tc>
        <w:tc>
          <w:tcPr>
            <w:tcW w:w="1652" w:type="dxa"/>
            <w:vAlign w:val="center"/>
          </w:tcPr>
          <w:p w14:paraId="7CB1224C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1</w:t>
            </w:r>
          </w:p>
        </w:tc>
      </w:tr>
      <w:tr w:rsidR="002D74A8" w14:paraId="5A098339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1980AD6C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 Mixed type, differentiated-type (well/moderate) predominant</w:t>
            </w:r>
          </w:p>
        </w:tc>
        <w:tc>
          <w:tcPr>
            <w:tcW w:w="1652" w:type="dxa"/>
            <w:vAlign w:val="center"/>
          </w:tcPr>
          <w:p w14:paraId="7889D050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2</w:t>
            </w:r>
          </w:p>
        </w:tc>
      </w:tr>
      <w:tr w:rsidR="002D74A8" w14:paraId="621A8CA5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39FC0CC8" w14:textId="77777777" w:rsidR="00EF61C5" w:rsidRDefault="00000000">
            <w:pPr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 Mixed type, undifferentiated-type (poor) predominant</w:t>
            </w:r>
          </w:p>
        </w:tc>
        <w:tc>
          <w:tcPr>
            <w:tcW w:w="1652" w:type="dxa"/>
            <w:vAlign w:val="center"/>
          </w:tcPr>
          <w:p w14:paraId="15831DCA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2</w:t>
            </w:r>
          </w:p>
        </w:tc>
      </w:tr>
      <w:tr w:rsidR="002D74A8" w14:paraId="2966C219" w14:textId="77777777">
        <w:trPr>
          <w:trHeight w:val="341"/>
          <w:jc w:val="center"/>
        </w:trPr>
        <w:tc>
          <w:tcPr>
            <w:tcW w:w="5911" w:type="dxa"/>
            <w:vAlign w:val="center"/>
          </w:tcPr>
          <w:p w14:paraId="2F9293F9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Ulcerative findings</w:t>
            </w:r>
          </w:p>
        </w:tc>
        <w:tc>
          <w:tcPr>
            <w:tcW w:w="1652" w:type="dxa"/>
            <w:vAlign w:val="center"/>
          </w:tcPr>
          <w:p w14:paraId="25437EDE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</w:rPr>
              <w:t>1</w:t>
            </w:r>
          </w:p>
        </w:tc>
      </w:tr>
    </w:tbl>
    <w:p w14:paraId="6630FC71" w14:textId="2C9501DF" w:rsidR="00EF61C5" w:rsidRPr="00954CEA" w:rsidRDefault="00000000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954CEA">
        <w:rPr>
          <w:rFonts w:ascii="Times New Roman" w:eastAsia="Times New Roman" w:hAnsi="Times New Roman" w:cs="Times New Roman"/>
        </w:rPr>
        <w:t xml:space="preserve">The </w:t>
      </w:r>
      <w:proofErr w:type="spellStart"/>
      <w:r w:rsidRPr="00954CEA">
        <w:rPr>
          <w:rFonts w:ascii="Times New Roman" w:eastAsia="Times New Roman" w:hAnsi="Times New Roman" w:cs="Times New Roman"/>
        </w:rPr>
        <w:t>eCura</w:t>
      </w:r>
      <w:proofErr w:type="spellEnd"/>
      <w:r w:rsidRPr="00954CEA">
        <w:rPr>
          <w:rFonts w:ascii="Times New Roman" w:eastAsia="Times New Roman" w:hAnsi="Times New Roman" w:cs="Times New Roman"/>
        </w:rPr>
        <w:t xml:space="preserve"> system and the W-</w:t>
      </w:r>
      <w:proofErr w:type="spellStart"/>
      <w:r w:rsidRPr="00954CEA">
        <w:rPr>
          <w:rFonts w:ascii="Times New Roman" w:eastAsia="Times New Roman" w:hAnsi="Times New Roman" w:cs="Times New Roman"/>
        </w:rPr>
        <w:t>eCura</w:t>
      </w:r>
      <w:proofErr w:type="spellEnd"/>
      <w:r w:rsidRPr="00954CEA">
        <w:rPr>
          <w:rFonts w:ascii="Times New Roman" w:eastAsia="Times New Roman" w:hAnsi="Times New Roman" w:cs="Times New Roman"/>
        </w:rPr>
        <w:t xml:space="preserve"> score assign points based on the pathological findings of endoscopic resection specimens. The W-</w:t>
      </w:r>
      <w:proofErr w:type="spellStart"/>
      <w:r w:rsidRPr="00954CEA">
        <w:rPr>
          <w:rFonts w:ascii="Times New Roman" w:eastAsia="Times New Roman" w:hAnsi="Times New Roman" w:cs="Times New Roman"/>
        </w:rPr>
        <w:t>eCura</w:t>
      </w:r>
      <w:proofErr w:type="spellEnd"/>
      <w:r w:rsidRPr="00954CEA">
        <w:rPr>
          <w:rFonts w:ascii="Times New Roman" w:eastAsia="Times New Roman" w:hAnsi="Times New Roman" w:cs="Times New Roman"/>
        </w:rPr>
        <w:t xml:space="preserve"> score differs from the </w:t>
      </w:r>
      <w:proofErr w:type="spellStart"/>
      <w:r w:rsidRPr="00954CEA">
        <w:rPr>
          <w:rFonts w:ascii="Times New Roman" w:eastAsia="Times New Roman" w:hAnsi="Times New Roman" w:cs="Times New Roman"/>
        </w:rPr>
        <w:t>eCura</w:t>
      </w:r>
      <w:proofErr w:type="spellEnd"/>
      <w:r w:rsidRPr="00954CEA">
        <w:rPr>
          <w:rFonts w:ascii="Times New Roman" w:eastAsia="Times New Roman" w:hAnsi="Times New Roman" w:cs="Times New Roman"/>
        </w:rPr>
        <w:t xml:space="preserve"> system in the cutoff </w:t>
      </w:r>
      <w:r w:rsidR="00E179E7">
        <w:rPr>
          <w:rFonts w:ascii="Times New Roman" w:eastAsia="Times New Roman" w:hAnsi="Times New Roman" w:cs="Times New Roman"/>
        </w:rPr>
        <w:t xml:space="preserve">value </w:t>
      </w:r>
      <w:r w:rsidRPr="00954CEA">
        <w:rPr>
          <w:rFonts w:ascii="Times New Roman" w:eastAsia="Times New Roman" w:hAnsi="Times New Roman" w:cs="Times New Roman"/>
        </w:rPr>
        <w:t xml:space="preserve">for submucosal invasion depth (≥1000 </w:t>
      </w:r>
      <w:proofErr w:type="spellStart"/>
      <w:r w:rsidRPr="00954CEA">
        <w:rPr>
          <w:rFonts w:ascii="Times New Roman" w:eastAsia="Times New Roman" w:hAnsi="Times New Roman" w:cs="Times New Roman"/>
        </w:rPr>
        <w:t>μm</w:t>
      </w:r>
      <w:proofErr w:type="spellEnd"/>
      <w:r w:rsidRPr="00954CEA">
        <w:rPr>
          <w:rFonts w:ascii="Times New Roman" w:eastAsia="Times New Roman" w:hAnsi="Times New Roman" w:cs="Times New Roman"/>
        </w:rPr>
        <w:t xml:space="preserve"> vs ≥500 </w:t>
      </w:r>
      <w:proofErr w:type="spellStart"/>
      <w:r w:rsidRPr="00954CEA">
        <w:rPr>
          <w:rFonts w:ascii="Times New Roman" w:eastAsia="Times New Roman" w:hAnsi="Times New Roman" w:cs="Times New Roman"/>
        </w:rPr>
        <w:t>μm</w:t>
      </w:r>
      <w:proofErr w:type="spellEnd"/>
      <w:r w:rsidRPr="00954CEA">
        <w:rPr>
          <w:rFonts w:ascii="Times New Roman" w:eastAsia="Times New Roman" w:hAnsi="Times New Roman" w:cs="Times New Roman"/>
        </w:rPr>
        <w:t xml:space="preserve">). In the 11-point scale, the histological type includes pure differentiated (pure well/moderate), pure undifferentiated (pure poor), and mixed types; points are assigned </w:t>
      </w:r>
      <w:r w:rsidRPr="00954CEA">
        <w:rPr>
          <w:rFonts w:ascii="Times New Roman" w:eastAsia="Times New Roman" w:hAnsi="Times New Roman" w:cs="Times New Roman"/>
        </w:rPr>
        <w:lastRenderedPageBreak/>
        <w:t>to pure undifferentiated (pure poor) and mixed types, while the pure differentiated type (well/moderate) is assigned 0 points.</w:t>
      </w:r>
    </w:p>
    <w:p w14:paraId="00516035" w14:textId="77777777" w:rsidR="00EF61C5" w:rsidRPr="00E179E7" w:rsidRDefault="00000000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954CEA">
        <w:rPr>
          <w:rFonts w:ascii="Times New Roman" w:eastAsia="Times New Roman" w:hAnsi="Times New Roman" w:cs="Times New Roman"/>
        </w:rPr>
        <w:t>ESD, endoscopic submucosal dissection.</w:t>
      </w:r>
    </w:p>
    <w:p w14:paraId="4CE48CF9" w14:textId="77777777" w:rsidR="00EF61C5" w:rsidRDefault="00EF61C5">
      <w:pPr>
        <w:spacing w:line="360" w:lineRule="auto"/>
        <w:rPr>
          <w:rFonts w:ascii="Times New Roman" w:eastAsia="Times New Roman" w:hAnsi="Times New Roman" w:cs="Times New Roman"/>
          <w:b/>
        </w:rPr>
        <w:sectPr w:rsidR="00EF61C5">
          <w:pgSz w:w="11900" w:h="16840"/>
          <w:pgMar w:top="720" w:right="720" w:bottom="720" w:left="720" w:header="851" w:footer="992" w:gutter="0"/>
          <w:cols w:space="425"/>
        </w:sectPr>
      </w:pPr>
    </w:p>
    <w:p w14:paraId="7700FD61" w14:textId="0DA6D97C" w:rsidR="00EF61C5" w:rsidRDefault="00000000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Supplementary Table 2: Distribution of </w:t>
      </w:r>
      <w:r w:rsidR="00E179E7">
        <w:rPr>
          <w:rFonts w:ascii="Times New Roman" w:eastAsia="Times New Roman" w:hAnsi="Times New Roman" w:cs="Times New Roman"/>
          <w:b/>
        </w:rPr>
        <w:t xml:space="preserve">the </w:t>
      </w:r>
      <w:r>
        <w:rPr>
          <w:rFonts w:ascii="Times New Roman" w:eastAsia="Times New Roman" w:hAnsi="Times New Roman" w:cs="Times New Roman"/>
          <w:b/>
        </w:rPr>
        <w:t xml:space="preserve">LNM rates in the original and present cohorts across </w:t>
      </w:r>
      <w:r w:rsidR="008D3BA9">
        <w:rPr>
          <w:rFonts w:ascii="Times New Roman" w:eastAsia="Times New Roman" w:hAnsi="Times New Roman" w:cs="Times New Roman"/>
          <w:b/>
        </w:rPr>
        <w:t xml:space="preserve">the </w:t>
      </w:r>
      <w:r>
        <w:rPr>
          <w:rFonts w:ascii="Times New Roman" w:eastAsia="Times New Roman" w:hAnsi="Times New Roman" w:cs="Times New Roman"/>
          <w:b/>
        </w:rPr>
        <w:t>five prediction models</w:t>
      </w:r>
    </w:p>
    <w:tbl>
      <w:tblPr>
        <w:tblW w:w="10348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2268"/>
        <w:gridCol w:w="4536"/>
      </w:tblGrid>
      <w:tr w:rsidR="002D74A8" w14:paraId="2044A050" w14:textId="77777777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05610E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Model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6948CC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Category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1ABDE8" w14:textId="316B6907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Original LNM,</w:t>
            </w:r>
            <w:r w:rsidR="000C5477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% (n/N)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F45A9B" w14:textId="463AB33B" w:rsidR="00EF61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Observed LNM in </w:t>
            </w:r>
            <w:r w:rsidR="000C5477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present study, % (n/N, 95% CI)</w:t>
            </w:r>
          </w:p>
        </w:tc>
      </w:tr>
      <w:tr w:rsidR="002D74A8" w14:paraId="40A8324D" w14:textId="77777777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C6D2CA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eCura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system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914BEC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1A93F2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1.6% (1/62)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AA8473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1.9% (2/104; 0.2 to 6.8)</w:t>
            </w:r>
          </w:p>
        </w:tc>
      </w:tr>
      <w:tr w:rsidR="002D74A8" w14:paraId="5848CE79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E9DDA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(7-point score)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1A5A8F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10F9CA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2.6% (9/341)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4B8C0D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1.4% (2/140; 0.2 to 5.1)</w:t>
            </w:r>
          </w:p>
        </w:tc>
      </w:tr>
      <w:tr w:rsidR="002D74A8" w14:paraId="1EB06ADF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5EC8B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F0829C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CF8D17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4.9% (9/185)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646CD7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1.5% (1/68; 0.0 to 7.9)</w:t>
            </w:r>
          </w:p>
        </w:tc>
      </w:tr>
      <w:tr w:rsidR="002D74A8" w14:paraId="44C521D2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09CAA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8713AE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0ABFAC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7.4% (11/148)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67EB93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1.3% (1/78; 0.0 to 6.9)</w:t>
            </w:r>
          </w:p>
        </w:tc>
      </w:tr>
      <w:tr w:rsidR="002D74A8" w14:paraId="791BDA63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F50B3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7D3F2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4ABA7C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8.3% (11/132)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E12381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5.9% (4/68; 1.6 to 14.4)</w:t>
            </w:r>
          </w:p>
        </w:tc>
      </w:tr>
      <w:tr w:rsidR="002D74A8" w14:paraId="1C32A5FA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3C95EF97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1555C9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88E95E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19.9% (28/141)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6DA3D3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13.0% (7/54; 5.4 to 24.9)</w:t>
            </w:r>
          </w:p>
        </w:tc>
      </w:tr>
      <w:tr w:rsidR="002D74A8" w14:paraId="0C11C38A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636DE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43D4B1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434F4F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27.3% (21/77)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466EB4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9.1% (2/22; 1.1 to 29.2)</w:t>
            </w:r>
          </w:p>
        </w:tc>
      </w:tr>
      <w:tr w:rsidR="002D74A8" w14:paraId="5C58B7BC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8737F0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79AB81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B57258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26.7% (4/15)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F064D2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100% (1/1; 2.5 to 100)</w:t>
            </w:r>
          </w:p>
        </w:tc>
      </w:tr>
      <w:tr w:rsidR="002D74A8" w14:paraId="36BB6892" w14:textId="77777777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28D9345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eCura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system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578E18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Low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F2E1E5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2.5% (10/403)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D0EA5B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1.6% (4/244; 0.4 to 4.1)</w:t>
            </w:r>
          </w:p>
        </w:tc>
      </w:tr>
      <w:tr w:rsidR="002D74A8" w14:paraId="196B75E5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75C4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(three-risk classification)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DBA0C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Intermediate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B709AA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6.7% (31/465)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FABE82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5.6% (12/214; 2.9 to 9.6)</w:t>
            </w:r>
          </w:p>
        </w:tc>
      </w:tr>
      <w:tr w:rsidR="002D74A8" w14:paraId="322F5040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967E8C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1AF15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High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267386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22.7% (53/233)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AACAD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13.0% (10/77; 6.4 to 22.6)</w:t>
            </w:r>
          </w:p>
        </w:tc>
      </w:tr>
      <w:tr w:rsidR="002D74A8" w14:paraId="3C034002" w14:textId="77777777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267433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W-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eCura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score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44B745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37BDBD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0% (0/21)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76D62C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1.4% (2/138; 0.2 to 5.1)</w:t>
            </w:r>
          </w:p>
        </w:tc>
      </w:tr>
      <w:tr w:rsidR="002D74A8" w14:paraId="74C17A80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B6776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(7-point score)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7D18CC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2D186A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0% (0/42)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46DE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1.4% (2/144; 0.2 to 4.9)</w:t>
            </w:r>
          </w:p>
        </w:tc>
      </w:tr>
      <w:tr w:rsidR="002D74A8" w14:paraId="71CE172E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5881F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C3DE42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327160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0% (0/20)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346331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9.4% (3/32; 2.0 to 25.0)</w:t>
            </w:r>
          </w:p>
        </w:tc>
      </w:tr>
      <w:tr w:rsidR="002D74A8" w14:paraId="00C16FD7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C2B63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F92931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AE076E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8.3% (2/24)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5FDD81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6.5% (6/93; 2.4 to 13.5)</w:t>
            </w:r>
          </w:p>
        </w:tc>
      </w:tr>
      <w:tr w:rsidR="002D74A8" w14:paraId="220073A0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C33A5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85FEAF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885854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20.0% (4/20)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B15B18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7.9% (6/76; 3.0 to 16.4)</w:t>
            </w:r>
          </w:p>
        </w:tc>
      </w:tr>
      <w:tr w:rsidR="002D74A8" w14:paraId="7ADE4DDD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074AE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68E97D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D235AD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57.1% (12/21)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6222D0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11.4% (4/35; 3.2 to 26.7)</w:t>
            </w:r>
          </w:p>
        </w:tc>
      </w:tr>
      <w:tr w:rsidR="002D74A8" w14:paraId="3CD2C341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3D5E225A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8B554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31412A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71.4% (5/7)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DC672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12.5% (2/16; 1.5 to 38.4)</w:t>
            </w:r>
          </w:p>
        </w:tc>
      </w:tr>
      <w:tr w:rsidR="002D74A8" w14:paraId="479FD5A5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996528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CAB9DA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489F83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0% (0/1)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1C2ABA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100% (1/1; 2.5 to 100)</w:t>
            </w:r>
          </w:p>
        </w:tc>
      </w:tr>
      <w:tr w:rsidR="002D74A8" w14:paraId="2A23185E" w14:textId="77777777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D3FDFF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W-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eCura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score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C3FE6C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Low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044675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0% (0/63)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0FCC72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1.4% (4/282; 0.4 to 3.6)</w:t>
            </w:r>
          </w:p>
        </w:tc>
      </w:tr>
      <w:tr w:rsidR="002D74A8" w14:paraId="4126D8CF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A97A8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(three-risk classification)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48C2C6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Intermediate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650F5B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15.6% (10/64)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0ADF57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7.5% (15/201; 4.2 to 12.0)</w:t>
            </w:r>
          </w:p>
        </w:tc>
      </w:tr>
      <w:tr w:rsidR="002D74A8" w14:paraId="5A6373A5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584CA0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805E47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High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ADC6EC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58.6% (17/29)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B5329C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13.5% (7/52; 5.6 to 25.8)</w:t>
            </w:r>
          </w:p>
        </w:tc>
      </w:tr>
      <w:tr w:rsidR="002D74A8" w14:paraId="448BD8C1" w14:textId="77777777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586D37" w14:textId="77777777" w:rsidR="00EF61C5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11-point score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629C84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1B3D02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0.0% (0/67)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005363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0.0% (0/2; 0.0 to 84.2)</w:t>
            </w:r>
          </w:p>
        </w:tc>
      </w:tr>
      <w:tr w:rsidR="002D74A8" w14:paraId="2CF7E55C" w14:textId="77777777">
        <w:trPr>
          <w:trHeight w:val="340"/>
          <w:jc w:val="center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44072B25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0F0BC6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4382E4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0.7% (2/298)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016E79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4.3% (1/23; 0.1 to 21.9)</w:t>
            </w:r>
          </w:p>
        </w:tc>
      </w:tr>
      <w:tr w:rsidR="002D74A8" w14:paraId="46D13C65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6C640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905833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9452ED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1.8% (9/493)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3E22FF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1.5% (1/67; 0.0 to 8.0)</w:t>
            </w:r>
          </w:p>
        </w:tc>
      </w:tr>
      <w:tr w:rsidR="002D74A8" w14:paraId="22B1445D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6CB87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BAD5E7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ACF348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3.7% (23/621)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FDEE71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1.3 % (1/78; 0.0 to 6.9)</w:t>
            </w:r>
          </w:p>
        </w:tc>
      </w:tr>
      <w:tr w:rsidR="002D74A8" w14:paraId="6DC3B240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85910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9D73E8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7474DA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7.9% (46/585)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B3CCC6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1.2% (1/84; 0.0 to 6.5)</w:t>
            </w:r>
          </w:p>
        </w:tc>
      </w:tr>
      <w:tr w:rsidR="002D74A8" w14:paraId="570CE3CD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A37CA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5B017F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55390F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12.6% (38/302)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7AB8B6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3.6% (2/55; 0.4 to 12.5)</w:t>
            </w:r>
          </w:p>
        </w:tc>
      </w:tr>
      <w:tr w:rsidR="002D74A8" w14:paraId="248720FE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C0677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E0D8A6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E434D8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17.2% (36/209)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CC0275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6.2% (4/65; 1.7 to 15.0)</w:t>
            </w:r>
          </w:p>
        </w:tc>
      </w:tr>
      <w:tr w:rsidR="002D74A8" w14:paraId="7A1C708F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9659F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8C6B30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F8F5F7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26.0% (34/131)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00E34A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8.1% (6/74; 3.0 to 16.8)</w:t>
            </w:r>
          </w:p>
        </w:tc>
      </w:tr>
      <w:tr w:rsidR="002D74A8" w14:paraId="1DB4C53D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7269F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31613B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6BC225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35.1% (54/154)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03B146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9.3% (5/54; 3.1 to 20.3)</w:t>
            </w:r>
          </w:p>
        </w:tc>
      </w:tr>
      <w:tr w:rsidR="002D74A8" w14:paraId="28876AF5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F83E9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7457CF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599C0E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49.0% (72/147)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4A8AB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14.8% (4/27; 4.2 to 33.7)</w:t>
            </w:r>
          </w:p>
        </w:tc>
      </w:tr>
      <w:tr w:rsidR="002D74A8" w14:paraId="5ED1B178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6E1F13BD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453897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98C728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56.1% (55/98)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1D1C41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16.7% (1/6; 0.4 to 64.1)</w:t>
            </w:r>
          </w:p>
        </w:tc>
      </w:tr>
      <w:tr w:rsidR="002D74A8" w14:paraId="1E105DDB" w14:textId="77777777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9229DA" w14:textId="77777777" w:rsidR="00EF61C5" w:rsidRDefault="00EF61C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5C6131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097C35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65.4% (17/26)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EEA3D8" w14:textId="77777777" w:rsidR="00EF61C5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-</w:t>
            </w:r>
          </w:p>
        </w:tc>
      </w:tr>
    </w:tbl>
    <w:p w14:paraId="74ED5081" w14:textId="77777777" w:rsidR="00EF61C5" w:rsidRDefault="0000000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Values represent the number of patients with LNM and the corresponding LNM rates with 95% CI in the present cohort. Original LNM rates were extracted from original publications for each risk model. For the W-</w:t>
      </w:r>
      <w:proofErr w:type="spellStart"/>
      <w:r>
        <w:rPr>
          <w:rFonts w:ascii="Times New Roman" w:eastAsia="Times New Roman" w:hAnsi="Times New Roman" w:cs="Times New Roman"/>
        </w:rPr>
        <w:t>eCura</w:t>
      </w:r>
      <w:proofErr w:type="spellEnd"/>
      <w:r>
        <w:rPr>
          <w:rFonts w:ascii="Times New Roman" w:eastAsia="Times New Roman" w:hAnsi="Times New Roman" w:cs="Times New Roman"/>
        </w:rPr>
        <w:t xml:space="preserve"> (7-point score), category-specific data were obtained through personal communication with the original author.</w:t>
      </w:r>
    </w:p>
    <w:p w14:paraId="4F365CAC" w14:textId="77777777" w:rsidR="00EF61C5" w:rsidRDefault="0000000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LNM, lymph node metastasis; CI, confidence interval.</w:t>
      </w:r>
    </w:p>
    <w:p w14:paraId="738E1D67" w14:textId="77777777" w:rsidR="00EF61C5" w:rsidRDefault="00EF61C5">
      <w:pPr>
        <w:spacing w:line="360" w:lineRule="auto"/>
        <w:rPr>
          <w:rFonts w:ascii="Times New Roman" w:eastAsia="Times New Roman" w:hAnsi="Times New Roman" w:cs="Times New Roman"/>
          <w:b/>
        </w:rPr>
        <w:sectPr w:rsidR="00EF61C5">
          <w:pgSz w:w="11900" w:h="16840"/>
          <w:pgMar w:top="720" w:right="720" w:bottom="720" w:left="720" w:header="851" w:footer="992" w:gutter="0"/>
          <w:cols w:space="425"/>
        </w:sectPr>
      </w:pPr>
    </w:p>
    <w:p w14:paraId="2E0B0057" w14:textId="4C47F544" w:rsidR="00EF61C5" w:rsidRPr="00416AA6" w:rsidRDefault="00000000">
      <w:pPr>
        <w:spacing w:line="48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416AA6"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Supplementary Table 3: Risk classification and lymph node metastasis rates in patients with submucosal invasion depth of 500</w:t>
      </w:r>
      <w:r w:rsidR="00A352C6" w:rsidRPr="00416AA6">
        <w:rPr>
          <w:rFonts w:ascii="Times New Roman" w:eastAsia="Times New Roman" w:hAnsi="Times New Roman" w:cs="Times New Roman"/>
          <w:b/>
          <w:color w:val="000000" w:themeColor="text1"/>
        </w:rPr>
        <w:t xml:space="preserve"> to </w:t>
      </w:r>
      <w:r w:rsidRPr="00416AA6">
        <w:rPr>
          <w:rFonts w:ascii="Times New Roman" w:eastAsia="Times New Roman" w:hAnsi="Times New Roman" w:cs="Times New Roman"/>
          <w:b/>
          <w:color w:val="000000" w:themeColor="text1"/>
        </w:rPr>
        <w:t xml:space="preserve">999 </w:t>
      </w:r>
      <w:proofErr w:type="spellStart"/>
      <w:r w:rsidRPr="00416AA6">
        <w:rPr>
          <w:rFonts w:ascii="Times New Roman" w:eastAsia="Times New Roman" w:hAnsi="Times New Roman" w:cs="Times New Roman"/>
          <w:b/>
          <w:color w:val="000000" w:themeColor="text1"/>
        </w:rPr>
        <w:t>μm</w:t>
      </w:r>
      <w:proofErr w:type="spellEnd"/>
    </w:p>
    <w:tbl>
      <w:tblPr>
        <w:tblStyle w:val="ab"/>
        <w:tblW w:w="0" w:type="auto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21"/>
        <w:gridCol w:w="2721"/>
        <w:gridCol w:w="1840"/>
        <w:gridCol w:w="1687"/>
      </w:tblGrid>
      <w:tr w:rsidR="002D74A8" w:rsidRPr="00416AA6" w14:paraId="084FCF92" w14:textId="77777777">
        <w:trPr>
          <w:trHeight w:val="552"/>
        </w:trPr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7718D01C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416AA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eCura</w:t>
            </w:r>
            <w:proofErr w:type="spellEnd"/>
            <w:r w:rsidRPr="00416AA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system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0DF4BF75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W-</w:t>
            </w:r>
            <w:proofErr w:type="spellStart"/>
            <w:r w:rsidRPr="00416AA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eCura</w:t>
            </w:r>
            <w:proofErr w:type="spellEnd"/>
            <w:r w:rsidRPr="00416AA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score</w:t>
            </w:r>
          </w:p>
        </w:tc>
        <w:tc>
          <w:tcPr>
            <w:tcW w:w="18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619398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Patients, n</w:t>
            </w:r>
          </w:p>
        </w:tc>
        <w:tc>
          <w:tcPr>
            <w:tcW w:w="1687" w:type="dxa"/>
            <w:tcBorders>
              <w:left w:val="nil"/>
            </w:tcBorders>
            <w:vAlign w:val="center"/>
          </w:tcPr>
          <w:p w14:paraId="1767E884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LNM, n (%)</w:t>
            </w:r>
          </w:p>
        </w:tc>
      </w:tr>
      <w:tr w:rsidR="002D74A8" w:rsidRPr="00416AA6" w14:paraId="7883CEBF" w14:textId="77777777">
        <w:trPr>
          <w:trHeight w:val="170"/>
        </w:trPr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78DADB2E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Low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7F1772AC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Low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973BC7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1687" w:type="dxa"/>
            <w:tcBorders>
              <w:left w:val="nil"/>
            </w:tcBorders>
            <w:vAlign w:val="center"/>
          </w:tcPr>
          <w:p w14:paraId="61DD0E8B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0 (0)</w:t>
            </w:r>
          </w:p>
        </w:tc>
      </w:tr>
      <w:tr w:rsidR="002D74A8" w:rsidRPr="00416AA6" w14:paraId="3D14EEB6" w14:textId="77777777">
        <w:trPr>
          <w:trHeight w:val="552"/>
        </w:trPr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739F76EF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Intermediate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47A2B146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Low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7AD69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38</w:t>
            </w:r>
          </w:p>
        </w:tc>
        <w:tc>
          <w:tcPr>
            <w:tcW w:w="1687" w:type="dxa"/>
            <w:tcBorders>
              <w:left w:val="nil"/>
            </w:tcBorders>
            <w:vAlign w:val="center"/>
          </w:tcPr>
          <w:p w14:paraId="55446CF6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0 (0)</w:t>
            </w:r>
          </w:p>
        </w:tc>
      </w:tr>
      <w:tr w:rsidR="002D74A8" w:rsidRPr="00416AA6" w14:paraId="176A5AB0" w14:textId="77777777">
        <w:trPr>
          <w:trHeight w:val="552"/>
        </w:trPr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671691AF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Intermediate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67DFD10C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Intermediate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639779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687" w:type="dxa"/>
            <w:tcBorders>
              <w:left w:val="nil"/>
            </w:tcBorders>
            <w:vAlign w:val="center"/>
          </w:tcPr>
          <w:p w14:paraId="57B6B5D4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3 (15.0)</w:t>
            </w:r>
          </w:p>
        </w:tc>
      </w:tr>
      <w:tr w:rsidR="002D74A8" w:rsidRPr="00416AA6" w14:paraId="67857E34" w14:textId="77777777">
        <w:trPr>
          <w:trHeight w:val="552"/>
        </w:trPr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6625CF27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High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5388F45E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Intermediate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1394E3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687" w:type="dxa"/>
            <w:tcBorders>
              <w:left w:val="nil"/>
            </w:tcBorders>
            <w:vAlign w:val="center"/>
          </w:tcPr>
          <w:p w14:paraId="3243A108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3 (12.0)</w:t>
            </w:r>
          </w:p>
        </w:tc>
      </w:tr>
      <w:tr w:rsidR="002D74A8" w:rsidRPr="00416AA6" w14:paraId="56727F3C" w14:textId="77777777">
        <w:trPr>
          <w:trHeight w:val="552"/>
        </w:trPr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074789FB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High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5E8503AD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High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EAE51B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687" w:type="dxa"/>
            <w:tcBorders>
              <w:left w:val="nil"/>
            </w:tcBorders>
            <w:vAlign w:val="center"/>
          </w:tcPr>
          <w:p w14:paraId="61640DCE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color w:val="000000" w:themeColor="text1"/>
              </w:rPr>
              <w:t>0 (0)</w:t>
            </w:r>
          </w:p>
        </w:tc>
      </w:tr>
      <w:tr w:rsidR="002D74A8" w:rsidRPr="00416AA6" w14:paraId="53655871" w14:textId="77777777">
        <w:trPr>
          <w:trHeight w:val="552"/>
        </w:trPr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0188141E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Total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5C7864EA" w14:textId="77777777" w:rsidR="00EF61C5" w:rsidRPr="00416AA6" w:rsidRDefault="00EF61C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1C450AF" w14:textId="77777777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120</w:t>
            </w:r>
          </w:p>
        </w:tc>
        <w:tc>
          <w:tcPr>
            <w:tcW w:w="1687" w:type="dxa"/>
            <w:tcBorders>
              <w:left w:val="nil"/>
            </w:tcBorders>
            <w:vAlign w:val="center"/>
          </w:tcPr>
          <w:p w14:paraId="33580930" w14:textId="134AD612" w:rsidR="00EF61C5" w:rsidRPr="00416AA6" w:rsidRDefault="0000000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16AA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6 (</w:t>
            </w:r>
            <w:r w:rsidR="00416AA6" w:rsidRPr="00416AA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5.0</w:t>
            </w:r>
            <w:r w:rsidRPr="00416AA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)</w:t>
            </w:r>
          </w:p>
        </w:tc>
      </w:tr>
    </w:tbl>
    <w:p w14:paraId="589915B3" w14:textId="2B514AE8" w:rsidR="00EF61C5" w:rsidRPr="00416AA6" w:rsidRDefault="00000000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416AA6">
        <w:rPr>
          <w:rFonts w:ascii="Times New Roman" w:eastAsia="Times New Roman" w:hAnsi="Times New Roman" w:cs="Times New Roman"/>
          <w:color w:val="000000" w:themeColor="text1"/>
        </w:rPr>
        <w:t xml:space="preserve">Values represent the distribution of patients and corresponding LNM rates for each combination of risk categories in the </w:t>
      </w:r>
      <w:proofErr w:type="spellStart"/>
      <w:r w:rsidRPr="00416AA6">
        <w:rPr>
          <w:rFonts w:ascii="Times New Roman" w:eastAsia="Times New Roman" w:hAnsi="Times New Roman" w:cs="Times New Roman"/>
          <w:color w:val="000000" w:themeColor="text1"/>
        </w:rPr>
        <w:t>eCura</w:t>
      </w:r>
      <w:proofErr w:type="spellEnd"/>
      <w:r w:rsidRPr="00416AA6">
        <w:rPr>
          <w:rFonts w:ascii="Times New Roman" w:eastAsia="Times New Roman" w:hAnsi="Times New Roman" w:cs="Times New Roman"/>
          <w:color w:val="000000" w:themeColor="text1"/>
        </w:rPr>
        <w:t xml:space="preserve"> system and W-</w:t>
      </w:r>
      <w:proofErr w:type="spellStart"/>
      <w:r w:rsidRPr="00416AA6">
        <w:rPr>
          <w:rFonts w:ascii="Times New Roman" w:eastAsia="Times New Roman" w:hAnsi="Times New Roman" w:cs="Times New Roman"/>
          <w:color w:val="000000" w:themeColor="text1"/>
        </w:rPr>
        <w:t>eCura</w:t>
      </w:r>
      <w:proofErr w:type="spellEnd"/>
      <w:r w:rsidRPr="00416AA6">
        <w:rPr>
          <w:rFonts w:ascii="Times New Roman" w:eastAsia="Times New Roman" w:hAnsi="Times New Roman" w:cs="Times New Roman"/>
          <w:color w:val="000000" w:themeColor="text1"/>
        </w:rPr>
        <w:t xml:space="preserve"> score. Risk categories were defined as low (0–1 point), intermediate (2–4 points), and high (5–7 points) for both models. </w:t>
      </w:r>
    </w:p>
    <w:p w14:paraId="03E26B18" w14:textId="77777777" w:rsidR="00EF61C5" w:rsidRPr="00416AA6" w:rsidRDefault="00000000" w:rsidP="00270208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416AA6">
        <w:rPr>
          <w:rFonts w:ascii="Times New Roman" w:eastAsia="Times New Roman" w:hAnsi="Times New Roman" w:cs="Times New Roman"/>
          <w:color w:val="000000" w:themeColor="text1"/>
        </w:rPr>
        <w:t>LNM, lymph node metastasis.</w:t>
      </w:r>
    </w:p>
    <w:p w14:paraId="20331CE3" w14:textId="77777777" w:rsidR="00EF61C5" w:rsidRDefault="00EF61C5" w:rsidP="00954CEA">
      <w:pPr>
        <w:spacing w:line="480" w:lineRule="auto"/>
        <w:rPr>
          <w:rFonts w:ascii="Times New Roman" w:eastAsia="Times New Roman" w:hAnsi="Times New Roman" w:cs="Times New Roman"/>
          <w:b/>
        </w:rPr>
      </w:pPr>
    </w:p>
    <w:p w14:paraId="63E7E789" w14:textId="77777777" w:rsidR="00EF61C5" w:rsidRDefault="00EF61C5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52AA6004" w14:textId="77777777" w:rsidR="00EF61C5" w:rsidRDefault="00EF61C5">
      <w:pPr>
        <w:spacing w:line="360" w:lineRule="auto"/>
        <w:rPr>
          <w:rFonts w:ascii="Times New Roman" w:eastAsia="Times New Roman" w:hAnsi="Times New Roman" w:cs="Times New Roman"/>
          <w:b/>
        </w:rPr>
        <w:sectPr w:rsidR="00EF61C5">
          <w:pgSz w:w="11900" w:h="16840"/>
          <w:pgMar w:top="1985" w:right="1418" w:bottom="1701" w:left="1418" w:header="851" w:footer="992" w:gutter="0"/>
          <w:cols w:space="425"/>
        </w:sectPr>
      </w:pPr>
    </w:p>
    <w:p w14:paraId="3DBB010A" w14:textId="13C37B35" w:rsidR="00EF61C5" w:rsidRDefault="0000000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Supplementary Table 4: Performance of </w:t>
      </w:r>
      <w:r w:rsidR="003E5627">
        <w:rPr>
          <w:rFonts w:ascii="Times New Roman" w:eastAsia="Times New Roman" w:hAnsi="Times New Roman" w:cs="Times New Roman"/>
          <w:b/>
        </w:rPr>
        <w:t xml:space="preserve">the </w:t>
      </w:r>
      <w:r>
        <w:rPr>
          <w:rFonts w:ascii="Times New Roman" w:eastAsia="Times New Roman" w:hAnsi="Times New Roman" w:cs="Times New Roman"/>
          <w:b/>
        </w:rPr>
        <w:t>five prediction models after recalibration of both the intercept and the slope for predicting LNM in patients with additional surgery after noncurative ESD</w:t>
      </w:r>
    </w:p>
    <w:tbl>
      <w:tblPr>
        <w:tblStyle w:val="ab"/>
        <w:tblW w:w="1134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552"/>
        <w:gridCol w:w="2125"/>
        <w:gridCol w:w="2268"/>
      </w:tblGrid>
      <w:tr w:rsidR="002D74A8" w14:paraId="6A688D49" w14:textId="77777777">
        <w:trPr>
          <w:jc w:val="center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4A23BF2A" w14:textId="77777777" w:rsidR="00EF61C5" w:rsidRDefault="00EF61C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86982A0" w14:textId="77777777" w:rsidR="00EF61C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Calibration-in-the-large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14:paraId="62C52231" w14:textId="77777777" w:rsidR="00EF61C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Calibration slope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FBDAB7C" w14:textId="77777777" w:rsidR="00EF61C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Brier score</w:t>
            </w:r>
          </w:p>
        </w:tc>
      </w:tr>
      <w:tr w:rsidR="002D74A8" w14:paraId="7871ECE7" w14:textId="77777777">
        <w:trPr>
          <w:jc w:val="center"/>
        </w:trPr>
        <w:tc>
          <w:tcPr>
            <w:tcW w:w="4395" w:type="dxa"/>
            <w:tcBorders>
              <w:top w:val="single" w:sz="4" w:space="0" w:color="auto"/>
            </w:tcBorders>
          </w:tcPr>
          <w:p w14:paraId="4801102C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eCura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system (7-point score)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BD63BFA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−0.40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to </w:t>
            </w:r>
            <w:r>
              <w:rPr>
                <w:rFonts w:ascii="Times New Roman" w:eastAsia="Times New Roman" w:hAnsi="Times New Roman" w:cs="Times New Roman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14C7D76A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 (0.50 to 1.50)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19FBF12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 (0.03 to 0.06)</w:t>
            </w:r>
          </w:p>
        </w:tc>
      </w:tr>
      <w:tr w:rsidR="002D74A8" w14:paraId="0DAD7E19" w14:textId="77777777">
        <w:trPr>
          <w:jc w:val="center"/>
        </w:trPr>
        <w:tc>
          <w:tcPr>
            <w:tcW w:w="4395" w:type="dxa"/>
          </w:tcPr>
          <w:p w14:paraId="459A522E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eCura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system (three-risk classification)</w:t>
            </w:r>
          </w:p>
        </w:tc>
        <w:tc>
          <w:tcPr>
            <w:tcW w:w="2552" w:type="dxa"/>
          </w:tcPr>
          <w:p w14:paraId="4C4F76B7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−0.40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to </w:t>
            </w:r>
            <w:r>
              <w:rPr>
                <w:rFonts w:ascii="Times New Roman" w:eastAsia="Times New Roman" w:hAnsi="Times New Roman" w:cs="Times New Roman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125" w:type="dxa"/>
          </w:tcPr>
          <w:p w14:paraId="1F8A39AD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 (0.49 to 1.51)</w:t>
            </w:r>
          </w:p>
        </w:tc>
        <w:tc>
          <w:tcPr>
            <w:tcW w:w="2268" w:type="dxa"/>
          </w:tcPr>
          <w:p w14:paraId="14D36A9B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 (0.03 to 0.06)</w:t>
            </w:r>
          </w:p>
        </w:tc>
      </w:tr>
      <w:tr w:rsidR="002D74A8" w14:paraId="6CEDF937" w14:textId="77777777">
        <w:trPr>
          <w:jc w:val="center"/>
        </w:trPr>
        <w:tc>
          <w:tcPr>
            <w:tcW w:w="4395" w:type="dxa"/>
          </w:tcPr>
          <w:p w14:paraId="53CB4AFD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eCura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score (7-pont score)</w:t>
            </w:r>
          </w:p>
        </w:tc>
        <w:tc>
          <w:tcPr>
            <w:tcW w:w="2552" w:type="dxa"/>
          </w:tcPr>
          <w:p w14:paraId="3908B7CF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−0.40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to </w:t>
            </w:r>
            <w:r>
              <w:rPr>
                <w:rFonts w:ascii="Times New Roman" w:eastAsia="Times New Roman" w:hAnsi="Times New Roman" w:cs="Times New Roman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125" w:type="dxa"/>
          </w:tcPr>
          <w:p w14:paraId="1E804942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 (0.44 to 1.56)</w:t>
            </w:r>
          </w:p>
        </w:tc>
        <w:tc>
          <w:tcPr>
            <w:tcW w:w="2268" w:type="dxa"/>
          </w:tcPr>
          <w:p w14:paraId="3A872046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 (0.03 to 0.06)</w:t>
            </w:r>
          </w:p>
        </w:tc>
      </w:tr>
      <w:tr w:rsidR="002D74A8" w14:paraId="694293A2" w14:textId="77777777">
        <w:trPr>
          <w:jc w:val="center"/>
        </w:trPr>
        <w:tc>
          <w:tcPr>
            <w:tcW w:w="4395" w:type="dxa"/>
          </w:tcPr>
          <w:p w14:paraId="007EA061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eCura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score (three-risk classification)</w:t>
            </w:r>
          </w:p>
        </w:tc>
        <w:tc>
          <w:tcPr>
            <w:tcW w:w="2552" w:type="dxa"/>
          </w:tcPr>
          <w:p w14:paraId="14DB6436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−0.40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to </w:t>
            </w:r>
            <w:r>
              <w:rPr>
                <w:rFonts w:ascii="Times New Roman" w:eastAsia="Times New Roman" w:hAnsi="Times New Roman" w:cs="Times New Roman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125" w:type="dxa"/>
          </w:tcPr>
          <w:p w14:paraId="3FA01D39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 (0.50 to 1.50)</w:t>
            </w:r>
          </w:p>
        </w:tc>
        <w:tc>
          <w:tcPr>
            <w:tcW w:w="2268" w:type="dxa"/>
          </w:tcPr>
          <w:p w14:paraId="7C8DDC1F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 (0.03 to 0.06)</w:t>
            </w:r>
          </w:p>
        </w:tc>
      </w:tr>
      <w:tr w:rsidR="002D74A8" w14:paraId="7C4A7854" w14:textId="77777777">
        <w:trPr>
          <w:jc w:val="center"/>
        </w:trPr>
        <w:tc>
          <w:tcPr>
            <w:tcW w:w="4395" w:type="dxa"/>
          </w:tcPr>
          <w:p w14:paraId="3A26B027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11-point score</w:t>
            </w:r>
          </w:p>
        </w:tc>
        <w:tc>
          <w:tcPr>
            <w:tcW w:w="2552" w:type="dxa"/>
          </w:tcPr>
          <w:p w14:paraId="79409D22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−0.40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to </w:t>
            </w:r>
            <w:r>
              <w:rPr>
                <w:rFonts w:ascii="Times New Roman" w:eastAsia="Times New Roman" w:hAnsi="Times New Roman" w:cs="Times New Roman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125" w:type="dxa"/>
          </w:tcPr>
          <w:p w14:paraId="3ED920CE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 (0.41 to 1.59)</w:t>
            </w:r>
          </w:p>
        </w:tc>
        <w:tc>
          <w:tcPr>
            <w:tcW w:w="2268" w:type="dxa"/>
          </w:tcPr>
          <w:p w14:paraId="2ACC57A1" w14:textId="77777777" w:rsidR="00EF61C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 (0.03 to 0.06)</w:t>
            </w:r>
          </w:p>
        </w:tc>
      </w:tr>
    </w:tbl>
    <w:p w14:paraId="55DCBC37" w14:textId="77777777" w:rsidR="00EF61C5" w:rsidRDefault="00000000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Values are presented as calibration-in-the-large, calibration slope, and Brier score with 95% CIs. Calibration-in-the-large reflects the systematic over- or under-estimation of the predicted risk, with values close to zero indicating good calibration. The calibration slope assessed the agreement between the predicted and observed risks, with a value of 1 indicating perfect calibration. Lower Brier scores indicated better overall prediction accuracy.</w:t>
      </w:r>
    </w:p>
    <w:p w14:paraId="102D67A5" w14:textId="77777777" w:rsidR="00EF61C5" w:rsidRDefault="00000000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LNM, lymph node metastasis; ESD, endoscopic submucosal dissection; CI, confidence interval</w:t>
      </w:r>
    </w:p>
    <w:sectPr w:rsidR="00EF61C5">
      <w:pgSz w:w="16840" w:h="11900" w:orient="landscape"/>
      <w:pgMar w:top="1418" w:right="1701" w:bottom="1418" w:left="1985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D36CBF"/>
    <w:multiLevelType w:val="multilevel"/>
    <w:tmpl w:val="71F0714A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9D1D5A"/>
    <w:multiLevelType w:val="multilevel"/>
    <w:tmpl w:val="9652436A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BC4470"/>
    <w:multiLevelType w:val="multilevel"/>
    <w:tmpl w:val="9390682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5D96153"/>
    <w:multiLevelType w:val="multilevel"/>
    <w:tmpl w:val="165ADF38"/>
    <w:lvl w:ilvl="0">
      <w:start w:val="1"/>
      <w:numFmt w:val="upperLetter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C36C5F"/>
    <w:multiLevelType w:val="multilevel"/>
    <w:tmpl w:val="71DED82A"/>
    <w:lvl w:ilvl="0">
      <w:start w:val="1"/>
      <w:numFmt w:val="upperLetter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82410127">
    <w:abstractNumId w:val="1"/>
  </w:num>
  <w:num w:numId="2" w16cid:durableId="1615673151">
    <w:abstractNumId w:val="2"/>
  </w:num>
  <w:num w:numId="3" w16cid:durableId="188951062">
    <w:abstractNumId w:val="3"/>
  </w:num>
  <w:num w:numId="4" w16cid:durableId="705447598">
    <w:abstractNumId w:val="4"/>
  </w:num>
  <w:num w:numId="5" w16cid:durableId="361247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removePersonalInformation/>
  <w:removeDateAndTime/>
  <w:bordersDoNotSurroundHeader/>
  <w:bordersDoNotSurroundFooter/>
  <w:proofState w:spelling="clean" w:grammar="clean"/>
  <w:defaultTabStop w:val="840"/>
  <w:drawingGridHorizontalSpacing w:val="425"/>
  <w:drawingGridVerticalSpacing w:val="65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1C5"/>
    <w:rsid w:val="000C5477"/>
    <w:rsid w:val="00270208"/>
    <w:rsid w:val="002D74A8"/>
    <w:rsid w:val="003E5627"/>
    <w:rsid w:val="00416AA6"/>
    <w:rsid w:val="008D3BA9"/>
    <w:rsid w:val="00954CEA"/>
    <w:rsid w:val="00A352C6"/>
    <w:rsid w:val="00C919D7"/>
    <w:rsid w:val="00D33972"/>
    <w:rsid w:val="00D471A9"/>
    <w:rsid w:val="00DB17DB"/>
    <w:rsid w:val="00E179E7"/>
    <w:rsid w:val="00EF61C5"/>
    <w:rsid w:val="00F47B6E"/>
    <w:rsid w:val="00FF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98AF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</w:rPr>
  </w:style>
  <w:style w:type="paragraph" w:styleId="1">
    <w:name w:val="heading 1"/>
    <w:basedOn w:val="a"/>
    <w:next w:val="a"/>
    <w:uiPriority w:val="9"/>
    <w:qFormat/>
    <w:pPr>
      <w:keepNext/>
      <w:keepLines/>
      <w:widowControl w:val="0"/>
      <w:spacing w:before="280" w:after="80"/>
      <w:jc w:val="both"/>
      <w:outlineLvl w:val="0"/>
    </w:pPr>
    <w:rPr>
      <w:rFonts w:ascii="游ゴシック Light" w:eastAsia="游ゴシック Light" w:hAnsi="游ゴシック Light" w:cs="游ゴシック Light"/>
      <w:color w:val="000000"/>
      <w:sz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widowControl w:val="0"/>
      <w:spacing w:before="160" w:after="80"/>
      <w:jc w:val="both"/>
      <w:outlineLvl w:val="1"/>
    </w:pPr>
    <w:rPr>
      <w:rFonts w:ascii="游ゴシック Light" w:eastAsia="游ゴシック Light" w:hAnsi="游ゴシック Light" w:cs="游ゴシック Light"/>
      <w:color w:val="000000"/>
      <w:sz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widowControl w:val="0"/>
      <w:spacing w:before="160" w:after="80"/>
      <w:jc w:val="both"/>
      <w:outlineLvl w:val="2"/>
    </w:pPr>
    <w:rPr>
      <w:rFonts w:ascii="游ゴシック Light" w:eastAsia="游ゴシック Light" w:hAnsi="游ゴシック Light" w:cs="游ゴシック Light"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widowControl w:val="0"/>
      <w:spacing w:before="80" w:after="40"/>
      <w:jc w:val="both"/>
      <w:outlineLvl w:val="3"/>
    </w:pPr>
    <w:rPr>
      <w:rFonts w:ascii="游ゴシック Light" w:eastAsia="游ゴシック Light" w:hAnsi="游ゴシック Light" w:cs="游ゴシック Light"/>
      <w:color w:val="000000"/>
      <w:sz w:val="2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widowControl w:val="0"/>
      <w:spacing w:before="80" w:after="40"/>
      <w:ind w:left="100"/>
      <w:jc w:val="both"/>
      <w:outlineLvl w:val="4"/>
    </w:pPr>
    <w:rPr>
      <w:rFonts w:ascii="游ゴシック Light" w:eastAsia="游ゴシック Light" w:hAnsi="游ゴシック Light" w:cs="游ゴシック Light"/>
      <w:color w:val="000000"/>
      <w:sz w:val="2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widowControl w:val="0"/>
      <w:spacing w:before="80" w:after="40"/>
      <w:ind w:left="200"/>
      <w:jc w:val="both"/>
      <w:outlineLvl w:val="5"/>
    </w:pPr>
    <w:rPr>
      <w:rFonts w:ascii="游ゴシック Light" w:eastAsia="游ゴシック Light" w:hAnsi="游ゴシック Light" w:cs="游ゴシック Light"/>
      <w:color w:val="000000"/>
      <w:sz w:val="21"/>
    </w:rPr>
  </w:style>
  <w:style w:type="paragraph" w:styleId="7">
    <w:name w:val="heading 7"/>
    <w:basedOn w:val="a"/>
    <w:next w:val="a"/>
    <w:uiPriority w:val="9"/>
    <w:semiHidden/>
    <w:unhideWhenUsed/>
    <w:qFormat/>
    <w:pPr>
      <w:keepNext/>
      <w:keepLines/>
      <w:widowControl w:val="0"/>
      <w:spacing w:before="80" w:after="40"/>
      <w:ind w:left="300"/>
      <w:jc w:val="both"/>
      <w:outlineLvl w:val="6"/>
    </w:pPr>
    <w:rPr>
      <w:rFonts w:ascii="游ゴシック Light" w:eastAsia="游ゴシック Light" w:hAnsi="游ゴシック Light" w:cs="游ゴシック Light"/>
      <w:color w:val="000000"/>
      <w:sz w:val="21"/>
    </w:rPr>
  </w:style>
  <w:style w:type="paragraph" w:styleId="8">
    <w:name w:val="heading 8"/>
    <w:basedOn w:val="a"/>
    <w:next w:val="a"/>
    <w:uiPriority w:val="9"/>
    <w:semiHidden/>
    <w:unhideWhenUsed/>
    <w:qFormat/>
    <w:pPr>
      <w:keepNext/>
      <w:keepLines/>
      <w:widowControl w:val="0"/>
      <w:spacing w:before="80" w:after="40"/>
      <w:ind w:left="400"/>
      <w:jc w:val="both"/>
      <w:outlineLvl w:val="7"/>
    </w:pPr>
    <w:rPr>
      <w:rFonts w:ascii="游ゴシック Light" w:eastAsia="游ゴシック Light" w:hAnsi="游ゴシック Light" w:cs="游ゴシック Light"/>
      <w:color w:val="000000"/>
      <w:sz w:val="21"/>
    </w:rPr>
  </w:style>
  <w:style w:type="paragraph" w:styleId="9">
    <w:name w:val="heading 9"/>
    <w:basedOn w:val="a"/>
    <w:next w:val="a"/>
    <w:uiPriority w:val="9"/>
    <w:semiHidden/>
    <w:unhideWhenUsed/>
    <w:qFormat/>
    <w:pPr>
      <w:keepNext/>
      <w:keepLines/>
      <w:widowControl w:val="0"/>
      <w:spacing w:before="80" w:after="40"/>
      <w:ind w:left="500"/>
      <w:jc w:val="both"/>
      <w:outlineLvl w:val="8"/>
    </w:pPr>
    <w:rPr>
      <w:rFonts w:ascii="游ゴシック Light" w:eastAsia="游ゴシック Light" w:hAnsi="游ゴシック Light" w:cs="游ゴシック Light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widowControl w:val="0"/>
      <w:spacing w:after="80"/>
      <w:contextualSpacing/>
      <w:jc w:val="center"/>
    </w:pPr>
    <w:rPr>
      <w:rFonts w:ascii="游ゴシック Light" w:eastAsia="游ゴシック Light" w:hAnsi="游ゴシック Light" w:cs="游ゴシック Light"/>
      <w:sz w:val="56"/>
    </w:rPr>
  </w:style>
  <w:style w:type="paragraph" w:styleId="a4">
    <w:name w:val="Subtitle"/>
    <w:basedOn w:val="a"/>
    <w:next w:val="a"/>
    <w:uiPriority w:val="11"/>
    <w:qFormat/>
    <w:pPr>
      <w:widowControl w:val="0"/>
      <w:spacing w:after="160"/>
      <w:jc w:val="center"/>
    </w:pPr>
    <w:rPr>
      <w:rFonts w:ascii="游ゴシック Light" w:eastAsia="游ゴシック Light" w:hAnsi="游ゴシック Light" w:cs="游ゴシック Light"/>
      <w:color w:val="595959"/>
      <w:sz w:val="28"/>
    </w:rPr>
  </w:style>
  <w:style w:type="paragraph" w:customStyle="1" w:styleId="Abstract">
    <w:name w:val="Abstract"/>
    <w:basedOn w:val="a"/>
    <w:uiPriority w:val="16"/>
    <w:semiHidden/>
    <w:unhideWhenUsed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next w:val="a"/>
    <w:uiPriority w:val="16"/>
    <w:semiHidden/>
    <w:unhideWhenUsed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Acknowledgements">
    <w:name w:val="Acknowledgements"/>
    <w:basedOn w:val="a"/>
    <w:uiPriority w:val="16"/>
    <w:semiHidden/>
    <w:unhideWhenUsed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</w:rPr>
  </w:style>
  <w:style w:type="paragraph" w:customStyle="1" w:styleId="Affiliation">
    <w:name w:val="Affiliation"/>
    <w:basedOn w:val="a"/>
    <w:uiPriority w:val="16"/>
    <w:semiHidden/>
    <w:unhideWhenUsed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paragraph" w:customStyle="1" w:styleId="Annotation">
    <w:name w:val="Annotation"/>
    <w:basedOn w:val="a"/>
    <w:uiPriority w:val="16"/>
    <w:semiHidden/>
    <w:unhideWhenUsed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Authors">
    <w:name w:val="Authors"/>
    <w:basedOn w:val="a"/>
    <w:uiPriority w:val="16"/>
    <w:semiHidden/>
    <w:unhideWhenUsed/>
    <w:pPr>
      <w:spacing w:before="360" w:after="120" w:line="283" w:lineRule="auto"/>
    </w:pPr>
    <w:rPr>
      <w:rFonts w:ascii="Calibri" w:eastAsia="Calibri" w:hAnsi="Calibri" w:cs="Calibri"/>
      <w:sz w:val="28"/>
    </w:rPr>
  </w:style>
  <w:style w:type="paragraph" w:customStyle="1" w:styleId="Biography">
    <w:name w:val="Biography"/>
    <w:basedOn w:val="a"/>
    <w:uiPriority w:val="16"/>
    <w:semiHidden/>
    <w:unhideWhenUsed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styleId="a5">
    <w:name w:val="Block Text"/>
    <w:basedOn w:val="a"/>
    <w:uiPriority w:val="16"/>
    <w:semiHidden/>
    <w:unhideWhenUsed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styleId="a6">
    <w:name w:val="caption"/>
    <w:basedOn w:val="a"/>
    <w:uiPriority w:val="16"/>
    <w:semiHidden/>
    <w:unhideWhenUsed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uiPriority w:val="16"/>
    <w:semiHidden/>
    <w:unhideWhenUsed/>
    <w:rPr>
      <w:rFonts w:ascii="Calibri" w:eastAsia="Calibri" w:hAnsi="Calibri" w:cs="Calibri"/>
    </w:rPr>
  </w:style>
  <w:style w:type="paragraph" w:customStyle="1" w:styleId="Copyright">
    <w:name w:val="Copyright"/>
    <w:basedOn w:val="a"/>
    <w:uiPriority w:val="16"/>
    <w:semiHidden/>
    <w:unhideWhenUsed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Correspondence">
    <w:name w:val="Correspondence"/>
    <w:basedOn w:val="a"/>
    <w:uiPriority w:val="16"/>
    <w:semiHidden/>
    <w:unhideWhenUsed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paragraph" w:customStyle="1" w:styleId="Formula">
    <w:name w:val="Formula"/>
    <w:basedOn w:val="a"/>
    <w:uiPriority w:val="16"/>
    <w:semiHidden/>
    <w:unhideWhenUsed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uiPriority w:val="16"/>
    <w:semiHidden/>
    <w:unhideWhenUsed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paragraph" w:customStyle="1" w:styleId="Keywords">
    <w:name w:val="Keywords"/>
    <w:basedOn w:val="a"/>
    <w:uiPriority w:val="16"/>
    <w:semiHidden/>
    <w:unhideWhenUsed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Note">
    <w:name w:val="Note"/>
    <w:basedOn w:val="a"/>
    <w:uiPriority w:val="16"/>
    <w:semiHidden/>
    <w:unhideWhenUsed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a"/>
    <w:uiPriority w:val="16"/>
    <w:semiHidden/>
    <w:unhideWhenUsed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uiPriority w:val="16"/>
    <w:semiHidden/>
    <w:unhideWhenUsed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uiPriority w:val="16"/>
    <w:semiHidden/>
    <w:unhideWhenUsed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Statement">
    <w:name w:val="Statement"/>
    <w:basedOn w:val="a"/>
    <w:uiPriority w:val="16"/>
    <w:semiHidden/>
    <w:unhideWhenUsed/>
    <w:pPr>
      <w:ind w:left="90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uiPriority w:val="16"/>
    <w:semiHidden/>
    <w:unhideWhenUsed/>
    <w:pPr>
      <w:spacing w:after="160" w:line="208" w:lineRule="auto"/>
    </w:pPr>
    <w:rPr>
      <w:rFonts w:ascii="Calibri" w:eastAsia="Calibri" w:hAnsi="Calibri" w:cs="Calibri"/>
      <w:sz w:val="38"/>
    </w:rPr>
  </w:style>
  <w:style w:type="paragraph" w:customStyle="1" w:styleId="TableBody">
    <w:name w:val="Table Body"/>
    <w:basedOn w:val="a"/>
    <w:uiPriority w:val="16"/>
    <w:semiHidden/>
    <w:unhideWhenUsed/>
    <w:pPr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TableHead">
    <w:name w:val="Table Head"/>
    <w:basedOn w:val="a"/>
    <w:uiPriority w:val="16"/>
    <w:semiHidden/>
    <w:unhideWhenUsed/>
    <w:pPr>
      <w:shd w:val="clear" w:color="auto" w:fill="FFEDFA"/>
    </w:pPr>
    <w:rPr>
      <w:rFonts w:ascii="Calibri" w:eastAsia="Calibri" w:hAnsi="Calibri" w:cs="Calibri"/>
      <w:sz w:val="20"/>
    </w:rPr>
  </w:style>
  <w:style w:type="paragraph" w:customStyle="1" w:styleId="TableList">
    <w:name w:val="Table List"/>
    <w:basedOn w:val="a"/>
    <w:uiPriority w:val="16"/>
    <w:semiHidden/>
    <w:unhideWhenUsed/>
    <w:pPr>
      <w:ind w:left="300" w:hanging="300"/>
    </w:pPr>
    <w:rPr>
      <w:sz w:val="20"/>
    </w:rPr>
  </w:style>
  <w:style w:type="paragraph" w:customStyle="1" w:styleId="TableNote">
    <w:name w:val="Table Note"/>
    <w:basedOn w:val="a"/>
    <w:uiPriority w:val="16"/>
    <w:semiHidden/>
    <w:unhideWhenUsed/>
    <w:rPr>
      <w:rFonts w:ascii="Calibri" w:eastAsia="Calibri" w:hAnsi="Calibri" w:cs="Calibri"/>
      <w:sz w:val="18"/>
    </w:rPr>
  </w:style>
  <w:style w:type="character" w:customStyle="1" w:styleId="ArticleTitle">
    <w:name w:val="Article Title"/>
    <w:basedOn w:val="a0"/>
    <w:uiPriority w:val="17"/>
    <w:semiHidden/>
    <w:unhideWhenUsed/>
    <w:rPr>
      <w:shd w:val="clear" w:color="auto" w:fill="E9F9FF"/>
    </w:rPr>
  </w:style>
  <w:style w:type="character" w:customStyle="1" w:styleId="City">
    <w:name w:val="City"/>
    <w:basedOn w:val="a0"/>
    <w:uiPriority w:val="17"/>
    <w:semiHidden/>
    <w:unhideWhenUsed/>
    <w:rPr>
      <w:shd w:val="clear" w:color="auto" w:fill="D7D7D7"/>
    </w:rPr>
  </w:style>
  <w:style w:type="character" w:customStyle="1" w:styleId="Conference">
    <w:name w:val="Conference"/>
    <w:basedOn w:val="a0"/>
    <w:uiPriority w:val="17"/>
    <w:semiHidden/>
    <w:unhideWhenUsed/>
    <w:rPr>
      <w:shd w:val="clear" w:color="auto" w:fill="FFAFBC"/>
    </w:rPr>
  </w:style>
  <w:style w:type="character" w:customStyle="1" w:styleId="Country">
    <w:name w:val="Country"/>
    <w:basedOn w:val="a0"/>
    <w:uiPriority w:val="17"/>
    <w:semiHidden/>
    <w:unhideWhenUsed/>
    <w:rPr>
      <w:shd w:val="clear" w:color="auto" w:fill="97C5D1"/>
    </w:rPr>
  </w:style>
  <w:style w:type="character" w:customStyle="1" w:styleId="Cross-reference">
    <w:name w:val="Cross-reference"/>
    <w:basedOn w:val="a0"/>
    <w:uiPriority w:val="17"/>
    <w:semiHidden/>
    <w:unhideWhenUsed/>
    <w:rPr>
      <w:shd w:val="clear" w:color="auto" w:fill="FFE3C9"/>
    </w:rPr>
  </w:style>
  <w:style w:type="character" w:customStyle="1" w:styleId="DatabaseLink">
    <w:name w:val="Database Link"/>
    <w:basedOn w:val="a0"/>
    <w:uiPriority w:val="17"/>
    <w:semiHidden/>
    <w:unhideWhenUsed/>
    <w:rPr>
      <w:shd w:val="clear" w:color="auto" w:fill="AFBEFF"/>
    </w:rPr>
  </w:style>
  <w:style w:type="character" w:customStyle="1" w:styleId="Edition">
    <w:name w:val="Edition"/>
    <w:basedOn w:val="a0"/>
    <w:uiPriority w:val="17"/>
    <w:semiHidden/>
    <w:unhideWhenUsed/>
    <w:rPr>
      <w:shd w:val="clear" w:color="auto" w:fill="FFF6A4"/>
    </w:rPr>
  </w:style>
  <w:style w:type="character" w:customStyle="1" w:styleId="FamilyName">
    <w:name w:val="Family Name"/>
    <w:basedOn w:val="a0"/>
    <w:uiPriority w:val="17"/>
    <w:semiHidden/>
    <w:unhideWhenUsed/>
    <w:rPr>
      <w:shd w:val="clear" w:color="auto" w:fill="88F4BE"/>
    </w:rPr>
  </w:style>
  <w:style w:type="character" w:customStyle="1" w:styleId="GeneSequence">
    <w:name w:val="Gene Sequence"/>
    <w:basedOn w:val="a0"/>
    <w:uiPriority w:val="17"/>
    <w:semiHidden/>
    <w:unhideWhenUsed/>
    <w:rPr>
      <w:shd w:val="clear" w:color="auto" w:fill="FFCDF2"/>
    </w:rPr>
  </w:style>
  <w:style w:type="character" w:customStyle="1" w:styleId="GivenName">
    <w:name w:val="Given Name"/>
    <w:basedOn w:val="a0"/>
    <w:uiPriority w:val="17"/>
    <w:semiHidden/>
    <w:unhideWhenUsed/>
    <w:rPr>
      <w:shd w:val="clear" w:color="auto" w:fill="D0FCE2"/>
    </w:rPr>
  </w:style>
  <w:style w:type="character" w:customStyle="1" w:styleId="GlossaryTerm">
    <w:name w:val="Glossary Term"/>
    <w:basedOn w:val="a0"/>
    <w:uiPriority w:val="17"/>
    <w:semiHidden/>
    <w:unhideWhenUsed/>
    <w:rPr>
      <w:shd w:val="clear" w:color="auto" w:fill="FFCFD7"/>
    </w:rPr>
  </w:style>
  <w:style w:type="character" w:customStyle="1" w:styleId="GrantID">
    <w:name w:val="Grant ID"/>
    <w:basedOn w:val="a0"/>
    <w:uiPriority w:val="17"/>
    <w:semiHidden/>
    <w:unhideWhenUsed/>
    <w:rPr>
      <w:shd w:val="clear" w:color="auto" w:fill="DDA5FF"/>
    </w:rPr>
  </w:style>
  <w:style w:type="character" w:customStyle="1" w:styleId="Heading">
    <w:name w:val="Heading:"/>
    <w:basedOn w:val="a0"/>
    <w:uiPriority w:val="17"/>
    <w:semiHidden/>
    <w:unhideWhenUsed/>
    <w:rPr>
      <w:color w:val="5B89C1"/>
    </w:rPr>
  </w:style>
  <w:style w:type="character" w:styleId="a7">
    <w:name w:val="Hyperlink"/>
    <w:basedOn w:val="a0"/>
    <w:uiPriority w:val="17"/>
    <w:semiHidden/>
    <w:unhideWhenUsed/>
    <w:rPr>
      <w:color w:val="0563C1"/>
    </w:rPr>
  </w:style>
  <w:style w:type="character" w:customStyle="1" w:styleId="IssueNumber">
    <w:name w:val="Issue Number"/>
    <w:basedOn w:val="a0"/>
    <w:uiPriority w:val="17"/>
    <w:semiHidden/>
    <w:unhideWhenUsed/>
    <w:rPr>
      <w:shd w:val="clear" w:color="auto" w:fill="CDD5FF"/>
    </w:rPr>
  </w:style>
  <w:style w:type="character" w:customStyle="1" w:styleId="Label">
    <w:name w:val="Label"/>
    <w:basedOn w:val="a0"/>
    <w:uiPriority w:val="17"/>
    <w:semiHidden/>
    <w:unhideWhenUsed/>
    <w:rPr>
      <w:shd w:val="clear" w:color="auto" w:fill="FFC391"/>
      <w:vertAlign w:val="baseline"/>
    </w:rPr>
  </w:style>
  <w:style w:type="character" w:customStyle="1" w:styleId="Location">
    <w:name w:val="Location"/>
    <w:basedOn w:val="a0"/>
    <w:uiPriority w:val="17"/>
    <w:semiHidden/>
    <w:unhideWhenUsed/>
    <w:rPr>
      <w:shd w:val="clear" w:color="auto" w:fill="F9EDFF"/>
    </w:rPr>
  </w:style>
  <w:style w:type="character" w:customStyle="1" w:styleId="Miscellaneous">
    <w:name w:val="Miscellaneous"/>
    <w:basedOn w:val="a0"/>
    <w:uiPriority w:val="17"/>
    <w:semiHidden/>
    <w:unhideWhenUsed/>
    <w:rPr>
      <w:shd w:val="clear" w:color="auto" w:fill="F0F0F0"/>
    </w:rPr>
  </w:style>
  <w:style w:type="character" w:customStyle="1" w:styleId="NameScientific">
    <w:name w:val="Name Scientific"/>
    <w:basedOn w:val="a0"/>
    <w:uiPriority w:val="17"/>
    <w:semiHidden/>
    <w:unhideWhenUsed/>
    <w:rPr>
      <w:shd w:val="clear" w:color="auto" w:fill="91E0FF"/>
    </w:rPr>
  </w:style>
  <w:style w:type="character" w:customStyle="1" w:styleId="Organization">
    <w:name w:val="Organization"/>
    <w:basedOn w:val="a0"/>
    <w:uiPriority w:val="17"/>
    <w:semiHidden/>
    <w:unhideWhenUsed/>
    <w:rPr>
      <w:shd w:val="clear" w:color="auto" w:fill="D1FFB5"/>
    </w:rPr>
  </w:style>
  <w:style w:type="character" w:customStyle="1" w:styleId="PageNumbers">
    <w:name w:val="Page Numbers"/>
    <w:basedOn w:val="a0"/>
    <w:uiPriority w:val="17"/>
    <w:semiHidden/>
    <w:unhideWhenUsed/>
    <w:rPr>
      <w:shd w:val="clear" w:color="auto" w:fill="FFEDF0"/>
    </w:rPr>
  </w:style>
  <w:style w:type="character" w:customStyle="1" w:styleId="Postcode">
    <w:name w:val="Postcode"/>
    <w:basedOn w:val="a0"/>
    <w:uiPriority w:val="17"/>
    <w:semiHidden/>
    <w:unhideWhenUsed/>
    <w:rPr>
      <w:shd w:val="clear" w:color="auto" w:fill="BEBEBE"/>
    </w:rPr>
  </w:style>
  <w:style w:type="character" w:customStyle="1" w:styleId="Publisher">
    <w:name w:val="Publisher"/>
    <w:basedOn w:val="a0"/>
    <w:uiPriority w:val="17"/>
    <w:semiHidden/>
    <w:unhideWhenUsed/>
    <w:rPr>
      <w:shd w:val="clear" w:color="auto" w:fill="F2DDFF"/>
    </w:rPr>
  </w:style>
  <w:style w:type="character" w:customStyle="1" w:styleId="Region">
    <w:name w:val="Region"/>
    <w:basedOn w:val="a0"/>
    <w:uiPriority w:val="17"/>
    <w:semiHidden/>
    <w:unhideWhenUsed/>
    <w:rPr>
      <w:shd w:val="clear" w:color="auto" w:fill="D8E9EE"/>
    </w:rPr>
  </w:style>
  <w:style w:type="character" w:customStyle="1" w:styleId="Source">
    <w:name w:val="Source"/>
    <w:basedOn w:val="a0"/>
    <w:uiPriority w:val="17"/>
    <w:semiHidden/>
    <w:unhideWhenUsed/>
    <w:rPr>
      <w:shd w:val="clear" w:color="auto" w:fill="C1EDFF"/>
    </w:rPr>
  </w:style>
  <w:style w:type="character" w:customStyle="1" w:styleId="VolumeNumber">
    <w:name w:val="Volume Number"/>
    <w:basedOn w:val="a0"/>
    <w:uiPriority w:val="17"/>
    <w:semiHidden/>
    <w:unhideWhenUsed/>
    <w:rPr>
      <w:shd w:val="clear" w:color="auto" w:fill="EDF0FF"/>
    </w:rPr>
  </w:style>
  <w:style w:type="character" w:customStyle="1" w:styleId="Year">
    <w:name w:val="Year"/>
    <w:basedOn w:val="a0"/>
    <w:uiPriority w:val="17"/>
    <w:semiHidden/>
    <w:unhideWhenUsed/>
    <w:rPr>
      <w:shd w:val="clear" w:color="auto" w:fill="FFF9C9"/>
    </w:rPr>
  </w:style>
  <w:style w:type="character" w:styleId="20">
    <w:name w:val="Intense Emphasis"/>
    <w:basedOn w:val="a0"/>
    <w:uiPriority w:val="21"/>
    <w:qFormat/>
    <w:rPr>
      <w:i/>
      <w:color w:val="0F4761"/>
    </w:rPr>
  </w:style>
  <w:style w:type="character" w:styleId="a8">
    <w:name w:val="Strong"/>
    <w:basedOn w:val="a0"/>
    <w:uiPriority w:val="22"/>
    <w:qFormat/>
    <w:rPr>
      <w:b/>
    </w:rPr>
  </w:style>
  <w:style w:type="paragraph" w:styleId="a9">
    <w:name w:val="Quote"/>
    <w:basedOn w:val="a"/>
    <w:next w:val="a"/>
    <w:uiPriority w:val="29"/>
    <w:qFormat/>
    <w:pPr>
      <w:widowControl w:val="0"/>
      <w:spacing w:before="160" w:after="160"/>
      <w:jc w:val="center"/>
    </w:pPr>
    <w:rPr>
      <w:rFonts w:ascii="游明朝" w:eastAsia="游明朝" w:hAnsi="游明朝" w:cs="游明朝"/>
      <w:i/>
      <w:color w:val="404040"/>
      <w:sz w:val="21"/>
    </w:rPr>
  </w:style>
  <w:style w:type="paragraph" w:styleId="21">
    <w:name w:val="Intense Quote"/>
    <w:basedOn w:val="a"/>
    <w:next w:val="a"/>
    <w:uiPriority w:val="30"/>
    <w:qFormat/>
    <w:pPr>
      <w:widowControl w:val="0"/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游明朝" w:eastAsia="游明朝" w:hAnsi="游明朝" w:cs="游明朝"/>
      <w:i/>
      <w:color w:val="0F4761"/>
      <w:sz w:val="21"/>
    </w:rPr>
  </w:style>
  <w:style w:type="character" w:styleId="22">
    <w:name w:val="Intense Reference"/>
    <w:basedOn w:val="a0"/>
    <w:uiPriority w:val="32"/>
    <w:qFormat/>
    <w:rPr>
      <w:b/>
      <w:caps w:val="0"/>
      <w:smallCaps/>
      <w:color w:val="0F4761"/>
    </w:rPr>
  </w:style>
  <w:style w:type="paragraph" w:styleId="aa">
    <w:name w:val="List Paragraph"/>
    <w:basedOn w:val="a"/>
    <w:uiPriority w:val="34"/>
    <w:qFormat/>
    <w:pPr>
      <w:widowControl w:val="0"/>
      <w:ind w:left="720"/>
      <w:contextualSpacing/>
      <w:jc w:val="both"/>
    </w:pPr>
    <w:rPr>
      <w:rFonts w:ascii="游明朝" w:eastAsia="游明朝" w:hAnsi="游明朝" w:cs="游明朝"/>
      <w:sz w:val="21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10">
    <w:name w:val="toc 1"/>
    <w:basedOn w:val="a"/>
    <w:uiPriority w:val="39"/>
    <w:semiHidden/>
    <w:unhideWhenUsed/>
    <w:pPr>
      <w:spacing w:line="305" w:lineRule="auto"/>
    </w:pPr>
    <w:rPr>
      <w:rFonts w:ascii="Calibri" w:eastAsia="Calibri" w:hAnsi="Calibri" w:cs="Calibri"/>
      <w:sz w:val="26"/>
    </w:rPr>
  </w:style>
  <w:style w:type="paragraph" w:styleId="23">
    <w:name w:val="toc 2"/>
    <w:basedOn w:val="a"/>
    <w:uiPriority w:val="39"/>
    <w:semiHidden/>
    <w:unhideWhenUsed/>
    <w:pPr>
      <w:spacing w:line="330" w:lineRule="auto"/>
    </w:pPr>
    <w:rPr>
      <w:rFonts w:ascii="Calibri" w:eastAsia="Calibri" w:hAnsi="Calibri" w:cs="Calibri"/>
    </w:rPr>
  </w:style>
  <w:style w:type="paragraph" w:styleId="30">
    <w:name w:val="toc 3"/>
    <w:basedOn w:val="a"/>
    <w:uiPriority w:val="39"/>
    <w:semiHidden/>
    <w:unhideWhenUsed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character" w:styleId="ac">
    <w:name w:val="annotation reference"/>
    <w:basedOn w:val="a0"/>
    <w:uiPriority w:val="99"/>
    <w:semiHidden/>
    <w:unhideWhenUsed/>
    <w:rPr>
      <w:sz w:val="16"/>
    </w:rPr>
  </w:style>
  <w:style w:type="paragraph" w:styleId="ad">
    <w:name w:val="annotation subject"/>
    <w:basedOn w:val="ae"/>
    <w:uiPriority w:val="99"/>
    <w:semiHidden/>
    <w:unhideWhenUsed/>
    <w:rPr>
      <w:b/>
    </w:rPr>
  </w:style>
  <w:style w:type="paragraph" w:styleId="ae">
    <w:name w:val="annotation text"/>
    <w:basedOn w:val="a"/>
    <w:uiPriority w:val="99"/>
    <w:semiHidden/>
    <w:unhideWhenUsed/>
    <w:rPr>
      <w:rFonts w:ascii="Calibri" w:eastAsia="Calibri" w:hAnsi="Calibri" w:cs="Calibri"/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af0">
    <w:name w:val="endnote text"/>
    <w:basedOn w:val="a"/>
    <w:uiPriority w:val="99"/>
    <w:semiHidden/>
    <w:unhideWhenUsed/>
    <w:rPr>
      <w:rFonts w:ascii="Calibri" w:eastAsia="Calibri" w:hAnsi="Calibri" w:cs="Calibri"/>
    </w:rPr>
  </w:style>
  <w:style w:type="paragraph" w:styleId="af1">
    <w:name w:val="footer"/>
    <w:basedOn w:val="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styleId="af2">
    <w:name w:val="footnote reference"/>
    <w:basedOn w:val="a0"/>
    <w:uiPriority w:val="99"/>
    <w:semiHidden/>
    <w:unhideWhenUsed/>
    <w:rPr>
      <w:vertAlign w:val="superscript"/>
    </w:rPr>
  </w:style>
  <w:style w:type="paragraph" w:styleId="af3">
    <w:name w:val="footnote text"/>
    <w:basedOn w:val="a"/>
    <w:uiPriority w:val="99"/>
    <w:semiHidden/>
    <w:unhideWhenUsed/>
    <w:rPr>
      <w:rFonts w:ascii="Calibri" w:eastAsia="Calibri" w:hAnsi="Calibri" w:cs="Calibri"/>
    </w:rPr>
  </w:style>
  <w:style w:type="paragraph" w:styleId="af4">
    <w:name w:val="header"/>
    <w:basedOn w:val="a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f5">
    <w:name w:val="List"/>
    <w:basedOn w:val="a"/>
    <w:uiPriority w:val="99"/>
    <w:semiHidden/>
    <w:unhideWhenUsed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a"/>
    <w:uiPriority w:val="99"/>
    <w:semiHidden/>
    <w:unhideWhenUsed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  <w:style w:type="paragraph" w:styleId="24">
    <w:name w:val="List 2"/>
    <w:basedOn w:val="a"/>
    <w:uiPriority w:val="99"/>
    <w:semiHidden/>
    <w:unhideWhenUsed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paragraph" w:styleId="31">
    <w:name w:val="List 3"/>
    <w:basedOn w:val="a"/>
    <w:uiPriority w:val="99"/>
    <w:semiHidden/>
    <w:unhideWhenUsed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paragraph" w:styleId="41">
    <w:name w:val="List 4"/>
    <w:basedOn w:val="a"/>
    <w:uiPriority w:val="99"/>
    <w:semiHidden/>
    <w:unhideWhenUsed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styleId="51">
    <w:name w:val="List 5"/>
    <w:basedOn w:val="a"/>
    <w:uiPriority w:val="99"/>
    <w:semiHidden/>
    <w:unhideWhenUsed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List6">
    <w:name w:val="List 6"/>
    <w:basedOn w:val="a"/>
    <w:uiPriority w:val="99"/>
    <w:semiHidden/>
    <w:unhideWhenUsed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a"/>
    <w:uiPriority w:val="99"/>
    <w:semiHidden/>
    <w:unhideWhenUsed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uiPriority w:val="99"/>
    <w:semiHidden/>
    <w:unhideWhenUsed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List9">
    <w:name w:val="List 9"/>
    <w:basedOn w:val="a"/>
    <w:uiPriority w:val="99"/>
    <w:semiHidden/>
    <w:unhideWhenUsed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f6">
    <w:name w:val="Revision"/>
    <w:hidden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808</Words>
  <Characters>4932</Characters>
  <Application>Microsoft Office Word</Application>
  <DocSecurity>0</DocSecurity>
  <Lines>91</Lines>
  <Paragraphs>38</Paragraphs>
  <ScaleCrop>false</ScaleCrop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2026-08-23T11:52:00Z</dcterms:created>
  <dcterms:modified xsi:type="dcterms:W3CDTF">2026-08-23T13:24:00Z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26a80993-41b3-4584-b114-2a6b09d6d897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0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0</vt:lpwstr>
  </property>
  <property fmtid="{D5CDD505-2E9C-101B-9397-08002B2CF9AE}" pid="13" name="Merops figures count">
    <vt:lpwstr>0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0</vt:lpwstr>
  </property>
  <property fmtid="{D5CDD505-2E9C-101B-9397-08002B2CF9AE}" pid="16" name="Merops input file path">
    <vt:lpwstr>1a679bb7-696c-410f-95b3-63eb57f11470.docx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MG-Session/On-20260819/I:aefa4a33-6929-4772-a5f1-ab25f34f6fea</vt:lpwstr>
  </property>
  <property fmtid="{D5CDD505-2E9C-101B-9397-08002B2CF9AE}" pid="19" name="Merops processed date">
    <vt:lpwstr>2026/08/19 03:51:27 PM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0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merops/preset-v1/springer-vancouver-brackets</vt:lpwstr>
  </property>
  <property fmtid="{D5CDD505-2E9C-101B-9397-08002B2CF9AE}" pid="25" name="Merops Standard Set modified">
    <vt:lpwstr/>
  </property>
  <property fmtid="{D5CDD505-2E9C-101B-9397-08002B2CF9AE}" pid="26" name="Merops tables count">
    <vt:lpwstr>4</vt:lpwstr>
  </property>
  <property fmtid="{D5CDD505-2E9C-101B-9397-08002B2CF9AE}" pid="27" name="Merops word count">
    <vt:lpwstr>899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/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