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00DDB" w14:textId="77777777" w:rsidR="00FB0E73" w:rsidRDefault="00000000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SUPPLEMENTARY MATERIALS</w:t>
      </w:r>
    </w:p>
    <w:p w14:paraId="0E205FAE" w14:textId="77777777" w:rsidR="00FB0E73" w:rsidRDefault="0000000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Supplementary Table 1. </w:t>
      </w:r>
      <w:r>
        <w:rPr>
          <w:rFonts w:ascii="Times New Roman" w:hAnsi="Times New Roman" w:cs="Times New Roman"/>
        </w:rPr>
        <w:t>Lytic efficacy of the bacteriophage cocktail (</w:t>
      </w:r>
      <w:r>
        <w:rPr>
          <w:rFonts w:ascii="Times New Roman" w:eastAsia="Times New Roman" w:hAnsi="Times New Roman" w:cs="Times New Roman"/>
          <w:lang w:eastAsia="ar-SA"/>
        </w:rPr>
        <w:t>SA1306KAY and SA1298KAY)</w:t>
      </w:r>
      <w:r>
        <w:rPr>
          <w:rFonts w:ascii="Times New Roman" w:hAnsi="Times New Roman" w:cs="Times New Roman"/>
        </w:rPr>
        <w:t xml:space="preserve"> against </w:t>
      </w:r>
      <w:r>
        <w:rPr>
          <w:rFonts w:ascii="Times New Roman" w:hAnsi="Times New Roman" w:cs="Times New Roman"/>
          <w:i/>
          <w:iCs/>
        </w:rPr>
        <w:t>S. aureus</w:t>
      </w:r>
      <w:r>
        <w:rPr>
          <w:rFonts w:ascii="Times New Roman" w:hAnsi="Times New Roman" w:cs="Times New Roman"/>
        </w:rPr>
        <w:t xml:space="preserve"> D4508 in tryptic soy broth (TSB) at 37 °C and in milk during storage at 4°C.</w:t>
      </w:r>
    </w:p>
    <w:tbl>
      <w:tblPr>
        <w:tblStyle w:val="TabloKlavuzu"/>
        <w:tblW w:w="8926" w:type="dxa"/>
        <w:tblLook w:val="04A0" w:firstRow="1" w:lastRow="0" w:firstColumn="1" w:lastColumn="0" w:noHBand="0" w:noVBand="1"/>
      </w:tblPr>
      <w:tblGrid>
        <w:gridCol w:w="905"/>
        <w:gridCol w:w="1344"/>
        <w:gridCol w:w="14"/>
        <w:gridCol w:w="1276"/>
        <w:gridCol w:w="1276"/>
        <w:gridCol w:w="1417"/>
        <w:gridCol w:w="1418"/>
        <w:gridCol w:w="1276"/>
      </w:tblGrid>
      <w:tr w:rsidR="00FB0E73" w14:paraId="238924D2" w14:textId="77777777">
        <w:trPr>
          <w:trHeight w:val="288"/>
        </w:trPr>
        <w:tc>
          <w:tcPr>
            <w:tcW w:w="905" w:type="dxa"/>
            <w:noWrap/>
          </w:tcPr>
          <w:p w14:paraId="0B0356E1" w14:textId="77777777" w:rsidR="00FB0E73" w:rsidRDefault="00FB0E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021" w:type="dxa"/>
            <w:gridSpan w:val="7"/>
            <w:noWrap/>
          </w:tcPr>
          <w:p w14:paraId="1A289FDA" w14:textId="77777777" w:rsidR="00FB0E7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In-vitro lytic activity in TSB (log CFU/mL)</w:t>
            </w:r>
          </w:p>
        </w:tc>
      </w:tr>
      <w:tr w:rsidR="00FB0E73" w14:paraId="03BBC51C" w14:textId="77777777">
        <w:trPr>
          <w:trHeight w:val="288"/>
        </w:trPr>
        <w:tc>
          <w:tcPr>
            <w:tcW w:w="905" w:type="dxa"/>
            <w:noWrap/>
          </w:tcPr>
          <w:p w14:paraId="5F564FB9" w14:textId="77777777" w:rsidR="00FB0E7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344" w:type="dxa"/>
            <w:noWrap/>
          </w:tcPr>
          <w:p w14:paraId="0D3D5855" w14:textId="77777777" w:rsidR="00FB0E7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C2</w:t>
            </w:r>
          </w:p>
        </w:tc>
        <w:tc>
          <w:tcPr>
            <w:tcW w:w="1290" w:type="dxa"/>
            <w:gridSpan w:val="2"/>
            <w:noWrap/>
          </w:tcPr>
          <w:p w14:paraId="05726C7B" w14:textId="77777777" w:rsidR="00FB0E7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P2 </w:t>
            </w:r>
          </w:p>
        </w:tc>
        <w:tc>
          <w:tcPr>
            <w:tcW w:w="1276" w:type="dxa"/>
            <w:noWrap/>
          </w:tcPr>
          <w:p w14:paraId="11B8559F" w14:textId="77777777" w:rsidR="00FB0E7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Reduction </w:t>
            </w:r>
          </w:p>
        </w:tc>
        <w:tc>
          <w:tcPr>
            <w:tcW w:w="1417" w:type="dxa"/>
            <w:noWrap/>
          </w:tcPr>
          <w:p w14:paraId="67B96B4F" w14:textId="77777777" w:rsidR="00FB0E7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C4 </w:t>
            </w:r>
          </w:p>
        </w:tc>
        <w:tc>
          <w:tcPr>
            <w:tcW w:w="1418" w:type="dxa"/>
            <w:noWrap/>
          </w:tcPr>
          <w:p w14:paraId="4F569887" w14:textId="77777777" w:rsidR="00FB0E7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P4 </w:t>
            </w:r>
          </w:p>
        </w:tc>
        <w:tc>
          <w:tcPr>
            <w:tcW w:w="1276" w:type="dxa"/>
            <w:noWrap/>
          </w:tcPr>
          <w:p w14:paraId="48266349" w14:textId="77777777" w:rsidR="00FB0E7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Reduction </w:t>
            </w:r>
          </w:p>
        </w:tc>
      </w:tr>
      <w:tr w:rsidR="00FB0E73" w14:paraId="503A4A01" w14:textId="77777777">
        <w:trPr>
          <w:trHeight w:val="288"/>
        </w:trPr>
        <w:tc>
          <w:tcPr>
            <w:tcW w:w="905" w:type="dxa"/>
            <w:noWrap/>
          </w:tcPr>
          <w:p w14:paraId="558571A0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 min</w:t>
            </w:r>
          </w:p>
        </w:tc>
        <w:tc>
          <w:tcPr>
            <w:tcW w:w="1344" w:type="dxa"/>
            <w:noWrap/>
          </w:tcPr>
          <w:p w14:paraId="7B64F8A3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2.19 ± 0.41</w:t>
            </w:r>
          </w:p>
        </w:tc>
        <w:tc>
          <w:tcPr>
            <w:tcW w:w="1290" w:type="dxa"/>
            <w:gridSpan w:val="2"/>
            <w:noWrap/>
          </w:tcPr>
          <w:p w14:paraId="6BA38C88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noWrap/>
          </w:tcPr>
          <w:p w14:paraId="7C533F67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  <w:noWrap/>
          </w:tcPr>
          <w:p w14:paraId="20B45851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4.29 ± 0.08</w:t>
            </w:r>
          </w:p>
        </w:tc>
        <w:tc>
          <w:tcPr>
            <w:tcW w:w="1418" w:type="dxa"/>
            <w:noWrap/>
          </w:tcPr>
          <w:p w14:paraId="41ACE5AE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noWrap/>
          </w:tcPr>
          <w:p w14:paraId="20F41E47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B0E73" w14:paraId="5C0B1E73" w14:textId="77777777">
        <w:trPr>
          <w:trHeight w:val="288"/>
        </w:trPr>
        <w:tc>
          <w:tcPr>
            <w:tcW w:w="905" w:type="dxa"/>
            <w:noWrap/>
          </w:tcPr>
          <w:p w14:paraId="6735FBC0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30 min</w:t>
            </w:r>
          </w:p>
        </w:tc>
        <w:tc>
          <w:tcPr>
            <w:tcW w:w="1344" w:type="dxa"/>
            <w:noWrap/>
          </w:tcPr>
          <w:p w14:paraId="1D07EA77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2.87 ± 0.05</w:t>
            </w:r>
          </w:p>
        </w:tc>
        <w:tc>
          <w:tcPr>
            <w:tcW w:w="1290" w:type="dxa"/>
            <w:gridSpan w:val="2"/>
            <w:noWrap/>
          </w:tcPr>
          <w:p w14:paraId="53BA986B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2.16 ± 0.23</w:t>
            </w:r>
          </w:p>
        </w:tc>
        <w:tc>
          <w:tcPr>
            <w:tcW w:w="1276" w:type="dxa"/>
            <w:noWrap/>
            <w:vAlign w:val="bottom"/>
          </w:tcPr>
          <w:p w14:paraId="38761BC3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0.71</w:t>
            </w:r>
          </w:p>
        </w:tc>
        <w:tc>
          <w:tcPr>
            <w:tcW w:w="1417" w:type="dxa"/>
            <w:noWrap/>
          </w:tcPr>
          <w:p w14:paraId="2613C7FB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4.30 ± 0.00</w:t>
            </w:r>
          </w:p>
        </w:tc>
        <w:tc>
          <w:tcPr>
            <w:tcW w:w="1418" w:type="dxa"/>
            <w:noWrap/>
          </w:tcPr>
          <w:p w14:paraId="5FEBAE3D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3.57 ± 0.06</w:t>
            </w:r>
          </w:p>
        </w:tc>
        <w:tc>
          <w:tcPr>
            <w:tcW w:w="1276" w:type="dxa"/>
            <w:noWrap/>
            <w:vAlign w:val="bottom"/>
          </w:tcPr>
          <w:p w14:paraId="6F8853FE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0.73</w:t>
            </w:r>
          </w:p>
        </w:tc>
      </w:tr>
      <w:tr w:rsidR="00FB0E73" w14:paraId="5FC61501" w14:textId="77777777">
        <w:trPr>
          <w:trHeight w:val="288"/>
        </w:trPr>
        <w:tc>
          <w:tcPr>
            <w:tcW w:w="905" w:type="dxa"/>
            <w:noWrap/>
          </w:tcPr>
          <w:p w14:paraId="319C0043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60 min</w:t>
            </w:r>
          </w:p>
        </w:tc>
        <w:tc>
          <w:tcPr>
            <w:tcW w:w="1344" w:type="dxa"/>
            <w:noWrap/>
          </w:tcPr>
          <w:p w14:paraId="48C2E60D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3.37 ± 0.17</w:t>
            </w:r>
          </w:p>
        </w:tc>
        <w:tc>
          <w:tcPr>
            <w:tcW w:w="1290" w:type="dxa"/>
            <w:gridSpan w:val="2"/>
            <w:noWrap/>
          </w:tcPr>
          <w:p w14:paraId="78006726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2.01 ± 0.09</w:t>
            </w:r>
          </w:p>
        </w:tc>
        <w:tc>
          <w:tcPr>
            <w:tcW w:w="1276" w:type="dxa"/>
            <w:noWrap/>
            <w:vAlign w:val="bottom"/>
          </w:tcPr>
          <w:p w14:paraId="42820242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1.36</w:t>
            </w:r>
          </w:p>
        </w:tc>
        <w:tc>
          <w:tcPr>
            <w:tcW w:w="1417" w:type="dxa"/>
            <w:noWrap/>
          </w:tcPr>
          <w:p w14:paraId="109D75B9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4.75 ± 0.00</w:t>
            </w:r>
          </w:p>
        </w:tc>
        <w:tc>
          <w:tcPr>
            <w:tcW w:w="1418" w:type="dxa"/>
            <w:noWrap/>
          </w:tcPr>
          <w:p w14:paraId="03B9E239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3.52 ± 0.05</w:t>
            </w:r>
          </w:p>
        </w:tc>
        <w:tc>
          <w:tcPr>
            <w:tcW w:w="1276" w:type="dxa"/>
            <w:noWrap/>
            <w:vAlign w:val="bottom"/>
          </w:tcPr>
          <w:p w14:paraId="0D285809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1.23</w:t>
            </w:r>
          </w:p>
        </w:tc>
      </w:tr>
      <w:tr w:rsidR="00FB0E73" w14:paraId="325B8A0B" w14:textId="77777777">
        <w:trPr>
          <w:trHeight w:val="288"/>
        </w:trPr>
        <w:tc>
          <w:tcPr>
            <w:tcW w:w="905" w:type="dxa"/>
            <w:noWrap/>
          </w:tcPr>
          <w:p w14:paraId="4D20A8FF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90 min</w:t>
            </w:r>
          </w:p>
        </w:tc>
        <w:tc>
          <w:tcPr>
            <w:tcW w:w="1344" w:type="dxa"/>
            <w:noWrap/>
          </w:tcPr>
          <w:p w14:paraId="79000C1C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3.51 ± 0.16</w:t>
            </w:r>
          </w:p>
        </w:tc>
        <w:tc>
          <w:tcPr>
            <w:tcW w:w="1290" w:type="dxa"/>
            <w:gridSpan w:val="2"/>
            <w:noWrap/>
          </w:tcPr>
          <w:p w14:paraId="11DD8756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1.89 ± 0.41</w:t>
            </w:r>
          </w:p>
        </w:tc>
        <w:tc>
          <w:tcPr>
            <w:tcW w:w="1276" w:type="dxa"/>
            <w:noWrap/>
            <w:vAlign w:val="bottom"/>
          </w:tcPr>
          <w:p w14:paraId="7A9D96C6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1.62</w:t>
            </w:r>
          </w:p>
        </w:tc>
        <w:tc>
          <w:tcPr>
            <w:tcW w:w="1417" w:type="dxa"/>
            <w:noWrap/>
          </w:tcPr>
          <w:p w14:paraId="0AAE3467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5.38 ± 0.40</w:t>
            </w:r>
          </w:p>
        </w:tc>
        <w:tc>
          <w:tcPr>
            <w:tcW w:w="1418" w:type="dxa"/>
            <w:noWrap/>
          </w:tcPr>
          <w:p w14:paraId="581CFA4E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3.09 ± 0.05</w:t>
            </w:r>
          </w:p>
        </w:tc>
        <w:tc>
          <w:tcPr>
            <w:tcW w:w="1276" w:type="dxa"/>
            <w:noWrap/>
            <w:vAlign w:val="bottom"/>
          </w:tcPr>
          <w:p w14:paraId="6ABB6696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2.29</w:t>
            </w:r>
          </w:p>
        </w:tc>
      </w:tr>
      <w:tr w:rsidR="00FB0E73" w14:paraId="67C257B6" w14:textId="77777777">
        <w:trPr>
          <w:trHeight w:val="288"/>
        </w:trPr>
        <w:tc>
          <w:tcPr>
            <w:tcW w:w="905" w:type="dxa"/>
            <w:noWrap/>
          </w:tcPr>
          <w:p w14:paraId="7CCBA401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 h</w:t>
            </w:r>
          </w:p>
        </w:tc>
        <w:tc>
          <w:tcPr>
            <w:tcW w:w="1344" w:type="dxa"/>
            <w:noWrap/>
          </w:tcPr>
          <w:p w14:paraId="2B5FBCAA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3.70 ± 0.22</w:t>
            </w:r>
          </w:p>
        </w:tc>
        <w:tc>
          <w:tcPr>
            <w:tcW w:w="1290" w:type="dxa"/>
            <w:gridSpan w:val="2"/>
            <w:noWrap/>
          </w:tcPr>
          <w:p w14:paraId="12D59ACE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nd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14:paraId="27A08A88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3.70</w:t>
            </w:r>
          </w:p>
        </w:tc>
        <w:tc>
          <w:tcPr>
            <w:tcW w:w="1417" w:type="dxa"/>
            <w:noWrap/>
          </w:tcPr>
          <w:p w14:paraId="54EF5800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5.75 ± 0.23</w:t>
            </w:r>
          </w:p>
        </w:tc>
        <w:tc>
          <w:tcPr>
            <w:tcW w:w="1418" w:type="dxa"/>
            <w:noWrap/>
          </w:tcPr>
          <w:p w14:paraId="7D0FD49C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2.39 ± 0.22</w:t>
            </w:r>
          </w:p>
        </w:tc>
        <w:tc>
          <w:tcPr>
            <w:tcW w:w="1276" w:type="dxa"/>
            <w:noWrap/>
            <w:vAlign w:val="bottom"/>
          </w:tcPr>
          <w:p w14:paraId="635C51FE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3.36</w:t>
            </w:r>
          </w:p>
        </w:tc>
      </w:tr>
      <w:tr w:rsidR="00FB0E73" w14:paraId="3B124411" w14:textId="77777777">
        <w:trPr>
          <w:trHeight w:val="288"/>
        </w:trPr>
        <w:tc>
          <w:tcPr>
            <w:tcW w:w="905" w:type="dxa"/>
            <w:noWrap/>
          </w:tcPr>
          <w:p w14:paraId="25ABC42D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 h</w:t>
            </w:r>
          </w:p>
        </w:tc>
        <w:tc>
          <w:tcPr>
            <w:tcW w:w="1344" w:type="dxa"/>
            <w:noWrap/>
          </w:tcPr>
          <w:p w14:paraId="4991AAC5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4.31 ± 0.22</w:t>
            </w:r>
          </w:p>
        </w:tc>
        <w:tc>
          <w:tcPr>
            <w:tcW w:w="1290" w:type="dxa"/>
            <w:gridSpan w:val="2"/>
            <w:noWrap/>
          </w:tcPr>
          <w:p w14:paraId="745118C9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nd</w:t>
            </w:r>
            <w:proofErr w:type="spellEnd"/>
          </w:p>
        </w:tc>
        <w:tc>
          <w:tcPr>
            <w:tcW w:w="1276" w:type="dxa"/>
            <w:noWrap/>
            <w:vAlign w:val="bottom"/>
          </w:tcPr>
          <w:p w14:paraId="6630D353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4.31</w:t>
            </w:r>
          </w:p>
        </w:tc>
        <w:tc>
          <w:tcPr>
            <w:tcW w:w="1417" w:type="dxa"/>
            <w:noWrap/>
          </w:tcPr>
          <w:p w14:paraId="7A27FE2D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6.62 ± 0.02</w:t>
            </w:r>
          </w:p>
        </w:tc>
        <w:tc>
          <w:tcPr>
            <w:tcW w:w="1418" w:type="dxa"/>
            <w:noWrap/>
          </w:tcPr>
          <w:p w14:paraId="6B4EFB2E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2.56 ± 0.06</w:t>
            </w:r>
          </w:p>
        </w:tc>
        <w:tc>
          <w:tcPr>
            <w:tcW w:w="1276" w:type="dxa"/>
            <w:noWrap/>
            <w:vAlign w:val="bottom"/>
          </w:tcPr>
          <w:p w14:paraId="50071736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4.06</w:t>
            </w:r>
          </w:p>
        </w:tc>
      </w:tr>
      <w:tr w:rsidR="00FB0E73" w14:paraId="1C1AE886" w14:textId="77777777">
        <w:trPr>
          <w:trHeight w:val="288"/>
        </w:trPr>
        <w:tc>
          <w:tcPr>
            <w:tcW w:w="905" w:type="dxa"/>
            <w:noWrap/>
          </w:tcPr>
          <w:p w14:paraId="46CA04A9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24 h</w:t>
            </w:r>
          </w:p>
        </w:tc>
        <w:tc>
          <w:tcPr>
            <w:tcW w:w="1344" w:type="dxa"/>
            <w:noWrap/>
          </w:tcPr>
          <w:p w14:paraId="4F21A1FB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9.16 ± 0.06</w:t>
            </w:r>
          </w:p>
        </w:tc>
        <w:tc>
          <w:tcPr>
            <w:tcW w:w="1290" w:type="dxa"/>
            <w:gridSpan w:val="2"/>
            <w:noWrap/>
          </w:tcPr>
          <w:p w14:paraId="58500B2D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5.77 ± 0.01</w:t>
            </w:r>
          </w:p>
        </w:tc>
        <w:tc>
          <w:tcPr>
            <w:tcW w:w="1276" w:type="dxa"/>
            <w:noWrap/>
            <w:vAlign w:val="bottom"/>
          </w:tcPr>
          <w:p w14:paraId="11C993E5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3.39</w:t>
            </w:r>
          </w:p>
        </w:tc>
        <w:tc>
          <w:tcPr>
            <w:tcW w:w="1417" w:type="dxa"/>
            <w:noWrap/>
          </w:tcPr>
          <w:p w14:paraId="7D3B63CC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9.42 ± 0.15</w:t>
            </w:r>
          </w:p>
        </w:tc>
        <w:tc>
          <w:tcPr>
            <w:tcW w:w="1418" w:type="dxa"/>
            <w:noWrap/>
          </w:tcPr>
          <w:p w14:paraId="6A707E5F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7.82 ± 0.01</w:t>
            </w:r>
          </w:p>
        </w:tc>
        <w:tc>
          <w:tcPr>
            <w:tcW w:w="1276" w:type="dxa"/>
            <w:noWrap/>
            <w:vAlign w:val="bottom"/>
          </w:tcPr>
          <w:p w14:paraId="78ACE6B0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tr-TR"/>
              </w:rPr>
              <w:t>1.60</w:t>
            </w:r>
          </w:p>
        </w:tc>
      </w:tr>
      <w:tr w:rsidR="00FB0E73" w14:paraId="6D108318" w14:textId="77777777">
        <w:trPr>
          <w:trHeight w:val="288"/>
        </w:trPr>
        <w:tc>
          <w:tcPr>
            <w:tcW w:w="905" w:type="dxa"/>
            <w:noWrap/>
            <w:vAlign w:val="center"/>
          </w:tcPr>
          <w:p w14:paraId="4F571673" w14:textId="77777777" w:rsidR="00FB0E73" w:rsidRDefault="00FB0E7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021" w:type="dxa"/>
            <w:gridSpan w:val="7"/>
            <w:noWrap/>
          </w:tcPr>
          <w:p w14:paraId="5B051557" w14:textId="77777777" w:rsidR="00FB0E7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Lytic activity in milk (log CFU/mL)</w:t>
            </w:r>
          </w:p>
        </w:tc>
      </w:tr>
      <w:tr w:rsidR="00FB0E73" w14:paraId="2589C680" w14:textId="77777777">
        <w:trPr>
          <w:trHeight w:val="288"/>
        </w:trPr>
        <w:tc>
          <w:tcPr>
            <w:tcW w:w="905" w:type="dxa"/>
            <w:noWrap/>
          </w:tcPr>
          <w:p w14:paraId="2D821D6A" w14:textId="77777777" w:rsidR="00FB0E7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358" w:type="dxa"/>
            <w:gridSpan w:val="2"/>
            <w:noWrap/>
          </w:tcPr>
          <w:p w14:paraId="73AF4259" w14:textId="77777777" w:rsidR="00FB0E7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C2</w:t>
            </w:r>
          </w:p>
        </w:tc>
        <w:tc>
          <w:tcPr>
            <w:tcW w:w="1276" w:type="dxa"/>
            <w:noWrap/>
          </w:tcPr>
          <w:p w14:paraId="25913E2E" w14:textId="77777777" w:rsidR="00FB0E7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P2</w:t>
            </w:r>
          </w:p>
        </w:tc>
        <w:tc>
          <w:tcPr>
            <w:tcW w:w="1276" w:type="dxa"/>
            <w:noWrap/>
          </w:tcPr>
          <w:p w14:paraId="500B2947" w14:textId="77777777" w:rsidR="00FB0E7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Reduction</w:t>
            </w:r>
          </w:p>
        </w:tc>
        <w:tc>
          <w:tcPr>
            <w:tcW w:w="1417" w:type="dxa"/>
            <w:noWrap/>
          </w:tcPr>
          <w:p w14:paraId="573B55F8" w14:textId="77777777" w:rsidR="00FB0E7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C4 </w:t>
            </w:r>
          </w:p>
        </w:tc>
        <w:tc>
          <w:tcPr>
            <w:tcW w:w="1418" w:type="dxa"/>
            <w:noWrap/>
          </w:tcPr>
          <w:p w14:paraId="1A5DE862" w14:textId="77777777" w:rsidR="00FB0E7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P4 </w:t>
            </w:r>
          </w:p>
        </w:tc>
        <w:tc>
          <w:tcPr>
            <w:tcW w:w="1276" w:type="dxa"/>
            <w:noWrap/>
          </w:tcPr>
          <w:p w14:paraId="1FA8B08D" w14:textId="77777777" w:rsidR="00FB0E73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Reduction</w:t>
            </w:r>
          </w:p>
        </w:tc>
      </w:tr>
      <w:tr w:rsidR="00FB0E73" w14:paraId="1F970C26" w14:textId="77777777">
        <w:trPr>
          <w:trHeight w:val="288"/>
        </w:trPr>
        <w:tc>
          <w:tcPr>
            <w:tcW w:w="905" w:type="dxa"/>
            <w:noWrap/>
          </w:tcPr>
          <w:p w14:paraId="3190D599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 min</w:t>
            </w:r>
          </w:p>
        </w:tc>
        <w:tc>
          <w:tcPr>
            <w:tcW w:w="1358" w:type="dxa"/>
            <w:gridSpan w:val="2"/>
            <w:noWrap/>
          </w:tcPr>
          <w:p w14:paraId="1C5F11CC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2.77 ± 0.01</w:t>
            </w:r>
          </w:p>
        </w:tc>
        <w:tc>
          <w:tcPr>
            <w:tcW w:w="1276" w:type="dxa"/>
            <w:noWrap/>
          </w:tcPr>
          <w:p w14:paraId="063A6FF7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noWrap/>
          </w:tcPr>
          <w:p w14:paraId="0AE61AB2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17" w:type="dxa"/>
            <w:noWrap/>
          </w:tcPr>
          <w:p w14:paraId="389AC87A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4.72 ± 0.03</w:t>
            </w:r>
          </w:p>
        </w:tc>
        <w:tc>
          <w:tcPr>
            <w:tcW w:w="1418" w:type="dxa"/>
            <w:noWrap/>
          </w:tcPr>
          <w:p w14:paraId="2509B16F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noWrap/>
          </w:tcPr>
          <w:p w14:paraId="7FE8C33E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FB0E73" w14:paraId="762577BE" w14:textId="77777777">
        <w:trPr>
          <w:trHeight w:val="288"/>
        </w:trPr>
        <w:tc>
          <w:tcPr>
            <w:tcW w:w="905" w:type="dxa"/>
            <w:noWrap/>
          </w:tcPr>
          <w:p w14:paraId="00B9D391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 h</w:t>
            </w:r>
          </w:p>
        </w:tc>
        <w:tc>
          <w:tcPr>
            <w:tcW w:w="1358" w:type="dxa"/>
            <w:gridSpan w:val="2"/>
            <w:noWrap/>
          </w:tcPr>
          <w:p w14:paraId="73F61945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2.67 ± 0.17</w:t>
            </w:r>
          </w:p>
        </w:tc>
        <w:tc>
          <w:tcPr>
            <w:tcW w:w="1276" w:type="dxa"/>
            <w:noWrap/>
          </w:tcPr>
          <w:p w14:paraId="433463BA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2.30 ± 0.00</w:t>
            </w:r>
          </w:p>
        </w:tc>
        <w:tc>
          <w:tcPr>
            <w:tcW w:w="1276" w:type="dxa"/>
            <w:noWrap/>
          </w:tcPr>
          <w:p w14:paraId="4BE2BF18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1417" w:type="dxa"/>
            <w:noWrap/>
          </w:tcPr>
          <w:p w14:paraId="54C9E478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4.58 ± 0.02</w:t>
            </w:r>
          </w:p>
        </w:tc>
        <w:tc>
          <w:tcPr>
            <w:tcW w:w="1418" w:type="dxa"/>
            <w:noWrap/>
          </w:tcPr>
          <w:p w14:paraId="604EA6E2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4.32 ± 0.02</w:t>
            </w:r>
          </w:p>
        </w:tc>
        <w:tc>
          <w:tcPr>
            <w:tcW w:w="1276" w:type="dxa"/>
            <w:noWrap/>
          </w:tcPr>
          <w:p w14:paraId="44651D65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</w:tr>
      <w:tr w:rsidR="00FB0E73" w14:paraId="3BFAD477" w14:textId="77777777">
        <w:trPr>
          <w:trHeight w:val="288"/>
        </w:trPr>
        <w:tc>
          <w:tcPr>
            <w:tcW w:w="905" w:type="dxa"/>
            <w:noWrap/>
          </w:tcPr>
          <w:p w14:paraId="166F9BE0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 h</w:t>
            </w:r>
          </w:p>
        </w:tc>
        <w:tc>
          <w:tcPr>
            <w:tcW w:w="1358" w:type="dxa"/>
            <w:gridSpan w:val="2"/>
            <w:noWrap/>
          </w:tcPr>
          <w:p w14:paraId="52BBB0EC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2.75 ± 0.02</w:t>
            </w:r>
          </w:p>
        </w:tc>
        <w:tc>
          <w:tcPr>
            <w:tcW w:w="1276" w:type="dxa"/>
            <w:noWrap/>
          </w:tcPr>
          <w:p w14:paraId="057F31B1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2.22 ± 0.02</w:t>
            </w:r>
          </w:p>
        </w:tc>
        <w:tc>
          <w:tcPr>
            <w:tcW w:w="1276" w:type="dxa"/>
            <w:noWrap/>
          </w:tcPr>
          <w:p w14:paraId="7BA2129D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0.53</w:t>
            </w:r>
          </w:p>
        </w:tc>
        <w:tc>
          <w:tcPr>
            <w:tcW w:w="1417" w:type="dxa"/>
            <w:noWrap/>
          </w:tcPr>
          <w:p w14:paraId="13B0FD89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4.64 ± 0.06</w:t>
            </w:r>
          </w:p>
        </w:tc>
        <w:tc>
          <w:tcPr>
            <w:tcW w:w="1418" w:type="dxa"/>
            <w:noWrap/>
          </w:tcPr>
          <w:p w14:paraId="07FB24D9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3.20 ± 0.00</w:t>
            </w:r>
          </w:p>
        </w:tc>
        <w:tc>
          <w:tcPr>
            <w:tcW w:w="1276" w:type="dxa"/>
            <w:noWrap/>
          </w:tcPr>
          <w:p w14:paraId="48C15586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1.44</w:t>
            </w:r>
          </w:p>
        </w:tc>
      </w:tr>
      <w:tr w:rsidR="00FB0E73" w14:paraId="5B516C76" w14:textId="77777777">
        <w:trPr>
          <w:trHeight w:val="288"/>
        </w:trPr>
        <w:tc>
          <w:tcPr>
            <w:tcW w:w="905" w:type="dxa"/>
            <w:noWrap/>
          </w:tcPr>
          <w:p w14:paraId="20B5AA74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 h</w:t>
            </w:r>
          </w:p>
        </w:tc>
        <w:tc>
          <w:tcPr>
            <w:tcW w:w="1358" w:type="dxa"/>
            <w:gridSpan w:val="2"/>
            <w:noWrap/>
          </w:tcPr>
          <w:p w14:paraId="7458FA15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2.73 ± 0.06</w:t>
            </w:r>
          </w:p>
        </w:tc>
        <w:tc>
          <w:tcPr>
            <w:tcW w:w="1276" w:type="dxa"/>
            <w:noWrap/>
          </w:tcPr>
          <w:p w14:paraId="147EDE95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1.79 ± 0.07</w:t>
            </w:r>
          </w:p>
        </w:tc>
        <w:tc>
          <w:tcPr>
            <w:tcW w:w="1276" w:type="dxa"/>
            <w:noWrap/>
          </w:tcPr>
          <w:p w14:paraId="622DC3C8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0.94</w:t>
            </w:r>
          </w:p>
        </w:tc>
        <w:tc>
          <w:tcPr>
            <w:tcW w:w="1417" w:type="dxa"/>
            <w:noWrap/>
          </w:tcPr>
          <w:p w14:paraId="10BCBEB4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4.56 ± 0.12</w:t>
            </w:r>
          </w:p>
        </w:tc>
        <w:tc>
          <w:tcPr>
            <w:tcW w:w="1418" w:type="dxa"/>
            <w:noWrap/>
          </w:tcPr>
          <w:p w14:paraId="33ECBA36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3.17 ± 0.03</w:t>
            </w:r>
          </w:p>
        </w:tc>
        <w:tc>
          <w:tcPr>
            <w:tcW w:w="1276" w:type="dxa"/>
            <w:noWrap/>
          </w:tcPr>
          <w:p w14:paraId="1BB073A6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1.39</w:t>
            </w:r>
          </w:p>
        </w:tc>
      </w:tr>
      <w:tr w:rsidR="00FB0E73" w14:paraId="44B83CFE" w14:textId="77777777">
        <w:trPr>
          <w:trHeight w:val="288"/>
        </w:trPr>
        <w:tc>
          <w:tcPr>
            <w:tcW w:w="905" w:type="dxa"/>
            <w:noWrap/>
          </w:tcPr>
          <w:p w14:paraId="5DBADDCE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24 h</w:t>
            </w:r>
          </w:p>
        </w:tc>
        <w:tc>
          <w:tcPr>
            <w:tcW w:w="1358" w:type="dxa"/>
            <w:gridSpan w:val="2"/>
            <w:noWrap/>
          </w:tcPr>
          <w:p w14:paraId="64DC1A1A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2.82 ± 0.01</w:t>
            </w:r>
          </w:p>
        </w:tc>
        <w:tc>
          <w:tcPr>
            <w:tcW w:w="1276" w:type="dxa"/>
            <w:noWrap/>
          </w:tcPr>
          <w:p w14:paraId="6AE2315B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1.94 ± 0.03</w:t>
            </w:r>
          </w:p>
        </w:tc>
        <w:tc>
          <w:tcPr>
            <w:tcW w:w="1276" w:type="dxa"/>
            <w:noWrap/>
          </w:tcPr>
          <w:p w14:paraId="028C6F11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0.88</w:t>
            </w:r>
          </w:p>
        </w:tc>
        <w:tc>
          <w:tcPr>
            <w:tcW w:w="1417" w:type="dxa"/>
            <w:noWrap/>
          </w:tcPr>
          <w:p w14:paraId="608D8E27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4.67 ± 0.01</w:t>
            </w:r>
          </w:p>
        </w:tc>
        <w:tc>
          <w:tcPr>
            <w:tcW w:w="1418" w:type="dxa"/>
            <w:noWrap/>
          </w:tcPr>
          <w:p w14:paraId="31936A1A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3.72 ± 0.01</w:t>
            </w:r>
          </w:p>
        </w:tc>
        <w:tc>
          <w:tcPr>
            <w:tcW w:w="1276" w:type="dxa"/>
            <w:noWrap/>
          </w:tcPr>
          <w:p w14:paraId="7F5A428E" w14:textId="77777777" w:rsidR="00FB0E73" w:rsidRDefault="0000000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0.95</w:t>
            </w:r>
          </w:p>
        </w:tc>
      </w:tr>
    </w:tbl>
    <w:p w14:paraId="6B08BC67" w14:textId="77777777" w:rsidR="00FB0E73" w:rsidRDefault="0000000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nd</w:t>
      </w:r>
      <w:proofErr w:type="spellEnd"/>
      <w:r>
        <w:rPr>
          <w:rFonts w:ascii="Times New Roman" w:hAnsi="Times New Roman" w:cs="Times New Roman"/>
          <w:sz w:val="20"/>
          <w:szCs w:val="20"/>
        </w:rPr>
        <w:t>: not detected [under the detection limit (1 log CFU/mL)]; C2: Control group with 2 log CFU/mL bacteria; C4: Control group with 4 log CFU/mL bacteria; P2: Phage added group with 2 log CFU/mL bacteria; P4: Phage added group with 4 log CFU/mL bacteria. Phage cocktail titer: 8 log PFU/ml.</w:t>
      </w:r>
    </w:p>
    <w:p w14:paraId="4930BD58" w14:textId="77777777" w:rsidR="00FB0E73" w:rsidRDefault="00FB0E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DCB19B" w14:textId="77777777" w:rsidR="00FB0E73" w:rsidRDefault="00000000">
      <w:r>
        <w:br w:type="page"/>
      </w:r>
    </w:p>
    <w:p w14:paraId="2BBCAA7D" w14:textId="77777777" w:rsidR="00AF42E1" w:rsidRDefault="0000000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114300" distR="114300" wp14:anchorId="3952F092" wp14:editId="3C9FDD49">
            <wp:extent cx="6530992" cy="5913120"/>
            <wp:effectExtent l="0" t="0" r="3175" b="0"/>
            <wp:docPr id="3" name="Picture 3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upplementary Figure 1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5359" r="15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789" cy="5924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469682F1" w14:textId="2A26C0BC" w:rsidR="00FB0E73" w:rsidRPr="00D73C24" w:rsidRDefault="00000000">
      <w:pPr>
        <w:jc w:val="center"/>
        <w:rPr>
          <w:rFonts w:ascii="Times New Roman" w:hAnsi="Times New Roman" w:cs="Times New Roman"/>
          <w:highlight w:val="cyan"/>
        </w:rPr>
      </w:pPr>
      <w:r w:rsidRPr="00D73C24">
        <w:rPr>
          <w:rFonts w:ascii="Times New Roman" w:hAnsi="Times New Roman" w:cs="Times New Roman"/>
          <w:b/>
          <w:bCs/>
          <w:highlight w:val="cyan"/>
        </w:rPr>
        <w:t xml:space="preserve">Supplementary Figure 1. </w:t>
      </w:r>
      <w:r w:rsidRPr="00D73C24">
        <w:rPr>
          <w:rFonts w:ascii="Times New Roman" w:hAnsi="Times New Roman" w:cs="Times New Roman"/>
          <w:highlight w:val="cyan"/>
        </w:rPr>
        <w:t xml:space="preserve">VIRIDIC-based intergenomic similarity heatmap of SA1298KAY, SA1306KAY, and 20 different reference </w:t>
      </w:r>
      <w:proofErr w:type="spellStart"/>
      <w:r w:rsidRPr="00D73C24">
        <w:rPr>
          <w:rFonts w:ascii="Times New Roman" w:hAnsi="Times New Roman" w:cs="Times New Roman"/>
          <w:i/>
          <w:iCs/>
          <w:highlight w:val="cyan"/>
        </w:rPr>
        <w:t>Rosenblumvirus</w:t>
      </w:r>
      <w:proofErr w:type="spellEnd"/>
      <w:r w:rsidRPr="00D73C24">
        <w:rPr>
          <w:rFonts w:ascii="Times New Roman" w:hAnsi="Times New Roman" w:cs="Times New Roman"/>
          <w:highlight w:val="cyan"/>
        </w:rPr>
        <w:t xml:space="preserve"> genomes.</w:t>
      </w:r>
    </w:p>
    <w:p w14:paraId="172A264E" w14:textId="5BF91FF2" w:rsidR="00FB0E73" w:rsidRDefault="00000000">
      <w:pPr>
        <w:jc w:val="center"/>
      </w:pPr>
      <w:r w:rsidRPr="00D73C24">
        <w:rPr>
          <w:rFonts w:ascii="Times New Roman" w:hAnsi="Times New Roman" w:cs="Times New Roman"/>
          <w:highlight w:val="cyan"/>
        </w:rPr>
        <w:br/>
      </w:r>
      <w:r w:rsidRPr="00D73C24">
        <w:rPr>
          <w:rFonts w:ascii="Times New Roman" w:hAnsi="Times New Roman" w:cs="Times New Roman"/>
          <w:sz w:val="22"/>
          <w:szCs w:val="22"/>
          <w:highlight w:val="cyan"/>
        </w:rPr>
        <w:t xml:space="preserve">Pairwise nucleotide similarity values were calculated using VIRIDIC and visualized as a heatmap matrix. The analysis included 20 complete </w:t>
      </w:r>
      <w:proofErr w:type="spellStart"/>
      <w:r w:rsidRPr="00D73C24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Rosenblumvirus</w:t>
      </w:r>
      <w:proofErr w:type="spellEnd"/>
      <w:r w:rsidRPr="00D73C24">
        <w:rPr>
          <w:rFonts w:ascii="Times New Roman" w:hAnsi="Times New Roman" w:cs="Times New Roman"/>
          <w:sz w:val="22"/>
          <w:szCs w:val="22"/>
          <w:highlight w:val="cyan"/>
        </w:rPr>
        <w:t xml:space="preserve"> genomes, including SA1298KAY and SA1306KAY, selected from BLAST-supported matches and publicly available </w:t>
      </w:r>
      <w:proofErr w:type="spellStart"/>
      <w:r w:rsidRPr="00D73C24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Rosenblumvirus</w:t>
      </w:r>
      <w:proofErr w:type="spellEnd"/>
      <w:r w:rsidRPr="00D73C24">
        <w:rPr>
          <w:rFonts w:ascii="Times New Roman" w:hAnsi="Times New Roman" w:cs="Times New Roman"/>
          <w:sz w:val="22"/>
          <w:szCs w:val="22"/>
          <w:highlight w:val="cyan"/>
        </w:rPr>
        <w:t xml:space="preserve"> genomes. SA1298KAY and SA1306KAY clustered with closely related </w:t>
      </w:r>
      <w:proofErr w:type="spellStart"/>
      <w:r w:rsidRPr="00D73C24">
        <w:rPr>
          <w:rFonts w:ascii="Times New Roman" w:hAnsi="Times New Roman" w:cs="Times New Roman"/>
          <w:i/>
          <w:iCs/>
          <w:sz w:val="22"/>
          <w:szCs w:val="22"/>
          <w:highlight w:val="cyan"/>
        </w:rPr>
        <w:t>Rosenblumvirus</w:t>
      </w:r>
      <w:proofErr w:type="spellEnd"/>
      <w:r w:rsidRPr="00D73C24">
        <w:rPr>
          <w:rFonts w:ascii="Times New Roman" w:hAnsi="Times New Roman" w:cs="Times New Roman"/>
          <w:sz w:val="22"/>
          <w:szCs w:val="22"/>
          <w:highlight w:val="cyan"/>
        </w:rPr>
        <w:t xml:space="preserve"> phages, supporting their taxonomic placement within this genus.</w:t>
      </w:r>
    </w:p>
    <w:p w14:paraId="470C2E24" w14:textId="77777777" w:rsidR="00FB0E73" w:rsidRDefault="00FB0E73">
      <w:pPr>
        <w:jc w:val="center"/>
        <w:rPr>
          <w:b/>
          <w:bCs/>
        </w:rPr>
      </w:pPr>
    </w:p>
    <w:sectPr w:rsidR="00FB0E7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3BAEC" w14:textId="77777777" w:rsidR="00366440" w:rsidRDefault="00366440">
      <w:pPr>
        <w:spacing w:line="240" w:lineRule="auto"/>
      </w:pPr>
      <w:r>
        <w:separator/>
      </w:r>
    </w:p>
  </w:endnote>
  <w:endnote w:type="continuationSeparator" w:id="0">
    <w:p w14:paraId="70A40DB8" w14:textId="77777777" w:rsidR="00366440" w:rsidRDefault="003664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D2A0F" w14:textId="77777777" w:rsidR="00366440" w:rsidRDefault="00366440">
      <w:pPr>
        <w:spacing w:after="0"/>
      </w:pPr>
      <w:r>
        <w:separator/>
      </w:r>
    </w:p>
  </w:footnote>
  <w:footnote w:type="continuationSeparator" w:id="0">
    <w:p w14:paraId="4F209D60" w14:textId="77777777" w:rsidR="00366440" w:rsidRDefault="0036644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1F5"/>
    <w:rsid w:val="00006167"/>
    <w:rsid w:val="000C6FAB"/>
    <w:rsid w:val="001211E5"/>
    <w:rsid w:val="001A7771"/>
    <w:rsid w:val="001C1D4B"/>
    <w:rsid w:val="00261941"/>
    <w:rsid w:val="00267F48"/>
    <w:rsid w:val="002B1916"/>
    <w:rsid w:val="0031194F"/>
    <w:rsid w:val="00366440"/>
    <w:rsid w:val="00402800"/>
    <w:rsid w:val="00411416"/>
    <w:rsid w:val="0042161A"/>
    <w:rsid w:val="0045284C"/>
    <w:rsid w:val="0046322E"/>
    <w:rsid w:val="00465086"/>
    <w:rsid w:val="00472843"/>
    <w:rsid w:val="00493FEA"/>
    <w:rsid w:val="004E45C7"/>
    <w:rsid w:val="00552752"/>
    <w:rsid w:val="005B4598"/>
    <w:rsid w:val="00616C18"/>
    <w:rsid w:val="006658A5"/>
    <w:rsid w:val="006D7D74"/>
    <w:rsid w:val="0071441C"/>
    <w:rsid w:val="00755137"/>
    <w:rsid w:val="007874EC"/>
    <w:rsid w:val="00803395"/>
    <w:rsid w:val="008223B6"/>
    <w:rsid w:val="008314E1"/>
    <w:rsid w:val="00834ADD"/>
    <w:rsid w:val="008711F5"/>
    <w:rsid w:val="008755F3"/>
    <w:rsid w:val="008F7D80"/>
    <w:rsid w:val="009B0BD6"/>
    <w:rsid w:val="00A0077F"/>
    <w:rsid w:val="00A77421"/>
    <w:rsid w:val="00A81842"/>
    <w:rsid w:val="00AA23D4"/>
    <w:rsid w:val="00AD6127"/>
    <w:rsid w:val="00AF42E1"/>
    <w:rsid w:val="00B97339"/>
    <w:rsid w:val="00BA36AD"/>
    <w:rsid w:val="00BB5400"/>
    <w:rsid w:val="00C744EF"/>
    <w:rsid w:val="00D73C24"/>
    <w:rsid w:val="00D76F28"/>
    <w:rsid w:val="00E37966"/>
    <w:rsid w:val="00E964F5"/>
    <w:rsid w:val="00F559CE"/>
    <w:rsid w:val="00FB0E73"/>
    <w:rsid w:val="FFFF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DE844"/>
  <w15:docId w15:val="{E1BCD614-3392-4572-949D-ED30581E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tr-TR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:lang w:val="tr-TR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yaz">
    <w:name w:val="Subtitle"/>
    <w:basedOn w:val="Normal"/>
    <w:next w:val="Normal"/>
    <w:link w:val="Altyaz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table" w:styleId="TabloKlavuzu">
    <w:name w:val="Table Grid"/>
    <w:basedOn w:val="NormalTablo"/>
    <w:uiPriority w:val="39"/>
    <w:qFormat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next w:val="Normal"/>
    <w:link w:val="KonuBal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qFormat/>
    <w:rPr>
      <w:rFonts w:eastAsiaTheme="majorEastAsia" w:cstheme="majorBidi"/>
      <w:i/>
      <w:iCs/>
      <w:color w:val="2F5496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qFormat/>
    <w:rPr>
      <w:rFonts w:eastAsiaTheme="majorEastAsia" w:cstheme="majorBidi"/>
      <w:color w:val="2F5496" w:themeColor="accent1" w:themeShade="BF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qFormat/>
    <w:rPr>
      <w:rFonts w:eastAsiaTheme="majorEastAsia" w:cstheme="majorBid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qFormat/>
    <w:rPr>
      <w:rFonts w:eastAsiaTheme="majorEastAsia" w:cstheme="majorBid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qFormat/>
    <w:rPr>
      <w:rFonts w:eastAsiaTheme="majorEastAsia" w:cstheme="majorBidi"/>
      <w:i/>
      <w:iCs/>
      <w:color w:val="262626" w:themeColor="text1" w:themeTint="D9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qFormat/>
    <w:rPr>
      <w:rFonts w:eastAsiaTheme="majorEastAsia" w:cstheme="majorBidi"/>
      <w:color w:val="262626" w:themeColor="text1" w:themeTint="D9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AltyazChar">
    <w:name w:val="Altyazı Char"/>
    <w:basedOn w:val="VarsaylanParagrafYazTipi"/>
    <w:link w:val="Altyaz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pPr>
      <w:spacing w:before="160"/>
      <w:jc w:val="center"/>
    </w:pPr>
    <w:rPr>
      <w:i/>
      <w:iCs/>
      <w:color w:val="404040" w:themeColor="text1" w:themeTint="BF"/>
      <w:lang w:val="tr-TR"/>
    </w:rPr>
  </w:style>
  <w:style w:type="character" w:customStyle="1" w:styleId="AlntChar">
    <w:name w:val="Alıntı Char"/>
    <w:basedOn w:val="VarsaylanParagrafYazTipi"/>
    <w:link w:val="Alnt"/>
    <w:uiPriority w:val="29"/>
    <w:qFormat/>
    <w:rPr>
      <w:i/>
      <w:iCs/>
      <w:color w:val="404040" w:themeColor="text1" w:themeTint="BF"/>
      <w:lang w:val="tr-TR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  <w:rPr>
      <w:lang w:val="tr-TR"/>
    </w:rPr>
  </w:style>
  <w:style w:type="character" w:customStyle="1" w:styleId="GlVurgulama1">
    <w:name w:val="Güçlü Vurgulama1"/>
    <w:basedOn w:val="VarsaylanParagrafYazTipi"/>
    <w:uiPriority w:val="21"/>
    <w:qFormat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tr-TR"/>
    </w:rPr>
  </w:style>
  <w:style w:type="character" w:customStyle="1" w:styleId="GlAlntChar">
    <w:name w:val="Güçlü Alıntı Char"/>
    <w:basedOn w:val="VarsaylanParagrafYazTipi"/>
    <w:link w:val="GlAlnt"/>
    <w:uiPriority w:val="30"/>
    <w:qFormat/>
    <w:rPr>
      <w:i/>
      <w:iCs/>
      <w:color w:val="2F5496" w:themeColor="accent1" w:themeShade="BF"/>
      <w:lang w:val="tr-TR"/>
    </w:rPr>
  </w:style>
  <w:style w:type="character" w:customStyle="1" w:styleId="GlBavuru1">
    <w:name w:val="Güçlü Başvuru1"/>
    <w:basedOn w:val="VarsaylanParagrafYazTipi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Dzeltme1">
    <w:name w:val="Düzeltme1"/>
    <w:hidden/>
    <w:uiPriority w:val="99"/>
    <w:semiHidden/>
    <w:qFormat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Gizem</dc:creator>
  <cp:lastModifiedBy>Author</cp:lastModifiedBy>
  <cp:revision>7</cp:revision>
  <dcterms:created xsi:type="dcterms:W3CDTF">2026-01-23T11:53:00Z</dcterms:created>
  <dcterms:modified xsi:type="dcterms:W3CDTF">2026-05-22T06:26:00Z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