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center"/>
        <w:rPr/>
      </w:pPr>
      <w:bookmarkStart w:colFirst="0" w:colLast="0" w:name="_m6plyd2sl54p" w:id="0"/>
      <w:bookmarkEnd w:id="0"/>
      <w:r w:rsidDel="00000000" w:rsidR="00000000" w:rsidRPr="00000000">
        <w:rPr>
          <w:rtl w:val="0"/>
        </w:rPr>
        <w:t xml:space="preserve">Supplementary Figures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9050" distT="19050" distL="19050" distR="19050">
            <wp:extent cx="6199027" cy="3830628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99027" cy="38306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bCs w:val="1"/>
          <w:rtl w:val="0"/>
        </w:rPr>
        <w:t xml:space="preserve">Sup Fig S1.</w:t>
      </w:r>
      <w:r w:rsidDel="00000000" w:rsidR="00000000" w:rsidRPr="00000000">
        <w:rPr>
          <w:rtl w:val="0"/>
        </w:rPr>
        <w:t xml:space="preserve"> Principal Component Analysis (PCA) based on gene expression highlighting maize subpopulations.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114300" distT="114300" distL="114300" distR="114300">
            <wp:extent cx="5614988" cy="5614988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4988" cy="56149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Sup Fig S2.</w:t>
      </w:r>
      <w:r w:rsidDel="00000000" w:rsidR="00000000" w:rsidRPr="00000000">
        <w:rPr>
          <w:rtl w:val="0"/>
        </w:rPr>
        <w:t xml:space="preserve"> Co-expression clusters responding to circadian periods. Distribution of gene expression (z-score of log(TPM + 1) values) for co-expression clusters identified as responding to circadian periods.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/>
        <w:drawing>
          <wp:inline distB="114300" distT="114300" distL="114300" distR="114300">
            <wp:extent cx="5906066" cy="2698262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7973" r="7309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6066" cy="269826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Sup Fig S3.</w:t>
      </w:r>
      <w:r w:rsidDel="00000000" w:rsidR="00000000" w:rsidRPr="00000000">
        <w:rPr>
          <w:rtl w:val="0"/>
        </w:rPr>
        <w:t xml:space="preserve"> Most frequent orders and genera (GTDB) in the OTU subset that was employed in microbiome analyses and cross-correlations with the maize transcriptome.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5731200" cy="4483100"/>
            <wp:effectExtent b="0" l="0" r="0" t="0"/>
            <wp:docPr id="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48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Sup Fig S</w:t>
      </w:r>
      <w:r w:rsidDel="00000000" w:rsidR="00000000" w:rsidRPr="00000000">
        <w:rPr>
          <w:b w:val="1"/>
          <w:bCs w:val="1"/>
          <w:rtl w:val="0"/>
        </w:rPr>
        <w:t xml:space="preserve">4.</w:t>
      </w:r>
      <w:r w:rsidDel="00000000" w:rsidR="00000000" w:rsidRPr="00000000">
        <w:rPr>
          <w:rtl w:val="0"/>
        </w:rPr>
        <w:t xml:space="preserve"> Tests for differences between diurnal periods in alpha diversity based on (A) evenness, (B) Faith’s PD, and (C) Shannon. P-values (Kruskal-Wallis test) were considered high in all tests (diversity not significantly different).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403600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17158" l="0" r="21428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40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Sup Fig S</w:t>
      </w:r>
      <w:r w:rsidDel="00000000" w:rsidR="00000000" w:rsidRPr="00000000">
        <w:rPr>
          <w:b w:val="1"/>
          <w:bCs w:val="1"/>
          <w:rtl w:val="0"/>
        </w:rPr>
        <w:t xml:space="preserve">5.</w:t>
      </w:r>
      <w:r w:rsidDel="00000000" w:rsidR="00000000" w:rsidRPr="00000000">
        <w:rPr>
          <w:rtl w:val="0"/>
        </w:rPr>
        <w:t xml:space="preserve"> Cross-correlations between transcriptome and bacteriome in maize leaves, determined based on SparXCC permutation values. Distribution of positive (blue) and negative (red) significant cross-correlations identified in day and night samples. Non-significant correlations (near 0) are excluded from the plot.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3.png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