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4EB" w:rsidRDefault="005E44EB" w:rsidP="005E44EB">
      <w:pPr>
        <w:spacing w:before="100" w:beforeAutospacing="1" w:after="100" w:afterAutospacing="1" w:line="48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5B4643AA">
        <w:rPr>
          <w:rFonts w:ascii="Times New Roman" w:hAnsi="Times New Roman" w:cs="Times New Roman"/>
          <w:b/>
          <w:bCs/>
          <w:sz w:val="20"/>
          <w:szCs w:val="20"/>
          <w:u w:val="single"/>
        </w:rPr>
        <w:t>Supplementary Information</w:t>
      </w:r>
    </w:p>
    <w:p w:rsidR="005E44EB" w:rsidRDefault="005E44EB" w:rsidP="005E44EB">
      <w:pPr>
        <w:spacing w:before="100" w:beforeAutospacing="1" w:after="100" w:afterAutospacing="1" w:line="48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:rsidR="005E44EB" w:rsidRDefault="005E44EB" w:rsidP="005E44EB">
      <w:pPr>
        <w:spacing w:before="100" w:beforeAutospacing="1" w:after="100" w:afterAutospacing="1" w:line="480" w:lineRule="auto"/>
        <w:rPr>
          <w:rFonts w:ascii="Times New Roman" w:hAnsi="Times New Roman" w:cs="Times New Roman"/>
          <w:sz w:val="20"/>
          <w:szCs w:val="20"/>
        </w:rPr>
      </w:pPr>
      <w:r w:rsidRPr="68891BAB">
        <w:rPr>
          <w:rFonts w:ascii="Times New Roman" w:hAnsi="Times New Roman" w:cs="Times New Roman"/>
          <w:sz w:val="20"/>
          <w:szCs w:val="20"/>
        </w:rPr>
        <w:t>Appendix A. General Template for RLQ US</w:t>
      </w:r>
    </w:p>
    <w:p w:rsidR="005E44EB" w:rsidRDefault="005E44EB" w:rsidP="005E44EB">
      <w:pPr>
        <w:spacing w:before="100" w:beforeAutospacing="1" w:after="100" w:afterAutospacing="1" w:line="480" w:lineRule="auto"/>
      </w:pPr>
      <w:r>
        <w:rPr>
          <w:noProof/>
        </w:rPr>
        <w:drawing>
          <wp:inline distT="0" distB="0" distL="0" distR="0" wp14:anchorId="453C2F64" wp14:editId="30F2DF94">
            <wp:extent cx="3669879" cy="2636551"/>
            <wp:effectExtent l="0" t="0" r="0" b="0"/>
            <wp:docPr id="49233664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984683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9879" cy="2636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4EB" w:rsidRDefault="005E44EB" w:rsidP="005E44EB">
      <w:pPr>
        <w:spacing w:before="100" w:beforeAutospacing="1" w:after="100" w:afterAutospacing="1" w:line="480" w:lineRule="auto"/>
      </w:pPr>
    </w:p>
    <w:p w:rsidR="005E44EB" w:rsidRDefault="005E44EB" w:rsidP="005E44EB">
      <w:pPr>
        <w:spacing w:before="100" w:beforeAutospacing="1" w:after="100" w:afterAutospacing="1" w:line="480" w:lineRule="auto"/>
      </w:pPr>
      <w:r w:rsidRPr="68891BAB">
        <w:rPr>
          <w:rFonts w:ascii="Times New Roman" w:hAnsi="Times New Roman" w:cs="Times New Roman"/>
          <w:sz w:val="20"/>
          <w:szCs w:val="20"/>
        </w:rPr>
        <w:t xml:space="preserve">Appendix B. General Template for MR Abdomen and Pelvis </w:t>
      </w:r>
      <w:proofErr w:type="gramStart"/>
      <w:r w:rsidRPr="68891BAB">
        <w:rPr>
          <w:rFonts w:ascii="Times New Roman" w:hAnsi="Times New Roman" w:cs="Times New Roman"/>
          <w:sz w:val="20"/>
          <w:szCs w:val="20"/>
        </w:rPr>
        <w:t>Without</w:t>
      </w:r>
      <w:proofErr w:type="gramEnd"/>
      <w:r w:rsidRPr="68891BAB">
        <w:rPr>
          <w:rFonts w:ascii="Times New Roman" w:hAnsi="Times New Roman" w:cs="Times New Roman"/>
          <w:sz w:val="20"/>
          <w:szCs w:val="20"/>
        </w:rPr>
        <w:t xml:space="preserve"> Contrast</w:t>
      </w:r>
    </w:p>
    <w:p w:rsidR="005E44EB" w:rsidRDefault="005E44EB" w:rsidP="005E44EB">
      <w:pPr>
        <w:spacing w:before="100" w:beforeAutospacing="1" w:after="100" w:afterAutospacing="1" w:line="480" w:lineRule="auto"/>
      </w:pPr>
      <w:r>
        <w:rPr>
          <w:noProof/>
        </w:rPr>
        <w:lastRenderedPageBreak/>
        <w:drawing>
          <wp:inline distT="0" distB="0" distL="0" distR="0" wp14:anchorId="7077F8D8" wp14:editId="45926CA1">
            <wp:extent cx="3686697" cy="4461440"/>
            <wp:effectExtent l="0" t="0" r="0" b="0"/>
            <wp:docPr id="1066672931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081413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6697" cy="446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4EB" w:rsidRDefault="005E44EB" w:rsidP="005E44EB">
      <w:pPr>
        <w:spacing w:before="100" w:beforeAutospacing="1" w:after="100" w:afterAutospacing="1" w:line="480" w:lineRule="auto"/>
      </w:pPr>
    </w:p>
    <w:p w:rsidR="005E44EB" w:rsidRDefault="005E44EB" w:rsidP="005E44EB">
      <w:pPr>
        <w:spacing w:before="100" w:beforeAutospacing="1" w:after="100" w:afterAutospacing="1" w:line="480" w:lineRule="auto"/>
      </w:pPr>
    </w:p>
    <w:p w:rsidR="005E44EB" w:rsidRDefault="005E44EB" w:rsidP="005E44EB">
      <w:pPr>
        <w:spacing w:before="100" w:beforeAutospacing="1" w:after="100" w:afterAutospacing="1" w:line="480" w:lineRule="auto"/>
      </w:pPr>
      <w:r w:rsidRPr="59101B1F">
        <w:rPr>
          <w:rFonts w:ascii="Times New Roman" w:hAnsi="Times New Roman" w:cs="Times New Roman"/>
          <w:sz w:val="20"/>
          <w:szCs w:val="20"/>
        </w:rPr>
        <w:t>Appendix C. Rapid MRI Protocol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5145"/>
        <w:gridCol w:w="1290"/>
      </w:tblGrid>
      <w:tr w:rsidR="005E44EB" w:rsidTr="00025B4C">
        <w:trPr>
          <w:trHeight w:val="300"/>
        </w:trPr>
        <w:tc>
          <w:tcPr>
            <w:tcW w:w="5145" w:type="dxa"/>
            <w:shd w:val="clear" w:color="auto" w:fill="DAE8F8"/>
            <w:tcMar>
              <w:left w:w="105" w:type="dxa"/>
              <w:right w:w="105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59101B1F">
              <w:rPr>
                <w:rFonts w:ascii="Arial Narrow" w:eastAsia="Arial Narrow" w:hAnsi="Arial Narrow" w:cs="Arial Narrow"/>
                <w:sz w:val="20"/>
                <w:szCs w:val="20"/>
              </w:rPr>
              <w:t>SEQUENCE</w:t>
            </w:r>
          </w:p>
        </w:tc>
        <w:tc>
          <w:tcPr>
            <w:tcW w:w="1290" w:type="dxa"/>
            <w:shd w:val="clear" w:color="auto" w:fill="DAE8F8"/>
            <w:tcMar>
              <w:left w:w="105" w:type="dxa"/>
              <w:right w:w="105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</w:pPr>
            <w:r w:rsidRPr="59101B1F">
              <w:rPr>
                <w:rFonts w:ascii="Arial Narrow" w:eastAsia="Arial Narrow" w:hAnsi="Arial Narrow" w:cs="Arial Narrow"/>
                <w:sz w:val="20"/>
                <w:szCs w:val="20"/>
              </w:rPr>
              <w:t>PLANE</w:t>
            </w:r>
          </w:p>
        </w:tc>
      </w:tr>
      <w:tr w:rsidR="005E44EB" w:rsidTr="00025B4C">
        <w:trPr>
          <w:trHeight w:val="300"/>
        </w:trPr>
        <w:tc>
          <w:tcPr>
            <w:tcW w:w="5145" w:type="dxa"/>
            <w:tcMar>
              <w:left w:w="105" w:type="dxa"/>
              <w:right w:w="105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Arial Narrow" w:eastAsia="Arial Narrow" w:hAnsi="Arial Narrow" w:cs="Arial Narrow"/>
                <w:color w:val="000000" w:themeColor="text1"/>
                <w:sz w:val="20"/>
                <w:szCs w:val="20"/>
              </w:rPr>
            </w:pPr>
            <w:r w:rsidRPr="59101B1F">
              <w:rPr>
                <w:rFonts w:ascii="Arial Narrow" w:eastAsia="Arial Narrow" w:hAnsi="Arial Narrow" w:cs="Arial Narrow"/>
                <w:sz w:val="20"/>
                <w:szCs w:val="20"/>
              </w:rPr>
              <w:t>Single-shot T2-weighted (</w:t>
            </w:r>
            <w:proofErr w:type="spellStart"/>
            <w:r w:rsidRPr="59101B1F">
              <w:rPr>
                <w:rFonts w:ascii="Arial Narrow" w:eastAsia="Arial Narrow" w:hAnsi="Arial Narrow" w:cs="Arial Narrow"/>
                <w:sz w:val="20"/>
                <w:szCs w:val="20"/>
              </w:rPr>
              <w:t>SSh</w:t>
            </w:r>
            <w:proofErr w:type="spellEnd"/>
            <w:r w:rsidRPr="59101B1F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T2)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Arial Narrow" w:eastAsia="Arial Narrow" w:hAnsi="Arial Narrow" w:cs="Arial Narrow"/>
                <w:color w:val="000000" w:themeColor="text1"/>
                <w:sz w:val="20"/>
                <w:szCs w:val="20"/>
              </w:rPr>
            </w:pPr>
            <w:r w:rsidRPr="59101B1F">
              <w:rPr>
                <w:rFonts w:ascii="Arial Narrow" w:eastAsia="Arial Narrow" w:hAnsi="Arial Narrow" w:cs="Arial Narrow"/>
                <w:sz w:val="20"/>
                <w:szCs w:val="20"/>
              </w:rPr>
              <w:t>Coronal</w:t>
            </w:r>
          </w:p>
        </w:tc>
      </w:tr>
      <w:tr w:rsidR="005E44EB" w:rsidTr="00025B4C">
        <w:trPr>
          <w:trHeight w:val="300"/>
        </w:trPr>
        <w:tc>
          <w:tcPr>
            <w:tcW w:w="5145" w:type="dxa"/>
            <w:tcMar>
              <w:left w:w="105" w:type="dxa"/>
              <w:right w:w="105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Arial Narrow" w:eastAsia="Arial Narrow" w:hAnsi="Arial Narrow" w:cs="Arial Narrow"/>
                <w:color w:val="000000" w:themeColor="text1"/>
                <w:sz w:val="20"/>
                <w:szCs w:val="20"/>
              </w:rPr>
            </w:pPr>
            <w:r w:rsidRPr="59101B1F">
              <w:rPr>
                <w:rFonts w:ascii="Arial Narrow" w:eastAsia="Arial Narrow" w:hAnsi="Arial Narrow" w:cs="Arial Narrow"/>
                <w:sz w:val="20"/>
                <w:szCs w:val="20"/>
              </w:rPr>
              <w:t>Single-shot T2-weighted fat-suppressed (</w:t>
            </w:r>
            <w:proofErr w:type="spellStart"/>
            <w:r w:rsidRPr="59101B1F">
              <w:rPr>
                <w:rFonts w:ascii="Arial Narrow" w:eastAsia="Arial Narrow" w:hAnsi="Arial Narrow" w:cs="Arial Narrow"/>
                <w:sz w:val="20"/>
                <w:szCs w:val="20"/>
              </w:rPr>
              <w:t>SSh</w:t>
            </w:r>
            <w:proofErr w:type="spellEnd"/>
            <w:r w:rsidRPr="59101B1F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T2 Fat)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Arial Narrow" w:eastAsia="Arial Narrow" w:hAnsi="Arial Narrow" w:cs="Arial Narrow"/>
                <w:color w:val="000000" w:themeColor="text1"/>
                <w:sz w:val="20"/>
                <w:szCs w:val="20"/>
              </w:rPr>
            </w:pPr>
            <w:r w:rsidRPr="59101B1F">
              <w:rPr>
                <w:rFonts w:ascii="Arial Narrow" w:eastAsia="Arial Narrow" w:hAnsi="Arial Narrow" w:cs="Arial Narrow"/>
                <w:sz w:val="20"/>
                <w:szCs w:val="20"/>
              </w:rPr>
              <w:t>Coronal</w:t>
            </w:r>
          </w:p>
        </w:tc>
      </w:tr>
      <w:tr w:rsidR="005E44EB" w:rsidTr="00025B4C">
        <w:trPr>
          <w:trHeight w:val="300"/>
        </w:trPr>
        <w:tc>
          <w:tcPr>
            <w:tcW w:w="5145" w:type="dxa"/>
            <w:tcMar>
              <w:left w:w="105" w:type="dxa"/>
              <w:right w:w="105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Arial Narrow" w:eastAsia="Arial Narrow" w:hAnsi="Arial Narrow" w:cs="Arial Narrow"/>
                <w:color w:val="000000" w:themeColor="text1"/>
                <w:sz w:val="20"/>
                <w:szCs w:val="20"/>
              </w:rPr>
            </w:pPr>
            <w:r w:rsidRPr="59101B1F">
              <w:rPr>
                <w:rFonts w:ascii="Arial Narrow" w:eastAsia="Arial Narrow" w:hAnsi="Arial Narrow" w:cs="Arial Narrow"/>
                <w:sz w:val="20"/>
                <w:szCs w:val="20"/>
              </w:rPr>
              <w:t>Single-shot T2-weighted (</w:t>
            </w:r>
            <w:proofErr w:type="spellStart"/>
            <w:r w:rsidRPr="59101B1F">
              <w:rPr>
                <w:rFonts w:ascii="Arial Narrow" w:eastAsia="Arial Narrow" w:hAnsi="Arial Narrow" w:cs="Arial Narrow"/>
                <w:sz w:val="20"/>
                <w:szCs w:val="20"/>
              </w:rPr>
              <w:t>SShot</w:t>
            </w:r>
            <w:proofErr w:type="spellEnd"/>
            <w:r w:rsidRPr="59101B1F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T2)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Arial Narrow" w:eastAsia="Arial Narrow" w:hAnsi="Arial Narrow" w:cs="Arial Narrow"/>
                <w:color w:val="000000" w:themeColor="text1"/>
                <w:sz w:val="20"/>
                <w:szCs w:val="20"/>
              </w:rPr>
            </w:pPr>
            <w:r w:rsidRPr="59101B1F">
              <w:rPr>
                <w:rFonts w:ascii="Arial Narrow" w:eastAsia="Arial Narrow" w:hAnsi="Arial Narrow" w:cs="Arial Narrow"/>
                <w:sz w:val="20"/>
                <w:szCs w:val="20"/>
              </w:rPr>
              <w:t>Axial</w:t>
            </w:r>
          </w:p>
        </w:tc>
      </w:tr>
      <w:tr w:rsidR="005E44EB" w:rsidTr="00025B4C">
        <w:trPr>
          <w:trHeight w:val="300"/>
        </w:trPr>
        <w:tc>
          <w:tcPr>
            <w:tcW w:w="5145" w:type="dxa"/>
            <w:tcMar>
              <w:left w:w="105" w:type="dxa"/>
              <w:right w:w="105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Arial Narrow" w:eastAsia="Arial Narrow" w:hAnsi="Arial Narrow" w:cs="Arial Narrow"/>
                <w:color w:val="000000" w:themeColor="text1"/>
                <w:sz w:val="20"/>
                <w:szCs w:val="20"/>
              </w:rPr>
            </w:pPr>
            <w:r w:rsidRPr="59101B1F">
              <w:rPr>
                <w:rFonts w:ascii="Arial Narrow" w:eastAsia="Arial Narrow" w:hAnsi="Arial Narrow" w:cs="Arial Narrow"/>
                <w:sz w:val="20"/>
                <w:szCs w:val="20"/>
              </w:rPr>
              <w:t>Single-shot T2-weighted (</w:t>
            </w:r>
            <w:proofErr w:type="spellStart"/>
            <w:r w:rsidRPr="59101B1F">
              <w:rPr>
                <w:rFonts w:ascii="Arial Narrow" w:eastAsia="Arial Narrow" w:hAnsi="Arial Narrow" w:cs="Arial Narrow"/>
                <w:sz w:val="20"/>
                <w:szCs w:val="20"/>
              </w:rPr>
              <w:t>SShot</w:t>
            </w:r>
            <w:proofErr w:type="spellEnd"/>
            <w:r w:rsidRPr="59101B1F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T2)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Arial Narrow" w:eastAsia="Arial Narrow" w:hAnsi="Arial Narrow" w:cs="Arial Narrow"/>
                <w:color w:val="000000" w:themeColor="text1"/>
                <w:sz w:val="20"/>
                <w:szCs w:val="20"/>
              </w:rPr>
            </w:pPr>
            <w:r w:rsidRPr="59101B1F">
              <w:rPr>
                <w:rFonts w:ascii="Arial Narrow" w:eastAsia="Arial Narrow" w:hAnsi="Arial Narrow" w:cs="Arial Narrow"/>
                <w:sz w:val="20"/>
                <w:szCs w:val="20"/>
              </w:rPr>
              <w:t>Sagittal</w:t>
            </w:r>
          </w:p>
        </w:tc>
      </w:tr>
      <w:tr w:rsidR="005E44EB" w:rsidTr="00025B4C">
        <w:trPr>
          <w:trHeight w:val="300"/>
        </w:trPr>
        <w:tc>
          <w:tcPr>
            <w:tcW w:w="5145" w:type="dxa"/>
            <w:tcMar>
              <w:left w:w="105" w:type="dxa"/>
              <w:right w:w="105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Arial Narrow" w:eastAsia="Arial Narrow" w:hAnsi="Arial Narrow" w:cs="Arial Narrow"/>
                <w:color w:val="000000" w:themeColor="text1"/>
                <w:sz w:val="20"/>
                <w:szCs w:val="20"/>
              </w:rPr>
            </w:pPr>
            <w:r w:rsidRPr="59101B1F">
              <w:rPr>
                <w:rFonts w:ascii="Arial Narrow" w:eastAsia="Arial Narrow" w:hAnsi="Arial Narrow" w:cs="Arial Narrow"/>
                <w:sz w:val="20"/>
                <w:szCs w:val="20"/>
              </w:rPr>
              <w:t>Spin echo diffusion-weighted imaging (Spin Echo DWI)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Arial Narrow" w:eastAsia="Arial Narrow" w:hAnsi="Arial Narrow" w:cs="Arial Narrow"/>
                <w:color w:val="000000" w:themeColor="text1"/>
                <w:sz w:val="20"/>
                <w:szCs w:val="20"/>
              </w:rPr>
            </w:pPr>
            <w:r w:rsidRPr="59101B1F">
              <w:rPr>
                <w:rFonts w:ascii="Arial Narrow" w:eastAsia="Arial Narrow" w:hAnsi="Arial Narrow" w:cs="Arial Narrow"/>
                <w:sz w:val="20"/>
                <w:szCs w:val="20"/>
              </w:rPr>
              <w:t>Axial</w:t>
            </w:r>
          </w:p>
        </w:tc>
      </w:tr>
      <w:tr w:rsidR="005E44EB" w:rsidTr="00025B4C">
        <w:trPr>
          <w:trHeight w:val="300"/>
        </w:trPr>
        <w:tc>
          <w:tcPr>
            <w:tcW w:w="5145" w:type="dxa"/>
            <w:tcMar>
              <w:left w:w="105" w:type="dxa"/>
              <w:right w:w="105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Arial Narrow" w:eastAsia="Arial Narrow" w:hAnsi="Arial Narrow" w:cs="Arial Narrow"/>
                <w:color w:val="000000" w:themeColor="text1"/>
                <w:sz w:val="20"/>
                <w:szCs w:val="20"/>
              </w:rPr>
            </w:pPr>
            <w:r w:rsidRPr="59101B1F">
              <w:rPr>
                <w:rFonts w:ascii="Arial Narrow" w:eastAsia="Arial Narrow" w:hAnsi="Arial Narrow" w:cs="Arial Narrow"/>
                <w:sz w:val="20"/>
                <w:szCs w:val="20"/>
              </w:rPr>
              <w:lastRenderedPageBreak/>
              <w:t>Female only axial 3D</w:t>
            </w:r>
          </w:p>
        </w:tc>
        <w:tc>
          <w:tcPr>
            <w:tcW w:w="1290" w:type="dxa"/>
            <w:tcMar>
              <w:left w:w="105" w:type="dxa"/>
              <w:right w:w="105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Arial Narrow" w:eastAsia="Arial Narrow" w:hAnsi="Arial Narrow" w:cs="Arial Narrow"/>
                <w:color w:val="000000" w:themeColor="text1"/>
                <w:sz w:val="20"/>
                <w:szCs w:val="20"/>
              </w:rPr>
            </w:pPr>
            <w:r w:rsidRPr="59101B1F">
              <w:rPr>
                <w:rFonts w:ascii="Arial Narrow" w:eastAsia="Arial Narrow" w:hAnsi="Arial Narrow" w:cs="Arial Narrow"/>
                <w:sz w:val="20"/>
                <w:szCs w:val="20"/>
              </w:rPr>
              <w:t>Axial</w:t>
            </w:r>
          </w:p>
        </w:tc>
      </w:tr>
    </w:tbl>
    <w:p w:rsidR="005E44EB" w:rsidRDefault="005E44EB" w:rsidP="005E44EB">
      <w:pPr>
        <w:spacing w:before="100" w:beforeAutospacing="1" w:after="100" w:afterAutospacing="1" w:line="480" w:lineRule="auto"/>
        <w:rPr>
          <w:rFonts w:ascii="Times New Roman" w:hAnsi="Times New Roman" w:cs="Times New Roman"/>
          <w:sz w:val="20"/>
          <w:szCs w:val="20"/>
        </w:rPr>
      </w:pPr>
    </w:p>
    <w:p w:rsidR="005E44EB" w:rsidRDefault="005E44EB" w:rsidP="005E44EB">
      <w:pPr>
        <w:spacing w:before="100" w:beforeAutospacing="1" w:after="100" w:afterAutospacing="1" w:line="480" w:lineRule="auto"/>
      </w:pPr>
      <w:r w:rsidRPr="732D6640">
        <w:rPr>
          <w:rFonts w:ascii="Times New Roman" w:hAnsi="Times New Roman" w:cs="Times New Roman"/>
          <w:sz w:val="20"/>
          <w:szCs w:val="20"/>
        </w:rPr>
        <w:t>STARD 2015 Checklist for Reporting Diagnostic Accuracy Studies: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1515"/>
        <w:gridCol w:w="405"/>
        <w:gridCol w:w="4845"/>
        <w:gridCol w:w="2685"/>
      </w:tblGrid>
      <w:tr w:rsidR="005E44EB" w:rsidTr="00025B4C">
        <w:trPr>
          <w:trHeight w:val="300"/>
        </w:trPr>
        <w:tc>
          <w:tcPr>
            <w:tcW w:w="15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4B88CB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FFFFFF" w:themeColor="background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b/>
                <w:bCs/>
                <w:color w:val="FFFFFF" w:themeColor="background1"/>
                <w:sz w:val="13"/>
                <w:szCs w:val="13"/>
              </w:rPr>
              <w:t>Section &amp; Topic</w:t>
            </w: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4B88CB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FFFFFF" w:themeColor="background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b/>
                <w:bCs/>
                <w:color w:val="FFFFFF" w:themeColor="background1"/>
                <w:sz w:val="13"/>
                <w:szCs w:val="13"/>
              </w:rPr>
              <w:t>No</w:t>
            </w:r>
          </w:p>
        </w:tc>
        <w:tc>
          <w:tcPr>
            <w:tcW w:w="48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4B88CB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FFFFFF" w:themeColor="background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b/>
                <w:bCs/>
                <w:color w:val="FFFFFF" w:themeColor="background1"/>
                <w:sz w:val="13"/>
                <w:szCs w:val="13"/>
              </w:rPr>
              <w:t>Item</w:t>
            </w:r>
          </w:p>
        </w:tc>
        <w:tc>
          <w:tcPr>
            <w:tcW w:w="26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4B88CB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FFFFFF" w:themeColor="background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b/>
                <w:bCs/>
                <w:color w:val="FFFFFF" w:themeColor="background1"/>
                <w:sz w:val="13"/>
                <w:szCs w:val="13"/>
              </w:rPr>
              <w:t>Notes</w:t>
            </w:r>
          </w:p>
        </w:tc>
      </w:tr>
      <w:tr w:rsidR="005E44EB" w:rsidTr="00025B4C">
        <w:trPr>
          <w:trHeight w:val="300"/>
        </w:trPr>
        <w:tc>
          <w:tcPr>
            <w:tcW w:w="15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255FA6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b/>
                <w:bCs/>
                <w:color w:val="255FA6"/>
                <w:sz w:val="13"/>
                <w:szCs w:val="13"/>
              </w:rPr>
              <w:t>TITLE OR ABSTRACT</w:t>
            </w:r>
          </w:p>
        </w:tc>
        <w:tc>
          <w:tcPr>
            <w:tcW w:w="405" w:type="dxa"/>
            <w:tcBorders>
              <w:top w:val="single" w:sz="6" w:space="0" w:color="000000" w:themeColor="text1"/>
              <w:left w:val="single" w:sz="6" w:space="0" w:color="4B88CB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4845" w:type="dxa"/>
            <w:tcBorders>
              <w:top w:val="single" w:sz="6" w:space="0" w:color="000000" w:themeColor="text1"/>
              <w:left w:val="single" w:sz="6" w:space="0" w:color="4B88CB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2685" w:type="dxa"/>
            <w:tcBorders>
              <w:top w:val="single" w:sz="6" w:space="0" w:color="000000" w:themeColor="text1"/>
              <w:left w:val="single" w:sz="6" w:space="0" w:color="4B88CB"/>
              <w:bottom w:val="single" w:sz="6" w:space="0" w:color="4B88CB"/>
              <w:right w:val="single" w:sz="6" w:space="0" w:color="000000" w:themeColor="text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</w:tr>
      <w:tr w:rsidR="005E44EB" w:rsidTr="00025B4C">
        <w:trPr>
          <w:trHeight w:val="330"/>
        </w:trPr>
        <w:tc>
          <w:tcPr>
            <w:tcW w:w="1515" w:type="dxa"/>
            <w:tcBorders>
              <w:top w:val="single" w:sz="6" w:space="0" w:color="4B88CB"/>
              <w:left w:val="single" w:sz="6" w:space="0" w:color="000000" w:themeColor="text1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40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jc w:val="center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b/>
                <w:bCs/>
                <w:color w:val="000000" w:themeColor="text1"/>
                <w:sz w:val="13"/>
                <w:szCs w:val="13"/>
              </w:rPr>
              <w:t>1</w:t>
            </w:r>
          </w:p>
        </w:tc>
        <w:tc>
          <w:tcPr>
            <w:tcW w:w="484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>Identification as a study of diagnostic accuracy using at least one measure of accuracy</w:t>
            </w:r>
          </w:p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>(such as sensitivity, specificity, predictive values, or AUC)</w:t>
            </w:r>
          </w:p>
        </w:tc>
        <w:tc>
          <w:tcPr>
            <w:tcW w:w="268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000000" w:themeColor="text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>p. 1 (Abstract)</w:t>
            </w:r>
          </w:p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>Diagnostic accuracy study measuring sensitivity and specificity</w:t>
            </w:r>
          </w:p>
        </w:tc>
      </w:tr>
      <w:tr w:rsidR="005E44EB" w:rsidTr="00025B4C">
        <w:trPr>
          <w:trHeight w:val="135"/>
        </w:trPr>
        <w:tc>
          <w:tcPr>
            <w:tcW w:w="1515" w:type="dxa"/>
            <w:tcBorders>
              <w:top w:val="single" w:sz="6" w:space="0" w:color="4B88CB"/>
              <w:left w:val="single" w:sz="6" w:space="0" w:color="000000" w:themeColor="text1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255FA6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b/>
                <w:bCs/>
                <w:color w:val="255FA6"/>
                <w:sz w:val="13"/>
                <w:szCs w:val="13"/>
              </w:rPr>
              <w:t>ABSTRACT</w:t>
            </w:r>
          </w:p>
        </w:tc>
        <w:tc>
          <w:tcPr>
            <w:tcW w:w="40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484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268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000000" w:themeColor="text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</w:tr>
      <w:tr w:rsidR="005E44EB" w:rsidTr="00025B4C">
        <w:trPr>
          <w:trHeight w:val="315"/>
        </w:trPr>
        <w:tc>
          <w:tcPr>
            <w:tcW w:w="1515" w:type="dxa"/>
            <w:tcBorders>
              <w:top w:val="single" w:sz="6" w:space="0" w:color="4B88CB"/>
              <w:left w:val="single" w:sz="6" w:space="0" w:color="000000" w:themeColor="text1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40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jc w:val="center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b/>
                <w:bCs/>
                <w:color w:val="000000" w:themeColor="text1"/>
                <w:sz w:val="13"/>
                <w:szCs w:val="13"/>
              </w:rPr>
              <w:t>2</w:t>
            </w:r>
          </w:p>
        </w:tc>
        <w:tc>
          <w:tcPr>
            <w:tcW w:w="484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 xml:space="preserve">Structured summary of study design, methods, results, and conclusions </w:t>
            </w:r>
            <w:r>
              <w:br/>
            </w: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>(for specific guidance, see STARD for Abstracts)</w:t>
            </w:r>
          </w:p>
        </w:tc>
        <w:tc>
          <w:tcPr>
            <w:tcW w:w="268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000000" w:themeColor="text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>p. 1</w:t>
            </w:r>
          </w:p>
        </w:tc>
      </w:tr>
      <w:tr w:rsidR="005E44EB" w:rsidTr="00025B4C">
        <w:trPr>
          <w:trHeight w:val="135"/>
        </w:trPr>
        <w:tc>
          <w:tcPr>
            <w:tcW w:w="1515" w:type="dxa"/>
            <w:tcBorders>
              <w:top w:val="single" w:sz="6" w:space="0" w:color="4B88CB"/>
              <w:left w:val="single" w:sz="6" w:space="0" w:color="000000" w:themeColor="text1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255FA6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b/>
                <w:bCs/>
                <w:color w:val="255FA6"/>
                <w:sz w:val="13"/>
                <w:szCs w:val="13"/>
              </w:rPr>
              <w:t>INTRODUCTION</w:t>
            </w:r>
          </w:p>
        </w:tc>
        <w:tc>
          <w:tcPr>
            <w:tcW w:w="40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484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268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000000" w:themeColor="text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</w:tr>
      <w:tr w:rsidR="005E44EB" w:rsidTr="00025B4C">
        <w:trPr>
          <w:trHeight w:val="135"/>
        </w:trPr>
        <w:tc>
          <w:tcPr>
            <w:tcW w:w="1515" w:type="dxa"/>
            <w:tcBorders>
              <w:top w:val="single" w:sz="6" w:space="0" w:color="4B88CB"/>
              <w:left w:val="single" w:sz="6" w:space="0" w:color="000000" w:themeColor="text1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40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jc w:val="center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b/>
                <w:bCs/>
                <w:color w:val="000000" w:themeColor="text1"/>
                <w:sz w:val="13"/>
                <w:szCs w:val="13"/>
              </w:rPr>
              <w:t>3</w:t>
            </w:r>
          </w:p>
        </w:tc>
        <w:tc>
          <w:tcPr>
            <w:tcW w:w="484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>Scientific and clinical background, including the intended use and clinical role of the index test</w:t>
            </w:r>
          </w:p>
        </w:tc>
        <w:tc>
          <w:tcPr>
            <w:tcW w:w="268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000000" w:themeColor="text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>p. 2</w:t>
            </w:r>
          </w:p>
        </w:tc>
      </w:tr>
      <w:tr w:rsidR="005E44EB" w:rsidTr="00025B4C">
        <w:trPr>
          <w:trHeight w:val="135"/>
        </w:trPr>
        <w:tc>
          <w:tcPr>
            <w:tcW w:w="1515" w:type="dxa"/>
            <w:tcBorders>
              <w:top w:val="single" w:sz="6" w:space="0" w:color="4B88CB"/>
              <w:left w:val="single" w:sz="6" w:space="0" w:color="000000" w:themeColor="text1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40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jc w:val="center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b/>
                <w:bCs/>
                <w:color w:val="000000" w:themeColor="text1"/>
                <w:sz w:val="13"/>
                <w:szCs w:val="13"/>
              </w:rPr>
              <w:t>4</w:t>
            </w:r>
          </w:p>
        </w:tc>
        <w:tc>
          <w:tcPr>
            <w:tcW w:w="484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>Study objectives and hypotheses</w:t>
            </w:r>
          </w:p>
        </w:tc>
        <w:tc>
          <w:tcPr>
            <w:tcW w:w="268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000000" w:themeColor="text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>p. 2</w:t>
            </w:r>
          </w:p>
        </w:tc>
      </w:tr>
      <w:tr w:rsidR="005E44EB" w:rsidTr="00025B4C">
        <w:trPr>
          <w:trHeight w:val="135"/>
        </w:trPr>
        <w:tc>
          <w:tcPr>
            <w:tcW w:w="1515" w:type="dxa"/>
            <w:tcBorders>
              <w:top w:val="single" w:sz="6" w:space="0" w:color="4B88CB"/>
              <w:left w:val="single" w:sz="6" w:space="0" w:color="000000" w:themeColor="text1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255FA6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b/>
                <w:bCs/>
                <w:color w:val="255FA6"/>
                <w:sz w:val="13"/>
                <w:szCs w:val="13"/>
              </w:rPr>
              <w:t>METHODS</w:t>
            </w:r>
          </w:p>
        </w:tc>
        <w:tc>
          <w:tcPr>
            <w:tcW w:w="40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484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268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000000" w:themeColor="text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</w:tr>
      <w:tr w:rsidR="005E44EB" w:rsidTr="00025B4C">
        <w:trPr>
          <w:trHeight w:val="315"/>
        </w:trPr>
        <w:tc>
          <w:tcPr>
            <w:tcW w:w="1515" w:type="dxa"/>
            <w:tcBorders>
              <w:top w:val="single" w:sz="6" w:space="0" w:color="4B88CB"/>
              <w:left w:val="single" w:sz="6" w:space="0" w:color="000000" w:themeColor="text1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255FA6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i/>
                <w:iCs/>
                <w:color w:val="255FA6"/>
                <w:sz w:val="13"/>
                <w:szCs w:val="13"/>
              </w:rPr>
              <w:t>Study design</w:t>
            </w:r>
          </w:p>
        </w:tc>
        <w:tc>
          <w:tcPr>
            <w:tcW w:w="40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jc w:val="center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b/>
                <w:bCs/>
                <w:color w:val="000000" w:themeColor="text1"/>
                <w:sz w:val="13"/>
                <w:szCs w:val="13"/>
              </w:rPr>
              <w:t>5</w:t>
            </w:r>
          </w:p>
        </w:tc>
        <w:tc>
          <w:tcPr>
            <w:tcW w:w="484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>Whether data collection was planned before the index test and reference standard were performed (prospective study) or after (retrospective study)</w:t>
            </w:r>
          </w:p>
        </w:tc>
        <w:tc>
          <w:tcPr>
            <w:tcW w:w="268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000000" w:themeColor="text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 xml:space="preserve">p. 2 </w:t>
            </w:r>
          </w:p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>Retrospective</w:t>
            </w:r>
          </w:p>
        </w:tc>
      </w:tr>
      <w:tr w:rsidR="005E44EB" w:rsidTr="00025B4C">
        <w:trPr>
          <w:trHeight w:val="135"/>
        </w:trPr>
        <w:tc>
          <w:tcPr>
            <w:tcW w:w="1515" w:type="dxa"/>
            <w:tcBorders>
              <w:top w:val="single" w:sz="6" w:space="0" w:color="4B88CB"/>
              <w:left w:val="single" w:sz="6" w:space="0" w:color="000000" w:themeColor="text1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255FA6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i/>
                <w:iCs/>
                <w:color w:val="255FA6"/>
                <w:sz w:val="13"/>
                <w:szCs w:val="13"/>
              </w:rPr>
              <w:t>Participants</w:t>
            </w:r>
          </w:p>
        </w:tc>
        <w:tc>
          <w:tcPr>
            <w:tcW w:w="40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jc w:val="center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b/>
                <w:bCs/>
                <w:color w:val="000000" w:themeColor="text1"/>
                <w:sz w:val="13"/>
                <w:szCs w:val="13"/>
              </w:rPr>
              <w:t>6</w:t>
            </w:r>
          </w:p>
        </w:tc>
        <w:tc>
          <w:tcPr>
            <w:tcW w:w="484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 xml:space="preserve">Eligibility criteria </w:t>
            </w:r>
          </w:p>
        </w:tc>
        <w:tc>
          <w:tcPr>
            <w:tcW w:w="268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000000" w:themeColor="text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>p. 3</w:t>
            </w:r>
          </w:p>
        </w:tc>
      </w:tr>
      <w:tr w:rsidR="005E44EB" w:rsidTr="00025B4C">
        <w:trPr>
          <w:trHeight w:val="330"/>
        </w:trPr>
        <w:tc>
          <w:tcPr>
            <w:tcW w:w="1515" w:type="dxa"/>
            <w:tcBorders>
              <w:top w:val="single" w:sz="6" w:space="0" w:color="4B88CB"/>
              <w:left w:val="single" w:sz="6" w:space="0" w:color="000000" w:themeColor="text1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40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jc w:val="center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b/>
                <w:bCs/>
                <w:color w:val="000000" w:themeColor="text1"/>
                <w:sz w:val="13"/>
                <w:szCs w:val="13"/>
              </w:rPr>
              <w:t>7</w:t>
            </w:r>
          </w:p>
        </w:tc>
        <w:tc>
          <w:tcPr>
            <w:tcW w:w="484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 xml:space="preserve">On what basis potentially eligible participants were identified </w:t>
            </w:r>
            <w:r>
              <w:br/>
            </w: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>(such as symptoms, results from previous tests, inclusion in registry)</w:t>
            </w:r>
          </w:p>
        </w:tc>
        <w:tc>
          <w:tcPr>
            <w:tcW w:w="268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000000" w:themeColor="text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>p. 3</w:t>
            </w:r>
          </w:p>
        </w:tc>
      </w:tr>
      <w:tr w:rsidR="005E44EB" w:rsidTr="00025B4C">
        <w:trPr>
          <w:trHeight w:val="135"/>
        </w:trPr>
        <w:tc>
          <w:tcPr>
            <w:tcW w:w="1515" w:type="dxa"/>
            <w:tcBorders>
              <w:top w:val="single" w:sz="6" w:space="0" w:color="4B88CB"/>
              <w:left w:val="single" w:sz="6" w:space="0" w:color="000000" w:themeColor="text1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40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jc w:val="center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b/>
                <w:bCs/>
                <w:color w:val="000000" w:themeColor="text1"/>
                <w:sz w:val="13"/>
                <w:szCs w:val="13"/>
              </w:rPr>
              <w:t>8</w:t>
            </w:r>
          </w:p>
        </w:tc>
        <w:tc>
          <w:tcPr>
            <w:tcW w:w="484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3B4E041C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>Where and when potentially eligible participants were identified (setting, location, and dates)</w:t>
            </w:r>
          </w:p>
        </w:tc>
        <w:tc>
          <w:tcPr>
            <w:tcW w:w="268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000000" w:themeColor="text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 xml:space="preserve">p. 2-3 </w:t>
            </w:r>
          </w:p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>CMHH, 01/01/2019 - 06/30/2019</w:t>
            </w:r>
          </w:p>
        </w:tc>
      </w:tr>
      <w:tr w:rsidR="005E44EB" w:rsidTr="00025B4C">
        <w:trPr>
          <w:trHeight w:val="135"/>
        </w:trPr>
        <w:tc>
          <w:tcPr>
            <w:tcW w:w="1515" w:type="dxa"/>
            <w:tcBorders>
              <w:top w:val="single" w:sz="6" w:space="0" w:color="4B88CB"/>
              <w:left w:val="single" w:sz="6" w:space="0" w:color="000000" w:themeColor="text1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40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jc w:val="center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b/>
                <w:bCs/>
                <w:color w:val="000000" w:themeColor="text1"/>
                <w:sz w:val="13"/>
                <w:szCs w:val="13"/>
              </w:rPr>
              <w:t>9</w:t>
            </w:r>
          </w:p>
        </w:tc>
        <w:tc>
          <w:tcPr>
            <w:tcW w:w="484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>Whether participants formed a consecutive, random or convenience series</w:t>
            </w:r>
          </w:p>
        </w:tc>
        <w:tc>
          <w:tcPr>
            <w:tcW w:w="268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000000" w:themeColor="text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>p. 3</w:t>
            </w:r>
          </w:p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>Consecutive</w:t>
            </w:r>
          </w:p>
        </w:tc>
      </w:tr>
      <w:tr w:rsidR="005E44EB" w:rsidTr="00025B4C">
        <w:trPr>
          <w:trHeight w:val="135"/>
        </w:trPr>
        <w:tc>
          <w:tcPr>
            <w:tcW w:w="1515" w:type="dxa"/>
            <w:tcBorders>
              <w:top w:val="single" w:sz="6" w:space="0" w:color="4B88CB"/>
              <w:left w:val="single" w:sz="6" w:space="0" w:color="000000" w:themeColor="text1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255FA6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i/>
                <w:iCs/>
                <w:color w:val="255FA6"/>
                <w:sz w:val="13"/>
                <w:szCs w:val="13"/>
              </w:rPr>
              <w:lastRenderedPageBreak/>
              <w:t>Test methods</w:t>
            </w:r>
          </w:p>
        </w:tc>
        <w:tc>
          <w:tcPr>
            <w:tcW w:w="40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jc w:val="center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b/>
                <w:bCs/>
                <w:color w:val="000000" w:themeColor="text1"/>
                <w:sz w:val="13"/>
                <w:szCs w:val="13"/>
              </w:rPr>
              <w:t>10a</w:t>
            </w:r>
          </w:p>
        </w:tc>
        <w:tc>
          <w:tcPr>
            <w:tcW w:w="484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>Index test, in sufficient detail to allow replication</w:t>
            </w:r>
          </w:p>
        </w:tc>
        <w:tc>
          <w:tcPr>
            <w:tcW w:w="268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000000" w:themeColor="text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 xml:space="preserve">p. 3 </w:t>
            </w:r>
          </w:p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>Ultrasound</w:t>
            </w:r>
          </w:p>
        </w:tc>
      </w:tr>
      <w:tr w:rsidR="005E44EB" w:rsidTr="00025B4C">
        <w:trPr>
          <w:trHeight w:val="135"/>
        </w:trPr>
        <w:tc>
          <w:tcPr>
            <w:tcW w:w="1515" w:type="dxa"/>
            <w:tcBorders>
              <w:top w:val="single" w:sz="6" w:space="0" w:color="4B88CB"/>
              <w:left w:val="single" w:sz="6" w:space="0" w:color="000000" w:themeColor="text1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40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jc w:val="center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b/>
                <w:bCs/>
                <w:color w:val="000000" w:themeColor="text1"/>
                <w:sz w:val="13"/>
                <w:szCs w:val="13"/>
              </w:rPr>
              <w:t>10b</w:t>
            </w:r>
          </w:p>
        </w:tc>
        <w:tc>
          <w:tcPr>
            <w:tcW w:w="484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>Reference standard, in sufficient detail to allow replication</w:t>
            </w:r>
          </w:p>
        </w:tc>
        <w:tc>
          <w:tcPr>
            <w:tcW w:w="268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000000" w:themeColor="text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>p. 3</w:t>
            </w:r>
          </w:p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>Rapid Magnetic Resonance Imaging</w:t>
            </w:r>
          </w:p>
        </w:tc>
      </w:tr>
      <w:tr w:rsidR="005E44EB" w:rsidTr="00025B4C">
        <w:trPr>
          <w:trHeight w:val="135"/>
        </w:trPr>
        <w:tc>
          <w:tcPr>
            <w:tcW w:w="1515" w:type="dxa"/>
            <w:tcBorders>
              <w:top w:val="single" w:sz="6" w:space="0" w:color="4B88CB"/>
              <w:left w:val="single" w:sz="6" w:space="0" w:color="000000" w:themeColor="text1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40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jc w:val="center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b/>
                <w:bCs/>
                <w:color w:val="000000" w:themeColor="text1"/>
                <w:sz w:val="13"/>
                <w:szCs w:val="13"/>
              </w:rPr>
              <w:t>11</w:t>
            </w:r>
          </w:p>
        </w:tc>
        <w:tc>
          <w:tcPr>
            <w:tcW w:w="484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>Rationale for choosing the reference standard (if alternatives exist)</w:t>
            </w:r>
          </w:p>
        </w:tc>
        <w:tc>
          <w:tcPr>
            <w:tcW w:w="268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000000" w:themeColor="text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>n/a</w:t>
            </w:r>
          </w:p>
        </w:tc>
      </w:tr>
      <w:tr w:rsidR="005E44EB" w:rsidTr="00025B4C">
        <w:trPr>
          <w:trHeight w:val="315"/>
        </w:trPr>
        <w:tc>
          <w:tcPr>
            <w:tcW w:w="1515" w:type="dxa"/>
            <w:tcBorders>
              <w:top w:val="single" w:sz="6" w:space="0" w:color="4B88CB"/>
              <w:left w:val="single" w:sz="6" w:space="0" w:color="000000" w:themeColor="text1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40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jc w:val="center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b/>
                <w:bCs/>
                <w:color w:val="000000" w:themeColor="text1"/>
                <w:sz w:val="13"/>
                <w:szCs w:val="13"/>
              </w:rPr>
              <w:t>12a</w:t>
            </w:r>
          </w:p>
        </w:tc>
        <w:tc>
          <w:tcPr>
            <w:tcW w:w="484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 xml:space="preserve">Definition of and rationale for test positivity cut-offs or result categories </w:t>
            </w:r>
            <w:r>
              <w:br/>
            </w: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>of the index test, distinguishing pre-specified from exploratory</w:t>
            </w:r>
          </w:p>
        </w:tc>
        <w:tc>
          <w:tcPr>
            <w:tcW w:w="268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000000" w:themeColor="text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>p. 3-4</w:t>
            </w:r>
          </w:p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 xml:space="preserve">Definition of diagnostic vs </w:t>
            </w:r>
            <w:proofErr w:type="spellStart"/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>nondiagnostic</w:t>
            </w:r>
            <w:proofErr w:type="spellEnd"/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 xml:space="preserve"> imaging</w:t>
            </w:r>
          </w:p>
        </w:tc>
      </w:tr>
      <w:tr w:rsidR="005E44EB" w:rsidTr="00025B4C">
        <w:trPr>
          <w:trHeight w:val="330"/>
        </w:trPr>
        <w:tc>
          <w:tcPr>
            <w:tcW w:w="1515" w:type="dxa"/>
            <w:tcBorders>
              <w:top w:val="single" w:sz="6" w:space="0" w:color="4B88CB"/>
              <w:left w:val="single" w:sz="6" w:space="0" w:color="000000" w:themeColor="text1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40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jc w:val="center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b/>
                <w:bCs/>
                <w:color w:val="000000" w:themeColor="text1"/>
                <w:sz w:val="13"/>
                <w:szCs w:val="13"/>
              </w:rPr>
              <w:t>12b</w:t>
            </w:r>
          </w:p>
        </w:tc>
        <w:tc>
          <w:tcPr>
            <w:tcW w:w="484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 xml:space="preserve">Definition of and rationale for test positivity cut-offs or result categories </w:t>
            </w:r>
            <w:r>
              <w:br/>
            </w: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>of the reference standard, distinguishing pre-specified from exploratory</w:t>
            </w:r>
          </w:p>
        </w:tc>
        <w:tc>
          <w:tcPr>
            <w:tcW w:w="268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000000" w:themeColor="text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>p. 3-4</w:t>
            </w:r>
          </w:p>
        </w:tc>
      </w:tr>
      <w:tr w:rsidR="005E44EB" w:rsidTr="00025B4C">
        <w:trPr>
          <w:trHeight w:val="315"/>
        </w:trPr>
        <w:tc>
          <w:tcPr>
            <w:tcW w:w="1515" w:type="dxa"/>
            <w:tcBorders>
              <w:top w:val="single" w:sz="6" w:space="0" w:color="4B88CB"/>
              <w:left w:val="single" w:sz="6" w:space="0" w:color="000000" w:themeColor="text1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40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jc w:val="center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b/>
                <w:bCs/>
                <w:color w:val="000000" w:themeColor="text1"/>
                <w:sz w:val="13"/>
                <w:szCs w:val="13"/>
              </w:rPr>
              <w:t>13a</w:t>
            </w:r>
          </w:p>
        </w:tc>
        <w:tc>
          <w:tcPr>
            <w:tcW w:w="484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 xml:space="preserve">Whether clinical information and reference standard results were available </w:t>
            </w:r>
            <w:r>
              <w:br/>
            </w: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>to the performers/readers of the index test</w:t>
            </w:r>
          </w:p>
        </w:tc>
        <w:tc>
          <w:tcPr>
            <w:tcW w:w="268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000000" w:themeColor="text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>p. 3</w:t>
            </w:r>
          </w:p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>One blinded member reviewed EMR and data, all imaging reads blinded due to retrospective nature of study</w:t>
            </w:r>
          </w:p>
        </w:tc>
      </w:tr>
      <w:tr w:rsidR="005E44EB" w:rsidTr="00025B4C">
        <w:trPr>
          <w:trHeight w:val="315"/>
        </w:trPr>
        <w:tc>
          <w:tcPr>
            <w:tcW w:w="1515" w:type="dxa"/>
            <w:tcBorders>
              <w:top w:val="single" w:sz="6" w:space="0" w:color="4B88CB"/>
              <w:left w:val="single" w:sz="6" w:space="0" w:color="000000" w:themeColor="text1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40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jc w:val="center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b/>
                <w:bCs/>
                <w:color w:val="000000" w:themeColor="text1"/>
                <w:sz w:val="13"/>
                <w:szCs w:val="13"/>
              </w:rPr>
              <w:t>13b</w:t>
            </w:r>
          </w:p>
        </w:tc>
        <w:tc>
          <w:tcPr>
            <w:tcW w:w="484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 xml:space="preserve">Whether clinical information and index test results were available </w:t>
            </w:r>
            <w:r>
              <w:br/>
            </w: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>to the assessors of the reference standard</w:t>
            </w:r>
          </w:p>
        </w:tc>
        <w:tc>
          <w:tcPr>
            <w:tcW w:w="268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000000" w:themeColor="text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>p. 3</w:t>
            </w:r>
          </w:p>
        </w:tc>
      </w:tr>
      <w:tr w:rsidR="005E44EB" w:rsidTr="00025B4C">
        <w:trPr>
          <w:trHeight w:val="135"/>
        </w:trPr>
        <w:tc>
          <w:tcPr>
            <w:tcW w:w="1515" w:type="dxa"/>
            <w:tcBorders>
              <w:top w:val="single" w:sz="6" w:space="0" w:color="4B88CB"/>
              <w:left w:val="single" w:sz="6" w:space="0" w:color="000000" w:themeColor="text1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255FA6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i/>
                <w:iCs/>
                <w:color w:val="255FA6"/>
                <w:sz w:val="13"/>
                <w:szCs w:val="13"/>
              </w:rPr>
              <w:t>Analysis</w:t>
            </w:r>
          </w:p>
        </w:tc>
        <w:tc>
          <w:tcPr>
            <w:tcW w:w="40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jc w:val="center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b/>
                <w:bCs/>
                <w:color w:val="000000" w:themeColor="text1"/>
                <w:sz w:val="13"/>
                <w:szCs w:val="13"/>
              </w:rPr>
              <w:t>14</w:t>
            </w:r>
          </w:p>
        </w:tc>
        <w:tc>
          <w:tcPr>
            <w:tcW w:w="484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>Methods for estimating or comparing measures of diagnostic accuracy</w:t>
            </w:r>
          </w:p>
        </w:tc>
        <w:tc>
          <w:tcPr>
            <w:tcW w:w="268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000000" w:themeColor="text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>p. 4</w:t>
            </w:r>
          </w:p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FF0000"/>
                <w:sz w:val="13"/>
                <w:szCs w:val="13"/>
              </w:rPr>
            </w:pPr>
            <w:r w:rsidRPr="78092019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 xml:space="preserve">Sensitivity, Specificity </w:t>
            </w:r>
            <w:r w:rsidRPr="78092019">
              <w:rPr>
                <w:rFonts w:ascii="Helvetica" w:eastAsia="Helvetica" w:hAnsi="Helvetica" w:cs="Helvetica"/>
                <w:color w:val="FF0000"/>
                <w:sz w:val="13"/>
                <w:szCs w:val="13"/>
              </w:rPr>
              <w:t xml:space="preserve">calculated for diagnostic (unequivocally positive or negative) studies and for diagnostic + </w:t>
            </w:r>
            <w:proofErr w:type="spellStart"/>
            <w:r w:rsidRPr="78092019">
              <w:rPr>
                <w:rFonts w:ascii="Helvetica" w:eastAsia="Helvetica" w:hAnsi="Helvetica" w:cs="Helvetica"/>
                <w:color w:val="FF0000"/>
                <w:sz w:val="13"/>
                <w:szCs w:val="13"/>
              </w:rPr>
              <w:t>nondiagnostic</w:t>
            </w:r>
            <w:proofErr w:type="spellEnd"/>
            <w:r w:rsidRPr="78092019">
              <w:rPr>
                <w:rFonts w:ascii="Helvetica" w:eastAsia="Helvetica" w:hAnsi="Helvetica" w:cs="Helvetica"/>
                <w:color w:val="FF0000"/>
                <w:sz w:val="13"/>
                <w:szCs w:val="13"/>
              </w:rPr>
              <w:t xml:space="preserve"> (equivocal or when appendix not visualized) </w:t>
            </w:r>
          </w:p>
        </w:tc>
      </w:tr>
      <w:tr w:rsidR="005E44EB" w:rsidTr="00025B4C">
        <w:trPr>
          <w:trHeight w:val="135"/>
        </w:trPr>
        <w:tc>
          <w:tcPr>
            <w:tcW w:w="1515" w:type="dxa"/>
            <w:tcBorders>
              <w:top w:val="single" w:sz="6" w:space="0" w:color="4B88CB"/>
              <w:left w:val="single" w:sz="6" w:space="0" w:color="000000" w:themeColor="text1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40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jc w:val="center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b/>
                <w:bCs/>
                <w:color w:val="000000" w:themeColor="text1"/>
                <w:sz w:val="13"/>
                <w:szCs w:val="13"/>
              </w:rPr>
              <w:t>15</w:t>
            </w:r>
          </w:p>
        </w:tc>
        <w:tc>
          <w:tcPr>
            <w:tcW w:w="484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>How indeterminate index test or reference standard results were handled</w:t>
            </w:r>
          </w:p>
        </w:tc>
        <w:tc>
          <w:tcPr>
            <w:tcW w:w="268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000000" w:themeColor="text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>p. 4</w:t>
            </w:r>
          </w:p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>Further imaging/combination of imaging modalities were obtained</w:t>
            </w:r>
          </w:p>
        </w:tc>
      </w:tr>
      <w:tr w:rsidR="005E44EB" w:rsidTr="00025B4C">
        <w:trPr>
          <w:trHeight w:val="135"/>
        </w:trPr>
        <w:tc>
          <w:tcPr>
            <w:tcW w:w="1515" w:type="dxa"/>
            <w:tcBorders>
              <w:top w:val="single" w:sz="6" w:space="0" w:color="4B88CB"/>
              <w:left w:val="single" w:sz="6" w:space="0" w:color="000000" w:themeColor="text1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40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jc w:val="center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b/>
                <w:bCs/>
                <w:color w:val="000000" w:themeColor="text1"/>
                <w:sz w:val="13"/>
                <w:szCs w:val="13"/>
              </w:rPr>
              <w:t>16</w:t>
            </w:r>
          </w:p>
        </w:tc>
        <w:tc>
          <w:tcPr>
            <w:tcW w:w="484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8092019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>How missing data on the index test and reference standard were handled</w:t>
            </w:r>
          </w:p>
        </w:tc>
        <w:tc>
          <w:tcPr>
            <w:tcW w:w="268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000000" w:themeColor="text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>p. 3</w:t>
            </w:r>
          </w:p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 xml:space="preserve">Exclusion criteria </w:t>
            </w:r>
          </w:p>
        </w:tc>
      </w:tr>
      <w:tr w:rsidR="005E44EB" w:rsidTr="00025B4C">
        <w:trPr>
          <w:trHeight w:val="135"/>
        </w:trPr>
        <w:tc>
          <w:tcPr>
            <w:tcW w:w="1515" w:type="dxa"/>
            <w:tcBorders>
              <w:top w:val="single" w:sz="6" w:space="0" w:color="4B88CB"/>
              <w:left w:val="single" w:sz="6" w:space="0" w:color="000000" w:themeColor="text1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40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jc w:val="center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b/>
                <w:bCs/>
                <w:color w:val="000000" w:themeColor="text1"/>
                <w:sz w:val="13"/>
                <w:szCs w:val="13"/>
              </w:rPr>
              <w:t>17</w:t>
            </w:r>
          </w:p>
        </w:tc>
        <w:tc>
          <w:tcPr>
            <w:tcW w:w="484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>Any analyses of variability in diagnostic accuracy, distinguishing pre-specified from exploratory</w:t>
            </w:r>
          </w:p>
        </w:tc>
        <w:tc>
          <w:tcPr>
            <w:tcW w:w="268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000000" w:themeColor="text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>p. 4</w:t>
            </w:r>
          </w:p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>By imaging modality or combination utilized</w:t>
            </w:r>
          </w:p>
        </w:tc>
      </w:tr>
      <w:tr w:rsidR="005E44EB" w:rsidTr="00025B4C">
        <w:trPr>
          <w:trHeight w:val="135"/>
        </w:trPr>
        <w:tc>
          <w:tcPr>
            <w:tcW w:w="1515" w:type="dxa"/>
            <w:tcBorders>
              <w:top w:val="single" w:sz="6" w:space="0" w:color="4B88CB"/>
              <w:left w:val="single" w:sz="6" w:space="0" w:color="000000" w:themeColor="text1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40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jc w:val="center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b/>
                <w:bCs/>
                <w:color w:val="000000" w:themeColor="text1"/>
                <w:sz w:val="13"/>
                <w:szCs w:val="13"/>
              </w:rPr>
              <w:t>18</w:t>
            </w:r>
          </w:p>
        </w:tc>
        <w:tc>
          <w:tcPr>
            <w:tcW w:w="484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>Intended sample size and how it was determined</w:t>
            </w:r>
          </w:p>
        </w:tc>
        <w:tc>
          <w:tcPr>
            <w:tcW w:w="268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000000" w:themeColor="text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>p. 5</w:t>
            </w:r>
          </w:p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>Based on all consecutive eligible patients in the study period</w:t>
            </w:r>
          </w:p>
        </w:tc>
      </w:tr>
      <w:tr w:rsidR="005E44EB" w:rsidTr="00025B4C">
        <w:trPr>
          <w:trHeight w:val="135"/>
        </w:trPr>
        <w:tc>
          <w:tcPr>
            <w:tcW w:w="1515" w:type="dxa"/>
            <w:tcBorders>
              <w:top w:val="single" w:sz="6" w:space="0" w:color="4B88CB"/>
              <w:left w:val="single" w:sz="6" w:space="0" w:color="000000" w:themeColor="text1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255FA6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b/>
                <w:bCs/>
                <w:color w:val="255FA6"/>
                <w:sz w:val="13"/>
                <w:szCs w:val="13"/>
              </w:rPr>
              <w:t>RESULTS</w:t>
            </w:r>
          </w:p>
        </w:tc>
        <w:tc>
          <w:tcPr>
            <w:tcW w:w="40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484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268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000000" w:themeColor="text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</w:tr>
      <w:tr w:rsidR="005E44EB" w:rsidTr="00025B4C">
        <w:trPr>
          <w:trHeight w:val="135"/>
        </w:trPr>
        <w:tc>
          <w:tcPr>
            <w:tcW w:w="1515" w:type="dxa"/>
            <w:tcBorders>
              <w:top w:val="single" w:sz="6" w:space="0" w:color="4B88CB"/>
              <w:left w:val="single" w:sz="6" w:space="0" w:color="000000" w:themeColor="text1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255FA6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i/>
                <w:iCs/>
                <w:color w:val="255FA6"/>
                <w:sz w:val="13"/>
                <w:szCs w:val="13"/>
              </w:rPr>
              <w:t>Participants</w:t>
            </w:r>
          </w:p>
        </w:tc>
        <w:tc>
          <w:tcPr>
            <w:tcW w:w="40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jc w:val="center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b/>
                <w:bCs/>
                <w:color w:val="000000" w:themeColor="text1"/>
                <w:sz w:val="13"/>
                <w:szCs w:val="13"/>
              </w:rPr>
              <w:t>19</w:t>
            </w:r>
          </w:p>
        </w:tc>
        <w:tc>
          <w:tcPr>
            <w:tcW w:w="484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>Flow of participants, using a diagram</w:t>
            </w:r>
          </w:p>
        </w:tc>
        <w:tc>
          <w:tcPr>
            <w:tcW w:w="268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000000" w:themeColor="text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>p. 6 (Figure 1)</w:t>
            </w:r>
          </w:p>
        </w:tc>
      </w:tr>
      <w:tr w:rsidR="005E44EB" w:rsidTr="00025B4C">
        <w:trPr>
          <w:trHeight w:val="135"/>
        </w:trPr>
        <w:tc>
          <w:tcPr>
            <w:tcW w:w="1515" w:type="dxa"/>
            <w:tcBorders>
              <w:top w:val="single" w:sz="6" w:space="0" w:color="4B88CB"/>
              <w:left w:val="single" w:sz="6" w:space="0" w:color="000000" w:themeColor="text1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40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jc w:val="center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b/>
                <w:bCs/>
                <w:color w:val="000000" w:themeColor="text1"/>
                <w:sz w:val="13"/>
                <w:szCs w:val="13"/>
              </w:rPr>
              <w:t>20</w:t>
            </w:r>
          </w:p>
        </w:tc>
        <w:tc>
          <w:tcPr>
            <w:tcW w:w="484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>Baseline demographic and clinical characteristics of participants</w:t>
            </w:r>
          </w:p>
        </w:tc>
        <w:tc>
          <w:tcPr>
            <w:tcW w:w="268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000000" w:themeColor="text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>p. 5 (Tables 1-2)</w:t>
            </w:r>
          </w:p>
        </w:tc>
      </w:tr>
      <w:tr w:rsidR="005E44EB" w:rsidTr="00025B4C">
        <w:trPr>
          <w:trHeight w:val="135"/>
        </w:trPr>
        <w:tc>
          <w:tcPr>
            <w:tcW w:w="1515" w:type="dxa"/>
            <w:tcBorders>
              <w:top w:val="single" w:sz="6" w:space="0" w:color="4B88CB"/>
              <w:left w:val="single" w:sz="6" w:space="0" w:color="000000" w:themeColor="text1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40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jc w:val="center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b/>
                <w:bCs/>
                <w:color w:val="000000" w:themeColor="text1"/>
                <w:sz w:val="13"/>
                <w:szCs w:val="13"/>
              </w:rPr>
              <w:t>21a</w:t>
            </w:r>
          </w:p>
        </w:tc>
        <w:tc>
          <w:tcPr>
            <w:tcW w:w="484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>Distribution of severity of disease in those with the target condition</w:t>
            </w:r>
          </w:p>
        </w:tc>
        <w:tc>
          <w:tcPr>
            <w:tcW w:w="268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000000" w:themeColor="text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>p. 6</w:t>
            </w:r>
          </w:p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>(Appendicitis/Positive/Pathology)</w:t>
            </w:r>
          </w:p>
        </w:tc>
      </w:tr>
      <w:tr w:rsidR="005E44EB" w:rsidTr="00025B4C">
        <w:trPr>
          <w:trHeight w:val="135"/>
        </w:trPr>
        <w:tc>
          <w:tcPr>
            <w:tcW w:w="1515" w:type="dxa"/>
            <w:tcBorders>
              <w:top w:val="single" w:sz="6" w:space="0" w:color="4B88CB"/>
              <w:left w:val="single" w:sz="6" w:space="0" w:color="000000" w:themeColor="text1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40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jc w:val="center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b/>
                <w:bCs/>
                <w:color w:val="000000" w:themeColor="text1"/>
                <w:sz w:val="13"/>
                <w:szCs w:val="13"/>
              </w:rPr>
              <w:t>21b</w:t>
            </w:r>
          </w:p>
        </w:tc>
        <w:tc>
          <w:tcPr>
            <w:tcW w:w="484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>Distribution of</w:t>
            </w:r>
            <w:r w:rsidRPr="732D6640">
              <w:rPr>
                <w:rFonts w:ascii="Helvetica" w:eastAsia="Helvetica" w:hAnsi="Helvetica" w:cs="Helvetica"/>
                <w:color w:val="FB0007"/>
                <w:sz w:val="13"/>
                <w:szCs w:val="13"/>
              </w:rPr>
              <w:t xml:space="preserve"> </w:t>
            </w: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>alternative diagnoses in those without the target condition</w:t>
            </w:r>
          </w:p>
        </w:tc>
        <w:tc>
          <w:tcPr>
            <w:tcW w:w="268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000000" w:themeColor="text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>p. 5</w:t>
            </w:r>
          </w:p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>No Appendicitis/Negative)</w:t>
            </w:r>
          </w:p>
        </w:tc>
      </w:tr>
      <w:tr w:rsidR="005E44EB" w:rsidTr="00025B4C">
        <w:trPr>
          <w:trHeight w:val="135"/>
        </w:trPr>
        <w:tc>
          <w:tcPr>
            <w:tcW w:w="1515" w:type="dxa"/>
            <w:tcBorders>
              <w:top w:val="single" w:sz="6" w:space="0" w:color="4B88CB"/>
              <w:left w:val="single" w:sz="6" w:space="0" w:color="000000" w:themeColor="text1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40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jc w:val="center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b/>
                <w:bCs/>
                <w:color w:val="000000" w:themeColor="text1"/>
                <w:sz w:val="13"/>
                <w:szCs w:val="13"/>
              </w:rPr>
              <w:t>22</w:t>
            </w:r>
          </w:p>
        </w:tc>
        <w:tc>
          <w:tcPr>
            <w:tcW w:w="484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>Time interval and any clinical interventions between index test and reference standard</w:t>
            </w:r>
          </w:p>
        </w:tc>
        <w:tc>
          <w:tcPr>
            <w:tcW w:w="268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000000" w:themeColor="text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>p. 5</w:t>
            </w:r>
          </w:p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>n/a, Length of Stay (LOS)</w:t>
            </w:r>
          </w:p>
        </w:tc>
      </w:tr>
      <w:tr w:rsidR="005E44EB" w:rsidTr="00025B4C">
        <w:trPr>
          <w:trHeight w:val="330"/>
        </w:trPr>
        <w:tc>
          <w:tcPr>
            <w:tcW w:w="1515" w:type="dxa"/>
            <w:tcBorders>
              <w:top w:val="single" w:sz="6" w:space="0" w:color="4B88CB"/>
              <w:left w:val="single" w:sz="6" w:space="0" w:color="000000" w:themeColor="text1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255FA6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i/>
                <w:iCs/>
                <w:color w:val="255FA6"/>
                <w:sz w:val="13"/>
                <w:szCs w:val="13"/>
              </w:rPr>
              <w:t>Test results</w:t>
            </w:r>
          </w:p>
        </w:tc>
        <w:tc>
          <w:tcPr>
            <w:tcW w:w="40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jc w:val="center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b/>
                <w:bCs/>
                <w:color w:val="000000" w:themeColor="text1"/>
                <w:sz w:val="13"/>
                <w:szCs w:val="13"/>
              </w:rPr>
              <w:t>23</w:t>
            </w:r>
          </w:p>
        </w:tc>
        <w:tc>
          <w:tcPr>
            <w:tcW w:w="484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 xml:space="preserve">Cross tabulation of the index test results (or their distribution) </w:t>
            </w:r>
            <w:r>
              <w:br/>
            </w: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>by the results of the reference standard</w:t>
            </w:r>
          </w:p>
        </w:tc>
        <w:tc>
          <w:tcPr>
            <w:tcW w:w="268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000000" w:themeColor="text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>p. 6, 15 (Table 3)</w:t>
            </w:r>
          </w:p>
        </w:tc>
      </w:tr>
      <w:tr w:rsidR="005E44EB" w:rsidTr="00025B4C">
        <w:trPr>
          <w:trHeight w:val="135"/>
        </w:trPr>
        <w:tc>
          <w:tcPr>
            <w:tcW w:w="1515" w:type="dxa"/>
            <w:tcBorders>
              <w:top w:val="single" w:sz="6" w:space="0" w:color="4B88CB"/>
              <w:left w:val="single" w:sz="6" w:space="0" w:color="000000" w:themeColor="text1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40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jc w:val="center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b/>
                <w:bCs/>
                <w:color w:val="000000" w:themeColor="text1"/>
                <w:sz w:val="13"/>
                <w:szCs w:val="13"/>
              </w:rPr>
              <w:t>24</w:t>
            </w:r>
          </w:p>
        </w:tc>
        <w:tc>
          <w:tcPr>
            <w:tcW w:w="484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>Estimates of diagnostic accuracy and their precision (such as 95% confidence intervals)</w:t>
            </w:r>
          </w:p>
        </w:tc>
        <w:tc>
          <w:tcPr>
            <w:tcW w:w="268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000000" w:themeColor="text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>p. 6</w:t>
            </w:r>
          </w:p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>Sensitivity and Specificity with 95% confidence intervals</w:t>
            </w:r>
          </w:p>
        </w:tc>
      </w:tr>
      <w:tr w:rsidR="005E44EB" w:rsidTr="00025B4C">
        <w:trPr>
          <w:trHeight w:val="135"/>
        </w:trPr>
        <w:tc>
          <w:tcPr>
            <w:tcW w:w="1515" w:type="dxa"/>
            <w:tcBorders>
              <w:top w:val="single" w:sz="6" w:space="0" w:color="4B88CB"/>
              <w:left w:val="single" w:sz="6" w:space="0" w:color="000000" w:themeColor="text1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40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jc w:val="center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b/>
                <w:bCs/>
                <w:color w:val="000000" w:themeColor="text1"/>
                <w:sz w:val="13"/>
                <w:szCs w:val="13"/>
              </w:rPr>
              <w:t>25</w:t>
            </w:r>
          </w:p>
        </w:tc>
        <w:tc>
          <w:tcPr>
            <w:tcW w:w="484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>Any adverse events from performing the index test or the reference standard</w:t>
            </w:r>
          </w:p>
        </w:tc>
        <w:tc>
          <w:tcPr>
            <w:tcW w:w="268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000000" w:themeColor="text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>None reported.</w:t>
            </w:r>
          </w:p>
        </w:tc>
      </w:tr>
      <w:tr w:rsidR="005E44EB" w:rsidTr="00025B4C">
        <w:trPr>
          <w:trHeight w:val="135"/>
        </w:trPr>
        <w:tc>
          <w:tcPr>
            <w:tcW w:w="1515" w:type="dxa"/>
            <w:tcBorders>
              <w:top w:val="single" w:sz="6" w:space="0" w:color="4B88CB"/>
              <w:left w:val="single" w:sz="6" w:space="0" w:color="000000" w:themeColor="text1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255FA6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b/>
                <w:bCs/>
                <w:color w:val="255FA6"/>
                <w:sz w:val="13"/>
                <w:szCs w:val="13"/>
              </w:rPr>
              <w:t>DISCUSSION</w:t>
            </w:r>
          </w:p>
        </w:tc>
        <w:tc>
          <w:tcPr>
            <w:tcW w:w="40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484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268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000000" w:themeColor="text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</w:tr>
      <w:tr w:rsidR="005E44EB" w:rsidTr="00025B4C">
        <w:trPr>
          <w:trHeight w:val="135"/>
        </w:trPr>
        <w:tc>
          <w:tcPr>
            <w:tcW w:w="1515" w:type="dxa"/>
            <w:tcBorders>
              <w:top w:val="single" w:sz="6" w:space="0" w:color="4B88CB"/>
              <w:left w:val="single" w:sz="6" w:space="0" w:color="000000" w:themeColor="text1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40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jc w:val="center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b/>
                <w:bCs/>
                <w:color w:val="000000" w:themeColor="text1"/>
                <w:sz w:val="13"/>
                <w:szCs w:val="13"/>
              </w:rPr>
              <w:t>26</w:t>
            </w:r>
          </w:p>
        </w:tc>
        <w:tc>
          <w:tcPr>
            <w:tcW w:w="484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>Study limitations, including sources of potential bias, statistical uncertainty, and generalizability</w:t>
            </w:r>
          </w:p>
        </w:tc>
        <w:tc>
          <w:tcPr>
            <w:tcW w:w="268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000000" w:themeColor="text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>p. 8</w:t>
            </w:r>
          </w:p>
        </w:tc>
      </w:tr>
      <w:tr w:rsidR="005E44EB" w:rsidTr="00025B4C">
        <w:trPr>
          <w:trHeight w:val="135"/>
        </w:trPr>
        <w:tc>
          <w:tcPr>
            <w:tcW w:w="1515" w:type="dxa"/>
            <w:tcBorders>
              <w:top w:val="single" w:sz="6" w:space="0" w:color="4B88CB"/>
              <w:left w:val="single" w:sz="6" w:space="0" w:color="000000" w:themeColor="text1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40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jc w:val="center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b/>
                <w:bCs/>
                <w:color w:val="000000" w:themeColor="text1"/>
                <w:sz w:val="13"/>
                <w:szCs w:val="13"/>
              </w:rPr>
              <w:t>27</w:t>
            </w:r>
          </w:p>
        </w:tc>
        <w:tc>
          <w:tcPr>
            <w:tcW w:w="484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>Implications for practice, including the intended use and clinical role of the index test</w:t>
            </w:r>
          </w:p>
        </w:tc>
        <w:tc>
          <w:tcPr>
            <w:tcW w:w="268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000000" w:themeColor="text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>p. 7-8</w:t>
            </w:r>
          </w:p>
        </w:tc>
      </w:tr>
      <w:tr w:rsidR="005E44EB" w:rsidTr="00025B4C">
        <w:trPr>
          <w:trHeight w:val="315"/>
        </w:trPr>
        <w:tc>
          <w:tcPr>
            <w:tcW w:w="1515" w:type="dxa"/>
            <w:tcBorders>
              <w:top w:val="single" w:sz="6" w:space="0" w:color="4B88CB"/>
              <w:left w:val="single" w:sz="6" w:space="0" w:color="000000" w:themeColor="text1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255FA6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b/>
                <w:bCs/>
                <w:color w:val="255FA6"/>
                <w:sz w:val="13"/>
                <w:szCs w:val="13"/>
              </w:rPr>
              <w:t>OTHER INFORMATION</w:t>
            </w:r>
          </w:p>
        </w:tc>
        <w:tc>
          <w:tcPr>
            <w:tcW w:w="40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484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268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000000" w:themeColor="text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</w:tr>
      <w:tr w:rsidR="005E44EB" w:rsidTr="00025B4C">
        <w:trPr>
          <w:trHeight w:val="135"/>
        </w:trPr>
        <w:tc>
          <w:tcPr>
            <w:tcW w:w="1515" w:type="dxa"/>
            <w:tcBorders>
              <w:top w:val="single" w:sz="6" w:space="0" w:color="4B88CB"/>
              <w:left w:val="single" w:sz="6" w:space="0" w:color="000000" w:themeColor="text1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40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jc w:val="center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b/>
                <w:bCs/>
                <w:color w:val="000000" w:themeColor="text1"/>
                <w:sz w:val="13"/>
                <w:szCs w:val="13"/>
              </w:rPr>
              <w:t>28</w:t>
            </w:r>
          </w:p>
        </w:tc>
        <w:tc>
          <w:tcPr>
            <w:tcW w:w="484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>Registration number and name of registry</w:t>
            </w:r>
          </w:p>
        </w:tc>
        <w:tc>
          <w:tcPr>
            <w:tcW w:w="268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000000" w:themeColor="text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>n/a</w:t>
            </w:r>
          </w:p>
        </w:tc>
      </w:tr>
      <w:tr w:rsidR="005E44EB" w:rsidTr="00025B4C">
        <w:trPr>
          <w:trHeight w:val="135"/>
        </w:trPr>
        <w:tc>
          <w:tcPr>
            <w:tcW w:w="1515" w:type="dxa"/>
            <w:tcBorders>
              <w:top w:val="single" w:sz="6" w:space="0" w:color="4B88CB"/>
              <w:left w:val="single" w:sz="6" w:space="0" w:color="000000" w:themeColor="text1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40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jc w:val="center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b/>
                <w:bCs/>
                <w:color w:val="000000" w:themeColor="text1"/>
                <w:sz w:val="13"/>
                <w:szCs w:val="13"/>
              </w:rPr>
              <w:t>29</w:t>
            </w:r>
          </w:p>
        </w:tc>
        <w:tc>
          <w:tcPr>
            <w:tcW w:w="484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>Where the full study protocol can be accessed</w:t>
            </w:r>
          </w:p>
        </w:tc>
        <w:tc>
          <w:tcPr>
            <w:tcW w:w="2685" w:type="dxa"/>
            <w:tcBorders>
              <w:top w:val="single" w:sz="6" w:space="0" w:color="4B88CB"/>
              <w:left w:val="single" w:sz="6" w:space="0" w:color="4B88CB"/>
              <w:bottom w:val="single" w:sz="6" w:space="0" w:color="4B88CB"/>
              <w:right w:val="single" w:sz="6" w:space="0" w:color="000000" w:themeColor="text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>Study methods, analyses, and protocols are described in the manuscript; no separate protocol was published.</w:t>
            </w:r>
          </w:p>
        </w:tc>
      </w:tr>
      <w:tr w:rsidR="005E44EB" w:rsidTr="00025B4C">
        <w:trPr>
          <w:trHeight w:val="135"/>
        </w:trPr>
        <w:tc>
          <w:tcPr>
            <w:tcW w:w="1515" w:type="dxa"/>
            <w:tcBorders>
              <w:top w:val="single" w:sz="6" w:space="0" w:color="4B88CB"/>
              <w:left w:val="single" w:sz="6" w:space="0" w:color="000000" w:themeColor="text1"/>
              <w:bottom w:val="single" w:sz="6" w:space="0" w:color="000000" w:themeColor="text1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405" w:type="dxa"/>
            <w:tcBorders>
              <w:top w:val="single" w:sz="6" w:space="0" w:color="4B88CB"/>
              <w:left w:val="single" w:sz="6" w:space="0" w:color="4B88CB"/>
              <w:bottom w:val="single" w:sz="6" w:space="0" w:color="000000" w:themeColor="text1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jc w:val="center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b/>
                <w:bCs/>
                <w:color w:val="000000" w:themeColor="text1"/>
                <w:sz w:val="13"/>
                <w:szCs w:val="13"/>
              </w:rPr>
              <w:t>30</w:t>
            </w:r>
          </w:p>
        </w:tc>
        <w:tc>
          <w:tcPr>
            <w:tcW w:w="4845" w:type="dxa"/>
            <w:tcBorders>
              <w:top w:val="single" w:sz="6" w:space="0" w:color="4B88CB"/>
              <w:left w:val="single" w:sz="6" w:space="0" w:color="4B88CB"/>
              <w:bottom w:val="single" w:sz="6" w:space="0" w:color="000000" w:themeColor="text1"/>
              <w:right w:val="single" w:sz="6" w:space="0" w:color="4B88CB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>Sources of funding and other support; role of funders</w:t>
            </w:r>
          </w:p>
        </w:tc>
        <w:tc>
          <w:tcPr>
            <w:tcW w:w="2685" w:type="dxa"/>
            <w:tcBorders>
              <w:top w:val="single" w:sz="6" w:space="0" w:color="4B88CB"/>
              <w:left w:val="single" w:sz="6" w:space="0" w:color="4B88CB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E44EB" w:rsidRDefault="005E44EB" w:rsidP="00025B4C">
            <w:pPr>
              <w:spacing w:before="100" w:beforeAutospacing="1" w:after="100" w:afterAutospacing="1" w:line="480" w:lineRule="auto"/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</w:pPr>
            <w:r w:rsidRPr="732D6640">
              <w:rPr>
                <w:rFonts w:ascii="Helvetica" w:eastAsia="Helvetica" w:hAnsi="Helvetica" w:cs="Helvetica"/>
                <w:color w:val="000000" w:themeColor="text1"/>
                <w:sz w:val="13"/>
                <w:szCs w:val="13"/>
              </w:rPr>
              <w:t>n/a</w:t>
            </w:r>
          </w:p>
        </w:tc>
      </w:tr>
    </w:tbl>
    <w:p w:rsidR="005E44EB" w:rsidRDefault="005E44EB" w:rsidP="005E44EB">
      <w:pPr>
        <w:spacing w:before="100" w:beforeAutospacing="1" w:after="100" w:afterAutospacing="1" w:line="480" w:lineRule="auto"/>
      </w:pPr>
    </w:p>
    <w:p w:rsidR="008D617A" w:rsidRDefault="008D617A">
      <w:bookmarkStart w:id="0" w:name="_GoBack"/>
      <w:bookmarkEnd w:id="0"/>
    </w:p>
    <w:sectPr w:rsidR="008D61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oNotDisplayPageBoundaries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4EB"/>
    <w:rsid w:val="005E44EB"/>
    <w:rsid w:val="008D617A"/>
    <w:rsid w:val="009A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18D853-B994-49CE-882C-EF25546C6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E44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742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E747409</dc:creator>
  <cp:keywords/>
  <dc:description/>
  <cp:lastModifiedBy>E747409</cp:lastModifiedBy>
  <cp:revision>1</cp:revision>
  <dcterms:created xsi:type="dcterms:W3CDTF">2026-02-14T10:47:00Z</dcterms:created>
  <dcterms:modified xsi:type="dcterms:W3CDTF">2026-02-14T10:47:00Z</dcterms:modified>
</cp:coreProperties>
</file>