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adjustRightInd w:val="0"/>
        <w:snapToGrid w:val="0"/>
        <w:spacing w:line="360" w:lineRule="auto"/>
        <w:jc w:val="center"/>
        <w:rPr>
          <w:rFonts w:hint="eastAsia" w:ascii="Times New Roman" w:hAnsi="Times New Roman" w:cs="Times New Roman"/>
          <w:b/>
          <w:sz w:val="21"/>
          <w:szCs w:val="21"/>
          <w:lang w:val="en-US" w:eastAsia="zh-CN"/>
        </w:rPr>
      </w:pPr>
      <w:bookmarkStart w:id="0" w:name="_GoBack"/>
      <w:r>
        <w:rPr>
          <w:rFonts w:hint="eastAsia" w:ascii="Times New Roman" w:hAnsi="Times New Roman" w:cs="Times New Roman"/>
          <w:b/>
          <w:sz w:val="21"/>
          <w:szCs w:val="21"/>
        </w:rPr>
        <w:t>Supplemental Material</w:t>
      </w:r>
      <w:r>
        <w:rPr>
          <w:rFonts w:hint="eastAsia" w:ascii="Times New Roman" w:hAnsi="Times New Roman" w:cs="Times New Roman"/>
          <w:b/>
          <w:sz w:val="21"/>
          <w:szCs w:val="21"/>
          <w:lang w:val="en-US" w:eastAsia="zh-CN"/>
        </w:rPr>
        <w:t>s</w:t>
      </w:r>
    </w:p>
    <w:bookmarkEnd w:id="0"/>
    <w:p>
      <w:pPr>
        <w:adjustRightInd w:val="0"/>
        <w:snapToGrid w:val="0"/>
        <w:spacing w:line="360" w:lineRule="auto"/>
        <w:jc w:val="center"/>
        <w:rPr>
          <w:rFonts w:hint="eastAsia" w:ascii="Times New Roman" w:hAnsi="Times New Roman" w:cs="Times New Roman"/>
          <w:b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CIDFont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Supplementary Table 1. Newcastle Ottawa Scale assessments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....................................................................................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....................................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.................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2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upplementary Table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eta-regression analyses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 xml:space="preserve"> in prevalence of SAH patients with NPE.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.......................................................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............................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3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CIDFont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 xml:space="preserve">Supplementary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Table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eta-regression analyses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i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n-hospital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mortality of SAH patients with NPE.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..........................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...................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4</w:t>
      </w: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-Roman" w:hAnsi="Times-Roman" w:eastAsia="Times-Roman" w:cs="Times-Roman"/>
          <w:b w:val="0"/>
          <w:bCs w:val="0"/>
          <w:i w:val="0"/>
          <w:iCs w:val="0"/>
          <w:color w:val="000000"/>
          <w:kern w:val="0"/>
          <w:sz w:val="21"/>
          <w:szCs w:val="21"/>
          <w:lang w:val="en-US" w:eastAsia="zh-CN" w:bidi="ar"/>
        </w:rPr>
        <w:t xml:space="preserve">Supplemental </w:t>
      </w:r>
      <w:r>
        <w:rPr>
          <w:rFonts w:hint="eastAsia" w:ascii="Times-Roman" w:hAnsi="Times-Roman" w:eastAsia="Times-Roman" w:cs="Times-Roman"/>
          <w:b w:val="0"/>
          <w:bCs w:val="0"/>
          <w:i w:val="0"/>
          <w:iCs w:val="0"/>
          <w:color w:val="000000"/>
          <w:kern w:val="0"/>
          <w:sz w:val="21"/>
          <w:szCs w:val="21"/>
          <w:lang w:val="en-US" w:eastAsia="zh-CN" w:bidi="ar"/>
        </w:rPr>
        <w:t xml:space="preserve">Fig. 1 </w:t>
      </w:r>
      <w:r>
        <w:rPr>
          <w:rFonts w:hint="default" w:ascii="Times-Roman" w:hAnsi="Times-Roman" w:eastAsia="Times-Roman" w:cs="Times-Roman"/>
          <w:b w:val="0"/>
          <w:bCs w:val="0"/>
          <w:i w:val="0"/>
          <w:iCs w:val="0"/>
          <w:color w:val="000000"/>
          <w:kern w:val="0"/>
          <w:sz w:val="21"/>
          <w:szCs w:val="21"/>
          <w:lang w:val="en-US" w:eastAsia="zh-CN" w:bidi="ar"/>
        </w:rPr>
        <w:t xml:space="preserve">Sensitivity </w:t>
      </w:r>
      <w:r>
        <w:rPr>
          <w:rFonts w:hint="eastAsia" w:ascii="Times-Roman" w:hAnsi="Times-Roman" w:eastAsia="Times-Roman" w:cs="Times-Roman"/>
          <w:b w:val="0"/>
          <w:bCs w:val="0"/>
          <w:i w:val="0"/>
          <w:iCs w:val="0"/>
          <w:color w:val="000000"/>
          <w:kern w:val="0"/>
          <w:sz w:val="21"/>
          <w:szCs w:val="21"/>
          <w:lang w:val="en-US" w:eastAsia="zh-CN" w:bidi="ar"/>
        </w:rPr>
        <w:t>analysis of prevalence of NPE in SAH patients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............................................................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..................................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............................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 xml:space="preserve">5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S</w:t>
      </w:r>
      <w:r>
        <w:rPr>
          <w:rFonts w:hint="default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 xml:space="preserve">upplemental </w:t>
      </w:r>
      <w:r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 xml:space="preserve">Fig. 2 </w:t>
      </w:r>
      <w:r>
        <w:rPr>
          <w:rFonts w:hint="default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 xml:space="preserve">Sensitivity </w:t>
      </w:r>
      <w:r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analysis of in-hospital mortality of NPE in SAH patients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...........................................................................................................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6</w:t>
      </w:r>
    </w:p>
    <w:p>
      <w:pP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Supplementary Table 1. Results of quality assessment using the Newcastle-Ottawa Scale.</w:t>
      </w:r>
    </w:p>
    <w:tbl>
      <w:tblPr>
        <w:tblStyle w:val="5"/>
        <w:tblW w:w="16337" w:type="dxa"/>
        <w:tblInd w:w="-8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3"/>
        <w:gridCol w:w="2196"/>
        <w:gridCol w:w="1650"/>
        <w:gridCol w:w="1564"/>
        <w:gridCol w:w="1648"/>
        <w:gridCol w:w="1595"/>
        <w:gridCol w:w="1593"/>
        <w:gridCol w:w="1352"/>
        <w:gridCol w:w="1123"/>
        <w:gridCol w:w="8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7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Study</w:t>
            </w:r>
          </w:p>
        </w:tc>
        <w:tc>
          <w:tcPr>
            <w:tcW w:w="5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Selection</w:t>
            </w:r>
          </w:p>
        </w:tc>
        <w:tc>
          <w:tcPr>
            <w:tcW w:w="3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Comparability </w:t>
            </w:r>
          </w:p>
        </w:tc>
        <w:tc>
          <w:tcPr>
            <w:tcW w:w="40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utcome</w:t>
            </w:r>
          </w:p>
        </w:tc>
        <w:tc>
          <w:tcPr>
            <w:tcW w:w="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Scores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27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Representativeness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of the exposed cohort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Selection of the non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exposed cohort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Ascertainment of exposure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Demonstration that outcome of interest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was not present at start of study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Comparability of cohorts on the basis of design or analysis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Ascertainment of outcome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Was follow-up long enough for outcome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Adequace of follow-up of cohorts</w:t>
            </w: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Hidenobu OCHIAI, 2001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Jonathan A. Friedman, 2003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Carl Muroi, 2008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I-Chang Su, 2009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Joji Inamasu, 2012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Eija Junttila, 2013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Etsuko Satoh, 2014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Wei-Lung Chen, 2016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Wei-Lung Chen, 2016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A. Saracen, 2016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Limin Zhang, 2016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Tijana Nastasovic, 2017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Tatsuki Kimura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>, 2020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⭐⭐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⭐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</w:tbl>
    <w:p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default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Supplemental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t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able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2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. Results of meta-regression analyses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in prevalence of SAH patients with NPE.</w:t>
      </w:r>
    </w:p>
    <w:tbl>
      <w:tblPr>
        <w:tblStyle w:val="5"/>
        <w:tblW w:w="8942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805"/>
        <w:gridCol w:w="1953"/>
        <w:gridCol w:w="30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Factors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Coefficient</w:t>
            </w:r>
          </w:p>
        </w:tc>
        <w:tc>
          <w:tcPr>
            <w:tcW w:w="195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Standard error</w:t>
            </w:r>
          </w:p>
        </w:tc>
        <w:tc>
          <w:tcPr>
            <w:tcW w:w="30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Year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0.015306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0.04646</w:t>
            </w:r>
          </w:p>
        </w:tc>
        <w:tc>
          <w:tcPr>
            <w:tcW w:w="30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0.75</w:t>
            </w: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Age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0.069295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0.0449674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Sex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0.0175573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0.0238625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Sample size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-0.0010268</w:t>
            </w:r>
          </w:p>
        </w:tc>
        <w:tc>
          <w:tcPr>
            <w:tcW w:w="195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0.001264</w:t>
            </w:r>
          </w:p>
        </w:tc>
        <w:tc>
          <w:tcPr>
            <w:tcW w:w="30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0.44</w:t>
            </w: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default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Supplemental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t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able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3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. Results of meta-regression analyses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of i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n-hospital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mortality of SAH patients with NPE.</w:t>
      </w:r>
    </w:p>
    <w:tbl>
      <w:tblPr>
        <w:tblStyle w:val="5"/>
        <w:tblW w:w="8700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805"/>
        <w:gridCol w:w="1859"/>
        <w:gridCol w:w="29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Factors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Coefficient</w:t>
            </w:r>
          </w:p>
        </w:tc>
        <w:tc>
          <w:tcPr>
            <w:tcW w:w="18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Standard error</w:t>
            </w:r>
          </w:p>
        </w:tc>
        <w:tc>
          <w:tcPr>
            <w:tcW w:w="29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Year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1.04981</w:t>
            </w:r>
          </w:p>
        </w:tc>
        <w:tc>
          <w:tcPr>
            <w:tcW w:w="185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0.0216976 </w:t>
            </w:r>
          </w:p>
        </w:tc>
        <w:tc>
          <w:tcPr>
            <w:tcW w:w="29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0.241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Age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1.006207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0.0216976 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Sex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1.018504     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0.0133983 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0.258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Sample size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0.9861297</w:t>
            </w:r>
          </w:p>
        </w:tc>
        <w:tc>
          <w:tcPr>
            <w:tcW w:w="185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0.0125495</w:t>
            </w:r>
          </w:p>
        </w:tc>
        <w:tc>
          <w:tcPr>
            <w:tcW w:w="29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0.353 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>
      <w:pPr>
        <w:keepNext w:val="0"/>
        <w:keepLines w:val="0"/>
        <w:widowControl/>
        <w:suppressLineNumbers w:val="0"/>
        <w:ind w:left="1470" w:hanging="1470" w:hangingChars="700"/>
        <w:jc w:val="left"/>
      </w:pPr>
      <w:r>
        <w:drawing>
          <wp:inline distT="0" distB="0" distL="114300" distR="114300">
            <wp:extent cx="5486400" cy="3657600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1051" w:firstLineChars="500"/>
        <w:jc w:val="left"/>
        <w:rPr>
          <w:rFonts w:hint="default" w:ascii="Times-Roman" w:hAnsi="Times-Roman" w:eastAsia="Times-Roman" w:cs="Times-Roman"/>
          <w:b/>
          <w:bCs/>
          <w:i w:val="0"/>
          <w:iCs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-Roman" w:hAnsi="Times-Roman" w:eastAsia="Times-Roman" w:cs="Times-Roman"/>
          <w:b/>
          <w:bCs/>
          <w:i w:val="0"/>
          <w:iCs w:val="0"/>
          <w:color w:val="000000"/>
          <w:kern w:val="0"/>
          <w:sz w:val="21"/>
          <w:szCs w:val="21"/>
          <w:lang w:val="en-US" w:eastAsia="zh-CN" w:bidi="ar"/>
        </w:rPr>
        <w:t xml:space="preserve">Supplemental </w:t>
      </w:r>
      <w:r>
        <w:rPr>
          <w:rFonts w:hint="eastAsia" w:ascii="Times-Roman" w:hAnsi="Times-Roman" w:eastAsia="Times-Roman" w:cs="Times-Roman"/>
          <w:b/>
          <w:bCs/>
          <w:i w:val="0"/>
          <w:iCs w:val="0"/>
          <w:color w:val="000000"/>
          <w:kern w:val="0"/>
          <w:sz w:val="21"/>
          <w:szCs w:val="21"/>
          <w:lang w:val="en-US" w:eastAsia="zh-CN" w:bidi="ar"/>
        </w:rPr>
        <w:t xml:space="preserve">Fig. 1 </w:t>
      </w:r>
      <w:r>
        <w:rPr>
          <w:rFonts w:hint="default" w:ascii="Times-Roman" w:hAnsi="Times-Roman" w:eastAsia="Times-Roman" w:cs="Times-Roman"/>
          <w:b/>
          <w:bCs/>
          <w:i w:val="0"/>
          <w:iCs w:val="0"/>
          <w:color w:val="000000"/>
          <w:kern w:val="0"/>
          <w:sz w:val="21"/>
          <w:szCs w:val="21"/>
          <w:lang w:val="en-US" w:eastAsia="zh-CN" w:bidi="ar"/>
        </w:rPr>
        <w:t xml:space="preserve">Sensitivity </w:t>
      </w:r>
      <w:r>
        <w:rPr>
          <w:rFonts w:hint="eastAsia" w:ascii="Times-Roman" w:hAnsi="Times-Roman" w:eastAsia="Times-Roman" w:cs="Times-Roman"/>
          <w:b/>
          <w:bCs/>
          <w:i w:val="0"/>
          <w:iCs w:val="0"/>
          <w:color w:val="000000"/>
          <w:kern w:val="0"/>
          <w:sz w:val="21"/>
          <w:szCs w:val="21"/>
          <w:lang w:val="en-US" w:eastAsia="zh-CN" w:bidi="ar"/>
        </w:rPr>
        <w:t>analysis of prevalence of NPE in SAH patients.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left="1050" w:hanging="1050" w:hangingChars="500"/>
        <w:jc w:val="left"/>
        <w:rPr>
          <w:rFonts w:hint="default" w:ascii="Times-Roman" w:hAnsi="Times-Roman" w:eastAsia="Times-Roman" w:cs="Times-Roman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  <w:r>
        <w:drawing>
          <wp:inline distT="0" distB="0" distL="114300" distR="114300">
            <wp:extent cx="4999355" cy="3657600"/>
            <wp:effectExtent l="0" t="0" r="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rcRect l="8877"/>
                    <a:stretch>
                      <a:fillRect/>
                    </a:stretch>
                  </pic:blipFill>
                  <pic:spPr>
                    <a:xfrm>
                      <a:off x="0" y="0"/>
                      <a:ext cx="499935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Times-Roman" w:hAnsi="Times-Roman" w:eastAsia="Times-Roman" w:cs="Times-Roman"/>
          <w:b/>
          <w:bCs/>
          <w:color w:val="000000"/>
          <w:kern w:val="0"/>
          <w:sz w:val="21"/>
          <w:szCs w:val="21"/>
          <w:lang w:val="en-US" w:eastAsia="zh-CN" w:bidi="ar"/>
        </w:rPr>
        <w:t>S</w:t>
      </w:r>
      <w:r>
        <w:rPr>
          <w:rFonts w:hint="default" w:ascii="Times-Roman" w:hAnsi="Times-Roman" w:eastAsia="Times-Roman" w:cs="Times-Roman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upplemental </w:t>
      </w:r>
      <w:r>
        <w:rPr>
          <w:rFonts w:hint="eastAsia" w:ascii="Times-Roman" w:hAnsi="Times-Roman" w:eastAsia="Times-Roman" w:cs="Times-Roman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Fig. 2 </w:t>
      </w:r>
      <w:r>
        <w:rPr>
          <w:rFonts w:hint="default" w:ascii="Times-Roman" w:hAnsi="Times-Roman" w:eastAsia="Times-Roman" w:cs="Times-Roman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Sensitivity </w:t>
      </w:r>
      <w:r>
        <w:rPr>
          <w:rFonts w:hint="eastAsia" w:ascii="Times-Roman" w:hAnsi="Times-Roman" w:eastAsia="Times-Roman" w:cs="Times-Roman"/>
          <w:b/>
          <w:bCs/>
          <w:color w:val="000000"/>
          <w:kern w:val="0"/>
          <w:sz w:val="21"/>
          <w:szCs w:val="21"/>
          <w:lang w:val="en-US" w:eastAsia="zh-CN" w:bidi="ar"/>
        </w:rPr>
        <w:t>analysis of in-hospital mortality of NPE in SAH patients.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ID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PalladioL-Ro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iNzlmYjBjYTU3OTdmNGNlOGQ4ZjY4YTUyMmU4YmQifQ=="/>
  </w:docVars>
  <w:rsids>
    <w:rsidRoot w:val="027C4F96"/>
    <w:rsid w:val="025D7DCF"/>
    <w:rsid w:val="027C4F96"/>
    <w:rsid w:val="056A6906"/>
    <w:rsid w:val="0DE809AA"/>
    <w:rsid w:val="10662068"/>
    <w:rsid w:val="122C2A91"/>
    <w:rsid w:val="215B2757"/>
    <w:rsid w:val="23897339"/>
    <w:rsid w:val="29986528"/>
    <w:rsid w:val="2EC66B5A"/>
    <w:rsid w:val="46E04202"/>
    <w:rsid w:val="4ECA6880"/>
    <w:rsid w:val="5DBC0FA4"/>
    <w:rsid w:val="5EA51A7C"/>
    <w:rsid w:val="60C56F5C"/>
    <w:rsid w:val="650958C5"/>
    <w:rsid w:val="6D45389E"/>
    <w:rsid w:val="70DC1907"/>
    <w:rsid w:val="715275D8"/>
    <w:rsid w:val="78B032FC"/>
    <w:rsid w:val="7B002BB2"/>
    <w:rsid w:val="7CA1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snapToGrid w:val="0"/>
      <w:jc w:val="left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2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emf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371</Words>
  <Characters>2291</Characters>
  <Lines>0</Lines>
  <Paragraphs>0</Paragraphs>
  <TotalTime>1</TotalTime>
  <ScaleCrop>false</ScaleCrop>
  <LinksUpToDate>false</LinksUpToDate>
  <CharactersWithSpaces>2493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2023-04-16T13:44:00Z</dcterms:created>
  <dc:creator>Grey</dc:creator>
  <cp:lastModifiedBy>Grey</cp:lastModifiedBy>
  <dcterms:modified xsi:type="dcterms:W3CDTF">2023-07-08T06:30:29Z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9EAF767BE7DD4B9084CB198FBB21DF8A_13</vt:lpwstr>
  </property>
</Properties>
</file>