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3A8D5C" w14:textId="56545624" w:rsidR="00814B20" w:rsidRPr="009428A8" w:rsidRDefault="00814B20" w:rsidP="00814B20">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Supplementary Table 1</w:t>
      </w:r>
      <w:r w:rsidR="0030033A" w:rsidRPr="009428A8">
        <w:rPr>
          <w:rFonts w:ascii="Arial" w:hAnsi="Arial" w:cs="Arial"/>
          <w:color w:val="000000" w:themeColor="text1"/>
          <w:sz w:val="22"/>
          <w:szCs w:val="22"/>
          <w:lang w:val="en-US"/>
        </w:rPr>
        <w:t>.</w:t>
      </w:r>
      <w:r w:rsidRPr="009428A8">
        <w:rPr>
          <w:rFonts w:ascii="Arial" w:hAnsi="Arial" w:cs="Arial"/>
          <w:color w:val="000000" w:themeColor="text1"/>
          <w:sz w:val="22"/>
          <w:szCs w:val="22"/>
          <w:lang w:val="en-US"/>
        </w:rPr>
        <w:t xml:space="preserve"> Search strategy used for </w:t>
      </w:r>
      <w:r w:rsidR="00C00355" w:rsidRPr="009428A8">
        <w:rPr>
          <w:rFonts w:ascii="Arial" w:hAnsi="Arial" w:cs="Arial"/>
          <w:color w:val="000000" w:themeColor="text1"/>
          <w:sz w:val="22"/>
          <w:szCs w:val="22"/>
          <w:lang w:val="en-US"/>
        </w:rPr>
        <w:t>the three electronic databases</w:t>
      </w:r>
      <w:r w:rsidR="000C2A94" w:rsidRPr="009428A8">
        <w:rPr>
          <w:rFonts w:ascii="Arial" w:hAnsi="Arial" w:cs="Arial"/>
          <w:color w:val="000000" w:themeColor="text1"/>
          <w:sz w:val="22"/>
          <w:szCs w:val="22"/>
          <w:lang w:val="en-US"/>
        </w:rPr>
        <w:t xml:space="preserve"> </w:t>
      </w:r>
      <w:r w:rsidR="00D40D6C">
        <w:rPr>
          <w:rFonts w:ascii="Arial" w:hAnsi="Arial" w:cs="Arial"/>
          <w:color w:val="000000" w:themeColor="text1"/>
          <w:sz w:val="22"/>
          <w:szCs w:val="22"/>
          <w:lang w:val="en-US"/>
        </w:rPr>
        <w:t>24</w:t>
      </w:r>
      <w:r w:rsidR="00D40D6C" w:rsidRPr="00D40D6C">
        <w:rPr>
          <w:rFonts w:ascii="Arial" w:hAnsi="Arial" w:cs="Arial"/>
          <w:color w:val="000000" w:themeColor="text1"/>
          <w:sz w:val="22"/>
          <w:szCs w:val="22"/>
          <w:vertAlign w:val="superscript"/>
          <w:lang w:val="en-US"/>
        </w:rPr>
        <w:t>th</w:t>
      </w:r>
      <w:r w:rsidR="00D40D6C">
        <w:rPr>
          <w:rFonts w:ascii="Arial" w:hAnsi="Arial" w:cs="Arial"/>
          <w:color w:val="000000" w:themeColor="text1"/>
          <w:sz w:val="22"/>
          <w:szCs w:val="22"/>
          <w:lang w:val="en-US"/>
        </w:rPr>
        <w:t xml:space="preserve"> February</w:t>
      </w:r>
      <w:r w:rsidR="009428A8">
        <w:rPr>
          <w:rFonts w:ascii="Arial" w:hAnsi="Arial" w:cs="Arial"/>
          <w:color w:val="000000" w:themeColor="text1"/>
          <w:sz w:val="22"/>
          <w:szCs w:val="22"/>
          <w:lang w:val="en-US"/>
        </w:rPr>
        <w:t xml:space="preserve"> 2023</w:t>
      </w:r>
    </w:p>
    <w:tbl>
      <w:tblPr>
        <w:tblStyle w:val="TableGrid"/>
        <w:tblW w:w="14029" w:type="dxa"/>
        <w:tblLook w:val="04A0" w:firstRow="1" w:lastRow="0" w:firstColumn="1" w:lastColumn="0" w:noHBand="0" w:noVBand="1"/>
      </w:tblPr>
      <w:tblGrid>
        <w:gridCol w:w="988"/>
        <w:gridCol w:w="6237"/>
        <w:gridCol w:w="141"/>
        <w:gridCol w:w="6663"/>
      </w:tblGrid>
      <w:tr w:rsidR="00814B20" w:rsidRPr="009428A8" w14:paraId="0C9A3B6A" w14:textId="77777777" w:rsidTr="009742DD">
        <w:tc>
          <w:tcPr>
            <w:tcW w:w="7225" w:type="dxa"/>
            <w:gridSpan w:val="2"/>
            <w:shd w:val="clear" w:color="auto" w:fill="D0CECE" w:themeFill="background2" w:themeFillShade="E6"/>
          </w:tcPr>
          <w:p w14:paraId="4D4DEC12" w14:textId="23330323" w:rsidR="00814B20" w:rsidRPr="009428A8" w:rsidRDefault="00E32658" w:rsidP="00A50B4E">
            <w:pPr>
              <w:spacing w:line="480" w:lineRule="auto"/>
              <w:contextualSpacing/>
              <w:jc w:val="both"/>
              <w:rPr>
                <w:rFonts w:ascii="Arial" w:hAnsi="Arial" w:cs="Arial"/>
                <w:b/>
                <w:bCs/>
                <w:color w:val="000000" w:themeColor="text1"/>
                <w:sz w:val="22"/>
                <w:szCs w:val="22"/>
                <w:lang w:val="en-US"/>
              </w:rPr>
            </w:pPr>
            <w:r w:rsidRPr="009428A8">
              <w:rPr>
                <w:rFonts w:ascii="Arial" w:hAnsi="Arial" w:cs="Arial"/>
                <w:b/>
                <w:bCs/>
                <w:color w:val="000000" w:themeColor="text1"/>
                <w:sz w:val="22"/>
                <w:szCs w:val="22"/>
                <w:lang w:val="en-US"/>
              </w:rPr>
              <w:t>EMBASE search</w:t>
            </w:r>
          </w:p>
        </w:tc>
        <w:tc>
          <w:tcPr>
            <w:tcW w:w="6804" w:type="dxa"/>
            <w:gridSpan w:val="2"/>
            <w:shd w:val="clear" w:color="auto" w:fill="D0CECE" w:themeFill="background2" w:themeFillShade="E6"/>
          </w:tcPr>
          <w:p w14:paraId="41664CB9" w14:textId="64E1CCF9" w:rsidR="00814B20" w:rsidRPr="009428A8" w:rsidRDefault="00F20862" w:rsidP="00A50B4E">
            <w:pPr>
              <w:spacing w:line="480" w:lineRule="auto"/>
              <w:contextualSpacing/>
              <w:jc w:val="both"/>
              <w:rPr>
                <w:rFonts w:ascii="Arial" w:hAnsi="Arial" w:cs="Arial"/>
                <w:b/>
                <w:bCs/>
                <w:color w:val="000000" w:themeColor="text1"/>
                <w:sz w:val="22"/>
                <w:szCs w:val="22"/>
                <w:lang w:val="en-US"/>
              </w:rPr>
            </w:pPr>
            <w:r>
              <w:rPr>
                <w:rFonts w:ascii="Arial" w:hAnsi="Arial" w:cs="Arial"/>
                <w:b/>
                <w:bCs/>
                <w:color w:val="000000" w:themeColor="text1"/>
                <w:sz w:val="22"/>
                <w:szCs w:val="22"/>
                <w:lang w:val="en-US"/>
              </w:rPr>
              <w:t>501</w:t>
            </w:r>
            <w:r w:rsidR="00C12619">
              <w:rPr>
                <w:rFonts w:ascii="Arial" w:hAnsi="Arial" w:cs="Arial"/>
                <w:b/>
                <w:bCs/>
                <w:color w:val="000000" w:themeColor="text1"/>
                <w:sz w:val="22"/>
                <w:szCs w:val="22"/>
                <w:lang w:val="en-US"/>
              </w:rPr>
              <w:t>3</w:t>
            </w:r>
            <w:r w:rsidR="00814B20" w:rsidRPr="009428A8">
              <w:rPr>
                <w:rFonts w:ascii="Arial" w:hAnsi="Arial" w:cs="Arial"/>
                <w:b/>
                <w:bCs/>
                <w:color w:val="000000" w:themeColor="text1"/>
                <w:sz w:val="22"/>
                <w:szCs w:val="22"/>
                <w:lang w:val="en-US"/>
              </w:rPr>
              <w:t xml:space="preserve"> articles </w:t>
            </w:r>
          </w:p>
        </w:tc>
      </w:tr>
      <w:tr w:rsidR="00814B20" w:rsidRPr="009428A8" w14:paraId="0105384C" w14:textId="77777777" w:rsidTr="009742DD">
        <w:tc>
          <w:tcPr>
            <w:tcW w:w="988" w:type="dxa"/>
          </w:tcPr>
          <w:p w14:paraId="13E5FBB2" w14:textId="77777777" w:rsidR="00814B20" w:rsidRPr="009428A8" w:rsidRDefault="00814B20"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No.</w:t>
            </w:r>
          </w:p>
        </w:tc>
        <w:tc>
          <w:tcPr>
            <w:tcW w:w="13041" w:type="dxa"/>
            <w:gridSpan w:val="3"/>
          </w:tcPr>
          <w:p w14:paraId="78F59941" w14:textId="77777777" w:rsidR="00814B20" w:rsidRPr="009428A8" w:rsidRDefault="00814B20"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Search term</w:t>
            </w:r>
          </w:p>
        </w:tc>
      </w:tr>
      <w:tr w:rsidR="00814B20" w:rsidRPr="009428A8" w14:paraId="70FDAF41" w14:textId="77777777" w:rsidTr="005B6122">
        <w:tc>
          <w:tcPr>
            <w:tcW w:w="14029" w:type="dxa"/>
            <w:gridSpan w:val="4"/>
            <w:shd w:val="clear" w:color="auto" w:fill="C5E0B3" w:themeFill="accent6" w:themeFillTint="66"/>
          </w:tcPr>
          <w:p w14:paraId="72BA528C" w14:textId="491A8093" w:rsidR="00814B20" w:rsidRPr="009428A8" w:rsidRDefault="005B6122" w:rsidP="00A50B4E">
            <w:pPr>
              <w:spacing w:line="480" w:lineRule="auto"/>
              <w:contextualSpacing/>
              <w:jc w:val="both"/>
              <w:rPr>
                <w:rFonts w:ascii="Arial" w:eastAsiaTheme="minorHAnsi" w:hAnsi="Arial" w:cs="Arial"/>
                <w:b/>
                <w:bCs/>
                <w:color w:val="000000" w:themeColor="text1"/>
                <w:sz w:val="22"/>
                <w:szCs w:val="22"/>
                <w:lang w:eastAsia="en-US"/>
              </w:rPr>
            </w:pPr>
            <w:r w:rsidRPr="009428A8">
              <w:rPr>
                <w:rFonts w:ascii="Arial" w:eastAsiaTheme="minorHAnsi" w:hAnsi="Arial" w:cs="Arial"/>
                <w:b/>
                <w:bCs/>
                <w:color w:val="000000" w:themeColor="text1"/>
                <w:sz w:val="22"/>
                <w:szCs w:val="22"/>
                <w:lang w:eastAsia="en-US"/>
              </w:rPr>
              <w:t xml:space="preserve">Surgical </w:t>
            </w:r>
            <w:r w:rsidR="00380731" w:rsidRPr="009428A8">
              <w:rPr>
                <w:rFonts w:ascii="Arial" w:eastAsiaTheme="minorHAnsi" w:hAnsi="Arial" w:cs="Arial"/>
                <w:b/>
                <w:bCs/>
                <w:color w:val="000000" w:themeColor="text1"/>
                <w:sz w:val="22"/>
                <w:szCs w:val="22"/>
                <w:lang w:eastAsia="en-US"/>
              </w:rPr>
              <w:t>s</w:t>
            </w:r>
            <w:r w:rsidRPr="009428A8">
              <w:rPr>
                <w:rFonts w:ascii="Arial" w:eastAsiaTheme="minorHAnsi" w:hAnsi="Arial" w:cs="Arial"/>
                <w:b/>
                <w:bCs/>
                <w:color w:val="000000" w:themeColor="text1"/>
                <w:sz w:val="22"/>
                <w:szCs w:val="22"/>
                <w:lang w:eastAsia="en-US"/>
              </w:rPr>
              <w:t>ite infection</w:t>
            </w:r>
            <w:r w:rsidR="00814B20" w:rsidRPr="009428A8">
              <w:rPr>
                <w:rFonts w:ascii="Arial" w:eastAsiaTheme="minorHAnsi" w:hAnsi="Arial" w:cs="Arial"/>
                <w:b/>
                <w:bCs/>
                <w:color w:val="000000" w:themeColor="text1"/>
                <w:sz w:val="22"/>
                <w:szCs w:val="22"/>
                <w:lang w:eastAsia="en-US"/>
              </w:rPr>
              <w:t xml:space="preserve"> concept</w:t>
            </w:r>
          </w:p>
        </w:tc>
      </w:tr>
      <w:tr w:rsidR="00814B20" w:rsidRPr="009428A8" w14:paraId="398A49C7" w14:textId="77777777" w:rsidTr="009742DD">
        <w:tc>
          <w:tcPr>
            <w:tcW w:w="988" w:type="dxa"/>
          </w:tcPr>
          <w:p w14:paraId="4F394E1E" w14:textId="77777777" w:rsidR="00814B20" w:rsidRPr="009428A8" w:rsidRDefault="00814B20"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w:t>
            </w:r>
          </w:p>
        </w:tc>
        <w:tc>
          <w:tcPr>
            <w:tcW w:w="13041" w:type="dxa"/>
            <w:gridSpan w:val="3"/>
          </w:tcPr>
          <w:p w14:paraId="6476B854" w14:textId="5D096F09" w:rsidR="00814B20" w:rsidRPr="009428A8" w:rsidRDefault="005B6122" w:rsidP="005B6122">
            <w:pPr>
              <w:pStyle w:val="NormalWeb"/>
              <w:spacing w:before="0" w:beforeAutospacing="0" w:after="0" w:afterAutospacing="0"/>
              <w:rPr>
                <w:rFonts w:ascii="Arial" w:hAnsi="Arial" w:cs="Arial"/>
                <w:sz w:val="22"/>
                <w:szCs w:val="22"/>
                <w:lang w:val="en-GB"/>
              </w:rPr>
            </w:pPr>
            <w:r w:rsidRPr="009428A8">
              <w:rPr>
                <w:rFonts w:ascii="Arial" w:hAnsi="Arial" w:cs="Arial"/>
                <w:color w:val="000000"/>
                <w:sz w:val="22"/>
                <w:szCs w:val="22"/>
              </w:rPr>
              <w:t xml:space="preserve">Exp </w:t>
            </w:r>
            <w:r w:rsidR="00B963FB" w:rsidRPr="009428A8">
              <w:rPr>
                <w:rFonts w:ascii="Arial" w:hAnsi="Arial" w:cs="Arial"/>
                <w:color w:val="000000"/>
                <w:sz w:val="22"/>
                <w:szCs w:val="22"/>
              </w:rPr>
              <w:t>s</w:t>
            </w:r>
            <w:r w:rsidRPr="009428A8">
              <w:rPr>
                <w:rFonts w:ascii="Arial" w:hAnsi="Arial" w:cs="Arial"/>
                <w:color w:val="000000"/>
                <w:sz w:val="22"/>
                <w:szCs w:val="22"/>
              </w:rPr>
              <w:t xml:space="preserve">urgical </w:t>
            </w:r>
            <w:r w:rsidR="00B963FB" w:rsidRPr="009428A8">
              <w:rPr>
                <w:rFonts w:ascii="Arial" w:hAnsi="Arial" w:cs="Arial"/>
                <w:color w:val="000000"/>
                <w:sz w:val="22"/>
                <w:szCs w:val="22"/>
              </w:rPr>
              <w:t>i</w:t>
            </w:r>
            <w:r w:rsidRPr="009428A8">
              <w:rPr>
                <w:rFonts w:ascii="Arial" w:hAnsi="Arial" w:cs="Arial"/>
                <w:color w:val="000000"/>
                <w:sz w:val="22"/>
                <w:szCs w:val="22"/>
              </w:rPr>
              <w:t>nfection/</w:t>
            </w:r>
          </w:p>
        </w:tc>
      </w:tr>
      <w:tr w:rsidR="00814B20" w:rsidRPr="009428A8" w14:paraId="2412B13B" w14:textId="77777777" w:rsidTr="009742DD">
        <w:tc>
          <w:tcPr>
            <w:tcW w:w="988" w:type="dxa"/>
          </w:tcPr>
          <w:p w14:paraId="093D3A47" w14:textId="77777777" w:rsidR="00814B20" w:rsidRPr="009428A8" w:rsidRDefault="00814B20"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2</w:t>
            </w:r>
          </w:p>
        </w:tc>
        <w:tc>
          <w:tcPr>
            <w:tcW w:w="13041" w:type="dxa"/>
            <w:gridSpan w:val="3"/>
          </w:tcPr>
          <w:p w14:paraId="0CF16740" w14:textId="5E774FC7" w:rsidR="00814B20" w:rsidRPr="009428A8" w:rsidRDefault="00CB0186" w:rsidP="005B6122">
            <w:pPr>
              <w:pStyle w:val="NormalWeb"/>
              <w:jc w:val="both"/>
              <w:rPr>
                <w:rFonts w:ascii="Arial" w:hAnsi="Arial" w:cs="Arial"/>
                <w:sz w:val="22"/>
                <w:szCs w:val="22"/>
              </w:rPr>
            </w:pPr>
            <w:r w:rsidRPr="009428A8">
              <w:rPr>
                <w:rFonts w:ascii="Arial" w:hAnsi="Arial" w:cs="Arial"/>
                <w:color w:val="000000"/>
                <w:sz w:val="22"/>
                <w:szCs w:val="22"/>
              </w:rPr>
              <w:t>(SSI or surgical site infection).</w:t>
            </w:r>
            <w:proofErr w:type="spellStart"/>
            <w:r w:rsidRPr="009428A8">
              <w:rPr>
                <w:rFonts w:ascii="Arial" w:hAnsi="Arial" w:cs="Arial"/>
                <w:color w:val="000000"/>
                <w:sz w:val="22"/>
                <w:szCs w:val="22"/>
              </w:rPr>
              <w:t>tw</w:t>
            </w:r>
            <w:proofErr w:type="spellEnd"/>
            <w:r w:rsidRPr="009428A8">
              <w:rPr>
                <w:rFonts w:ascii="Arial" w:hAnsi="Arial" w:cs="Arial"/>
                <w:color w:val="000000"/>
                <w:sz w:val="22"/>
                <w:szCs w:val="22"/>
              </w:rPr>
              <w:t>.</w:t>
            </w:r>
          </w:p>
        </w:tc>
      </w:tr>
      <w:tr w:rsidR="000C2A94" w:rsidRPr="009428A8" w14:paraId="2C80A2F4" w14:textId="77777777" w:rsidTr="009742DD">
        <w:tc>
          <w:tcPr>
            <w:tcW w:w="988" w:type="dxa"/>
          </w:tcPr>
          <w:p w14:paraId="098E7B81" w14:textId="0121B292" w:rsidR="000C2A94" w:rsidRPr="009428A8" w:rsidRDefault="000C2A94"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3</w:t>
            </w:r>
          </w:p>
        </w:tc>
        <w:tc>
          <w:tcPr>
            <w:tcW w:w="13041" w:type="dxa"/>
            <w:gridSpan w:val="3"/>
          </w:tcPr>
          <w:p w14:paraId="3A24AFFF" w14:textId="3447EF3B" w:rsidR="000C2A94" w:rsidRPr="009428A8" w:rsidRDefault="000C2A94"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 xml:space="preserve">1 </w:t>
            </w:r>
            <w:r w:rsidR="00200BBD" w:rsidRPr="009428A8">
              <w:rPr>
                <w:rFonts w:ascii="Arial" w:hAnsi="Arial" w:cs="Arial"/>
                <w:color w:val="000000" w:themeColor="text1"/>
                <w:sz w:val="22"/>
                <w:szCs w:val="22"/>
                <w:lang w:val="en-US"/>
              </w:rPr>
              <w:t>or</w:t>
            </w:r>
            <w:r w:rsidRPr="009428A8">
              <w:rPr>
                <w:rFonts w:ascii="Arial" w:hAnsi="Arial" w:cs="Arial"/>
                <w:color w:val="000000" w:themeColor="text1"/>
                <w:sz w:val="22"/>
                <w:szCs w:val="22"/>
                <w:lang w:val="en-US"/>
              </w:rPr>
              <w:t xml:space="preserve"> 2</w:t>
            </w:r>
          </w:p>
        </w:tc>
      </w:tr>
      <w:tr w:rsidR="00814B20" w:rsidRPr="009428A8" w14:paraId="315F2E59" w14:textId="77777777" w:rsidTr="005B6122">
        <w:tc>
          <w:tcPr>
            <w:tcW w:w="14029" w:type="dxa"/>
            <w:gridSpan w:val="4"/>
            <w:shd w:val="clear" w:color="auto" w:fill="C5E0B3" w:themeFill="accent6" w:themeFillTint="66"/>
          </w:tcPr>
          <w:p w14:paraId="34DD85B5" w14:textId="419EAF5F" w:rsidR="00814B20" w:rsidRPr="009428A8" w:rsidRDefault="001921EA" w:rsidP="00A50B4E">
            <w:pPr>
              <w:spacing w:line="480" w:lineRule="auto"/>
              <w:contextualSpacing/>
              <w:rPr>
                <w:rFonts w:ascii="Arial" w:hAnsi="Arial" w:cs="Arial"/>
                <w:b/>
                <w:bCs/>
                <w:color w:val="000000" w:themeColor="text1"/>
                <w:sz w:val="22"/>
                <w:szCs w:val="22"/>
              </w:rPr>
            </w:pPr>
            <w:r w:rsidRPr="009428A8">
              <w:rPr>
                <w:rFonts w:ascii="Arial" w:hAnsi="Arial" w:cs="Arial"/>
                <w:b/>
                <w:bCs/>
                <w:color w:val="000000" w:themeColor="text1"/>
                <w:sz w:val="22"/>
                <w:szCs w:val="22"/>
              </w:rPr>
              <w:t>Neurosurgery</w:t>
            </w:r>
            <w:r w:rsidR="00814B20" w:rsidRPr="009428A8">
              <w:rPr>
                <w:rFonts w:ascii="Arial" w:hAnsi="Arial" w:cs="Arial"/>
                <w:b/>
                <w:bCs/>
                <w:color w:val="000000" w:themeColor="text1"/>
                <w:sz w:val="22"/>
                <w:szCs w:val="22"/>
              </w:rPr>
              <w:t xml:space="preserve"> concept</w:t>
            </w:r>
          </w:p>
        </w:tc>
      </w:tr>
      <w:tr w:rsidR="00814B20" w:rsidRPr="009428A8" w14:paraId="7F36541F" w14:textId="77777777" w:rsidTr="009742DD">
        <w:tc>
          <w:tcPr>
            <w:tcW w:w="988" w:type="dxa"/>
          </w:tcPr>
          <w:p w14:paraId="2B81CBA6" w14:textId="0565BF4C" w:rsidR="00814B20" w:rsidRPr="009428A8" w:rsidRDefault="002D69BE"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4</w:t>
            </w:r>
          </w:p>
        </w:tc>
        <w:tc>
          <w:tcPr>
            <w:tcW w:w="13041" w:type="dxa"/>
            <w:gridSpan w:val="3"/>
          </w:tcPr>
          <w:p w14:paraId="2D6E6570" w14:textId="28A6E4A7" w:rsidR="00814B20" w:rsidRPr="009428A8" w:rsidRDefault="005B6122" w:rsidP="00A50B4E">
            <w:pPr>
              <w:spacing w:line="480" w:lineRule="auto"/>
              <w:contextualSpacing/>
              <w:rPr>
                <w:rFonts w:ascii="Arial" w:hAnsi="Arial" w:cs="Arial"/>
                <w:color w:val="000000" w:themeColor="text1"/>
                <w:sz w:val="22"/>
                <w:szCs w:val="22"/>
              </w:rPr>
            </w:pPr>
            <w:r w:rsidRPr="009428A8">
              <w:rPr>
                <w:rFonts w:ascii="Arial" w:hAnsi="Arial" w:cs="Arial"/>
                <w:color w:val="000000"/>
                <w:sz w:val="22"/>
                <w:szCs w:val="22"/>
              </w:rPr>
              <w:t xml:space="preserve">exp brain/ or exp </w:t>
            </w:r>
            <w:r w:rsidR="00116A5C" w:rsidRPr="009428A8">
              <w:rPr>
                <w:rFonts w:ascii="Arial" w:hAnsi="Arial" w:cs="Arial"/>
                <w:color w:val="000000"/>
                <w:sz w:val="22"/>
                <w:szCs w:val="22"/>
              </w:rPr>
              <w:t>skull</w:t>
            </w:r>
            <w:r w:rsidRPr="009428A8">
              <w:rPr>
                <w:rFonts w:ascii="Arial" w:hAnsi="Arial" w:cs="Arial"/>
                <w:color w:val="000000"/>
                <w:sz w:val="22"/>
                <w:szCs w:val="22"/>
              </w:rPr>
              <w:t xml:space="preserve">/ </w:t>
            </w:r>
          </w:p>
        </w:tc>
      </w:tr>
      <w:tr w:rsidR="002D69BE" w:rsidRPr="009428A8" w14:paraId="58246564" w14:textId="77777777" w:rsidTr="009742DD">
        <w:tc>
          <w:tcPr>
            <w:tcW w:w="988" w:type="dxa"/>
          </w:tcPr>
          <w:p w14:paraId="05BE3919" w14:textId="2B6867F4" w:rsidR="002D69BE" w:rsidRPr="009428A8" w:rsidRDefault="002D69BE"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5</w:t>
            </w:r>
          </w:p>
        </w:tc>
        <w:tc>
          <w:tcPr>
            <w:tcW w:w="13041" w:type="dxa"/>
            <w:gridSpan w:val="3"/>
          </w:tcPr>
          <w:p w14:paraId="6DA1180C" w14:textId="615F2EC4" w:rsidR="002D69BE" w:rsidRPr="009428A8" w:rsidRDefault="00116A5C" w:rsidP="00A50B4E">
            <w:pPr>
              <w:spacing w:line="480" w:lineRule="auto"/>
              <w:contextualSpacing/>
              <w:rPr>
                <w:rFonts w:ascii="Arial" w:hAnsi="Arial" w:cs="Arial"/>
                <w:color w:val="000000"/>
                <w:sz w:val="22"/>
                <w:szCs w:val="22"/>
              </w:rPr>
            </w:pPr>
            <w:r w:rsidRPr="009428A8">
              <w:rPr>
                <w:rFonts w:ascii="Arial" w:hAnsi="Arial" w:cs="Arial"/>
                <w:color w:val="000000"/>
                <w:sz w:val="22"/>
                <w:szCs w:val="22"/>
              </w:rPr>
              <w:t>(brain or cranial or skull).</w:t>
            </w:r>
            <w:proofErr w:type="spellStart"/>
            <w:r w:rsidRPr="009428A8">
              <w:rPr>
                <w:rFonts w:ascii="Arial" w:hAnsi="Arial" w:cs="Arial"/>
                <w:color w:val="000000"/>
                <w:sz w:val="22"/>
                <w:szCs w:val="22"/>
              </w:rPr>
              <w:t>tw</w:t>
            </w:r>
            <w:proofErr w:type="spellEnd"/>
          </w:p>
        </w:tc>
      </w:tr>
      <w:tr w:rsidR="00CB0186" w:rsidRPr="009428A8" w14:paraId="45A3DD33" w14:textId="77777777" w:rsidTr="009742DD">
        <w:tc>
          <w:tcPr>
            <w:tcW w:w="988" w:type="dxa"/>
          </w:tcPr>
          <w:p w14:paraId="211B277D" w14:textId="03196B47" w:rsidR="00CB0186" w:rsidRPr="009428A8" w:rsidRDefault="00CB0186"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6</w:t>
            </w:r>
          </w:p>
        </w:tc>
        <w:tc>
          <w:tcPr>
            <w:tcW w:w="13041" w:type="dxa"/>
            <w:gridSpan w:val="3"/>
          </w:tcPr>
          <w:p w14:paraId="29C6AB3C" w14:textId="5EB9D49E" w:rsidR="007A5423" w:rsidRPr="009428A8" w:rsidRDefault="00116A5C" w:rsidP="00116A5C">
            <w:pPr>
              <w:spacing w:line="480" w:lineRule="auto"/>
              <w:contextualSpacing/>
              <w:rPr>
                <w:rFonts w:ascii="Arial" w:hAnsi="Arial" w:cs="Arial"/>
                <w:color w:val="000000"/>
                <w:sz w:val="22"/>
                <w:szCs w:val="22"/>
              </w:rPr>
            </w:pPr>
            <w:r w:rsidRPr="009428A8">
              <w:rPr>
                <w:rFonts w:ascii="Arial" w:hAnsi="Arial" w:cs="Arial"/>
                <w:color w:val="000000"/>
                <w:sz w:val="22"/>
                <w:szCs w:val="22"/>
              </w:rPr>
              <w:t xml:space="preserve">4 or 5 </w:t>
            </w:r>
          </w:p>
        </w:tc>
      </w:tr>
      <w:tr w:rsidR="00116A5C" w:rsidRPr="009428A8" w14:paraId="52952C08" w14:textId="77777777" w:rsidTr="009742DD">
        <w:tc>
          <w:tcPr>
            <w:tcW w:w="988" w:type="dxa"/>
          </w:tcPr>
          <w:p w14:paraId="1628FD30" w14:textId="664E23A1" w:rsidR="00116A5C" w:rsidRPr="009428A8" w:rsidRDefault="00116A5C"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7</w:t>
            </w:r>
          </w:p>
        </w:tc>
        <w:tc>
          <w:tcPr>
            <w:tcW w:w="13041" w:type="dxa"/>
            <w:gridSpan w:val="3"/>
          </w:tcPr>
          <w:p w14:paraId="3D85D6FB" w14:textId="5A7C1858" w:rsidR="00116A5C" w:rsidRPr="009428A8" w:rsidRDefault="00116A5C" w:rsidP="00A50B4E">
            <w:pPr>
              <w:spacing w:line="480" w:lineRule="auto"/>
              <w:contextualSpacing/>
              <w:rPr>
                <w:rFonts w:ascii="Arial" w:hAnsi="Arial" w:cs="Arial"/>
                <w:color w:val="000000"/>
                <w:sz w:val="22"/>
                <w:szCs w:val="22"/>
              </w:rPr>
            </w:pPr>
            <w:r w:rsidRPr="009428A8">
              <w:rPr>
                <w:rFonts w:ascii="Arial" w:hAnsi="Arial" w:cs="Arial"/>
                <w:color w:val="000000"/>
                <w:sz w:val="22"/>
                <w:szCs w:val="22"/>
              </w:rPr>
              <w:t>Exp surgery/ or surgery.tw</w:t>
            </w:r>
          </w:p>
        </w:tc>
      </w:tr>
      <w:tr w:rsidR="00116A5C" w:rsidRPr="009428A8" w14:paraId="6F78842E" w14:textId="77777777" w:rsidTr="009742DD">
        <w:tc>
          <w:tcPr>
            <w:tcW w:w="988" w:type="dxa"/>
          </w:tcPr>
          <w:p w14:paraId="5390F507" w14:textId="7D73CCEC" w:rsidR="00116A5C" w:rsidRPr="009428A8" w:rsidRDefault="00116A5C"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8</w:t>
            </w:r>
          </w:p>
        </w:tc>
        <w:tc>
          <w:tcPr>
            <w:tcW w:w="13041" w:type="dxa"/>
            <w:gridSpan w:val="3"/>
          </w:tcPr>
          <w:p w14:paraId="7B14FE9B" w14:textId="2D101DF8" w:rsidR="00116A5C" w:rsidRPr="009428A8" w:rsidRDefault="00116A5C" w:rsidP="00A50B4E">
            <w:pPr>
              <w:spacing w:line="480" w:lineRule="auto"/>
              <w:contextualSpacing/>
              <w:rPr>
                <w:rFonts w:ascii="Arial" w:hAnsi="Arial" w:cs="Arial"/>
                <w:color w:val="000000"/>
                <w:sz w:val="22"/>
                <w:szCs w:val="22"/>
              </w:rPr>
            </w:pPr>
            <w:r w:rsidRPr="009428A8">
              <w:rPr>
                <w:rFonts w:ascii="Arial" w:hAnsi="Arial" w:cs="Arial"/>
                <w:color w:val="000000"/>
                <w:sz w:val="22"/>
                <w:szCs w:val="22"/>
              </w:rPr>
              <w:t>6 and 7</w:t>
            </w:r>
          </w:p>
        </w:tc>
      </w:tr>
      <w:tr w:rsidR="00CB0186" w:rsidRPr="009428A8" w14:paraId="7A559B30" w14:textId="77777777" w:rsidTr="009742DD">
        <w:tc>
          <w:tcPr>
            <w:tcW w:w="988" w:type="dxa"/>
          </w:tcPr>
          <w:p w14:paraId="555E85B6" w14:textId="4E14F597" w:rsidR="00CB0186" w:rsidRPr="009428A8" w:rsidRDefault="00116A5C"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9</w:t>
            </w:r>
          </w:p>
        </w:tc>
        <w:tc>
          <w:tcPr>
            <w:tcW w:w="13041" w:type="dxa"/>
            <w:gridSpan w:val="3"/>
          </w:tcPr>
          <w:p w14:paraId="263C820B" w14:textId="5011B24F" w:rsidR="00CB0186" w:rsidRPr="009428A8" w:rsidRDefault="007A5423" w:rsidP="00A50B4E">
            <w:pPr>
              <w:spacing w:line="480" w:lineRule="auto"/>
              <w:contextualSpacing/>
              <w:rPr>
                <w:rFonts w:ascii="Arial" w:hAnsi="Arial" w:cs="Arial"/>
                <w:color w:val="000000"/>
                <w:sz w:val="22"/>
                <w:szCs w:val="22"/>
              </w:rPr>
            </w:pPr>
            <w:r w:rsidRPr="009428A8">
              <w:rPr>
                <w:rFonts w:ascii="Arial" w:hAnsi="Arial" w:cs="Arial"/>
                <w:color w:val="000000"/>
                <w:sz w:val="22"/>
                <w:szCs w:val="22"/>
              </w:rPr>
              <w:t>Exp brain surgery/ or exp neurosurgery/</w:t>
            </w:r>
            <w:r w:rsidR="00116A5C" w:rsidRPr="009428A8">
              <w:rPr>
                <w:rFonts w:ascii="Arial" w:hAnsi="Arial" w:cs="Arial"/>
                <w:color w:val="000000"/>
                <w:sz w:val="22"/>
                <w:szCs w:val="22"/>
              </w:rPr>
              <w:t xml:space="preserve"> or exp craniotomy/</w:t>
            </w:r>
          </w:p>
        </w:tc>
      </w:tr>
      <w:tr w:rsidR="00116A5C" w:rsidRPr="009428A8" w14:paraId="7CBBE8B3" w14:textId="77777777" w:rsidTr="009742DD">
        <w:tc>
          <w:tcPr>
            <w:tcW w:w="988" w:type="dxa"/>
          </w:tcPr>
          <w:p w14:paraId="6BFAE1BE" w14:textId="4C0C3DE4" w:rsidR="00116A5C" w:rsidRPr="009428A8" w:rsidRDefault="00116A5C"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10</w:t>
            </w:r>
          </w:p>
        </w:tc>
        <w:tc>
          <w:tcPr>
            <w:tcW w:w="13041" w:type="dxa"/>
            <w:gridSpan w:val="3"/>
          </w:tcPr>
          <w:p w14:paraId="12B31F13" w14:textId="5D6C032A" w:rsidR="00116A5C" w:rsidRPr="009428A8" w:rsidRDefault="00786B58" w:rsidP="00A50B4E">
            <w:pPr>
              <w:spacing w:line="480" w:lineRule="auto"/>
              <w:contextualSpacing/>
              <w:rPr>
                <w:rFonts w:ascii="Arial" w:hAnsi="Arial" w:cs="Arial"/>
                <w:color w:val="000000"/>
                <w:sz w:val="22"/>
                <w:szCs w:val="22"/>
              </w:rPr>
            </w:pPr>
            <w:r w:rsidRPr="009428A8">
              <w:rPr>
                <w:rFonts w:ascii="Arial" w:hAnsi="Arial" w:cs="Arial"/>
                <w:color w:val="000000"/>
                <w:sz w:val="22"/>
                <w:szCs w:val="22"/>
              </w:rPr>
              <w:t>(neurosurgery or cranial surgery or craniotomy).</w:t>
            </w:r>
            <w:proofErr w:type="spellStart"/>
            <w:r w:rsidRPr="009428A8">
              <w:rPr>
                <w:rFonts w:ascii="Arial" w:hAnsi="Arial" w:cs="Arial"/>
                <w:color w:val="000000"/>
                <w:sz w:val="22"/>
                <w:szCs w:val="22"/>
              </w:rPr>
              <w:t>tw</w:t>
            </w:r>
            <w:proofErr w:type="spellEnd"/>
          </w:p>
        </w:tc>
      </w:tr>
      <w:tr w:rsidR="00786B58" w:rsidRPr="009428A8" w14:paraId="7825D212" w14:textId="77777777" w:rsidTr="009742DD">
        <w:tc>
          <w:tcPr>
            <w:tcW w:w="988" w:type="dxa"/>
          </w:tcPr>
          <w:p w14:paraId="64B74A43" w14:textId="61ADACB1" w:rsidR="00786B58" w:rsidRPr="009428A8" w:rsidRDefault="00786B58"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11</w:t>
            </w:r>
          </w:p>
        </w:tc>
        <w:tc>
          <w:tcPr>
            <w:tcW w:w="13041" w:type="dxa"/>
            <w:gridSpan w:val="3"/>
          </w:tcPr>
          <w:p w14:paraId="66A8E353" w14:textId="44CAE6DC" w:rsidR="00786B58" w:rsidRPr="009428A8" w:rsidRDefault="00786B58" w:rsidP="00A50B4E">
            <w:pPr>
              <w:spacing w:line="480" w:lineRule="auto"/>
              <w:contextualSpacing/>
              <w:rPr>
                <w:rFonts w:ascii="Arial" w:hAnsi="Arial" w:cs="Arial"/>
                <w:color w:val="000000"/>
                <w:sz w:val="22"/>
                <w:szCs w:val="22"/>
              </w:rPr>
            </w:pPr>
            <w:r w:rsidRPr="009428A8">
              <w:rPr>
                <w:rFonts w:ascii="Arial" w:hAnsi="Arial" w:cs="Arial"/>
                <w:color w:val="000000"/>
                <w:sz w:val="22"/>
                <w:szCs w:val="22"/>
              </w:rPr>
              <w:t>9 or 10</w:t>
            </w:r>
          </w:p>
        </w:tc>
      </w:tr>
      <w:tr w:rsidR="00786B58" w:rsidRPr="009428A8" w14:paraId="5FADF203" w14:textId="77777777" w:rsidTr="009742DD">
        <w:tc>
          <w:tcPr>
            <w:tcW w:w="988" w:type="dxa"/>
          </w:tcPr>
          <w:p w14:paraId="46344F3C" w14:textId="355E87EF" w:rsidR="00786B58" w:rsidRPr="009428A8" w:rsidRDefault="00786B58"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12</w:t>
            </w:r>
          </w:p>
        </w:tc>
        <w:tc>
          <w:tcPr>
            <w:tcW w:w="13041" w:type="dxa"/>
            <w:gridSpan w:val="3"/>
          </w:tcPr>
          <w:p w14:paraId="5FD09340" w14:textId="78CC0878" w:rsidR="00786B58" w:rsidRPr="009428A8" w:rsidRDefault="00786B58" w:rsidP="00A50B4E">
            <w:pPr>
              <w:spacing w:line="480" w:lineRule="auto"/>
              <w:contextualSpacing/>
              <w:rPr>
                <w:rFonts w:ascii="Arial" w:hAnsi="Arial" w:cs="Arial"/>
                <w:color w:val="000000"/>
                <w:sz w:val="22"/>
                <w:szCs w:val="22"/>
              </w:rPr>
            </w:pPr>
            <w:r w:rsidRPr="009428A8">
              <w:rPr>
                <w:rFonts w:ascii="Arial" w:hAnsi="Arial" w:cs="Arial"/>
                <w:color w:val="000000"/>
                <w:sz w:val="22"/>
                <w:szCs w:val="22"/>
              </w:rPr>
              <w:t>8 or 11</w:t>
            </w:r>
          </w:p>
        </w:tc>
      </w:tr>
      <w:tr w:rsidR="00814B20" w:rsidRPr="009428A8" w14:paraId="0D48033F" w14:textId="77777777" w:rsidTr="005B6122">
        <w:tc>
          <w:tcPr>
            <w:tcW w:w="14029" w:type="dxa"/>
            <w:gridSpan w:val="4"/>
            <w:shd w:val="clear" w:color="auto" w:fill="C5E0B3" w:themeFill="accent6" w:themeFillTint="66"/>
          </w:tcPr>
          <w:p w14:paraId="61AEE304" w14:textId="64F7905D" w:rsidR="00814B20" w:rsidRPr="009428A8" w:rsidRDefault="00814B20" w:rsidP="00A50B4E">
            <w:pPr>
              <w:spacing w:line="480" w:lineRule="auto"/>
              <w:contextualSpacing/>
              <w:rPr>
                <w:rFonts w:ascii="Arial" w:hAnsi="Arial" w:cs="Arial"/>
                <w:b/>
                <w:bCs/>
                <w:color w:val="000000" w:themeColor="text1"/>
                <w:sz w:val="22"/>
                <w:szCs w:val="22"/>
                <w:shd w:val="clear" w:color="auto" w:fill="FFFFFF"/>
              </w:rPr>
            </w:pPr>
            <w:r w:rsidRPr="009428A8">
              <w:rPr>
                <w:rFonts w:ascii="Arial" w:hAnsi="Arial" w:cs="Arial"/>
                <w:b/>
                <w:bCs/>
                <w:color w:val="000000" w:themeColor="text1"/>
                <w:sz w:val="22"/>
                <w:szCs w:val="22"/>
                <w:lang w:val="en-US"/>
              </w:rPr>
              <w:lastRenderedPageBreak/>
              <w:t>Combined concepts</w:t>
            </w:r>
            <w:r w:rsidRPr="009428A8">
              <w:rPr>
                <w:rFonts w:ascii="Arial" w:hAnsi="Arial" w:cs="Arial"/>
                <w:b/>
                <w:bCs/>
                <w:color w:val="000000" w:themeColor="text1"/>
                <w:sz w:val="22"/>
                <w:szCs w:val="22"/>
                <w:shd w:val="clear" w:color="auto" w:fill="FFFFFF"/>
              </w:rPr>
              <w:t xml:space="preserve"> </w:t>
            </w:r>
          </w:p>
        </w:tc>
      </w:tr>
      <w:tr w:rsidR="00814B20" w:rsidRPr="009428A8" w14:paraId="31B4BA96" w14:textId="77777777" w:rsidTr="009742DD">
        <w:tc>
          <w:tcPr>
            <w:tcW w:w="988" w:type="dxa"/>
          </w:tcPr>
          <w:p w14:paraId="1EB145DB" w14:textId="171D8986" w:rsidR="00814B20" w:rsidRPr="009428A8" w:rsidRDefault="002E143C"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w:t>
            </w:r>
            <w:r w:rsidR="00786B58" w:rsidRPr="009428A8">
              <w:rPr>
                <w:rFonts w:ascii="Arial" w:hAnsi="Arial" w:cs="Arial"/>
                <w:color w:val="000000" w:themeColor="text1"/>
                <w:sz w:val="22"/>
                <w:szCs w:val="22"/>
                <w:lang w:val="en-US"/>
              </w:rPr>
              <w:t>3</w:t>
            </w:r>
          </w:p>
        </w:tc>
        <w:tc>
          <w:tcPr>
            <w:tcW w:w="13041" w:type="dxa"/>
            <w:gridSpan w:val="3"/>
          </w:tcPr>
          <w:p w14:paraId="11D19E5B" w14:textId="79A6D1A3" w:rsidR="00814B20" w:rsidRPr="009428A8" w:rsidRDefault="009D1F3E" w:rsidP="00A50B4E">
            <w:pPr>
              <w:spacing w:line="480" w:lineRule="auto"/>
              <w:contextualSpacing/>
              <w:jc w:val="both"/>
              <w:rPr>
                <w:rFonts w:ascii="Arial" w:hAnsi="Arial" w:cs="Arial"/>
                <w:color w:val="000000" w:themeColor="text1"/>
                <w:sz w:val="22"/>
                <w:szCs w:val="22"/>
                <w:lang w:val="en-US"/>
              </w:rPr>
            </w:pPr>
            <w:r w:rsidRPr="009428A8">
              <w:rPr>
                <w:rStyle w:val="searchhistory-search-term"/>
                <w:rFonts w:ascii="Arial" w:hAnsi="Arial" w:cs="Arial"/>
                <w:sz w:val="22"/>
                <w:szCs w:val="22"/>
              </w:rPr>
              <w:t>3</w:t>
            </w:r>
            <w:r w:rsidR="00814B20" w:rsidRPr="009428A8">
              <w:rPr>
                <w:rStyle w:val="searchhistory-search-term"/>
                <w:rFonts w:ascii="Arial" w:hAnsi="Arial" w:cs="Arial"/>
                <w:sz w:val="22"/>
                <w:szCs w:val="22"/>
              </w:rPr>
              <w:t xml:space="preserve"> and </w:t>
            </w:r>
            <w:r w:rsidR="00786B58" w:rsidRPr="009428A8">
              <w:rPr>
                <w:rStyle w:val="searchhistory-search-term"/>
                <w:rFonts w:ascii="Arial" w:hAnsi="Arial" w:cs="Arial"/>
                <w:sz w:val="22"/>
                <w:szCs w:val="22"/>
              </w:rPr>
              <w:t>12</w:t>
            </w:r>
          </w:p>
        </w:tc>
      </w:tr>
      <w:tr w:rsidR="00814B20" w:rsidRPr="009428A8" w14:paraId="7D2ACD13" w14:textId="77777777" w:rsidTr="009742DD">
        <w:tc>
          <w:tcPr>
            <w:tcW w:w="7366" w:type="dxa"/>
            <w:gridSpan w:val="3"/>
            <w:shd w:val="clear" w:color="auto" w:fill="D0CECE" w:themeFill="background2" w:themeFillShade="E6"/>
          </w:tcPr>
          <w:p w14:paraId="7D66E8CD" w14:textId="5F73103A" w:rsidR="00814B20" w:rsidRPr="009428A8" w:rsidRDefault="00E32658" w:rsidP="00A50B4E">
            <w:pPr>
              <w:spacing w:line="480" w:lineRule="auto"/>
              <w:contextualSpacing/>
              <w:jc w:val="both"/>
              <w:rPr>
                <w:rStyle w:val="searchhistory-search-term"/>
                <w:rFonts w:ascii="Arial" w:hAnsi="Arial" w:cs="Arial"/>
                <w:sz w:val="22"/>
                <w:szCs w:val="22"/>
              </w:rPr>
            </w:pPr>
            <w:r w:rsidRPr="009428A8">
              <w:rPr>
                <w:rFonts w:ascii="Arial" w:hAnsi="Arial" w:cs="Arial"/>
                <w:b/>
                <w:bCs/>
                <w:color w:val="000000" w:themeColor="text1"/>
                <w:sz w:val="22"/>
                <w:szCs w:val="22"/>
                <w:lang w:val="en-US"/>
              </w:rPr>
              <w:t>OVID Medline</w:t>
            </w:r>
            <w:r w:rsidR="00814B20" w:rsidRPr="009428A8">
              <w:rPr>
                <w:rFonts w:ascii="Arial" w:hAnsi="Arial" w:cs="Arial"/>
                <w:b/>
                <w:bCs/>
                <w:color w:val="000000" w:themeColor="text1"/>
                <w:sz w:val="22"/>
                <w:szCs w:val="22"/>
                <w:lang w:val="en-US"/>
              </w:rPr>
              <w:t xml:space="preserve"> search</w:t>
            </w:r>
          </w:p>
        </w:tc>
        <w:tc>
          <w:tcPr>
            <w:tcW w:w="6663" w:type="dxa"/>
            <w:shd w:val="clear" w:color="auto" w:fill="D0CECE" w:themeFill="background2" w:themeFillShade="E6"/>
          </w:tcPr>
          <w:p w14:paraId="6FFDF848" w14:textId="09876018" w:rsidR="00814B20" w:rsidRPr="009428A8" w:rsidRDefault="009624C6" w:rsidP="00A50B4E">
            <w:pPr>
              <w:spacing w:line="480" w:lineRule="auto"/>
              <w:contextualSpacing/>
              <w:jc w:val="both"/>
              <w:rPr>
                <w:rStyle w:val="searchhistory-search-term"/>
                <w:rFonts w:ascii="Arial" w:hAnsi="Arial" w:cs="Arial"/>
                <w:sz w:val="22"/>
                <w:szCs w:val="22"/>
              </w:rPr>
            </w:pPr>
            <w:r>
              <w:rPr>
                <w:rFonts w:ascii="Arial" w:hAnsi="Arial" w:cs="Arial"/>
                <w:b/>
                <w:bCs/>
                <w:color w:val="000000" w:themeColor="text1"/>
                <w:sz w:val="22"/>
                <w:szCs w:val="22"/>
                <w:lang w:val="en-US"/>
              </w:rPr>
              <w:t>2020</w:t>
            </w:r>
            <w:r w:rsidR="00814B20" w:rsidRPr="009428A8">
              <w:rPr>
                <w:rFonts w:ascii="Arial" w:hAnsi="Arial" w:cs="Arial"/>
                <w:b/>
                <w:bCs/>
                <w:color w:val="000000" w:themeColor="text1"/>
                <w:sz w:val="22"/>
                <w:szCs w:val="22"/>
                <w:lang w:val="en-US"/>
              </w:rPr>
              <w:t xml:space="preserve"> articles</w:t>
            </w:r>
          </w:p>
        </w:tc>
      </w:tr>
      <w:tr w:rsidR="00814B20" w:rsidRPr="009428A8" w14:paraId="704FD7A5" w14:textId="77777777" w:rsidTr="009742DD">
        <w:tc>
          <w:tcPr>
            <w:tcW w:w="988" w:type="dxa"/>
          </w:tcPr>
          <w:p w14:paraId="6E0A59E5" w14:textId="77777777" w:rsidR="00814B20" w:rsidRPr="009428A8" w:rsidRDefault="00814B20"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No.</w:t>
            </w:r>
          </w:p>
        </w:tc>
        <w:tc>
          <w:tcPr>
            <w:tcW w:w="13041" w:type="dxa"/>
            <w:gridSpan w:val="3"/>
          </w:tcPr>
          <w:p w14:paraId="1E279A1C" w14:textId="77777777" w:rsidR="00814B20" w:rsidRPr="009428A8" w:rsidRDefault="00814B20" w:rsidP="00A50B4E">
            <w:pPr>
              <w:spacing w:line="480" w:lineRule="auto"/>
              <w:contextualSpacing/>
              <w:jc w:val="both"/>
              <w:rPr>
                <w:rStyle w:val="searchhistory-search-term"/>
                <w:rFonts w:ascii="Arial" w:hAnsi="Arial" w:cs="Arial"/>
                <w:sz w:val="22"/>
                <w:szCs w:val="22"/>
              </w:rPr>
            </w:pPr>
            <w:r w:rsidRPr="009428A8">
              <w:rPr>
                <w:rFonts w:ascii="Arial" w:hAnsi="Arial" w:cs="Arial"/>
                <w:color w:val="000000" w:themeColor="text1"/>
                <w:sz w:val="22"/>
                <w:szCs w:val="22"/>
                <w:lang w:val="en-US"/>
              </w:rPr>
              <w:t>Search term</w:t>
            </w:r>
          </w:p>
        </w:tc>
      </w:tr>
      <w:tr w:rsidR="00814B20" w:rsidRPr="009428A8" w14:paraId="6E0DE195" w14:textId="77777777" w:rsidTr="00884F4C">
        <w:tc>
          <w:tcPr>
            <w:tcW w:w="14029" w:type="dxa"/>
            <w:gridSpan w:val="4"/>
            <w:shd w:val="clear" w:color="auto" w:fill="C5E0B3" w:themeFill="accent6" w:themeFillTint="66"/>
          </w:tcPr>
          <w:p w14:paraId="19946C5D" w14:textId="3AB161A7" w:rsidR="00814B20" w:rsidRPr="009428A8" w:rsidRDefault="00884F4C" w:rsidP="00A50B4E">
            <w:pPr>
              <w:spacing w:line="480" w:lineRule="auto"/>
              <w:contextualSpacing/>
              <w:jc w:val="both"/>
              <w:rPr>
                <w:rStyle w:val="searchhistory-search-term"/>
                <w:rFonts w:ascii="Arial" w:eastAsiaTheme="minorHAnsi" w:hAnsi="Arial" w:cs="Arial"/>
                <w:b/>
                <w:bCs/>
                <w:color w:val="000000" w:themeColor="text1"/>
                <w:sz w:val="22"/>
                <w:szCs w:val="22"/>
                <w:lang w:eastAsia="en-US"/>
              </w:rPr>
            </w:pPr>
            <w:r w:rsidRPr="009428A8">
              <w:rPr>
                <w:rFonts w:ascii="Arial" w:eastAsiaTheme="minorHAnsi" w:hAnsi="Arial" w:cs="Arial"/>
                <w:b/>
                <w:bCs/>
                <w:color w:val="000000" w:themeColor="text1"/>
                <w:sz w:val="22"/>
                <w:szCs w:val="22"/>
                <w:lang w:eastAsia="en-US"/>
              </w:rPr>
              <w:t xml:space="preserve">Surgical </w:t>
            </w:r>
            <w:r w:rsidR="00380731" w:rsidRPr="009428A8">
              <w:rPr>
                <w:rFonts w:ascii="Arial" w:eastAsiaTheme="minorHAnsi" w:hAnsi="Arial" w:cs="Arial"/>
                <w:b/>
                <w:bCs/>
                <w:color w:val="000000" w:themeColor="text1"/>
                <w:sz w:val="22"/>
                <w:szCs w:val="22"/>
                <w:lang w:eastAsia="en-US"/>
              </w:rPr>
              <w:t>S</w:t>
            </w:r>
            <w:r w:rsidRPr="009428A8">
              <w:rPr>
                <w:rFonts w:ascii="Arial" w:eastAsiaTheme="minorHAnsi" w:hAnsi="Arial" w:cs="Arial"/>
                <w:b/>
                <w:bCs/>
                <w:color w:val="000000" w:themeColor="text1"/>
                <w:sz w:val="22"/>
                <w:szCs w:val="22"/>
                <w:lang w:eastAsia="en-US"/>
              </w:rPr>
              <w:t xml:space="preserve">ite </w:t>
            </w:r>
            <w:r w:rsidR="00380731" w:rsidRPr="009428A8">
              <w:rPr>
                <w:rFonts w:ascii="Arial" w:eastAsiaTheme="minorHAnsi" w:hAnsi="Arial" w:cs="Arial"/>
                <w:b/>
                <w:bCs/>
                <w:color w:val="000000" w:themeColor="text1"/>
                <w:sz w:val="22"/>
                <w:szCs w:val="22"/>
                <w:lang w:eastAsia="en-US"/>
              </w:rPr>
              <w:t>I</w:t>
            </w:r>
            <w:r w:rsidRPr="009428A8">
              <w:rPr>
                <w:rFonts w:ascii="Arial" w:eastAsiaTheme="minorHAnsi" w:hAnsi="Arial" w:cs="Arial"/>
                <w:b/>
                <w:bCs/>
                <w:color w:val="000000" w:themeColor="text1"/>
                <w:sz w:val="22"/>
                <w:szCs w:val="22"/>
                <w:lang w:eastAsia="en-US"/>
              </w:rPr>
              <w:t>nfection concept</w:t>
            </w:r>
          </w:p>
        </w:tc>
      </w:tr>
      <w:tr w:rsidR="00B963FB" w:rsidRPr="009428A8" w14:paraId="61588610" w14:textId="77777777" w:rsidTr="009742DD">
        <w:tc>
          <w:tcPr>
            <w:tcW w:w="988" w:type="dxa"/>
          </w:tcPr>
          <w:p w14:paraId="2593FB01" w14:textId="2B00EEDD" w:rsidR="00B963FB" w:rsidRPr="009428A8" w:rsidRDefault="00B963FB" w:rsidP="00B963FB">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w:t>
            </w:r>
          </w:p>
        </w:tc>
        <w:tc>
          <w:tcPr>
            <w:tcW w:w="13041" w:type="dxa"/>
            <w:gridSpan w:val="3"/>
          </w:tcPr>
          <w:p w14:paraId="3911222A" w14:textId="727FACD2" w:rsidR="00B963FB" w:rsidRPr="009428A8" w:rsidRDefault="00B963FB" w:rsidP="00B963FB">
            <w:pPr>
              <w:spacing w:line="480" w:lineRule="auto"/>
              <w:contextualSpacing/>
              <w:jc w:val="both"/>
              <w:rPr>
                <w:rStyle w:val="searchhistory-search-term"/>
                <w:rFonts w:ascii="Arial" w:hAnsi="Arial" w:cs="Arial"/>
                <w:sz w:val="22"/>
                <w:szCs w:val="22"/>
              </w:rPr>
            </w:pPr>
            <w:r w:rsidRPr="009428A8">
              <w:rPr>
                <w:rFonts w:ascii="Arial" w:hAnsi="Arial" w:cs="Arial"/>
                <w:color w:val="000000"/>
                <w:sz w:val="22"/>
                <w:szCs w:val="22"/>
              </w:rPr>
              <w:t xml:space="preserve">Exp Surgical </w:t>
            </w:r>
            <w:r w:rsidR="00A232B5" w:rsidRPr="009428A8">
              <w:rPr>
                <w:rFonts w:ascii="Arial" w:hAnsi="Arial" w:cs="Arial"/>
                <w:color w:val="000000"/>
                <w:sz w:val="22"/>
                <w:szCs w:val="22"/>
              </w:rPr>
              <w:t>W</w:t>
            </w:r>
            <w:r w:rsidRPr="009428A8">
              <w:rPr>
                <w:rFonts w:ascii="Arial" w:hAnsi="Arial" w:cs="Arial"/>
                <w:color w:val="000000"/>
                <w:sz w:val="22"/>
                <w:szCs w:val="22"/>
              </w:rPr>
              <w:t>ound Infection/</w:t>
            </w:r>
          </w:p>
        </w:tc>
      </w:tr>
      <w:tr w:rsidR="00B963FB" w:rsidRPr="009428A8" w14:paraId="652EF16A" w14:textId="77777777" w:rsidTr="009742DD">
        <w:tc>
          <w:tcPr>
            <w:tcW w:w="988" w:type="dxa"/>
          </w:tcPr>
          <w:p w14:paraId="654EEDAE" w14:textId="64AAC5BC" w:rsidR="00B963FB" w:rsidRPr="009428A8" w:rsidRDefault="00B963FB" w:rsidP="00B963FB">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2</w:t>
            </w:r>
          </w:p>
        </w:tc>
        <w:tc>
          <w:tcPr>
            <w:tcW w:w="13041" w:type="dxa"/>
            <w:gridSpan w:val="3"/>
          </w:tcPr>
          <w:p w14:paraId="20011929" w14:textId="0D921AAC" w:rsidR="00B963FB" w:rsidRPr="009428A8" w:rsidRDefault="00A232B5" w:rsidP="00B963FB">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sz w:val="22"/>
                <w:szCs w:val="22"/>
              </w:rPr>
              <w:t>(SSI or surgical site infection).</w:t>
            </w:r>
            <w:proofErr w:type="spellStart"/>
            <w:r w:rsidRPr="009428A8">
              <w:rPr>
                <w:rFonts w:ascii="Arial" w:hAnsi="Arial" w:cs="Arial"/>
                <w:color w:val="000000"/>
                <w:sz w:val="22"/>
                <w:szCs w:val="22"/>
              </w:rPr>
              <w:t>tw</w:t>
            </w:r>
            <w:proofErr w:type="spellEnd"/>
            <w:r w:rsidRPr="009428A8">
              <w:rPr>
                <w:rFonts w:ascii="Arial" w:hAnsi="Arial" w:cs="Arial"/>
                <w:color w:val="000000"/>
                <w:sz w:val="22"/>
                <w:szCs w:val="22"/>
              </w:rPr>
              <w:t>.</w:t>
            </w:r>
          </w:p>
        </w:tc>
      </w:tr>
      <w:tr w:rsidR="00E36356" w:rsidRPr="009428A8" w14:paraId="008761F3" w14:textId="77777777" w:rsidTr="009742DD">
        <w:tc>
          <w:tcPr>
            <w:tcW w:w="988" w:type="dxa"/>
          </w:tcPr>
          <w:p w14:paraId="1C1C07BB" w14:textId="30ED99FB" w:rsidR="00E36356" w:rsidRPr="009428A8" w:rsidRDefault="00E36356" w:rsidP="00E36356">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3</w:t>
            </w:r>
          </w:p>
        </w:tc>
        <w:tc>
          <w:tcPr>
            <w:tcW w:w="13041" w:type="dxa"/>
            <w:gridSpan w:val="3"/>
          </w:tcPr>
          <w:p w14:paraId="7A614455" w14:textId="36CCDDF2" w:rsidR="00E36356" w:rsidRPr="009428A8" w:rsidRDefault="00E36356" w:rsidP="00E36356">
            <w:pPr>
              <w:spacing w:line="480" w:lineRule="auto"/>
              <w:contextualSpacing/>
              <w:jc w:val="both"/>
              <w:rPr>
                <w:rStyle w:val="searchhistory-search-term"/>
                <w:rFonts w:ascii="Arial" w:hAnsi="Arial" w:cs="Arial"/>
                <w:sz w:val="22"/>
                <w:szCs w:val="22"/>
              </w:rPr>
            </w:pPr>
            <w:r w:rsidRPr="009428A8">
              <w:rPr>
                <w:rFonts w:ascii="Arial" w:hAnsi="Arial" w:cs="Arial"/>
                <w:color w:val="000000" w:themeColor="text1"/>
                <w:sz w:val="22"/>
                <w:szCs w:val="22"/>
                <w:lang w:val="en-US"/>
              </w:rPr>
              <w:t>1 or 2</w:t>
            </w:r>
          </w:p>
        </w:tc>
      </w:tr>
      <w:tr w:rsidR="00BC7A28" w:rsidRPr="009428A8" w14:paraId="66EC2E65" w14:textId="77777777" w:rsidTr="00884F4C">
        <w:tc>
          <w:tcPr>
            <w:tcW w:w="14029" w:type="dxa"/>
            <w:gridSpan w:val="4"/>
            <w:shd w:val="clear" w:color="auto" w:fill="C5E0B3" w:themeFill="accent6" w:themeFillTint="66"/>
          </w:tcPr>
          <w:p w14:paraId="51167DFD" w14:textId="131DF43F" w:rsidR="00BC7A28" w:rsidRPr="009428A8" w:rsidRDefault="001921EA" w:rsidP="00BC7A28">
            <w:pPr>
              <w:spacing w:line="480" w:lineRule="auto"/>
              <w:contextualSpacing/>
              <w:jc w:val="both"/>
              <w:rPr>
                <w:rStyle w:val="searchhistory-search-term"/>
                <w:rFonts w:ascii="Arial" w:hAnsi="Arial" w:cs="Arial"/>
                <w:sz w:val="22"/>
                <w:szCs w:val="22"/>
              </w:rPr>
            </w:pPr>
            <w:r w:rsidRPr="009428A8">
              <w:rPr>
                <w:rFonts w:ascii="Arial" w:hAnsi="Arial" w:cs="Arial"/>
                <w:b/>
                <w:bCs/>
                <w:color w:val="000000" w:themeColor="text1"/>
                <w:sz w:val="22"/>
                <w:szCs w:val="22"/>
              </w:rPr>
              <w:t xml:space="preserve">Neurosurgery </w:t>
            </w:r>
            <w:r w:rsidR="00380731" w:rsidRPr="009428A8">
              <w:rPr>
                <w:rFonts w:ascii="Arial" w:hAnsi="Arial" w:cs="Arial"/>
                <w:b/>
                <w:bCs/>
                <w:color w:val="000000" w:themeColor="text1"/>
                <w:sz w:val="22"/>
                <w:szCs w:val="22"/>
              </w:rPr>
              <w:t>concept</w:t>
            </w:r>
          </w:p>
        </w:tc>
      </w:tr>
      <w:tr w:rsidR="00B963FB" w:rsidRPr="009428A8" w14:paraId="4B476318" w14:textId="77777777" w:rsidTr="009742DD">
        <w:tc>
          <w:tcPr>
            <w:tcW w:w="988" w:type="dxa"/>
          </w:tcPr>
          <w:p w14:paraId="48BA0FEC" w14:textId="7365BE37" w:rsidR="00B963FB" w:rsidRPr="009428A8" w:rsidRDefault="00B963FB" w:rsidP="00B963FB">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4</w:t>
            </w:r>
          </w:p>
        </w:tc>
        <w:tc>
          <w:tcPr>
            <w:tcW w:w="13041" w:type="dxa"/>
            <w:gridSpan w:val="3"/>
          </w:tcPr>
          <w:p w14:paraId="2501A5EE" w14:textId="276772DF" w:rsidR="00B963FB" w:rsidRPr="009428A8" w:rsidRDefault="00116A5C" w:rsidP="00B963FB">
            <w:pPr>
              <w:spacing w:line="480" w:lineRule="auto"/>
              <w:contextualSpacing/>
              <w:jc w:val="both"/>
              <w:rPr>
                <w:rFonts w:ascii="Arial" w:hAnsi="Arial" w:cs="Arial"/>
                <w:color w:val="000000" w:themeColor="text1"/>
                <w:sz w:val="22"/>
                <w:szCs w:val="22"/>
                <w:shd w:val="clear" w:color="auto" w:fill="FFFFFF"/>
              </w:rPr>
            </w:pPr>
            <w:r w:rsidRPr="009428A8">
              <w:rPr>
                <w:rFonts w:ascii="Arial" w:hAnsi="Arial" w:cs="Arial"/>
                <w:color w:val="000000"/>
                <w:sz w:val="22"/>
                <w:szCs w:val="22"/>
              </w:rPr>
              <w:t>exp brain/ or exp skull/</w:t>
            </w:r>
          </w:p>
        </w:tc>
      </w:tr>
      <w:tr w:rsidR="00B963FB" w:rsidRPr="009428A8" w14:paraId="0C4501EE" w14:textId="77777777" w:rsidTr="009742DD">
        <w:tc>
          <w:tcPr>
            <w:tcW w:w="988" w:type="dxa"/>
          </w:tcPr>
          <w:p w14:paraId="0B8B60FB" w14:textId="11B7A161" w:rsidR="00B963FB" w:rsidRPr="009428A8" w:rsidRDefault="00B963FB" w:rsidP="00B963FB">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5</w:t>
            </w:r>
          </w:p>
        </w:tc>
        <w:tc>
          <w:tcPr>
            <w:tcW w:w="13041" w:type="dxa"/>
            <w:gridSpan w:val="3"/>
          </w:tcPr>
          <w:p w14:paraId="7D143BBF" w14:textId="126FFEC4" w:rsidR="00B963FB" w:rsidRPr="009428A8" w:rsidRDefault="00116A5C" w:rsidP="00B963FB">
            <w:pPr>
              <w:spacing w:line="480" w:lineRule="auto"/>
              <w:contextualSpacing/>
              <w:jc w:val="both"/>
              <w:rPr>
                <w:rFonts w:ascii="Arial" w:hAnsi="Arial" w:cs="Arial"/>
                <w:color w:val="000000" w:themeColor="text1"/>
                <w:sz w:val="22"/>
                <w:szCs w:val="22"/>
                <w:shd w:val="clear" w:color="auto" w:fill="FFFFFF"/>
              </w:rPr>
            </w:pPr>
            <w:r w:rsidRPr="009428A8">
              <w:rPr>
                <w:rFonts w:ascii="Arial" w:hAnsi="Arial" w:cs="Arial"/>
                <w:color w:val="000000"/>
                <w:sz w:val="22"/>
                <w:szCs w:val="22"/>
              </w:rPr>
              <w:t>(brain or cranial or skull).</w:t>
            </w:r>
            <w:proofErr w:type="spellStart"/>
            <w:r w:rsidRPr="009428A8">
              <w:rPr>
                <w:rFonts w:ascii="Arial" w:hAnsi="Arial" w:cs="Arial"/>
                <w:color w:val="000000"/>
                <w:sz w:val="22"/>
                <w:szCs w:val="22"/>
              </w:rPr>
              <w:t>tw</w:t>
            </w:r>
            <w:proofErr w:type="spellEnd"/>
          </w:p>
        </w:tc>
      </w:tr>
      <w:tr w:rsidR="00A232B5" w:rsidRPr="009428A8" w14:paraId="6DFB8B95" w14:textId="77777777" w:rsidTr="009742DD">
        <w:tc>
          <w:tcPr>
            <w:tcW w:w="988" w:type="dxa"/>
          </w:tcPr>
          <w:p w14:paraId="72C99B57" w14:textId="2A8F7FDC" w:rsidR="00A232B5" w:rsidRPr="009428A8" w:rsidRDefault="00A232B5" w:rsidP="00A232B5">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6</w:t>
            </w:r>
          </w:p>
        </w:tc>
        <w:tc>
          <w:tcPr>
            <w:tcW w:w="13041" w:type="dxa"/>
            <w:gridSpan w:val="3"/>
          </w:tcPr>
          <w:p w14:paraId="3B595AC2" w14:textId="27835BC5" w:rsidR="00A232B5" w:rsidRPr="009428A8" w:rsidRDefault="00116A5C" w:rsidP="00A232B5">
            <w:pPr>
              <w:spacing w:line="480" w:lineRule="auto"/>
              <w:contextualSpacing/>
              <w:jc w:val="both"/>
              <w:rPr>
                <w:rFonts w:ascii="Arial" w:hAnsi="Arial" w:cs="Arial"/>
                <w:color w:val="000000"/>
                <w:sz w:val="22"/>
                <w:szCs w:val="22"/>
              </w:rPr>
            </w:pPr>
            <w:r w:rsidRPr="009428A8">
              <w:rPr>
                <w:rFonts w:ascii="Arial" w:hAnsi="Arial" w:cs="Arial"/>
                <w:color w:val="000000"/>
                <w:sz w:val="22"/>
                <w:szCs w:val="22"/>
              </w:rPr>
              <w:t>4 or 5</w:t>
            </w:r>
          </w:p>
        </w:tc>
      </w:tr>
      <w:tr w:rsidR="00116A5C" w:rsidRPr="009428A8" w14:paraId="6FC1AB61" w14:textId="77777777" w:rsidTr="009742DD">
        <w:tc>
          <w:tcPr>
            <w:tcW w:w="988" w:type="dxa"/>
          </w:tcPr>
          <w:p w14:paraId="2003487E" w14:textId="63DB332A" w:rsidR="00116A5C" w:rsidRPr="009428A8" w:rsidRDefault="00116A5C" w:rsidP="00116A5C">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7</w:t>
            </w:r>
          </w:p>
        </w:tc>
        <w:tc>
          <w:tcPr>
            <w:tcW w:w="13041" w:type="dxa"/>
            <w:gridSpan w:val="3"/>
          </w:tcPr>
          <w:p w14:paraId="3900D394" w14:textId="6BF3AAB4" w:rsidR="00116A5C" w:rsidRPr="009428A8" w:rsidRDefault="00116A5C" w:rsidP="00116A5C">
            <w:pPr>
              <w:spacing w:line="480" w:lineRule="auto"/>
              <w:contextualSpacing/>
              <w:jc w:val="both"/>
              <w:rPr>
                <w:rFonts w:ascii="Arial" w:hAnsi="Arial" w:cs="Arial"/>
                <w:color w:val="000000"/>
                <w:sz w:val="22"/>
                <w:szCs w:val="22"/>
              </w:rPr>
            </w:pPr>
            <w:r w:rsidRPr="009428A8">
              <w:rPr>
                <w:rFonts w:ascii="Arial" w:hAnsi="Arial" w:cs="Arial"/>
                <w:color w:val="000000"/>
                <w:sz w:val="22"/>
                <w:szCs w:val="22"/>
              </w:rPr>
              <w:t>Exp surgery/ or surgery.tw</w:t>
            </w:r>
          </w:p>
        </w:tc>
      </w:tr>
      <w:tr w:rsidR="00116A5C" w:rsidRPr="009428A8" w14:paraId="7ED3A067" w14:textId="77777777" w:rsidTr="009742DD">
        <w:tc>
          <w:tcPr>
            <w:tcW w:w="988" w:type="dxa"/>
          </w:tcPr>
          <w:p w14:paraId="2D4581B5" w14:textId="1630141D" w:rsidR="00116A5C" w:rsidRPr="009428A8" w:rsidRDefault="00116A5C" w:rsidP="00116A5C">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8</w:t>
            </w:r>
          </w:p>
        </w:tc>
        <w:tc>
          <w:tcPr>
            <w:tcW w:w="13041" w:type="dxa"/>
            <w:gridSpan w:val="3"/>
          </w:tcPr>
          <w:p w14:paraId="5E8DBE8A" w14:textId="508AA0A2" w:rsidR="00116A5C" w:rsidRPr="009428A8" w:rsidRDefault="00116A5C" w:rsidP="00116A5C">
            <w:pPr>
              <w:spacing w:line="480" w:lineRule="auto"/>
              <w:contextualSpacing/>
              <w:jc w:val="both"/>
              <w:rPr>
                <w:rFonts w:ascii="Arial" w:hAnsi="Arial" w:cs="Arial"/>
                <w:color w:val="000000"/>
                <w:sz w:val="22"/>
                <w:szCs w:val="22"/>
              </w:rPr>
            </w:pPr>
            <w:r w:rsidRPr="009428A8">
              <w:rPr>
                <w:rFonts w:ascii="Arial" w:hAnsi="Arial" w:cs="Arial"/>
                <w:color w:val="000000"/>
                <w:sz w:val="22"/>
                <w:szCs w:val="22"/>
              </w:rPr>
              <w:t>6 and 7</w:t>
            </w:r>
          </w:p>
        </w:tc>
      </w:tr>
      <w:tr w:rsidR="00116A5C" w:rsidRPr="009428A8" w14:paraId="16EC9707" w14:textId="77777777" w:rsidTr="009742DD">
        <w:tc>
          <w:tcPr>
            <w:tcW w:w="988" w:type="dxa"/>
          </w:tcPr>
          <w:p w14:paraId="4B3D8CD5" w14:textId="631559BA" w:rsidR="00116A5C" w:rsidRPr="009428A8" w:rsidRDefault="00116A5C" w:rsidP="00116A5C">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9</w:t>
            </w:r>
          </w:p>
        </w:tc>
        <w:tc>
          <w:tcPr>
            <w:tcW w:w="13041" w:type="dxa"/>
            <w:gridSpan w:val="3"/>
          </w:tcPr>
          <w:p w14:paraId="13509EE6" w14:textId="466DEA51" w:rsidR="00116A5C" w:rsidRPr="009428A8" w:rsidRDefault="00116A5C" w:rsidP="00116A5C">
            <w:pPr>
              <w:spacing w:line="480" w:lineRule="auto"/>
              <w:contextualSpacing/>
              <w:jc w:val="both"/>
              <w:rPr>
                <w:rFonts w:ascii="Arial" w:hAnsi="Arial" w:cs="Arial"/>
                <w:color w:val="000000" w:themeColor="text1"/>
                <w:sz w:val="22"/>
                <w:szCs w:val="22"/>
                <w:shd w:val="clear" w:color="auto" w:fill="FFFFFF"/>
              </w:rPr>
            </w:pPr>
            <w:r w:rsidRPr="009428A8">
              <w:rPr>
                <w:rFonts w:ascii="Arial" w:hAnsi="Arial" w:cs="Arial"/>
                <w:color w:val="000000"/>
                <w:sz w:val="22"/>
                <w:szCs w:val="22"/>
              </w:rPr>
              <w:t>Exp neurosurgical procedures/ or exp neurosurgery/ or exp craniotomy</w:t>
            </w:r>
            <w:r w:rsidR="00786B58" w:rsidRPr="009428A8">
              <w:rPr>
                <w:rFonts w:ascii="Arial" w:hAnsi="Arial" w:cs="Arial"/>
                <w:color w:val="000000"/>
                <w:sz w:val="22"/>
                <w:szCs w:val="22"/>
              </w:rPr>
              <w:t>/</w:t>
            </w:r>
          </w:p>
        </w:tc>
      </w:tr>
      <w:tr w:rsidR="00116A5C" w:rsidRPr="009428A8" w14:paraId="119C2EA1" w14:textId="77777777" w:rsidTr="009742DD">
        <w:tc>
          <w:tcPr>
            <w:tcW w:w="988" w:type="dxa"/>
          </w:tcPr>
          <w:p w14:paraId="623E9179" w14:textId="6480031F" w:rsidR="00116A5C" w:rsidRPr="009428A8" w:rsidRDefault="00116A5C" w:rsidP="00116A5C">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10</w:t>
            </w:r>
          </w:p>
        </w:tc>
        <w:tc>
          <w:tcPr>
            <w:tcW w:w="13041" w:type="dxa"/>
            <w:gridSpan w:val="3"/>
          </w:tcPr>
          <w:p w14:paraId="155FA727" w14:textId="16DBA45A" w:rsidR="00116A5C" w:rsidRPr="009428A8" w:rsidRDefault="00786B58" w:rsidP="00116A5C">
            <w:pPr>
              <w:spacing w:line="480" w:lineRule="auto"/>
              <w:contextualSpacing/>
              <w:jc w:val="both"/>
              <w:rPr>
                <w:rFonts w:ascii="Arial" w:hAnsi="Arial" w:cs="Arial"/>
                <w:color w:val="000000"/>
                <w:sz w:val="22"/>
                <w:szCs w:val="22"/>
              </w:rPr>
            </w:pPr>
            <w:r w:rsidRPr="009428A8">
              <w:rPr>
                <w:rFonts w:ascii="Arial" w:hAnsi="Arial" w:cs="Arial"/>
                <w:color w:val="000000"/>
                <w:sz w:val="22"/>
                <w:szCs w:val="22"/>
              </w:rPr>
              <w:t>(neurosurgery or cranial surgery or craniotomy).</w:t>
            </w:r>
            <w:proofErr w:type="spellStart"/>
            <w:r w:rsidRPr="009428A8">
              <w:rPr>
                <w:rFonts w:ascii="Arial" w:hAnsi="Arial" w:cs="Arial"/>
                <w:color w:val="000000"/>
                <w:sz w:val="22"/>
                <w:szCs w:val="22"/>
              </w:rPr>
              <w:t>tw</w:t>
            </w:r>
            <w:proofErr w:type="spellEnd"/>
          </w:p>
        </w:tc>
      </w:tr>
      <w:tr w:rsidR="00786B58" w:rsidRPr="009428A8" w14:paraId="3DFCAC12" w14:textId="77777777" w:rsidTr="009742DD">
        <w:tc>
          <w:tcPr>
            <w:tcW w:w="988" w:type="dxa"/>
          </w:tcPr>
          <w:p w14:paraId="153EF2E8" w14:textId="56AA79A0"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11</w:t>
            </w:r>
          </w:p>
        </w:tc>
        <w:tc>
          <w:tcPr>
            <w:tcW w:w="13041" w:type="dxa"/>
            <w:gridSpan w:val="3"/>
          </w:tcPr>
          <w:p w14:paraId="2AF96DF9" w14:textId="6508C06C" w:rsidR="00786B58" w:rsidRPr="009428A8" w:rsidRDefault="00786B58" w:rsidP="00786B58">
            <w:pPr>
              <w:spacing w:line="480" w:lineRule="auto"/>
              <w:contextualSpacing/>
              <w:jc w:val="both"/>
              <w:rPr>
                <w:rFonts w:ascii="Arial" w:hAnsi="Arial" w:cs="Arial"/>
                <w:color w:val="000000"/>
                <w:sz w:val="22"/>
                <w:szCs w:val="22"/>
              </w:rPr>
            </w:pPr>
            <w:r w:rsidRPr="009428A8">
              <w:rPr>
                <w:rFonts w:ascii="Arial" w:hAnsi="Arial" w:cs="Arial"/>
                <w:color w:val="000000"/>
                <w:sz w:val="22"/>
                <w:szCs w:val="22"/>
              </w:rPr>
              <w:t>9 or 10</w:t>
            </w:r>
          </w:p>
        </w:tc>
      </w:tr>
      <w:tr w:rsidR="00786B58" w:rsidRPr="009428A8" w14:paraId="3D9B8D5E" w14:textId="77777777" w:rsidTr="009742DD">
        <w:tc>
          <w:tcPr>
            <w:tcW w:w="988" w:type="dxa"/>
          </w:tcPr>
          <w:p w14:paraId="0DEB4D3B" w14:textId="54AA6264"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lastRenderedPageBreak/>
              <w:t>12</w:t>
            </w:r>
          </w:p>
        </w:tc>
        <w:tc>
          <w:tcPr>
            <w:tcW w:w="13041" w:type="dxa"/>
            <w:gridSpan w:val="3"/>
          </w:tcPr>
          <w:p w14:paraId="16FE875C" w14:textId="278D7D82" w:rsidR="00786B58" w:rsidRPr="009428A8" w:rsidRDefault="00786B58" w:rsidP="00786B58">
            <w:pPr>
              <w:spacing w:line="480" w:lineRule="auto"/>
              <w:contextualSpacing/>
              <w:jc w:val="both"/>
              <w:rPr>
                <w:rFonts w:ascii="Arial" w:hAnsi="Arial" w:cs="Arial"/>
                <w:color w:val="000000"/>
                <w:sz w:val="22"/>
                <w:szCs w:val="22"/>
              </w:rPr>
            </w:pPr>
            <w:r w:rsidRPr="009428A8">
              <w:rPr>
                <w:rFonts w:ascii="Arial" w:hAnsi="Arial" w:cs="Arial"/>
                <w:color w:val="000000"/>
                <w:sz w:val="22"/>
                <w:szCs w:val="22"/>
              </w:rPr>
              <w:t>8 or 11</w:t>
            </w:r>
          </w:p>
        </w:tc>
      </w:tr>
      <w:tr w:rsidR="00786B58" w:rsidRPr="009428A8" w14:paraId="4A7FF382" w14:textId="77777777" w:rsidTr="00884F4C">
        <w:tc>
          <w:tcPr>
            <w:tcW w:w="14029" w:type="dxa"/>
            <w:gridSpan w:val="4"/>
            <w:shd w:val="clear" w:color="auto" w:fill="C5E0B3" w:themeFill="accent6" w:themeFillTint="66"/>
          </w:tcPr>
          <w:p w14:paraId="469B2FA7" w14:textId="78BA8215" w:rsidR="00786B58" w:rsidRPr="009428A8" w:rsidRDefault="00786B58" w:rsidP="00786B58">
            <w:pPr>
              <w:spacing w:line="480" w:lineRule="auto"/>
              <w:contextualSpacing/>
              <w:jc w:val="both"/>
              <w:rPr>
                <w:rFonts w:ascii="Arial" w:hAnsi="Arial" w:cs="Arial"/>
                <w:color w:val="000000" w:themeColor="text1"/>
                <w:sz w:val="22"/>
                <w:szCs w:val="22"/>
                <w:shd w:val="clear" w:color="auto" w:fill="FFFFFF"/>
              </w:rPr>
            </w:pPr>
            <w:r w:rsidRPr="009428A8">
              <w:rPr>
                <w:rFonts w:ascii="Arial" w:hAnsi="Arial" w:cs="Arial"/>
                <w:b/>
                <w:bCs/>
                <w:color w:val="000000" w:themeColor="text1"/>
                <w:sz w:val="22"/>
                <w:szCs w:val="22"/>
                <w:lang w:val="en-US"/>
              </w:rPr>
              <w:t>Combined concepts</w:t>
            </w:r>
            <w:r w:rsidRPr="009428A8">
              <w:rPr>
                <w:rFonts w:ascii="Arial" w:hAnsi="Arial" w:cs="Arial"/>
                <w:b/>
                <w:bCs/>
                <w:color w:val="000000" w:themeColor="text1"/>
                <w:sz w:val="22"/>
                <w:szCs w:val="22"/>
                <w:shd w:val="clear" w:color="auto" w:fill="FFFFFF"/>
              </w:rPr>
              <w:t xml:space="preserve"> </w:t>
            </w:r>
          </w:p>
        </w:tc>
      </w:tr>
      <w:tr w:rsidR="00786B58" w:rsidRPr="009428A8" w14:paraId="0D108D25" w14:textId="77777777" w:rsidTr="009742DD">
        <w:tc>
          <w:tcPr>
            <w:tcW w:w="988" w:type="dxa"/>
          </w:tcPr>
          <w:p w14:paraId="29AD93E6" w14:textId="522738EA"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13</w:t>
            </w:r>
          </w:p>
        </w:tc>
        <w:tc>
          <w:tcPr>
            <w:tcW w:w="13041" w:type="dxa"/>
            <w:gridSpan w:val="3"/>
          </w:tcPr>
          <w:p w14:paraId="030FB7F3" w14:textId="5485BB3D" w:rsidR="00786B58" w:rsidRPr="009428A8" w:rsidRDefault="00786B58" w:rsidP="00786B58">
            <w:pPr>
              <w:spacing w:line="480" w:lineRule="auto"/>
              <w:contextualSpacing/>
              <w:jc w:val="both"/>
              <w:rPr>
                <w:rFonts w:ascii="Arial" w:hAnsi="Arial" w:cs="Arial"/>
                <w:color w:val="000000" w:themeColor="text1"/>
                <w:sz w:val="22"/>
                <w:szCs w:val="22"/>
                <w:shd w:val="clear" w:color="auto" w:fill="FFFFFF"/>
              </w:rPr>
            </w:pPr>
            <w:r w:rsidRPr="009428A8">
              <w:rPr>
                <w:rStyle w:val="searchhistory-search-term"/>
                <w:rFonts w:ascii="Arial" w:hAnsi="Arial" w:cs="Arial"/>
                <w:sz w:val="22"/>
                <w:szCs w:val="22"/>
              </w:rPr>
              <w:t>3 and 12</w:t>
            </w:r>
          </w:p>
        </w:tc>
      </w:tr>
      <w:tr w:rsidR="00786B58" w:rsidRPr="009428A8" w14:paraId="243A3AED" w14:textId="77777777" w:rsidTr="009742DD">
        <w:tc>
          <w:tcPr>
            <w:tcW w:w="7225" w:type="dxa"/>
            <w:gridSpan w:val="2"/>
            <w:shd w:val="clear" w:color="auto" w:fill="D0CECE" w:themeFill="background2" w:themeFillShade="E6"/>
          </w:tcPr>
          <w:p w14:paraId="07BF0764" w14:textId="7732E26A" w:rsidR="00786B58" w:rsidRPr="009428A8" w:rsidRDefault="00786B58" w:rsidP="00786B58">
            <w:pPr>
              <w:spacing w:line="480" w:lineRule="auto"/>
              <w:contextualSpacing/>
              <w:jc w:val="both"/>
              <w:rPr>
                <w:rStyle w:val="searchhistory-search-term"/>
                <w:rFonts w:ascii="Arial" w:hAnsi="Arial" w:cs="Arial"/>
                <w:sz w:val="22"/>
                <w:szCs w:val="22"/>
              </w:rPr>
            </w:pPr>
            <w:r w:rsidRPr="009428A8">
              <w:rPr>
                <w:rStyle w:val="searchhistory-search-term"/>
                <w:rFonts w:ascii="Arial" w:hAnsi="Arial" w:cs="Arial"/>
                <w:b/>
                <w:bCs/>
                <w:sz w:val="22"/>
                <w:szCs w:val="22"/>
              </w:rPr>
              <w:t>Cochrane Central Register of Controlled Trials (CENTRAL</w:t>
            </w:r>
            <w:r w:rsidRPr="009428A8">
              <w:rPr>
                <w:rStyle w:val="searchhistory-search-term"/>
                <w:rFonts w:ascii="Arial" w:hAnsi="Arial" w:cs="Arial"/>
                <w:sz w:val="22"/>
                <w:szCs w:val="22"/>
              </w:rPr>
              <w:t>)</w:t>
            </w:r>
          </w:p>
        </w:tc>
        <w:tc>
          <w:tcPr>
            <w:tcW w:w="6804" w:type="dxa"/>
            <w:gridSpan w:val="2"/>
            <w:shd w:val="clear" w:color="auto" w:fill="D0CECE" w:themeFill="background2" w:themeFillShade="E6"/>
          </w:tcPr>
          <w:p w14:paraId="366D9001" w14:textId="6861A734" w:rsidR="00786B58" w:rsidRPr="009428A8" w:rsidRDefault="00005D35" w:rsidP="00786B58">
            <w:pPr>
              <w:spacing w:line="480" w:lineRule="auto"/>
              <w:contextualSpacing/>
              <w:jc w:val="both"/>
              <w:rPr>
                <w:rStyle w:val="searchhistory-search-term"/>
                <w:rFonts w:ascii="Arial" w:hAnsi="Arial" w:cs="Arial"/>
                <w:sz w:val="22"/>
                <w:szCs w:val="22"/>
              </w:rPr>
            </w:pPr>
            <w:r>
              <w:rPr>
                <w:rFonts w:ascii="Arial" w:hAnsi="Arial" w:cs="Arial"/>
                <w:b/>
                <w:bCs/>
                <w:color w:val="000000" w:themeColor="text1"/>
                <w:sz w:val="22"/>
                <w:szCs w:val="22"/>
                <w:lang w:val="en-US"/>
              </w:rPr>
              <w:t>151</w:t>
            </w:r>
            <w:r w:rsidR="00786B58" w:rsidRPr="009428A8">
              <w:rPr>
                <w:rFonts w:ascii="Arial" w:hAnsi="Arial" w:cs="Arial"/>
                <w:b/>
                <w:bCs/>
                <w:color w:val="000000" w:themeColor="text1"/>
                <w:sz w:val="22"/>
                <w:szCs w:val="22"/>
                <w:lang w:val="en-US"/>
              </w:rPr>
              <w:t xml:space="preserve"> articles </w:t>
            </w:r>
          </w:p>
        </w:tc>
      </w:tr>
      <w:tr w:rsidR="00786B58" w:rsidRPr="009428A8" w14:paraId="20242BCB" w14:textId="77777777" w:rsidTr="009742DD">
        <w:tc>
          <w:tcPr>
            <w:tcW w:w="988" w:type="dxa"/>
          </w:tcPr>
          <w:p w14:paraId="7C2C7307" w14:textId="26426215"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No.</w:t>
            </w:r>
          </w:p>
        </w:tc>
        <w:tc>
          <w:tcPr>
            <w:tcW w:w="13041" w:type="dxa"/>
            <w:gridSpan w:val="3"/>
          </w:tcPr>
          <w:p w14:paraId="5045C85B" w14:textId="5BB9999E" w:rsidR="00786B58" w:rsidRPr="009428A8" w:rsidRDefault="00786B58" w:rsidP="00786B58">
            <w:pPr>
              <w:spacing w:line="480" w:lineRule="auto"/>
              <w:contextualSpacing/>
              <w:jc w:val="both"/>
              <w:rPr>
                <w:rStyle w:val="searchhistory-search-term"/>
                <w:rFonts w:ascii="Arial" w:hAnsi="Arial" w:cs="Arial"/>
                <w:sz w:val="22"/>
                <w:szCs w:val="22"/>
              </w:rPr>
            </w:pPr>
            <w:r w:rsidRPr="009428A8">
              <w:rPr>
                <w:rFonts w:ascii="Arial" w:hAnsi="Arial" w:cs="Arial"/>
                <w:color w:val="000000" w:themeColor="text1"/>
                <w:sz w:val="22"/>
                <w:szCs w:val="22"/>
                <w:lang w:val="en-US"/>
              </w:rPr>
              <w:t>Search term</w:t>
            </w:r>
          </w:p>
        </w:tc>
      </w:tr>
      <w:tr w:rsidR="00786B58" w:rsidRPr="009428A8" w14:paraId="28FF1154" w14:textId="77777777" w:rsidTr="00884F4C">
        <w:tc>
          <w:tcPr>
            <w:tcW w:w="14029" w:type="dxa"/>
            <w:gridSpan w:val="4"/>
            <w:shd w:val="clear" w:color="auto" w:fill="C5E0B3" w:themeFill="accent6" w:themeFillTint="66"/>
          </w:tcPr>
          <w:p w14:paraId="6A3C5E6B" w14:textId="3D82CBAC" w:rsidR="00786B58" w:rsidRPr="009428A8" w:rsidRDefault="00786B58" w:rsidP="00786B58">
            <w:pPr>
              <w:spacing w:line="480" w:lineRule="auto"/>
              <w:contextualSpacing/>
              <w:jc w:val="both"/>
              <w:rPr>
                <w:rStyle w:val="searchhistory-search-term"/>
                <w:rFonts w:ascii="Arial" w:eastAsiaTheme="minorHAnsi" w:hAnsi="Arial" w:cs="Arial"/>
                <w:b/>
                <w:bCs/>
                <w:color w:val="000000" w:themeColor="text1"/>
                <w:sz w:val="22"/>
                <w:szCs w:val="22"/>
                <w:lang w:eastAsia="en-US"/>
              </w:rPr>
            </w:pPr>
            <w:r w:rsidRPr="009428A8">
              <w:rPr>
                <w:rFonts w:ascii="Arial" w:eastAsiaTheme="minorHAnsi" w:hAnsi="Arial" w:cs="Arial"/>
                <w:b/>
                <w:bCs/>
                <w:color w:val="000000" w:themeColor="text1"/>
                <w:sz w:val="22"/>
                <w:szCs w:val="22"/>
                <w:lang w:eastAsia="en-US"/>
              </w:rPr>
              <w:t>Surgical site infection concept</w:t>
            </w:r>
          </w:p>
        </w:tc>
      </w:tr>
      <w:tr w:rsidR="00786B58" w:rsidRPr="009428A8" w14:paraId="4380BBBD" w14:textId="77777777" w:rsidTr="009742DD">
        <w:tc>
          <w:tcPr>
            <w:tcW w:w="988" w:type="dxa"/>
          </w:tcPr>
          <w:p w14:paraId="13409E7A" w14:textId="783CB7B5"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w:t>
            </w:r>
          </w:p>
        </w:tc>
        <w:tc>
          <w:tcPr>
            <w:tcW w:w="13041" w:type="dxa"/>
            <w:gridSpan w:val="3"/>
          </w:tcPr>
          <w:p w14:paraId="310C64B8" w14:textId="0E15E112" w:rsidR="00786B58" w:rsidRPr="009428A8" w:rsidRDefault="00786B58" w:rsidP="00786B58">
            <w:pPr>
              <w:spacing w:line="480" w:lineRule="auto"/>
              <w:contextualSpacing/>
              <w:jc w:val="both"/>
              <w:rPr>
                <w:rStyle w:val="searchhistory-search-term"/>
                <w:rFonts w:ascii="Arial" w:hAnsi="Arial" w:cs="Arial"/>
                <w:sz w:val="22"/>
                <w:szCs w:val="22"/>
              </w:rPr>
            </w:pPr>
            <w:proofErr w:type="spellStart"/>
            <w:r w:rsidRPr="009428A8">
              <w:rPr>
                <w:rStyle w:val="searchhistory-search-term"/>
                <w:rFonts w:ascii="Arial" w:hAnsi="Arial" w:cs="Arial"/>
                <w:sz w:val="22"/>
                <w:szCs w:val="22"/>
              </w:rPr>
              <w:t>MeSH</w:t>
            </w:r>
            <w:proofErr w:type="spellEnd"/>
            <w:r w:rsidRPr="009428A8">
              <w:rPr>
                <w:rStyle w:val="searchhistory-search-term"/>
                <w:rFonts w:ascii="Arial" w:hAnsi="Arial" w:cs="Arial"/>
                <w:sz w:val="22"/>
                <w:szCs w:val="22"/>
              </w:rPr>
              <w:t xml:space="preserve"> descriptor: [</w:t>
            </w:r>
            <w:r w:rsidRPr="009428A8">
              <w:rPr>
                <w:rFonts w:ascii="Arial" w:hAnsi="Arial" w:cs="Arial"/>
                <w:color w:val="000000"/>
                <w:sz w:val="22"/>
                <w:szCs w:val="22"/>
              </w:rPr>
              <w:t>Surgical Wound Infection</w:t>
            </w:r>
            <w:r w:rsidRPr="009428A8">
              <w:rPr>
                <w:rStyle w:val="searchhistory-search-term"/>
                <w:rFonts w:ascii="Arial" w:hAnsi="Arial" w:cs="Arial"/>
                <w:sz w:val="22"/>
                <w:szCs w:val="22"/>
              </w:rPr>
              <w:t>] explode all trees</w:t>
            </w:r>
          </w:p>
        </w:tc>
      </w:tr>
      <w:tr w:rsidR="00786B58" w:rsidRPr="009428A8" w14:paraId="24A39B31" w14:textId="77777777" w:rsidTr="009742DD">
        <w:tc>
          <w:tcPr>
            <w:tcW w:w="988" w:type="dxa"/>
          </w:tcPr>
          <w:p w14:paraId="68CA09A2" w14:textId="4C6081C8"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2</w:t>
            </w:r>
          </w:p>
        </w:tc>
        <w:tc>
          <w:tcPr>
            <w:tcW w:w="13041" w:type="dxa"/>
            <w:gridSpan w:val="3"/>
          </w:tcPr>
          <w:p w14:paraId="29E08038" w14:textId="1316BA6F" w:rsidR="00786B58" w:rsidRPr="009428A8" w:rsidRDefault="00786B58" w:rsidP="00786B58">
            <w:pPr>
              <w:spacing w:line="480" w:lineRule="auto"/>
              <w:contextualSpacing/>
              <w:jc w:val="both"/>
              <w:rPr>
                <w:rStyle w:val="searchhistory-search-term"/>
                <w:rFonts w:ascii="Arial" w:hAnsi="Arial" w:cs="Arial"/>
                <w:sz w:val="22"/>
                <w:szCs w:val="22"/>
              </w:rPr>
            </w:pPr>
            <w:r w:rsidRPr="009428A8">
              <w:rPr>
                <w:rStyle w:val="searchhistory-search-term"/>
                <w:rFonts w:ascii="Arial" w:hAnsi="Arial" w:cs="Arial"/>
                <w:sz w:val="22"/>
                <w:szCs w:val="22"/>
              </w:rPr>
              <w:t>(</w:t>
            </w:r>
            <w:r w:rsidRPr="009428A8">
              <w:rPr>
                <w:rFonts w:ascii="Arial" w:hAnsi="Arial" w:cs="Arial"/>
                <w:color w:val="000000"/>
                <w:sz w:val="22"/>
                <w:szCs w:val="22"/>
              </w:rPr>
              <w:t>SSI or surgical site infection</w:t>
            </w:r>
            <w:proofErr w:type="gramStart"/>
            <w:r w:rsidRPr="009428A8">
              <w:rPr>
                <w:rStyle w:val="searchhistory-search-term"/>
                <w:rFonts w:ascii="Arial" w:hAnsi="Arial" w:cs="Arial"/>
                <w:sz w:val="22"/>
                <w:szCs w:val="22"/>
              </w:rPr>
              <w:t>):</w:t>
            </w:r>
            <w:proofErr w:type="spellStart"/>
            <w:r w:rsidRPr="009428A8">
              <w:rPr>
                <w:rStyle w:val="searchhistory-search-term"/>
                <w:rFonts w:ascii="Arial" w:hAnsi="Arial" w:cs="Arial"/>
                <w:sz w:val="22"/>
                <w:szCs w:val="22"/>
              </w:rPr>
              <w:t>ti</w:t>
            </w:r>
            <w:proofErr w:type="gramEnd"/>
            <w:r w:rsidRPr="009428A8">
              <w:rPr>
                <w:rStyle w:val="searchhistory-search-term"/>
                <w:rFonts w:ascii="Arial" w:hAnsi="Arial" w:cs="Arial"/>
                <w:sz w:val="22"/>
                <w:szCs w:val="22"/>
              </w:rPr>
              <w:t>,ab,kw</w:t>
            </w:r>
            <w:proofErr w:type="spellEnd"/>
          </w:p>
        </w:tc>
      </w:tr>
      <w:tr w:rsidR="00786B58" w:rsidRPr="009428A8" w14:paraId="29037D36" w14:textId="77777777" w:rsidTr="009742DD">
        <w:tc>
          <w:tcPr>
            <w:tcW w:w="988" w:type="dxa"/>
          </w:tcPr>
          <w:p w14:paraId="6A7B5BD3" w14:textId="2D5FA635"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3</w:t>
            </w:r>
          </w:p>
        </w:tc>
        <w:tc>
          <w:tcPr>
            <w:tcW w:w="13041" w:type="dxa"/>
            <w:gridSpan w:val="3"/>
          </w:tcPr>
          <w:p w14:paraId="197E9AC0" w14:textId="66E05A64" w:rsidR="00786B58" w:rsidRPr="009428A8" w:rsidRDefault="00786B58" w:rsidP="00786B58">
            <w:pPr>
              <w:spacing w:line="480" w:lineRule="auto"/>
              <w:contextualSpacing/>
              <w:jc w:val="both"/>
              <w:rPr>
                <w:rStyle w:val="searchhistory-search-term"/>
                <w:rFonts w:ascii="Arial" w:hAnsi="Arial" w:cs="Arial"/>
                <w:sz w:val="22"/>
                <w:szCs w:val="22"/>
              </w:rPr>
            </w:pPr>
            <w:r w:rsidRPr="009428A8">
              <w:rPr>
                <w:rStyle w:val="searchhistory-search-term"/>
                <w:rFonts w:ascii="Arial" w:hAnsi="Arial" w:cs="Arial"/>
                <w:sz w:val="22"/>
                <w:szCs w:val="22"/>
              </w:rPr>
              <w:t>#1 or #2</w:t>
            </w:r>
          </w:p>
        </w:tc>
      </w:tr>
      <w:tr w:rsidR="00786B58" w:rsidRPr="009428A8" w14:paraId="7D2A017E" w14:textId="77777777" w:rsidTr="00884F4C">
        <w:tc>
          <w:tcPr>
            <w:tcW w:w="14029" w:type="dxa"/>
            <w:gridSpan w:val="4"/>
            <w:shd w:val="clear" w:color="auto" w:fill="C5E0B3" w:themeFill="accent6" w:themeFillTint="66"/>
          </w:tcPr>
          <w:p w14:paraId="0C784634" w14:textId="7AEE653B" w:rsidR="00786B58" w:rsidRPr="009428A8" w:rsidRDefault="00786B58" w:rsidP="00786B58">
            <w:pPr>
              <w:spacing w:line="480" w:lineRule="auto"/>
              <w:contextualSpacing/>
              <w:jc w:val="both"/>
              <w:rPr>
                <w:rStyle w:val="searchhistory-search-term"/>
                <w:rFonts w:ascii="Arial" w:hAnsi="Arial" w:cs="Arial"/>
                <w:sz w:val="22"/>
                <w:szCs w:val="22"/>
              </w:rPr>
            </w:pPr>
            <w:r w:rsidRPr="009428A8">
              <w:rPr>
                <w:rFonts w:ascii="Arial" w:hAnsi="Arial" w:cs="Arial"/>
                <w:b/>
                <w:bCs/>
                <w:color w:val="000000" w:themeColor="text1"/>
                <w:sz w:val="22"/>
                <w:szCs w:val="22"/>
              </w:rPr>
              <w:t>Neurosurgery concept</w:t>
            </w:r>
          </w:p>
        </w:tc>
      </w:tr>
      <w:tr w:rsidR="00786B58" w:rsidRPr="009428A8" w14:paraId="538F8B52" w14:textId="77777777" w:rsidTr="009742DD">
        <w:tc>
          <w:tcPr>
            <w:tcW w:w="988" w:type="dxa"/>
          </w:tcPr>
          <w:p w14:paraId="7F5CD465" w14:textId="03BA5F86"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4</w:t>
            </w:r>
          </w:p>
        </w:tc>
        <w:tc>
          <w:tcPr>
            <w:tcW w:w="13041" w:type="dxa"/>
            <w:gridSpan w:val="3"/>
          </w:tcPr>
          <w:p w14:paraId="274D179C" w14:textId="5EE3CEB0" w:rsidR="00786B58" w:rsidRPr="009428A8" w:rsidRDefault="00786B58" w:rsidP="00786B58">
            <w:pPr>
              <w:spacing w:line="480" w:lineRule="auto"/>
              <w:contextualSpacing/>
              <w:jc w:val="both"/>
              <w:rPr>
                <w:rStyle w:val="searchhistory-search-term"/>
                <w:rFonts w:ascii="Arial" w:hAnsi="Arial" w:cs="Arial"/>
                <w:sz w:val="22"/>
                <w:szCs w:val="22"/>
              </w:rPr>
            </w:pPr>
            <w:proofErr w:type="spellStart"/>
            <w:r w:rsidRPr="009428A8">
              <w:rPr>
                <w:rStyle w:val="searchhistory-search-term"/>
                <w:rFonts w:ascii="Arial" w:hAnsi="Arial" w:cs="Arial"/>
                <w:sz w:val="22"/>
                <w:szCs w:val="22"/>
              </w:rPr>
              <w:t>MeSH</w:t>
            </w:r>
            <w:proofErr w:type="spellEnd"/>
            <w:r w:rsidRPr="009428A8">
              <w:rPr>
                <w:rStyle w:val="searchhistory-search-term"/>
                <w:rFonts w:ascii="Arial" w:hAnsi="Arial" w:cs="Arial"/>
                <w:sz w:val="22"/>
                <w:szCs w:val="22"/>
              </w:rPr>
              <w:t xml:space="preserve"> descriptor: [neurosurgical procedures] explode all trees</w:t>
            </w:r>
          </w:p>
        </w:tc>
      </w:tr>
      <w:tr w:rsidR="00786B58" w:rsidRPr="009428A8" w14:paraId="2E888020" w14:textId="77777777" w:rsidTr="009742DD">
        <w:tc>
          <w:tcPr>
            <w:tcW w:w="988" w:type="dxa"/>
          </w:tcPr>
          <w:p w14:paraId="66136917" w14:textId="040EC9E4"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5</w:t>
            </w:r>
          </w:p>
        </w:tc>
        <w:tc>
          <w:tcPr>
            <w:tcW w:w="13041" w:type="dxa"/>
            <w:gridSpan w:val="3"/>
          </w:tcPr>
          <w:p w14:paraId="11B381D5" w14:textId="40A61BED" w:rsidR="00786B58" w:rsidRPr="009428A8" w:rsidRDefault="00786B58" w:rsidP="00786B58">
            <w:pPr>
              <w:spacing w:line="480" w:lineRule="auto"/>
              <w:contextualSpacing/>
              <w:jc w:val="both"/>
              <w:rPr>
                <w:rStyle w:val="searchhistory-search-term"/>
                <w:rFonts w:ascii="Arial" w:hAnsi="Arial" w:cs="Arial"/>
                <w:color w:val="000000"/>
                <w:sz w:val="22"/>
                <w:szCs w:val="22"/>
              </w:rPr>
            </w:pPr>
            <w:proofErr w:type="spellStart"/>
            <w:r w:rsidRPr="009428A8">
              <w:rPr>
                <w:rStyle w:val="searchhistory-search-term"/>
                <w:rFonts w:ascii="Arial" w:hAnsi="Arial" w:cs="Arial"/>
                <w:sz w:val="22"/>
                <w:szCs w:val="22"/>
              </w:rPr>
              <w:t>MeSH</w:t>
            </w:r>
            <w:proofErr w:type="spellEnd"/>
            <w:r w:rsidRPr="009428A8">
              <w:rPr>
                <w:rStyle w:val="searchhistory-search-term"/>
                <w:rFonts w:ascii="Arial" w:hAnsi="Arial" w:cs="Arial"/>
                <w:sz w:val="22"/>
                <w:szCs w:val="22"/>
              </w:rPr>
              <w:t xml:space="preserve"> descriptor: [</w:t>
            </w:r>
            <w:r w:rsidRPr="009428A8">
              <w:rPr>
                <w:rFonts w:ascii="Arial" w:hAnsi="Arial" w:cs="Arial"/>
                <w:color w:val="000000"/>
                <w:sz w:val="22"/>
                <w:szCs w:val="22"/>
              </w:rPr>
              <w:t>neurosurgery</w:t>
            </w:r>
            <w:r w:rsidRPr="009428A8">
              <w:rPr>
                <w:rStyle w:val="searchhistory-search-term"/>
                <w:rFonts w:ascii="Arial" w:hAnsi="Arial" w:cs="Arial"/>
                <w:sz w:val="22"/>
                <w:szCs w:val="22"/>
              </w:rPr>
              <w:t>] explode all trees</w:t>
            </w:r>
          </w:p>
        </w:tc>
      </w:tr>
      <w:tr w:rsidR="00786B58" w:rsidRPr="009428A8" w14:paraId="5C31F435" w14:textId="77777777" w:rsidTr="009742DD">
        <w:tc>
          <w:tcPr>
            <w:tcW w:w="988" w:type="dxa"/>
          </w:tcPr>
          <w:p w14:paraId="0351B4C0" w14:textId="4663DECF"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6</w:t>
            </w:r>
          </w:p>
        </w:tc>
        <w:tc>
          <w:tcPr>
            <w:tcW w:w="13041" w:type="dxa"/>
            <w:gridSpan w:val="3"/>
          </w:tcPr>
          <w:p w14:paraId="708FEADC" w14:textId="1B0B73F2" w:rsidR="00786B58" w:rsidRPr="009428A8" w:rsidRDefault="00786B58" w:rsidP="00786B58">
            <w:pPr>
              <w:spacing w:line="480" w:lineRule="auto"/>
              <w:contextualSpacing/>
              <w:jc w:val="both"/>
              <w:rPr>
                <w:rStyle w:val="searchhistory-search-term"/>
                <w:rFonts w:ascii="Arial" w:hAnsi="Arial" w:cs="Arial"/>
                <w:color w:val="000000"/>
                <w:sz w:val="22"/>
                <w:szCs w:val="22"/>
              </w:rPr>
            </w:pPr>
            <w:proofErr w:type="spellStart"/>
            <w:r w:rsidRPr="009428A8">
              <w:rPr>
                <w:rStyle w:val="searchhistory-search-term"/>
                <w:rFonts w:ascii="Arial" w:hAnsi="Arial" w:cs="Arial"/>
                <w:sz w:val="22"/>
                <w:szCs w:val="22"/>
              </w:rPr>
              <w:t>MeSH</w:t>
            </w:r>
            <w:proofErr w:type="spellEnd"/>
            <w:r w:rsidRPr="009428A8">
              <w:rPr>
                <w:rStyle w:val="searchhistory-search-term"/>
                <w:rFonts w:ascii="Arial" w:hAnsi="Arial" w:cs="Arial"/>
                <w:sz w:val="22"/>
                <w:szCs w:val="22"/>
              </w:rPr>
              <w:t xml:space="preserve"> descriptor: [</w:t>
            </w:r>
            <w:r w:rsidRPr="009428A8">
              <w:rPr>
                <w:rFonts w:ascii="Arial" w:hAnsi="Arial" w:cs="Arial"/>
                <w:color w:val="000000"/>
                <w:sz w:val="22"/>
                <w:szCs w:val="22"/>
              </w:rPr>
              <w:t>craniotomy</w:t>
            </w:r>
            <w:r w:rsidRPr="009428A8">
              <w:rPr>
                <w:rStyle w:val="searchhistory-search-term"/>
                <w:rFonts w:ascii="Arial" w:hAnsi="Arial" w:cs="Arial"/>
                <w:sz w:val="22"/>
                <w:szCs w:val="22"/>
              </w:rPr>
              <w:t>] explode all trees</w:t>
            </w:r>
          </w:p>
        </w:tc>
      </w:tr>
      <w:tr w:rsidR="00786B58" w:rsidRPr="009428A8" w14:paraId="052E8335" w14:textId="77777777" w:rsidTr="009742DD">
        <w:tc>
          <w:tcPr>
            <w:tcW w:w="988" w:type="dxa"/>
          </w:tcPr>
          <w:p w14:paraId="733148FA" w14:textId="7B5B41F2" w:rsidR="00786B58" w:rsidRPr="009428A8" w:rsidRDefault="009428A8" w:rsidP="00786B58">
            <w:pPr>
              <w:spacing w:line="480" w:lineRule="auto"/>
              <w:contextualSpacing/>
              <w:jc w:val="both"/>
              <w:rPr>
                <w:rFonts w:ascii="Arial" w:hAnsi="Arial" w:cs="Arial"/>
                <w:color w:val="000000" w:themeColor="text1"/>
                <w:sz w:val="22"/>
                <w:szCs w:val="22"/>
                <w:lang w:val="en-US"/>
              </w:rPr>
            </w:pPr>
            <w:r>
              <w:rPr>
                <w:rFonts w:ascii="Arial" w:hAnsi="Arial" w:cs="Arial"/>
                <w:color w:val="000000" w:themeColor="text1"/>
                <w:sz w:val="22"/>
                <w:szCs w:val="22"/>
                <w:lang w:val="en-US"/>
              </w:rPr>
              <w:t>7</w:t>
            </w:r>
          </w:p>
        </w:tc>
        <w:tc>
          <w:tcPr>
            <w:tcW w:w="13041" w:type="dxa"/>
            <w:gridSpan w:val="3"/>
          </w:tcPr>
          <w:p w14:paraId="44C99A3A" w14:textId="0BF1626D" w:rsidR="00786B58" w:rsidRPr="009428A8" w:rsidRDefault="00786B58" w:rsidP="00786B58">
            <w:pPr>
              <w:spacing w:line="480" w:lineRule="auto"/>
              <w:contextualSpacing/>
              <w:jc w:val="both"/>
              <w:rPr>
                <w:rStyle w:val="searchhistory-search-term"/>
                <w:rFonts w:ascii="Arial" w:hAnsi="Arial" w:cs="Arial"/>
                <w:sz w:val="22"/>
                <w:szCs w:val="22"/>
              </w:rPr>
            </w:pPr>
            <w:r w:rsidRPr="009428A8">
              <w:rPr>
                <w:rFonts w:ascii="Arial" w:hAnsi="Arial" w:cs="Arial"/>
                <w:color w:val="000000"/>
                <w:sz w:val="22"/>
                <w:szCs w:val="22"/>
              </w:rPr>
              <w:t>(</w:t>
            </w:r>
            <w:r w:rsidR="009428A8" w:rsidRPr="009428A8">
              <w:rPr>
                <w:rFonts w:ascii="Arial" w:hAnsi="Arial" w:cs="Arial"/>
                <w:color w:val="000000"/>
                <w:sz w:val="22"/>
                <w:szCs w:val="22"/>
              </w:rPr>
              <w:t>neurosurgery or cranial surgery or craniotomy</w:t>
            </w:r>
            <w:proofErr w:type="gramStart"/>
            <w:r w:rsidRPr="009428A8">
              <w:rPr>
                <w:rFonts w:ascii="Arial" w:hAnsi="Arial" w:cs="Arial"/>
                <w:color w:val="000000"/>
                <w:sz w:val="22"/>
                <w:szCs w:val="22"/>
              </w:rPr>
              <w:t>):</w:t>
            </w:r>
            <w:proofErr w:type="spellStart"/>
            <w:r w:rsidRPr="009428A8">
              <w:rPr>
                <w:rFonts w:ascii="Arial" w:hAnsi="Arial" w:cs="Arial"/>
                <w:color w:val="000000"/>
                <w:sz w:val="22"/>
                <w:szCs w:val="22"/>
              </w:rPr>
              <w:t>ti</w:t>
            </w:r>
            <w:proofErr w:type="gramEnd"/>
            <w:r w:rsidRPr="009428A8">
              <w:rPr>
                <w:rFonts w:ascii="Arial" w:hAnsi="Arial" w:cs="Arial"/>
                <w:color w:val="000000"/>
                <w:sz w:val="22"/>
                <w:szCs w:val="22"/>
              </w:rPr>
              <w:t>,ab,kw</w:t>
            </w:r>
            <w:proofErr w:type="spellEnd"/>
          </w:p>
        </w:tc>
      </w:tr>
      <w:tr w:rsidR="00786B58" w:rsidRPr="009428A8" w14:paraId="04F3ADBC" w14:textId="77777777" w:rsidTr="009742DD">
        <w:tc>
          <w:tcPr>
            <w:tcW w:w="988" w:type="dxa"/>
          </w:tcPr>
          <w:p w14:paraId="07AF3F4F" w14:textId="5D67B777" w:rsidR="00786B58" w:rsidRPr="009428A8" w:rsidRDefault="009428A8" w:rsidP="00786B58">
            <w:pPr>
              <w:spacing w:line="480" w:lineRule="auto"/>
              <w:contextualSpacing/>
              <w:jc w:val="both"/>
              <w:rPr>
                <w:rFonts w:ascii="Arial" w:hAnsi="Arial" w:cs="Arial"/>
                <w:color w:val="000000" w:themeColor="text1"/>
                <w:sz w:val="22"/>
                <w:szCs w:val="22"/>
                <w:lang w:val="en-US"/>
              </w:rPr>
            </w:pPr>
            <w:r>
              <w:rPr>
                <w:rFonts w:ascii="Arial" w:hAnsi="Arial" w:cs="Arial"/>
                <w:color w:val="000000" w:themeColor="text1"/>
                <w:sz w:val="22"/>
                <w:szCs w:val="22"/>
                <w:lang w:val="en-US"/>
              </w:rPr>
              <w:t>8</w:t>
            </w:r>
          </w:p>
        </w:tc>
        <w:tc>
          <w:tcPr>
            <w:tcW w:w="13041" w:type="dxa"/>
            <w:gridSpan w:val="3"/>
          </w:tcPr>
          <w:p w14:paraId="691C7CFC" w14:textId="79AC2C3B" w:rsidR="00786B58" w:rsidRPr="009428A8" w:rsidRDefault="00786B58" w:rsidP="00786B58">
            <w:pPr>
              <w:spacing w:line="480" w:lineRule="auto"/>
              <w:contextualSpacing/>
              <w:jc w:val="both"/>
              <w:rPr>
                <w:rStyle w:val="searchhistory-search-term"/>
                <w:rFonts w:ascii="Arial" w:hAnsi="Arial" w:cs="Arial"/>
                <w:sz w:val="22"/>
                <w:szCs w:val="22"/>
              </w:rPr>
            </w:pPr>
            <w:r w:rsidRPr="009428A8">
              <w:rPr>
                <w:rStyle w:val="searchhistory-search-term"/>
                <w:rFonts w:ascii="Arial" w:hAnsi="Arial" w:cs="Arial"/>
                <w:sz w:val="22"/>
                <w:szCs w:val="22"/>
              </w:rPr>
              <w:t>#4 or #5 or #6 or #7</w:t>
            </w:r>
          </w:p>
        </w:tc>
      </w:tr>
      <w:tr w:rsidR="00786B58" w:rsidRPr="009428A8" w14:paraId="4D4A83A5" w14:textId="77777777" w:rsidTr="00884F4C">
        <w:tc>
          <w:tcPr>
            <w:tcW w:w="14029" w:type="dxa"/>
            <w:gridSpan w:val="4"/>
            <w:shd w:val="clear" w:color="auto" w:fill="C5E0B3" w:themeFill="accent6" w:themeFillTint="66"/>
          </w:tcPr>
          <w:p w14:paraId="05955780" w14:textId="4C60C89A" w:rsidR="00786B58" w:rsidRPr="009428A8" w:rsidRDefault="00786B58" w:rsidP="00786B58">
            <w:pPr>
              <w:spacing w:line="480" w:lineRule="auto"/>
              <w:contextualSpacing/>
              <w:rPr>
                <w:rStyle w:val="searchhistory-search-term"/>
                <w:rFonts w:ascii="Arial" w:hAnsi="Arial" w:cs="Arial"/>
                <w:b/>
                <w:bCs/>
                <w:color w:val="000000" w:themeColor="text1"/>
                <w:sz w:val="22"/>
                <w:szCs w:val="22"/>
                <w:shd w:val="clear" w:color="auto" w:fill="FFFFFF"/>
              </w:rPr>
            </w:pPr>
            <w:r w:rsidRPr="009428A8">
              <w:rPr>
                <w:rFonts w:ascii="Arial" w:hAnsi="Arial" w:cs="Arial"/>
                <w:b/>
                <w:bCs/>
                <w:color w:val="000000" w:themeColor="text1"/>
                <w:sz w:val="22"/>
                <w:szCs w:val="22"/>
                <w:lang w:val="en-US"/>
              </w:rPr>
              <w:t>Combined concepts</w:t>
            </w:r>
            <w:r w:rsidRPr="009428A8">
              <w:rPr>
                <w:rFonts w:ascii="Arial" w:hAnsi="Arial" w:cs="Arial"/>
                <w:b/>
                <w:bCs/>
                <w:color w:val="000000" w:themeColor="text1"/>
                <w:sz w:val="22"/>
                <w:szCs w:val="22"/>
                <w:shd w:val="clear" w:color="auto" w:fill="FFFFFF"/>
              </w:rPr>
              <w:t xml:space="preserve"> </w:t>
            </w:r>
          </w:p>
        </w:tc>
      </w:tr>
      <w:tr w:rsidR="00786B58" w:rsidRPr="009428A8" w14:paraId="0EC9A23C" w14:textId="77777777" w:rsidTr="009742DD">
        <w:tc>
          <w:tcPr>
            <w:tcW w:w="988" w:type="dxa"/>
          </w:tcPr>
          <w:p w14:paraId="4B280E4B" w14:textId="435A24EA" w:rsidR="00786B58" w:rsidRPr="009428A8" w:rsidRDefault="00786B58" w:rsidP="00786B58">
            <w:pPr>
              <w:spacing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12</w:t>
            </w:r>
          </w:p>
        </w:tc>
        <w:tc>
          <w:tcPr>
            <w:tcW w:w="13041" w:type="dxa"/>
            <w:gridSpan w:val="3"/>
          </w:tcPr>
          <w:p w14:paraId="5AB938EC" w14:textId="19A9E619" w:rsidR="00786B58" w:rsidRPr="009428A8" w:rsidRDefault="00786B58" w:rsidP="00786B58">
            <w:pPr>
              <w:spacing w:line="480" w:lineRule="auto"/>
              <w:contextualSpacing/>
              <w:jc w:val="both"/>
              <w:rPr>
                <w:rStyle w:val="searchhistory-search-term"/>
                <w:rFonts w:ascii="Arial" w:hAnsi="Arial" w:cs="Arial"/>
                <w:sz w:val="22"/>
                <w:szCs w:val="22"/>
              </w:rPr>
            </w:pPr>
            <w:r w:rsidRPr="009428A8">
              <w:rPr>
                <w:rStyle w:val="searchhistory-search-term"/>
                <w:rFonts w:ascii="Arial" w:hAnsi="Arial" w:cs="Arial"/>
                <w:sz w:val="22"/>
                <w:szCs w:val="22"/>
              </w:rPr>
              <w:t>#3 and #</w:t>
            </w:r>
            <w:r w:rsidR="009428A8">
              <w:rPr>
                <w:rStyle w:val="searchhistory-search-term"/>
                <w:rFonts w:ascii="Arial" w:hAnsi="Arial" w:cs="Arial"/>
                <w:sz w:val="22"/>
                <w:szCs w:val="22"/>
              </w:rPr>
              <w:t>8</w:t>
            </w:r>
          </w:p>
        </w:tc>
      </w:tr>
    </w:tbl>
    <w:p w14:paraId="667AB61B" w14:textId="16E46A56" w:rsidR="00E328B3" w:rsidRPr="009428A8" w:rsidRDefault="00E328B3">
      <w:pPr>
        <w:rPr>
          <w:rFonts w:ascii="Arial" w:hAnsi="Arial" w:cs="Arial"/>
          <w:sz w:val="22"/>
          <w:szCs w:val="22"/>
        </w:rPr>
      </w:pPr>
      <w:r w:rsidRPr="009428A8">
        <w:rPr>
          <w:rFonts w:ascii="Arial" w:hAnsi="Arial" w:cs="Arial"/>
          <w:sz w:val="22"/>
          <w:szCs w:val="22"/>
        </w:rPr>
        <w:lastRenderedPageBreak/>
        <w:br w:type="page"/>
      </w:r>
    </w:p>
    <w:p w14:paraId="71231E95" w14:textId="65F6BD95" w:rsidR="00E328B3" w:rsidRPr="009428A8" w:rsidRDefault="0030033A" w:rsidP="00E328B3">
      <w:pPr>
        <w:spacing w:line="480" w:lineRule="auto"/>
        <w:contextualSpacing/>
        <w:jc w:val="both"/>
        <w:rPr>
          <w:rFonts w:ascii="Arial" w:hAnsi="Arial" w:cs="Arial"/>
          <w:bCs/>
          <w:color w:val="000000" w:themeColor="text1"/>
          <w:sz w:val="22"/>
          <w:szCs w:val="22"/>
          <w:lang w:val="en-US"/>
        </w:rPr>
      </w:pPr>
      <w:r w:rsidRPr="009428A8">
        <w:rPr>
          <w:rFonts w:ascii="Arial" w:hAnsi="Arial" w:cs="Arial"/>
          <w:bCs/>
          <w:color w:val="000000" w:themeColor="text1"/>
          <w:sz w:val="22"/>
          <w:szCs w:val="22"/>
          <w:lang w:val="en-US"/>
        </w:rPr>
        <w:lastRenderedPageBreak/>
        <w:t xml:space="preserve">Supplementary </w:t>
      </w:r>
      <w:r w:rsidR="00E328B3" w:rsidRPr="009428A8" w:rsidDel="00B02357">
        <w:rPr>
          <w:rFonts w:ascii="Arial" w:hAnsi="Arial" w:cs="Arial"/>
          <w:bCs/>
          <w:color w:val="000000" w:themeColor="text1"/>
          <w:sz w:val="22"/>
          <w:szCs w:val="22"/>
          <w:lang w:val="en-US"/>
        </w:rPr>
        <w:t xml:space="preserve">Table </w:t>
      </w:r>
      <w:r w:rsidR="00E328B3" w:rsidRPr="009428A8">
        <w:rPr>
          <w:rFonts w:ascii="Arial" w:hAnsi="Arial" w:cs="Arial"/>
          <w:bCs/>
          <w:color w:val="000000" w:themeColor="text1"/>
          <w:sz w:val="22"/>
          <w:szCs w:val="22"/>
          <w:lang w:val="en-US"/>
        </w:rPr>
        <w:t>2</w:t>
      </w:r>
      <w:r w:rsidRPr="009428A8">
        <w:rPr>
          <w:rFonts w:ascii="Arial" w:hAnsi="Arial" w:cs="Arial"/>
          <w:bCs/>
          <w:color w:val="000000" w:themeColor="text1"/>
          <w:sz w:val="22"/>
          <w:szCs w:val="22"/>
          <w:lang w:val="en-US"/>
        </w:rPr>
        <w:t>. I</w:t>
      </w:r>
      <w:r w:rsidR="00E328B3" w:rsidRPr="009428A8" w:rsidDel="00B02357">
        <w:rPr>
          <w:rFonts w:ascii="Arial" w:hAnsi="Arial" w:cs="Arial"/>
          <w:bCs/>
          <w:color w:val="000000" w:themeColor="text1"/>
          <w:sz w:val="22"/>
          <w:szCs w:val="22"/>
          <w:lang w:val="en-US"/>
        </w:rPr>
        <w:t>nclusion and exclusion criteria used to select studies for the review</w:t>
      </w:r>
    </w:p>
    <w:tbl>
      <w:tblPr>
        <w:tblStyle w:val="PlainTable41"/>
        <w:tblW w:w="14034" w:type="dxa"/>
        <w:tblLook w:val="04A0" w:firstRow="1" w:lastRow="0" w:firstColumn="1" w:lastColumn="0" w:noHBand="0" w:noVBand="1"/>
      </w:tblPr>
      <w:tblGrid>
        <w:gridCol w:w="4111"/>
        <w:gridCol w:w="9923"/>
      </w:tblGrid>
      <w:tr w:rsidR="00E328B3" w:rsidRPr="009428A8" w14:paraId="101FEEF6" w14:textId="77777777" w:rsidTr="00A232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shd w:val="clear" w:color="auto" w:fill="C5E0B3" w:themeFill="accent6" w:themeFillTint="66"/>
          </w:tcPr>
          <w:p w14:paraId="6B592F17" w14:textId="77777777" w:rsidR="00E328B3" w:rsidRPr="009428A8" w:rsidRDefault="00E328B3" w:rsidP="00A50B4E">
            <w:pPr>
              <w:pStyle w:val="NormalWeb"/>
              <w:spacing w:before="0" w:beforeAutospacing="0" w:after="0" w:afterAutospacing="0" w:line="480" w:lineRule="auto"/>
              <w:contextualSpacing/>
              <w:jc w:val="both"/>
              <w:rPr>
                <w:rFonts w:ascii="Arial" w:hAnsi="Arial" w:cs="Arial"/>
                <w:color w:val="000000" w:themeColor="text1"/>
                <w:sz w:val="22"/>
                <w:szCs w:val="22"/>
                <w:lang w:val="en-US"/>
              </w:rPr>
            </w:pPr>
            <w:r w:rsidRPr="009428A8">
              <w:rPr>
                <w:rFonts w:ascii="Arial" w:hAnsi="Arial" w:cs="Arial"/>
                <w:color w:val="000000" w:themeColor="text1"/>
                <w:sz w:val="22"/>
                <w:szCs w:val="22"/>
                <w:lang w:val="en-US"/>
              </w:rPr>
              <w:t>Inclusion criteria</w:t>
            </w:r>
          </w:p>
        </w:tc>
        <w:tc>
          <w:tcPr>
            <w:tcW w:w="9923" w:type="dxa"/>
            <w:shd w:val="clear" w:color="auto" w:fill="C5E0B3" w:themeFill="accent6" w:themeFillTint="66"/>
          </w:tcPr>
          <w:p w14:paraId="57707406" w14:textId="77777777" w:rsidR="00E328B3" w:rsidRPr="009428A8" w:rsidRDefault="00E328B3" w:rsidP="00A50B4E">
            <w:pPr>
              <w:pStyle w:val="NormalWeb"/>
              <w:spacing w:before="0" w:beforeAutospacing="0" w:after="0" w:afterAutospacing="0" w:line="480" w:lineRule="auto"/>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lang w:val="en-US"/>
              </w:rPr>
            </w:pPr>
            <w:r w:rsidRPr="009428A8">
              <w:rPr>
                <w:rFonts w:ascii="Arial" w:hAnsi="Arial" w:cs="Arial"/>
                <w:color w:val="000000" w:themeColor="text1"/>
                <w:sz w:val="22"/>
                <w:szCs w:val="22"/>
                <w:lang w:val="en-US"/>
              </w:rPr>
              <w:t>Exclusion criteria</w:t>
            </w:r>
          </w:p>
        </w:tc>
      </w:tr>
      <w:tr w:rsidR="00E328B3" w:rsidRPr="009428A8" w14:paraId="225C0B97" w14:textId="77777777" w:rsidTr="009742DD">
        <w:trPr>
          <w:cnfStyle w:val="000000100000" w:firstRow="0" w:lastRow="0" w:firstColumn="0" w:lastColumn="0" w:oddVBand="0" w:evenVBand="0" w:oddHBand="1" w:evenHBand="0" w:firstRowFirstColumn="0" w:firstRowLastColumn="0" w:lastRowFirstColumn="0" w:lastRowLastColumn="0"/>
          <w:trHeight w:val="1538"/>
        </w:trPr>
        <w:tc>
          <w:tcPr>
            <w:cnfStyle w:val="001000000000" w:firstRow="0" w:lastRow="0" w:firstColumn="1" w:lastColumn="0" w:oddVBand="0" w:evenVBand="0" w:oddHBand="0" w:evenHBand="0" w:firstRowFirstColumn="0" w:firstRowLastColumn="0" w:lastRowFirstColumn="0" w:lastRowLastColumn="0"/>
            <w:tcW w:w="4111" w:type="dxa"/>
          </w:tcPr>
          <w:p w14:paraId="341F129C" w14:textId="4B3B5485" w:rsidR="00E328B3" w:rsidRPr="009428A8" w:rsidRDefault="00E328B3" w:rsidP="00A50B4E">
            <w:pPr>
              <w:spacing w:line="480" w:lineRule="auto"/>
              <w:contextualSpacing/>
              <w:jc w:val="both"/>
              <w:rPr>
                <w:rFonts w:ascii="Arial" w:hAnsi="Arial" w:cs="Arial"/>
                <w:color w:val="000000" w:themeColor="text1"/>
                <w:sz w:val="22"/>
                <w:szCs w:val="22"/>
                <w:lang w:val="en-US"/>
              </w:rPr>
            </w:pPr>
            <w:r w:rsidRPr="009428A8">
              <w:rPr>
                <w:rFonts w:ascii="Arial" w:hAnsi="Arial" w:cs="Arial"/>
                <w:b w:val="0"/>
                <w:bCs w:val="0"/>
                <w:color w:val="000000" w:themeColor="text1"/>
                <w:sz w:val="22"/>
                <w:szCs w:val="22"/>
                <w:lang w:val="en-US"/>
              </w:rPr>
              <w:t xml:space="preserve">Primary </w:t>
            </w:r>
            <w:r w:rsidR="001114F9">
              <w:rPr>
                <w:rFonts w:ascii="Arial" w:hAnsi="Arial" w:cs="Arial"/>
                <w:b w:val="0"/>
                <w:bCs w:val="0"/>
                <w:color w:val="000000" w:themeColor="text1"/>
                <w:sz w:val="22"/>
                <w:szCs w:val="22"/>
                <w:lang w:val="en-US"/>
              </w:rPr>
              <w:t>(</w:t>
            </w:r>
            <w:r w:rsidRPr="009428A8">
              <w:rPr>
                <w:rFonts w:ascii="Arial" w:hAnsi="Arial" w:cs="Arial"/>
                <w:b w:val="0"/>
                <w:bCs w:val="0"/>
                <w:color w:val="000000" w:themeColor="text1"/>
                <w:sz w:val="22"/>
                <w:szCs w:val="22"/>
                <w:lang w:val="en-US"/>
              </w:rPr>
              <w:t>interventional</w:t>
            </w:r>
            <w:r w:rsidR="001114F9">
              <w:rPr>
                <w:rFonts w:ascii="Arial" w:hAnsi="Arial" w:cs="Arial"/>
                <w:b w:val="0"/>
                <w:bCs w:val="0"/>
                <w:color w:val="000000" w:themeColor="text1"/>
                <w:sz w:val="22"/>
                <w:szCs w:val="22"/>
                <w:lang w:val="en-US"/>
              </w:rPr>
              <w:t>/</w:t>
            </w:r>
            <w:r w:rsidRPr="009428A8">
              <w:rPr>
                <w:rFonts w:ascii="Arial" w:hAnsi="Arial" w:cs="Arial"/>
                <w:b w:val="0"/>
                <w:bCs w:val="0"/>
                <w:color w:val="000000" w:themeColor="text1"/>
                <w:sz w:val="22"/>
                <w:szCs w:val="22"/>
                <w:lang w:val="en-US"/>
              </w:rPr>
              <w:t>observational</w:t>
            </w:r>
            <w:r w:rsidR="001114F9">
              <w:rPr>
                <w:rFonts w:ascii="Arial" w:hAnsi="Arial" w:cs="Arial"/>
                <w:b w:val="0"/>
                <w:bCs w:val="0"/>
                <w:color w:val="000000" w:themeColor="text1"/>
                <w:sz w:val="22"/>
                <w:szCs w:val="22"/>
                <w:lang w:val="en-US"/>
              </w:rPr>
              <w:t xml:space="preserve"> or retrospective/prospective)</w:t>
            </w:r>
            <w:r w:rsidRPr="009428A8">
              <w:rPr>
                <w:rFonts w:ascii="Arial" w:hAnsi="Arial" w:cs="Arial"/>
                <w:b w:val="0"/>
                <w:bCs w:val="0"/>
                <w:color w:val="000000" w:themeColor="text1"/>
                <w:sz w:val="22"/>
                <w:szCs w:val="22"/>
                <w:lang w:val="en-US"/>
              </w:rPr>
              <w:t xml:space="preserve"> studies </w:t>
            </w:r>
            <w:r w:rsidR="002D1F5F" w:rsidRPr="009428A8">
              <w:rPr>
                <w:rFonts w:ascii="Arial" w:hAnsi="Arial" w:cs="Arial"/>
                <w:b w:val="0"/>
                <w:bCs w:val="0"/>
                <w:sz w:val="22"/>
                <w:szCs w:val="22"/>
                <w:lang w:val="en-US"/>
              </w:rPr>
              <w:t>assessing the</w:t>
            </w:r>
            <w:r w:rsidR="0066179D" w:rsidRPr="009428A8">
              <w:rPr>
                <w:rFonts w:ascii="Arial" w:hAnsi="Arial" w:cs="Arial"/>
                <w:b w:val="0"/>
                <w:bCs w:val="0"/>
                <w:sz w:val="22"/>
                <w:szCs w:val="22"/>
                <w:lang w:val="en-US"/>
              </w:rPr>
              <w:t xml:space="preserve"> </w:t>
            </w:r>
            <w:r w:rsidR="008351EC" w:rsidRPr="009428A8">
              <w:rPr>
                <w:rFonts w:ascii="Arial" w:hAnsi="Arial" w:cs="Arial"/>
                <w:b w:val="0"/>
                <w:bCs w:val="0"/>
                <w:sz w:val="22"/>
                <w:szCs w:val="22"/>
                <w:lang w:val="en-US"/>
              </w:rPr>
              <w:t xml:space="preserve">incidence and/or risk factors </w:t>
            </w:r>
            <w:r w:rsidR="000624D7">
              <w:rPr>
                <w:rFonts w:ascii="Arial" w:hAnsi="Arial" w:cs="Arial"/>
                <w:b w:val="0"/>
                <w:bCs w:val="0"/>
                <w:sz w:val="22"/>
                <w:szCs w:val="22"/>
                <w:lang w:val="en-US"/>
              </w:rPr>
              <w:t xml:space="preserve">or interventional </w:t>
            </w:r>
            <w:r w:rsidR="008351EC" w:rsidRPr="009428A8">
              <w:rPr>
                <w:rFonts w:ascii="Arial" w:hAnsi="Arial" w:cs="Arial"/>
                <w:b w:val="0"/>
                <w:bCs w:val="0"/>
                <w:sz w:val="22"/>
                <w:szCs w:val="22"/>
                <w:lang w:val="en-US"/>
              </w:rPr>
              <w:t xml:space="preserve">for surgical site infection after </w:t>
            </w:r>
            <w:r w:rsidR="000624D7">
              <w:rPr>
                <w:rFonts w:ascii="Arial" w:hAnsi="Arial" w:cs="Arial"/>
                <w:b w:val="0"/>
                <w:bCs w:val="0"/>
                <w:sz w:val="22"/>
                <w:szCs w:val="22"/>
                <w:lang w:val="en-US"/>
              </w:rPr>
              <w:t>cranial</w:t>
            </w:r>
            <w:r w:rsidR="008351EC" w:rsidRPr="009428A8">
              <w:rPr>
                <w:rFonts w:ascii="Arial" w:hAnsi="Arial" w:cs="Arial"/>
                <w:b w:val="0"/>
                <w:bCs w:val="0"/>
                <w:sz w:val="22"/>
                <w:szCs w:val="22"/>
                <w:lang w:val="en-US"/>
              </w:rPr>
              <w:t xml:space="preserve"> surgery</w:t>
            </w:r>
            <w:r w:rsidR="00425A47" w:rsidRPr="009428A8">
              <w:rPr>
                <w:rFonts w:ascii="Arial" w:hAnsi="Arial" w:cs="Arial"/>
                <w:b w:val="0"/>
                <w:bCs w:val="0"/>
                <w:sz w:val="22"/>
                <w:szCs w:val="22"/>
                <w:lang w:val="en-US"/>
              </w:rPr>
              <w:t xml:space="preserve"> </w:t>
            </w:r>
          </w:p>
        </w:tc>
        <w:tc>
          <w:tcPr>
            <w:tcW w:w="9923" w:type="dxa"/>
          </w:tcPr>
          <w:p w14:paraId="2719A9D7" w14:textId="77777777" w:rsidR="00E328B3" w:rsidRPr="009428A8" w:rsidRDefault="00E328B3" w:rsidP="00E328B3">
            <w:pPr>
              <w:pStyle w:val="ListParagraph"/>
              <w:numPr>
                <w:ilvl w:val="0"/>
                <w:numId w:val="1"/>
              </w:num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2"/>
                <w:szCs w:val="22"/>
                <w:lang w:val="en-US" w:eastAsia="en-GB"/>
              </w:rPr>
            </w:pPr>
            <w:r w:rsidRPr="009428A8">
              <w:rPr>
                <w:rFonts w:ascii="Arial" w:eastAsia="Times New Roman" w:hAnsi="Arial" w:cs="Arial"/>
                <w:color w:val="000000" w:themeColor="text1"/>
                <w:sz w:val="22"/>
                <w:szCs w:val="22"/>
                <w:lang w:val="en-US" w:eastAsia="en-GB"/>
              </w:rPr>
              <w:t>Not written in English</w:t>
            </w:r>
          </w:p>
          <w:p w14:paraId="1E95554E" w14:textId="26441EC1" w:rsidR="00E328B3" w:rsidRPr="009428A8" w:rsidRDefault="00E328B3" w:rsidP="00E328B3">
            <w:pPr>
              <w:pStyle w:val="ListParagraph"/>
              <w:numPr>
                <w:ilvl w:val="0"/>
                <w:numId w:val="1"/>
              </w:num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2"/>
                <w:szCs w:val="22"/>
                <w:lang w:val="en-US" w:eastAsia="en-GB"/>
              </w:rPr>
            </w:pPr>
            <w:r w:rsidRPr="009428A8">
              <w:rPr>
                <w:rFonts w:ascii="Arial" w:hAnsi="Arial" w:cs="Arial"/>
                <w:color w:val="000000" w:themeColor="text1"/>
                <w:sz w:val="22"/>
                <w:szCs w:val="22"/>
                <w:lang w:val="en-US"/>
              </w:rPr>
              <w:t>Systematic reviews and meta-analys</w:t>
            </w:r>
            <w:r w:rsidR="00A473FF" w:rsidRPr="009428A8">
              <w:rPr>
                <w:rFonts w:ascii="Arial" w:hAnsi="Arial" w:cs="Arial"/>
                <w:color w:val="000000" w:themeColor="text1"/>
                <w:sz w:val="22"/>
                <w:szCs w:val="22"/>
                <w:lang w:val="en-US"/>
              </w:rPr>
              <w:t>e</w:t>
            </w:r>
            <w:r w:rsidRPr="009428A8">
              <w:rPr>
                <w:rFonts w:ascii="Arial" w:hAnsi="Arial" w:cs="Arial"/>
                <w:color w:val="000000" w:themeColor="text1"/>
                <w:sz w:val="22"/>
                <w:szCs w:val="22"/>
                <w:lang w:val="en-US"/>
              </w:rPr>
              <w:t>s, editorials, commentaries, opinion papers, letters, education papers, conference abstracts, protocols, reports, theses or book chapters</w:t>
            </w:r>
          </w:p>
          <w:p w14:paraId="61F64DA7" w14:textId="77777777" w:rsidR="00E328B3" w:rsidRPr="009428A8" w:rsidRDefault="00E328B3" w:rsidP="00E328B3">
            <w:pPr>
              <w:pStyle w:val="ListParagraph"/>
              <w:numPr>
                <w:ilvl w:val="0"/>
                <w:numId w:val="1"/>
              </w:num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2"/>
                <w:szCs w:val="22"/>
                <w:lang w:val="en-US" w:eastAsia="en-GB"/>
              </w:rPr>
            </w:pPr>
            <w:r w:rsidRPr="009428A8">
              <w:rPr>
                <w:rFonts w:ascii="Arial" w:eastAsia="Times New Roman" w:hAnsi="Arial" w:cs="Arial"/>
                <w:color w:val="000000" w:themeColor="text1"/>
                <w:sz w:val="22"/>
                <w:szCs w:val="22"/>
                <w:lang w:val="en-US" w:eastAsia="en-GB"/>
              </w:rPr>
              <w:t>Non-human subjects (e.g. murine, porcine studies)</w:t>
            </w:r>
          </w:p>
          <w:p w14:paraId="3B5A4A9D" w14:textId="7D01DAB0" w:rsidR="008351EC" w:rsidRPr="009428A8" w:rsidRDefault="008351EC" w:rsidP="008351EC">
            <w:pPr>
              <w:pStyle w:val="ListParagraph"/>
              <w:numPr>
                <w:ilvl w:val="0"/>
                <w:numId w:val="1"/>
              </w:numPr>
              <w:spacing w:line="480" w:lineRule="auto"/>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sz w:val="22"/>
                <w:szCs w:val="22"/>
                <w:lang w:val="en-US" w:eastAsia="en-GB"/>
              </w:rPr>
            </w:pPr>
            <w:r w:rsidRPr="009428A8">
              <w:rPr>
                <w:rFonts w:ascii="Arial" w:eastAsia="Times New Roman" w:hAnsi="Arial" w:cs="Arial"/>
                <w:color w:val="000000" w:themeColor="text1"/>
                <w:sz w:val="22"/>
                <w:szCs w:val="22"/>
                <w:lang w:val="en-US" w:eastAsia="en-GB"/>
              </w:rPr>
              <w:t xml:space="preserve">Not </w:t>
            </w:r>
            <w:r w:rsidR="001114F9">
              <w:rPr>
                <w:rFonts w:ascii="Arial" w:eastAsia="Times New Roman" w:hAnsi="Arial" w:cs="Arial"/>
                <w:color w:val="000000" w:themeColor="text1"/>
                <w:sz w:val="22"/>
                <w:szCs w:val="22"/>
                <w:lang w:val="en-US" w:eastAsia="en-GB"/>
              </w:rPr>
              <w:t xml:space="preserve">specifically </w:t>
            </w:r>
            <w:r w:rsidRPr="009428A8">
              <w:rPr>
                <w:rFonts w:ascii="Arial" w:eastAsia="Times New Roman" w:hAnsi="Arial" w:cs="Arial"/>
                <w:color w:val="000000" w:themeColor="text1"/>
                <w:sz w:val="22"/>
                <w:szCs w:val="22"/>
                <w:lang w:val="en-US" w:eastAsia="en-GB"/>
              </w:rPr>
              <w:t xml:space="preserve">cranial surgery </w:t>
            </w:r>
          </w:p>
          <w:p w14:paraId="2C3BD977" w14:textId="77777777" w:rsidR="0079436C" w:rsidRDefault="00E328B3" w:rsidP="000624D7">
            <w:pPr>
              <w:pStyle w:val="ListParagraph"/>
              <w:numPr>
                <w:ilvl w:val="0"/>
                <w:numId w:val="1"/>
              </w:numPr>
              <w:spacing w:line="48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lang w:val="en-US"/>
              </w:rPr>
            </w:pPr>
            <w:r w:rsidRPr="009428A8">
              <w:rPr>
                <w:rFonts w:ascii="Arial" w:hAnsi="Arial" w:cs="Arial"/>
                <w:color w:val="000000" w:themeColor="text1"/>
                <w:sz w:val="22"/>
                <w:szCs w:val="22"/>
                <w:lang w:val="en-US"/>
              </w:rPr>
              <w:t xml:space="preserve">Did not report </w:t>
            </w:r>
            <w:r w:rsidR="008351EC" w:rsidRPr="009428A8">
              <w:rPr>
                <w:rFonts w:ascii="Arial" w:hAnsi="Arial" w:cs="Arial"/>
                <w:color w:val="000000" w:themeColor="text1"/>
                <w:sz w:val="22"/>
                <w:szCs w:val="22"/>
                <w:lang w:val="en-US"/>
              </w:rPr>
              <w:t>SSI</w:t>
            </w:r>
            <w:r w:rsidR="00BF351B">
              <w:rPr>
                <w:rFonts w:ascii="Arial" w:hAnsi="Arial" w:cs="Arial"/>
                <w:color w:val="000000" w:themeColor="text1"/>
                <w:sz w:val="22"/>
                <w:szCs w:val="22"/>
                <w:lang w:val="en-US"/>
              </w:rPr>
              <w:t>-CRAN</w:t>
            </w:r>
            <w:r w:rsidR="00C54F21" w:rsidRPr="009428A8">
              <w:rPr>
                <w:rFonts w:ascii="Arial" w:hAnsi="Arial" w:cs="Arial"/>
                <w:color w:val="000000" w:themeColor="text1"/>
                <w:sz w:val="22"/>
                <w:szCs w:val="22"/>
                <w:lang w:val="en-US"/>
              </w:rPr>
              <w:t xml:space="preserve"> after cranial surgery</w:t>
            </w:r>
          </w:p>
          <w:p w14:paraId="2E055EBB" w14:textId="77777777" w:rsidR="00005D35" w:rsidRDefault="00005D35" w:rsidP="000624D7">
            <w:pPr>
              <w:pStyle w:val="ListParagraph"/>
              <w:numPr>
                <w:ilvl w:val="0"/>
                <w:numId w:val="1"/>
              </w:numPr>
              <w:spacing w:line="48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lang w:val="en-US"/>
              </w:rPr>
            </w:pPr>
            <w:r>
              <w:rPr>
                <w:rFonts w:ascii="Arial" w:hAnsi="Arial" w:cs="Arial"/>
                <w:color w:val="000000" w:themeColor="text1"/>
                <w:sz w:val="22"/>
                <w:szCs w:val="22"/>
                <w:lang w:val="en-US"/>
              </w:rPr>
              <w:t>Published before 2000</w:t>
            </w:r>
          </w:p>
          <w:p w14:paraId="4CA2F349" w14:textId="28AB7170" w:rsidR="00005D35" w:rsidRPr="00005D35" w:rsidRDefault="00005D35" w:rsidP="00005D35">
            <w:pPr>
              <w:pStyle w:val="ListParagraph"/>
              <w:numPr>
                <w:ilvl w:val="0"/>
                <w:numId w:val="1"/>
              </w:numPr>
              <w:spacing w:line="48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22"/>
                <w:szCs w:val="22"/>
                <w:lang w:val="en-US"/>
              </w:rPr>
            </w:pPr>
            <w:r>
              <w:rPr>
                <w:rFonts w:ascii="Arial" w:hAnsi="Arial" w:cs="Arial"/>
                <w:color w:val="000000" w:themeColor="text1"/>
                <w:sz w:val="22"/>
                <w:szCs w:val="22"/>
                <w:lang w:val="en-US"/>
              </w:rPr>
              <w:t>Sample size &lt;100</w:t>
            </w:r>
          </w:p>
        </w:tc>
      </w:tr>
    </w:tbl>
    <w:p w14:paraId="4035720D" w14:textId="77777777" w:rsidR="00E328B3" w:rsidRPr="009428A8" w:rsidRDefault="00E328B3" w:rsidP="00E328B3">
      <w:pPr>
        <w:spacing w:line="480" w:lineRule="auto"/>
        <w:contextualSpacing/>
        <w:jc w:val="both"/>
        <w:rPr>
          <w:rFonts w:ascii="Arial" w:hAnsi="Arial" w:cs="Arial"/>
          <w:color w:val="000000" w:themeColor="text1"/>
          <w:sz w:val="22"/>
          <w:szCs w:val="22"/>
          <w:lang w:val="en-US"/>
        </w:rPr>
      </w:pPr>
    </w:p>
    <w:p w14:paraId="64F0E434" w14:textId="3A3428EB" w:rsidR="00470F04" w:rsidRDefault="00CA3E60">
      <w:pPr>
        <w:rPr>
          <w:rFonts w:ascii="Arial" w:hAnsi="Arial" w:cs="Arial"/>
          <w:sz w:val="22"/>
          <w:szCs w:val="22"/>
        </w:rPr>
      </w:pPr>
      <w:r w:rsidRPr="009428A8">
        <w:rPr>
          <w:rFonts w:ascii="Arial" w:hAnsi="Arial" w:cs="Arial"/>
          <w:sz w:val="22"/>
          <w:szCs w:val="22"/>
        </w:rPr>
        <w:br w:type="page"/>
      </w:r>
    </w:p>
    <w:p w14:paraId="66A9CEB1" w14:textId="2BEE573F" w:rsidR="00E2530E" w:rsidRPr="009428A8" w:rsidRDefault="00E2530E" w:rsidP="00E2530E">
      <w:pPr>
        <w:spacing w:line="480" w:lineRule="auto"/>
        <w:contextualSpacing/>
        <w:rPr>
          <w:rFonts w:ascii="Arial" w:hAnsi="Arial" w:cs="Arial"/>
          <w:sz w:val="22"/>
          <w:szCs w:val="22"/>
          <w:lang w:val="en-US"/>
        </w:rPr>
      </w:pPr>
      <w:r w:rsidRPr="009428A8">
        <w:rPr>
          <w:rFonts w:ascii="Arial" w:hAnsi="Arial" w:cs="Arial"/>
          <w:sz w:val="22"/>
          <w:szCs w:val="22"/>
          <w:lang w:val="en-US"/>
        </w:rPr>
        <w:lastRenderedPageBreak/>
        <w:t xml:space="preserve">Supplementary Table </w:t>
      </w:r>
      <w:r w:rsidR="00B945D7">
        <w:rPr>
          <w:rFonts w:ascii="Arial" w:hAnsi="Arial" w:cs="Arial"/>
          <w:sz w:val="22"/>
          <w:szCs w:val="22"/>
          <w:lang w:val="en-US"/>
        </w:rPr>
        <w:t>3</w:t>
      </w:r>
      <w:r w:rsidRPr="009428A8">
        <w:rPr>
          <w:rFonts w:ascii="Arial" w:hAnsi="Arial" w:cs="Arial"/>
          <w:sz w:val="22"/>
          <w:szCs w:val="22"/>
          <w:lang w:val="en-US"/>
        </w:rPr>
        <w:t xml:space="preserve">. </w:t>
      </w:r>
      <w:r w:rsidR="009742DD" w:rsidRPr="009428A8">
        <w:rPr>
          <w:rFonts w:ascii="Arial" w:hAnsi="Arial" w:cs="Arial"/>
          <w:sz w:val="22"/>
          <w:szCs w:val="22"/>
          <w:lang w:val="en-US"/>
        </w:rPr>
        <w:t xml:space="preserve">Summary of </w:t>
      </w:r>
      <w:r w:rsidR="00C778C2">
        <w:rPr>
          <w:rFonts w:ascii="Arial" w:hAnsi="Arial" w:cs="Arial"/>
          <w:sz w:val="22"/>
          <w:szCs w:val="22"/>
          <w:lang w:val="en-US"/>
        </w:rPr>
        <w:t>5</w:t>
      </w:r>
      <w:r w:rsidR="007637FA">
        <w:rPr>
          <w:rFonts w:ascii="Arial" w:hAnsi="Arial" w:cs="Arial"/>
          <w:sz w:val="22"/>
          <w:szCs w:val="22"/>
          <w:lang w:val="en-US"/>
        </w:rPr>
        <w:t>19</w:t>
      </w:r>
      <w:r w:rsidR="00070EA1" w:rsidRPr="009428A8">
        <w:rPr>
          <w:rFonts w:ascii="Arial" w:hAnsi="Arial" w:cs="Arial"/>
          <w:sz w:val="22"/>
          <w:szCs w:val="22"/>
          <w:lang w:val="en-US"/>
        </w:rPr>
        <w:t xml:space="preserve"> </w:t>
      </w:r>
      <w:r w:rsidR="009742DD" w:rsidRPr="009428A8">
        <w:rPr>
          <w:rFonts w:ascii="Arial" w:hAnsi="Arial" w:cs="Arial"/>
          <w:sz w:val="22"/>
          <w:szCs w:val="22"/>
          <w:lang w:val="en-US"/>
        </w:rPr>
        <w:t>included studies</w:t>
      </w:r>
    </w:p>
    <w:tbl>
      <w:tblPr>
        <w:tblStyle w:val="TableGrid"/>
        <w:tblW w:w="16160" w:type="dxa"/>
        <w:tblInd w:w="-1139" w:type="dxa"/>
        <w:tblLayout w:type="fixed"/>
        <w:tblLook w:val="04A0" w:firstRow="1" w:lastRow="0" w:firstColumn="1" w:lastColumn="0" w:noHBand="0" w:noVBand="1"/>
      </w:tblPr>
      <w:tblGrid>
        <w:gridCol w:w="992"/>
        <w:gridCol w:w="851"/>
        <w:gridCol w:w="851"/>
        <w:gridCol w:w="1134"/>
        <w:gridCol w:w="992"/>
        <w:gridCol w:w="1276"/>
        <w:gridCol w:w="1843"/>
        <w:gridCol w:w="1134"/>
        <w:gridCol w:w="992"/>
        <w:gridCol w:w="1701"/>
        <w:gridCol w:w="2693"/>
        <w:gridCol w:w="1701"/>
      </w:tblGrid>
      <w:tr w:rsidR="00A77951" w:rsidRPr="00251EA9" w14:paraId="3FDE269B" w14:textId="4F599FB7" w:rsidTr="00D42939">
        <w:trPr>
          <w:trHeight w:val="1997"/>
        </w:trPr>
        <w:tc>
          <w:tcPr>
            <w:tcW w:w="992" w:type="dxa"/>
            <w:shd w:val="clear" w:color="auto" w:fill="E7E6E6" w:themeFill="background2"/>
          </w:tcPr>
          <w:p w14:paraId="298DE431" w14:textId="7777777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sz w:val="15"/>
                <w:szCs w:val="15"/>
              </w:rPr>
              <w:t>First author, year</w:t>
            </w:r>
          </w:p>
        </w:tc>
        <w:tc>
          <w:tcPr>
            <w:tcW w:w="851" w:type="dxa"/>
            <w:shd w:val="clear" w:color="auto" w:fill="E7E6E6" w:themeFill="background2"/>
          </w:tcPr>
          <w:p w14:paraId="1C9319B4" w14:textId="2FD446A1" w:rsidR="00A77951" w:rsidRPr="005B457D" w:rsidRDefault="00A77951" w:rsidP="00A77951">
            <w:pPr>
              <w:spacing w:line="360" w:lineRule="auto"/>
              <w:contextualSpacing/>
              <w:rPr>
                <w:rFonts w:ascii="Arial" w:hAnsi="Arial" w:cs="Arial"/>
                <w:sz w:val="15"/>
                <w:szCs w:val="15"/>
              </w:rPr>
            </w:pPr>
            <w:r w:rsidRPr="005B457D">
              <w:rPr>
                <w:rFonts w:ascii="Arial" w:hAnsi="Arial" w:cs="Arial"/>
                <w:sz w:val="15"/>
                <w:szCs w:val="15"/>
              </w:rPr>
              <w:t>DOI</w:t>
            </w:r>
            <w:r w:rsidR="005B457D">
              <w:rPr>
                <w:rFonts w:ascii="Arial" w:hAnsi="Arial" w:cs="Arial"/>
                <w:sz w:val="15"/>
                <w:szCs w:val="15"/>
              </w:rPr>
              <w:t xml:space="preserve"> </w:t>
            </w:r>
            <w:r w:rsidR="005B457D">
              <w:rPr>
                <w:rFonts w:ascii="Arial" w:hAnsi="Arial" w:cs="Arial"/>
                <w:sz w:val="15"/>
                <w:szCs w:val="15"/>
              </w:rPr>
              <w:br/>
              <w:t>(or PMID)</w:t>
            </w:r>
          </w:p>
        </w:tc>
        <w:tc>
          <w:tcPr>
            <w:tcW w:w="851" w:type="dxa"/>
            <w:shd w:val="clear" w:color="auto" w:fill="E7E6E6" w:themeFill="background2"/>
          </w:tcPr>
          <w:p w14:paraId="4377F0F6" w14:textId="1490C68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sz w:val="15"/>
                <w:szCs w:val="15"/>
              </w:rPr>
              <w:t>Country</w:t>
            </w:r>
          </w:p>
        </w:tc>
        <w:tc>
          <w:tcPr>
            <w:tcW w:w="1134" w:type="dxa"/>
            <w:shd w:val="clear" w:color="auto" w:fill="E7E6E6" w:themeFill="background2"/>
          </w:tcPr>
          <w:p w14:paraId="6B63D9F1" w14:textId="7777777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sz w:val="15"/>
                <w:szCs w:val="15"/>
              </w:rPr>
              <w:t>Study design</w:t>
            </w:r>
          </w:p>
        </w:tc>
        <w:tc>
          <w:tcPr>
            <w:tcW w:w="992" w:type="dxa"/>
            <w:shd w:val="clear" w:color="auto" w:fill="E7E6E6" w:themeFill="background2"/>
          </w:tcPr>
          <w:p w14:paraId="441C1369" w14:textId="4152D28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Type of patients</w:t>
            </w:r>
          </w:p>
        </w:tc>
        <w:tc>
          <w:tcPr>
            <w:tcW w:w="1276" w:type="dxa"/>
            <w:shd w:val="clear" w:color="auto" w:fill="E7E6E6" w:themeFill="background2"/>
          </w:tcPr>
          <w:p w14:paraId="6DEDB657" w14:textId="5BC1EEF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Type of cranial surgery</w:t>
            </w:r>
          </w:p>
        </w:tc>
        <w:tc>
          <w:tcPr>
            <w:tcW w:w="1843" w:type="dxa"/>
            <w:shd w:val="clear" w:color="auto" w:fill="E7E6E6" w:themeFill="background2"/>
          </w:tcPr>
          <w:p w14:paraId="285F4395" w14:textId="3089E36C"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Primary aim of study</w:t>
            </w:r>
          </w:p>
        </w:tc>
        <w:tc>
          <w:tcPr>
            <w:tcW w:w="1134" w:type="dxa"/>
            <w:shd w:val="clear" w:color="auto" w:fill="E7E6E6" w:themeFill="background2"/>
          </w:tcPr>
          <w:p w14:paraId="46C2C084" w14:textId="7369EAF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Intervention and comparator reviewed</w:t>
            </w:r>
          </w:p>
        </w:tc>
        <w:tc>
          <w:tcPr>
            <w:tcW w:w="992" w:type="dxa"/>
            <w:shd w:val="clear" w:color="auto" w:fill="E7E6E6" w:themeFill="background2"/>
          </w:tcPr>
          <w:p w14:paraId="3CF8A67C" w14:textId="4E691FB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Is SSI-CRAN an outcome of interest stated in the</w:t>
            </w:r>
            <w:r>
              <w:rPr>
                <w:rFonts w:ascii="Arial" w:hAnsi="Arial" w:cs="Arial"/>
                <w:color w:val="000000" w:themeColor="text1"/>
                <w:sz w:val="15"/>
                <w:szCs w:val="15"/>
              </w:rPr>
              <w:t xml:space="preserve"> </w:t>
            </w:r>
            <w:r w:rsidRPr="00251EA9">
              <w:rPr>
                <w:rFonts w:ascii="Arial" w:hAnsi="Arial" w:cs="Arial"/>
                <w:color w:val="000000" w:themeColor="text1"/>
                <w:sz w:val="15"/>
                <w:szCs w:val="15"/>
              </w:rPr>
              <w:t>methods?</w:t>
            </w:r>
          </w:p>
        </w:tc>
        <w:tc>
          <w:tcPr>
            <w:tcW w:w="1701" w:type="dxa"/>
            <w:shd w:val="clear" w:color="auto" w:fill="E7E6E6" w:themeFill="background2"/>
          </w:tcPr>
          <w:p w14:paraId="0A4DCF29" w14:textId="2E344B1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If defined, the criteria applied for SSI-CRAN</w:t>
            </w:r>
          </w:p>
        </w:tc>
        <w:tc>
          <w:tcPr>
            <w:tcW w:w="2693" w:type="dxa"/>
            <w:shd w:val="clear" w:color="auto" w:fill="E7E6E6" w:themeFill="background2"/>
          </w:tcPr>
          <w:p w14:paraId="3A0892B3" w14:textId="3C4ED24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What are the findings relating to SSI-CRAN</w:t>
            </w:r>
            <w:r>
              <w:rPr>
                <w:rFonts w:ascii="Arial" w:hAnsi="Arial" w:cs="Arial"/>
                <w:color w:val="000000" w:themeColor="text1"/>
                <w:sz w:val="15"/>
                <w:szCs w:val="15"/>
              </w:rPr>
              <w:t>?</w:t>
            </w:r>
          </w:p>
        </w:tc>
        <w:tc>
          <w:tcPr>
            <w:tcW w:w="1701" w:type="dxa"/>
            <w:shd w:val="clear" w:color="auto" w:fill="E7E6E6" w:themeFill="background2"/>
          </w:tcPr>
          <w:p w14:paraId="3C5105F3" w14:textId="3F44FDC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Do the conclusions take account of variations in diagnostic criteria?</w:t>
            </w:r>
          </w:p>
        </w:tc>
      </w:tr>
      <w:tr w:rsidR="00A77951" w:rsidRPr="00251EA9" w14:paraId="0919AC34" w14:textId="77777777" w:rsidTr="00A77951">
        <w:trPr>
          <w:trHeight w:val="586"/>
        </w:trPr>
        <w:tc>
          <w:tcPr>
            <w:tcW w:w="992" w:type="dxa"/>
          </w:tcPr>
          <w:p w14:paraId="10F1FBA2" w14:textId="28DBACF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Abdullah K</w:t>
            </w:r>
            <w:r w:rsidR="001C52B8">
              <w:rPr>
                <w:rFonts w:ascii="Arial" w:hAnsi="Arial" w:cs="Arial"/>
                <w:sz w:val="15"/>
                <w:szCs w:val="15"/>
              </w:rPr>
              <w:t>.</w:t>
            </w:r>
            <w:r w:rsidRPr="00251EA9">
              <w:rPr>
                <w:rFonts w:ascii="Arial" w:hAnsi="Arial" w:cs="Arial"/>
                <w:sz w:val="15"/>
                <w:szCs w:val="15"/>
              </w:rPr>
              <w:t>G</w:t>
            </w:r>
            <w:r w:rsidR="001C52B8">
              <w:rPr>
                <w:rFonts w:ascii="Arial" w:hAnsi="Arial" w:cs="Arial"/>
                <w:sz w:val="15"/>
                <w:szCs w:val="15"/>
              </w:rPr>
              <w:t>.</w:t>
            </w:r>
            <w:r w:rsidRPr="00251EA9">
              <w:rPr>
                <w:rFonts w:ascii="Arial" w:hAnsi="Arial" w:cs="Arial"/>
                <w:sz w:val="15"/>
                <w:szCs w:val="15"/>
              </w:rPr>
              <w:t xml:space="preserve"> et al.</w:t>
            </w:r>
            <w:r w:rsidR="001C52B8">
              <w:rPr>
                <w:rFonts w:ascii="Arial" w:hAnsi="Arial" w:cs="Arial"/>
                <w:sz w:val="15"/>
                <w:szCs w:val="15"/>
              </w:rPr>
              <w:t>,</w:t>
            </w:r>
            <w:r w:rsidRPr="00251EA9">
              <w:rPr>
                <w:rFonts w:ascii="Arial" w:hAnsi="Arial" w:cs="Arial"/>
                <w:sz w:val="15"/>
                <w:szCs w:val="15"/>
              </w:rPr>
              <w:t xml:space="preserve"> 2015</w:t>
            </w:r>
          </w:p>
        </w:tc>
        <w:tc>
          <w:tcPr>
            <w:tcW w:w="851" w:type="dxa"/>
          </w:tcPr>
          <w:p w14:paraId="10716104" w14:textId="4754A9CD" w:rsidR="00A77951" w:rsidRPr="00A77951" w:rsidRDefault="00A77951" w:rsidP="00A77951">
            <w:pPr>
              <w:spacing w:line="360" w:lineRule="auto"/>
              <w:contextualSpacing/>
              <w:rPr>
                <w:rFonts w:ascii="Arial" w:hAnsi="Arial" w:cs="Arial"/>
                <w:sz w:val="15"/>
                <w:szCs w:val="15"/>
              </w:rPr>
            </w:pPr>
            <w:hyperlink r:id="rId5"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12.JNS</w:t>
              </w:r>
              <w:proofErr w:type="gramEnd"/>
              <w:r w:rsidRPr="00A77951">
                <w:rPr>
                  <w:rStyle w:val="Hyperlink"/>
                  <w:rFonts w:ascii="Arial" w:hAnsi="Arial" w:cs="Arial"/>
                  <w:sz w:val="15"/>
                  <w:szCs w:val="15"/>
                </w:rPr>
                <w:t>142092</w:t>
              </w:r>
            </w:hyperlink>
          </w:p>
        </w:tc>
        <w:tc>
          <w:tcPr>
            <w:tcW w:w="851" w:type="dxa"/>
          </w:tcPr>
          <w:p w14:paraId="2E4F34FB" w14:textId="122974E0"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FB04914" w14:textId="1C5B1B7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8F055D4" w14:textId="5850CD5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571961C5" w14:textId="1CE5E2E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General neurosurgical (craniotomy)</w:t>
            </w:r>
          </w:p>
        </w:tc>
        <w:tc>
          <w:tcPr>
            <w:tcW w:w="1843" w:type="dxa"/>
          </w:tcPr>
          <w:p w14:paraId="03C8AA29" w14:textId="41BE4A1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 xml:space="preserve">To assess whether topical vancomycin, applied in powder form directly to the </w:t>
            </w:r>
            <w:proofErr w:type="spellStart"/>
            <w:r w:rsidRPr="00251EA9">
              <w:rPr>
                <w:rFonts w:ascii="Arial" w:hAnsi="Arial" w:cs="Arial"/>
                <w:color w:val="000000" w:themeColor="text1"/>
                <w:sz w:val="15"/>
                <w:szCs w:val="15"/>
              </w:rPr>
              <w:t>subgaleal</w:t>
            </w:r>
            <w:proofErr w:type="spellEnd"/>
            <w:r w:rsidRPr="00251EA9">
              <w:rPr>
                <w:rFonts w:ascii="Arial" w:hAnsi="Arial" w:cs="Arial"/>
                <w:color w:val="000000" w:themeColor="text1"/>
                <w:sz w:val="15"/>
                <w:szCs w:val="15"/>
              </w:rPr>
              <w:t xml:space="preserve"> space during closure, would reduce cranial wound infection rates.</w:t>
            </w:r>
          </w:p>
        </w:tc>
        <w:tc>
          <w:tcPr>
            <w:tcW w:w="1134" w:type="dxa"/>
          </w:tcPr>
          <w:p w14:paraId="44348BC2" w14:textId="1B3F65C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Use of topical vancomycin vs control (no topical vancomycin).</w:t>
            </w:r>
          </w:p>
        </w:tc>
        <w:tc>
          <w:tcPr>
            <w:tcW w:w="992" w:type="dxa"/>
          </w:tcPr>
          <w:p w14:paraId="2EE27967" w14:textId="7DDC1D9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41583BC9" w14:textId="6AAE4CD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70FA5FEA" w14:textId="7E7195D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 total of 6</w:t>
            </w:r>
            <w:r w:rsidR="00F919C2">
              <w:rPr>
                <w:rFonts w:ascii="Arial" w:hAnsi="Arial" w:cs="Arial"/>
                <w:color w:val="000000" w:themeColor="text1"/>
                <w:sz w:val="15"/>
                <w:szCs w:val="15"/>
              </w:rPr>
              <w:t xml:space="preserve"> </w:t>
            </w:r>
            <w:r w:rsidRPr="00251EA9">
              <w:rPr>
                <w:rFonts w:ascii="Arial" w:hAnsi="Arial" w:cs="Arial"/>
                <w:color w:val="000000" w:themeColor="text1"/>
                <w:sz w:val="15"/>
                <w:szCs w:val="15"/>
              </w:rPr>
              <w:t>patients experienced infection (overall incidence of 4</w:t>
            </w:r>
            <w:r w:rsidR="00F919C2">
              <w:rPr>
                <w:rFonts w:ascii="Arial" w:hAnsi="Arial" w:cs="Arial"/>
                <w:color w:val="000000" w:themeColor="text1"/>
                <w:sz w:val="15"/>
                <w:szCs w:val="15"/>
              </w:rPr>
              <w:t>%</w:t>
            </w:r>
            <w:r w:rsidRPr="00251EA9">
              <w:rPr>
                <w:rFonts w:ascii="Arial" w:hAnsi="Arial" w:cs="Arial"/>
                <w:color w:val="000000" w:themeColor="text1"/>
                <w:sz w:val="15"/>
                <w:szCs w:val="15"/>
              </w:rPr>
              <w:t>): 5 controls and 1 of 75 patients who received vancomycin</w:t>
            </w:r>
            <w:r w:rsidR="00F919C2">
              <w:rPr>
                <w:rFonts w:ascii="Arial" w:hAnsi="Arial" w:cs="Arial"/>
                <w:color w:val="000000" w:themeColor="text1"/>
                <w:sz w:val="15"/>
                <w:szCs w:val="15"/>
              </w:rPr>
              <w:t xml:space="preserve">. </w:t>
            </w:r>
            <w:r w:rsidRPr="00251EA9">
              <w:rPr>
                <w:rFonts w:ascii="Arial" w:hAnsi="Arial" w:cs="Arial"/>
                <w:color w:val="000000" w:themeColor="text1"/>
                <w:sz w:val="15"/>
                <w:szCs w:val="15"/>
              </w:rPr>
              <w:t>The overall incidence of infection in</w:t>
            </w:r>
            <w:r w:rsidR="00F919C2">
              <w:rPr>
                <w:rFonts w:ascii="Arial" w:hAnsi="Arial" w:cs="Arial"/>
                <w:color w:val="000000" w:themeColor="text1"/>
                <w:sz w:val="15"/>
                <w:szCs w:val="15"/>
              </w:rPr>
              <w:t xml:space="preserve"> </w:t>
            </w:r>
            <w:r w:rsidRPr="00251EA9">
              <w:rPr>
                <w:rFonts w:ascii="Arial" w:hAnsi="Arial" w:cs="Arial"/>
                <w:color w:val="000000" w:themeColor="text1"/>
                <w:sz w:val="15"/>
                <w:szCs w:val="15"/>
              </w:rPr>
              <w:t>the control group was 6.7% and in the experimental group</w:t>
            </w:r>
            <w:r w:rsidR="00F919C2">
              <w:rPr>
                <w:rFonts w:ascii="Arial" w:hAnsi="Arial" w:cs="Arial"/>
                <w:color w:val="000000" w:themeColor="text1"/>
                <w:sz w:val="15"/>
                <w:szCs w:val="15"/>
              </w:rPr>
              <w:t xml:space="preserve"> </w:t>
            </w:r>
            <w:r w:rsidRPr="00251EA9">
              <w:rPr>
                <w:rFonts w:ascii="Arial" w:hAnsi="Arial" w:cs="Arial"/>
                <w:color w:val="000000" w:themeColor="text1"/>
                <w:sz w:val="15"/>
                <w:szCs w:val="15"/>
              </w:rPr>
              <w:t xml:space="preserve">was 1.3% </w:t>
            </w:r>
          </w:p>
        </w:tc>
        <w:tc>
          <w:tcPr>
            <w:tcW w:w="1701" w:type="dxa"/>
          </w:tcPr>
          <w:p w14:paraId="503E824D" w14:textId="32E6719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5782E873" w14:textId="77777777" w:rsidTr="00A77951">
        <w:trPr>
          <w:trHeight w:val="586"/>
        </w:trPr>
        <w:tc>
          <w:tcPr>
            <w:tcW w:w="992" w:type="dxa"/>
          </w:tcPr>
          <w:p w14:paraId="3E704CBC" w14:textId="3E442B1B"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 xml:space="preserve">Abebe </w:t>
            </w:r>
            <w:r w:rsidR="001C52B8">
              <w:rPr>
                <w:rFonts w:ascii="Arial" w:hAnsi="Arial" w:cs="Arial"/>
                <w:sz w:val="15"/>
                <w:szCs w:val="15"/>
              </w:rPr>
              <w:t>F.</w:t>
            </w:r>
            <w:r w:rsidRPr="00251EA9">
              <w:rPr>
                <w:rFonts w:ascii="Arial" w:hAnsi="Arial" w:cs="Arial"/>
                <w:sz w:val="15"/>
                <w:szCs w:val="15"/>
              </w:rPr>
              <w:t>T</w:t>
            </w:r>
            <w:r w:rsidR="001C52B8">
              <w:rPr>
                <w:rFonts w:ascii="Arial" w:hAnsi="Arial" w:cs="Arial"/>
                <w:sz w:val="15"/>
                <w:szCs w:val="15"/>
              </w:rPr>
              <w:t>.</w:t>
            </w:r>
            <w:r w:rsidRPr="00251EA9">
              <w:rPr>
                <w:rFonts w:ascii="Arial" w:hAnsi="Arial" w:cs="Arial"/>
                <w:sz w:val="15"/>
                <w:szCs w:val="15"/>
              </w:rPr>
              <w:t xml:space="preserve"> et al.</w:t>
            </w:r>
            <w:r w:rsidR="001C52B8">
              <w:rPr>
                <w:rFonts w:ascii="Arial" w:hAnsi="Arial" w:cs="Arial"/>
                <w:sz w:val="15"/>
                <w:szCs w:val="15"/>
              </w:rPr>
              <w:t>,</w:t>
            </w:r>
            <w:r w:rsidRPr="00251EA9">
              <w:rPr>
                <w:rFonts w:ascii="Arial" w:hAnsi="Arial" w:cs="Arial"/>
                <w:sz w:val="15"/>
                <w:szCs w:val="15"/>
              </w:rPr>
              <w:t xml:space="preserve"> 2022</w:t>
            </w:r>
          </w:p>
        </w:tc>
        <w:tc>
          <w:tcPr>
            <w:tcW w:w="851" w:type="dxa"/>
          </w:tcPr>
          <w:p w14:paraId="661753CF" w14:textId="1602F032" w:rsidR="00A77951" w:rsidRPr="00A77951" w:rsidRDefault="00A77951" w:rsidP="00A77951">
            <w:pPr>
              <w:spacing w:line="360" w:lineRule="auto"/>
              <w:contextualSpacing/>
              <w:rPr>
                <w:rFonts w:ascii="Arial" w:hAnsi="Arial" w:cs="Arial"/>
                <w:sz w:val="15"/>
                <w:szCs w:val="15"/>
              </w:rPr>
            </w:pPr>
            <w:hyperlink r:id="rId6" w:tooltip="Persistent link using digital object identifier" w:history="1">
              <w:r w:rsidRPr="00A77951">
                <w:rPr>
                  <w:rStyle w:val="Hyperlink"/>
                  <w:rFonts w:ascii="Arial" w:hAnsi="Arial" w:cs="Arial"/>
                  <w:sz w:val="15"/>
                  <w:szCs w:val="15"/>
                </w:rPr>
                <w:t>10.1016/j.inat.2022.101602</w:t>
              </w:r>
            </w:hyperlink>
          </w:p>
        </w:tc>
        <w:tc>
          <w:tcPr>
            <w:tcW w:w="851" w:type="dxa"/>
          </w:tcPr>
          <w:p w14:paraId="753C982B" w14:textId="42E25DC1"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Ethiopia</w:t>
            </w:r>
          </w:p>
        </w:tc>
        <w:tc>
          <w:tcPr>
            <w:tcW w:w="1134" w:type="dxa"/>
          </w:tcPr>
          <w:p w14:paraId="30A69B97" w14:textId="5871AAB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02ABADFA" w14:textId="27DAF02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w:t>
            </w:r>
          </w:p>
        </w:tc>
        <w:tc>
          <w:tcPr>
            <w:tcW w:w="1276" w:type="dxa"/>
          </w:tcPr>
          <w:p w14:paraId="0F3DF331" w14:textId="0ADB3B4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56A74816" w14:textId="48FD748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 xml:space="preserve">To evaluate the rate, indications and predictors of unplanned reoperation after craniotomy for brain </w:t>
            </w:r>
            <w:proofErr w:type="spellStart"/>
            <w:r w:rsidRPr="00251EA9">
              <w:rPr>
                <w:rFonts w:ascii="Arial" w:hAnsi="Arial" w:cs="Arial"/>
                <w:color w:val="000000" w:themeColor="text1"/>
                <w:sz w:val="15"/>
                <w:szCs w:val="15"/>
              </w:rPr>
              <w:t>tumors</w:t>
            </w:r>
            <w:proofErr w:type="spellEnd"/>
            <w:r w:rsidRPr="00251EA9">
              <w:rPr>
                <w:rFonts w:ascii="Arial" w:hAnsi="Arial" w:cs="Arial"/>
                <w:color w:val="000000" w:themeColor="text1"/>
                <w:sz w:val="15"/>
                <w:szCs w:val="15"/>
              </w:rPr>
              <w:t xml:space="preserve"> in two teaching hospitals.</w:t>
            </w:r>
          </w:p>
        </w:tc>
        <w:tc>
          <w:tcPr>
            <w:tcW w:w="1134" w:type="dxa"/>
          </w:tcPr>
          <w:p w14:paraId="6A85680E"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1AF5C8CA" w14:textId="41D58E4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6224AFD8" w14:textId="38DEF98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347ACFBB" w14:textId="3E1200D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The most common indication of reoperation was postoperative surgical site infection (25%, 8</w:t>
            </w:r>
            <w:r w:rsidR="00DA2788">
              <w:rPr>
                <w:rFonts w:ascii="Arial" w:hAnsi="Arial" w:cs="Arial"/>
                <w:color w:val="000000" w:themeColor="text1"/>
                <w:sz w:val="15"/>
                <w:szCs w:val="15"/>
              </w:rPr>
              <w:t xml:space="preserve"> cases</w:t>
            </w:r>
            <w:r w:rsidRPr="00251EA9">
              <w:rPr>
                <w:rFonts w:ascii="Arial" w:hAnsi="Arial" w:cs="Arial"/>
                <w:color w:val="000000" w:themeColor="text1"/>
                <w:sz w:val="15"/>
                <w:szCs w:val="15"/>
              </w:rPr>
              <w:t>).</w:t>
            </w:r>
          </w:p>
        </w:tc>
        <w:tc>
          <w:tcPr>
            <w:tcW w:w="1701" w:type="dxa"/>
          </w:tcPr>
          <w:p w14:paraId="667FFFBD" w14:textId="79318D60"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553B13F0" w14:textId="77777777" w:rsidTr="00A77951">
        <w:trPr>
          <w:trHeight w:val="586"/>
        </w:trPr>
        <w:tc>
          <w:tcPr>
            <w:tcW w:w="992" w:type="dxa"/>
          </w:tcPr>
          <w:p w14:paraId="02B7B95C" w14:textId="3DE7CD59"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Abecassis</w:t>
            </w:r>
            <w:proofErr w:type="spellEnd"/>
            <w:r w:rsidRPr="00251EA9">
              <w:rPr>
                <w:rFonts w:ascii="Arial" w:hAnsi="Arial" w:cs="Arial"/>
                <w:sz w:val="15"/>
                <w:szCs w:val="15"/>
              </w:rPr>
              <w:t xml:space="preserve"> I</w:t>
            </w:r>
            <w:r w:rsidR="001C52B8">
              <w:rPr>
                <w:rFonts w:ascii="Arial" w:hAnsi="Arial" w:cs="Arial"/>
                <w:sz w:val="15"/>
                <w:szCs w:val="15"/>
              </w:rPr>
              <w:t>.</w:t>
            </w:r>
            <w:r w:rsidRPr="00251EA9">
              <w:rPr>
                <w:rFonts w:ascii="Arial" w:hAnsi="Arial" w:cs="Arial"/>
                <w:sz w:val="15"/>
                <w:szCs w:val="15"/>
              </w:rPr>
              <w:t xml:space="preserve"> et al.</w:t>
            </w:r>
            <w:r w:rsidR="001C52B8">
              <w:rPr>
                <w:rFonts w:ascii="Arial" w:hAnsi="Arial" w:cs="Arial"/>
                <w:sz w:val="15"/>
                <w:szCs w:val="15"/>
              </w:rPr>
              <w:t>,</w:t>
            </w:r>
            <w:r w:rsidRPr="00251EA9">
              <w:rPr>
                <w:rFonts w:ascii="Arial" w:hAnsi="Arial" w:cs="Arial"/>
                <w:sz w:val="15"/>
                <w:szCs w:val="15"/>
              </w:rPr>
              <w:t xml:space="preserve"> 2021</w:t>
            </w:r>
          </w:p>
        </w:tc>
        <w:tc>
          <w:tcPr>
            <w:tcW w:w="851" w:type="dxa"/>
          </w:tcPr>
          <w:p w14:paraId="4FFF2222" w14:textId="09C57606" w:rsidR="00A77951" w:rsidRPr="00A77951" w:rsidRDefault="00A77951" w:rsidP="00A77951">
            <w:pPr>
              <w:spacing w:line="360" w:lineRule="auto"/>
              <w:contextualSpacing/>
              <w:rPr>
                <w:rFonts w:ascii="Arial" w:hAnsi="Arial" w:cs="Arial"/>
                <w:sz w:val="15"/>
                <w:szCs w:val="15"/>
              </w:rPr>
            </w:pPr>
            <w:hyperlink r:id="rId7" w:history="1">
              <w:r w:rsidRPr="00A77951">
                <w:rPr>
                  <w:rStyle w:val="Hyperlink"/>
                  <w:rFonts w:ascii="Arial" w:hAnsi="Arial" w:cs="Arial"/>
                  <w:sz w:val="15"/>
                  <w:szCs w:val="15"/>
                </w:rPr>
                <w:t>10.3171/2020.</w:t>
              </w:r>
              <w:proofErr w:type="gramStart"/>
              <w:r w:rsidRPr="00A77951">
                <w:rPr>
                  <w:rStyle w:val="Hyperlink"/>
                  <w:rFonts w:ascii="Arial" w:hAnsi="Arial" w:cs="Arial"/>
                  <w:sz w:val="15"/>
                  <w:szCs w:val="15"/>
                </w:rPr>
                <w:t>11.JNS</w:t>
              </w:r>
              <w:proofErr w:type="gramEnd"/>
              <w:r w:rsidRPr="00A77951">
                <w:rPr>
                  <w:rStyle w:val="Hyperlink"/>
                  <w:rFonts w:ascii="Arial" w:hAnsi="Arial" w:cs="Arial"/>
                  <w:sz w:val="15"/>
                  <w:szCs w:val="15"/>
                </w:rPr>
                <w:t>203567</w:t>
              </w:r>
            </w:hyperlink>
          </w:p>
        </w:tc>
        <w:tc>
          <w:tcPr>
            <w:tcW w:w="851" w:type="dxa"/>
          </w:tcPr>
          <w:p w14:paraId="5D4E9F2A" w14:textId="3275D303"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C3CF690" w14:textId="3DF5A26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9CBB6CC" w14:textId="218D4EF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57308AB2" w14:textId="3241A94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3652490A" w14:textId="79BE06E9" w:rsidR="00A77951" w:rsidRPr="00A61E76" w:rsidRDefault="00A61E76" w:rsidP="00A77951">
            <w:pPr>
              <w:spacing w:line="360" w:lineRule="auto"/>
              <w:contextualSpacing/>
              <w:rPr>
                <w:rFonts w:ascii="Arial" w:hAnsi="Arial" w:cs="Arial"/>
                <w:sz w:val="15"/>
                <w:szCs w:val="15"/>
              </w:rPr>
            </w:pPr>
            <w:r w:rsidRPr="00A61E76">
              <w:rPr>
                <w:rFonts w:ascii="Arial" w:hAnsi="Arial" w:cs="Arial"/>
                <w:sz w:val="15"/>
                <w:szCs w:val="15"/>
              </w:rPr>
              <w:t>To</w:t>
            </w:r>
            <w:r w:rsidR="00A77951" w:rsidRPr="00A61E76">
              <w:rPr>
                <w:rFonts w:ascii="Arial" w:hAnsi="Arial" w:cs="Arial"/>
                <w:sz w:val="15"/>
                <w:szCs w:val="15"/>
              </w:rPr>
              <w:t xml:space="preserve"> define </w:t>
            </w:r>
            <w:r w:rsidRPr="00A61E76">
              <w:rPr>
                <w:rFonts w:ascii="Arial" w:hAnsi="Arial" w:cs="Arial"/>
                <w:sz w:val="15"/>
                <w:szCs w:val="15"/>
              </w:rPr>
              <w:t>the</w:t>
            </w:r>
            <w:r w:rsidR="00A77951" w:rsidRPr="00A61E76">
              <w:rPr>
                <w:rFonts w:ascii="Arial" w:hAnsi="Arial" w:cs="Arial"/>
                <w:sz w:val="15"/>
                <w:szCs w:val="15"/>
              </w:rPr>
              <w:t xml:space="preserve"> implementation of the</w:t>
            </w:r>
            <w:r w:rsidRPr="00A61E76">
              <w:rPr>
                <w:rFonts w:ascii="Arial" w:hAnsi="Arial" w:cs="Arial"/>
                <w:sz w:val="15"/>
                <w:szCs w:val="15"/>
              </w:rPr>
              <w:t xml:space="preserve"> </w:t>
            </w:r>
            <w:r w:rsidR="00A77951" w:rsidRPr="00A61E76">
              <w:rPr>
                <w:rFonts w:ascii="Arial" w:hAnsi="Arial" w:cs="Arial"/>
                <w:sz w:val="15"/>
                <w:szCs w:val="15"/>
              </w:rPr>
              <w:t xml:space="preserve">Kempe incision for </w:t>
            </w:r>
            <w:r w:rsidRPr="00A61E76">
              <w:rPr>
                <w:rFonts w:ascii="Arial" w:hAnsi="Arial" w:cs="Arial"/>
                <w:sz w:val="15"/>
                <w:szCs w:val="15"/>
              </w:rPr>
              <w:t>decompressive craniotomy</w:t>
            </w:r>
            <w:r w:rsidR="00A77951" w:rsidRPr="00A61E76">
              <w:rPr>
                <w:rFonts w:ascii="Arial" w:hAnsi="Arial" w:cs="Arial"/>
                <w:sz w:val="15"/>
                <w:szCs w:val="15"/>
              </w:rPr>
              <w:t>, report clinical outcomes, and quantify the volume of bone removed compared</w:t>
            </w:r>
          </w:p>
          <w:p w14:paraId="7C45BFA7" w14:textId="61E6F9E6" w:rsidR="00A77951" w:rsidRPr="00251EA9" w:rsidRDefault="00A77951" w:rsidP="00A77951">
            <w:pPr>
              <w:spacing w:line="360" w:lineRule="auto"/>
              <w:contextualSpacing/>
              <w:rPr>
                <w:rFonts w:ascii="Arial" w:hAnsi="Arial" w:cs="Arial"/>
                <w:color w:val="000000" w:themeColor="text1"/>
                <w:sz w:val="15"/>
                <w:szCs w:val="15"/>
              </w:rPr>
            </w:pPr>
            <w:r w:rsidRPr="00A61E76">
              <w:rPr>
                <w:rFonts w:ascii="Arial" w:hAnsi="Arial" w:cs="Arial"/>
                <w:sz w:val="15"/>
                <w:szCs w:val="15"/>
              </w:rPr>
              <w:lastRenderedPageBreak/>
              <w:t xml:space="preserve">with the </w:t>
            </w:r>
            <w:r w:rsidR="00DC7313">
              <w:rPr>
                <w:rFonts w:ascii="Arial" w:hAnsi="Arial" w:cs="Arial"/>
                <w:sz w:val="15"/>
                <w:szCs w:val="15"/>
              </w:rPr>
              <w:t>reverse-question mark</w:t>
            </w:r>
            <w:r w:rsidRPr="00A61E76">
              <w:rPr>
                <w:rFonts w:ascii="Arial" w:hAnsi="Arial" w:cs="Arial"/>
                <w:sz w:val="15"/>
                <w:szCs w:val="15"/>
              </w:rPr>
              <w:t xml:space="preserve"> incision.</w:t>
            </w:r>
          </w:p>
        </w:tc>
        <w:tc>
          <w:tcPr>
            <w:tcW w:w="1134" w:type="dxa"/>
          </w:tcPr>
          <w:p w14:paraId="1AD66693" w14:textId="6245C658" w:rsidR="00A77951" w:rsidRPr="00251EA9" w:rsidRDefault="002627D4"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lastRenderedPageBreak/>
              <w:t>Kempe incision Vs reverse-question mark incision</w:t>
            </w:r>
          </w:p>
        </w:tc>
        <w:tc>
          <w:tcPr>
            <w:tcW w:w="992" w:type="dxa"/>
          </w:tcPr>
          <w:p w14:paraId="2E29E773" w14:textId="74F3E35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18A0FCA6" w14:textId="58230ED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0B0C4C96" w14:textId="7773A95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Wound infection rate</w:t>
            </w:r>
            <w:r w:rsidR="002627D4">
              <w:rPr>
                <w:rFonts w:ascii="Arial" w:hAnsi="Arial" w:cs="Arial"/>
                <w:color w:val="000000" w:themeColor="text1"/>
                <w:sz w:val="15"/>
                <w:szCs w:val="15"/>
              </w:rPr>
              <w:t xml:space="preserve">s </w:t>
            </w:r>
            <w:r w:rsidRPr="00251EA9">
              <w:rPr>
                <w:rFonts w:ascii="Arial" w:hAnsi="Arial" w:cs="Arial"/>
                <w:color w:val="000000" w:themeColor="text1"/>
                <w:sz w:val="15"/>
                <w:szCs w:val="15"/>
              </w:rPr>
              <w:t>and length of surgery were comparable between the two incision</w:t>
            </w:r>
            <w:r w:rsidR="002627D4">
              <w:rPr>
                <w:rFonts w:ascii="Arial" w:hAnsi="Arial" w:cs="Arial"/>
                <w:color w:val="000000" w:themeColor="text1"/>
                <w:sz w:val="15"/>
                <w:szCs w:val="15"/>
              </w:rPr>
              <w:t xml:space="preserve"> </w:t>
            </w:r>
            <w:r w:rsidRPr="00251EA9">
              <w:rPr>
                <w:rFonts w:ascii="Arial" w:hAnsi="Arial" w:cs="Arial"/>
                <w:color w:val="000000" w:themeColor="text1"/>
                <w:sz w:val="15"/>
                <w:szCs w:val="15"/>
              </w:rPr>
              <w:t>types.</w:t>
            </w:r>
          </w:p>
          <w:p w14:paraId="730925EC" w14:textId="5B43D32B" w:rsidR="00A77951" w:rsidRPr="00251EA9" w:rsidRDefault="00A77951" w:rsidP="00A77951">
            <w:pPr>
              <w:spacing w:line="360" w:lineRule="auto"/>
              <w:contextualSpacing/>
              <w:rPr>
                <w:rFonts w:ascii="Arial" w:hAnsi="Arial" w:cs="Arial"/>
                <w:color w:val="000000" w:themeColor="text1"/>
                <w:sz w:val="15"/>
                <w:szCs w:val="15"/>
              </w:rPr>
            </w:pPr>
          </w:p>
        </w:tc>
        <w:tc>
          <w:tcPr>
            <w:tcW w:w="1701" w:type="dxa"/>
          </w:tcPr>
          <w:p w14:paraId="4100C2B9" w14:textId="5D6ECC1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7B904C72" w14:textId="77777777" w:rsidTr="00A77951">
        <w:trPr>
          <w:trHeight w:val="586"/>
        </w:trPr>
        <w:tc>
          <w:tcPr>
            <w:tcW w:w="992" w:type="dxa"/>
          </w:tcPr>
          <w:p w14:paraId="44F0E816" w14:textId="07CAF43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Abode-</w:t>
            </w:r>
            <w:proofErr w:type="spellStart"/>
            <w:r w:rsidRPr="00251EA9">
              <w:rPr>
                <w:rFonts w:ascii="Arial" w:hAnsi="Arial" w:cs="Arial"/>
                <w:sz w:val="15"/>
                <w:szCs w:val="15"/>
              </w:rPr>
              <w:t>Iyamah</w:t>
            </w:r>
            <w:proofErr w:type="spellEnd"/>
            <w:r w:rsidRPr="00251EA9">
              <w:rPr>
                <w:rFonts w:ascii="Arial" w:hAnsi="Arial" w:cs="Arial"/>
                <w:sz w:val="15"/>
                <w:szCs w:val="15"/>
              </w:rPr>
              <w:t xml:space="preserve"> K.O</w:t>
            </w:r>
            <w:r w:rsidR="00DB0DCB">
              <w:rPr>
                <w:rFonts w:ascii="Arial" w:hAnsi="Arial" w:cs="Arial"/>
                <w:sz w:val="15"/>
                <w:szCs w:val="15"/>
              </w:rPr>
              <w:t>.</w:t>
            </w:r>
            <w:r w:rsidRPr="00251EA9">
              <w:rPr>
                <w:rFonts w:ascii="Arial" w:hAnsi="Arial" w:cs="Arial"/>
                <w:sz w:val="15"/>
                <w:szCs w:val="15"/>
              </w:rPr>
              <w:t xml:space="preserve"> et al.</w:t>
            </w:r>
            <w:r w:rsidR="00DB0DCB">
              <w:rPr>
                <w:rFonts w:ascii="Arial" w:hAnsi="Arial" w:cs="Arial"/>
                <w:sz w:val="15"/>
                <w:szCs w:val="15"/>
              </w:rPr>
              <w:t>,</w:t>
            </w:r>
            <w:r w:rsidRPr="00251EA9">
              <w:rPr>
                <w:rFonts w:ascii="Arial" w:hAnsi="Arial" w:cs="Arial"/>
                <w:sz w:val="15"/>
                <w:szCs w:val="15"/>
              </w:rPr>
              <w:t xml:space="preserve"> 2018</w:t>
            </w:r>
          </w:p>
        </w:tc>
        <w:tc>
          <w:tcPr>
            <w:tcW w:w="851" w:type="dxa"/>
          </w:tcPr>
          <w:p w14:paraId="24F659B5" w14:textId="774D7F12" w:rsidR="00A77951" w:rsidRPr="00A77951" w:rsidRDefault="00A77951" w:rsidP="00A77951">
            <w:pPr>
              <w:spacing w:line="360" w:lineRule="auto"/>
              <w:contextualSpacing/>
              <w:rPr>
                <w:rFonts w:ascii="Arial" w:hAnsi="Arial" w:cs="Arial"/>
                <w:sz w:val="15"/>
                <w:szCs w:val="15"/>
              </w:rPr>
            </w:pPr>
            <w:hyperlink r:id="rId8" w:history="1">
              <w:r w:rsidRPr="00A77951">
                <w:rPr>
                  <w:rStyle w:val="Hyperlink"/>
                  <w:rFonts w:ascii="Arial" w:hAnsi="Arial" w:cs="Arial"/>
                  <w:sz w:val="15"/>
                  <w:szCs w:val="15"/>
                </w:rPr>
                <w:t>10.3171/2016.</w:t>
              </w:r>
              <w:proofErr w:type="gramStart"/>
              <w:r w:rsidRPr="00A77951">
                <w:rPr>
                  <w:rStyle w:val="Hyperlink"/>
                  <w:rFonts w:ascii="Arial" w:hAnsi="Arial" w:cs="Arial"/>
                  <w:sz w:val="15"/>
                  <w:szCs w:val="15"/>
                </w:rPr>
                <w:t>12.JNS</w:t>
              </w:r>
              <w:proofErr w:type="gramEnd"/>
              <w:r w:rsidRPr="00A77951">
                <w:rPr>
                  <w:rStyle w:val="Hyperlink"/>
                  <w:rFonts w:ascii="Arial" w:hAnsi="Arial" w:cs="Arial"/>
                  <w:sz w:val="15"/>
                  <w:szCs w:val="15"/>
                </w:rPr>
                <w:t>161967</w:t>
              </w:r>
            </w:hyperlink>
          </w:p>
        </w:tc>
        <w:tc>
          <w:tcPr>
            <w:tcW w:w="851" w:type="dxa"/>
          </w:tcPr>
          <w:p w14:paraId="69047E03" w14:textId="6E328A2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C633A1D" w14:textId="3B0FBDC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5B9627F" w14:textId="75FB4ABC"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240474A3" w14:textId="6352D2F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General neurosurgical (cranioplasty)</w:t>
            </w:r>
          </w:p>
        </w:tc>
        <w:tc>
          <w:tcPr>
            <w:tcW w:w="1843" w:type="dxa"/>
          </w:tcPr>
          <w:p w14:paraId="59FB442A" w14:textId="18ABFF3F" w:rsidR="00A77951" w:rsidRPr="00443B12" w:rsidRDefault="00443B12" w:rsidP="00A77951">
            <w:pPr>
              <w:spacing w:line="360" w:lineRule="auto"/>
              <w:contextualSpacing/>
              <w:rPr>
                <w:rFonts w:ascii="Arial" w:hAnsi="Arial" w:cs="Arial"/>
                <w:sz w:val="15"/>
                <w:szCs w:val="15"/>
              </w:rPr>
            </w:pPr>
            <w:r w:rsidRPr="00443B12">
              <w:rPr>
                <w:rFonts w:ascii="Arial" w:hAnsi="Arial" w:cs="Arial"/>
                <w:sz w:val="15"/>
                <w:szCs w:val="15"/>
              </w:rPr>
              <w:t>To</w:t>
            </w:r>
            <w:r w:rsidR="00A77951" w:rsidRPr="00443B12">
              <w:rPr>
                <w:rFonts w:ascii="Arial" w:hAnsi="Arial" w:cs="Arial"/>
                <w:sz w:val="15"/>
                <w:szCs w:val="15"/>
              </w:rPr>
              <w:t xml:space="preserve"> determine</w:t>
            </w:r>
            <w:r>
              <w:rPr>
                <w:rFonts w:ascii="Arial" w:hAnsi="Arial" w:cs="Arial"/>
                <w:sz w:val="15"/>
                <w:szCs w:val="15"/>
              </w:rPr>
              <w:t xml:space="preserve"> </w:t>
            </w:r>
            <w:r w:rsidR="00A77951" w:rsidRPr="00443B12">
              <w:rPr>
                <w:rFonts w:ascii="Arial" w:hAnsi="Arial" w:cs="Arial"/>
                <w:sz w:val="15"/>
                <w:szCs w:val="15"/>
              </w:rPr>
              <w:t>whether intrawound VP</w:t>
            </w:r>
            <w:r>
              <w:rPr>
                <w:rFonts w:ascii="Arial" w:hAnsi="Arial" w:cs="Arial"/>
                <w:sz w:val="15"/>
                <w:szCs w:val="15"/>
              </w:rPr>
              <w:t xml:space="preserve"> </w:t>
            </w:r>
            <w:r w:rsidR="00A77951" w:rsidRPr="00443B12">
              <w:rPr>
                <w:rFonts w:ascii="Arial" w:hAnsi="Arial" w:cs="Arial"/>
                <w:sz w:val="15"/>
                <w:szCs w:val="15"/>
              </w:rPr>
              <w:t>(vancomycin powder) is associated with decreased risk of SSIs, to evaluate VP’s safety, and to identify risk</w:t>
            </w:r>
            <w:r>
              <w:rPr>
                <w:rFonts w:ascii="Arial" w:hAnsi="Arial" w:cs="Arial"/>
                <w:sz w:val="15"/>
                <w:szCs w:val="15"/>
              </w:rPr>
              <w:t xml:space="preserve"> </w:t>
            </w:r>
            <w:r w:rsidR="00A77951" w:rsidRPr="00443B12">
              <w:rPr>
                <w:rFonts w:ascii="Arial" w:hAnsi="Arial" w:cs="Arial"/>
                <w:sz w:val="15"/>
                <w:szCs w:val="15"/>
              </w:rPr>
              <w:t>factors for</w:t>
            </w:r>
            <w:r>
              <w:rPr>
                <w:rFonts w:ascii="Arial" w:hAnsi="Arial" w:cs="Arial"/>
                <w:sz w:val="15"/>
                <w:szCs w:val="15"/>
              </w:rPr>
              <w:t xml:space="preserve"> </w:t>
            </w:r>
            <w:r w:rsidR="00A77951" w:rsidRPr="00443B12">
              <w:rPr>
                <w:rFonts w:ascii="Arial" w:hAnsi="Arial" w:cs="Arial"/>
                <w:sz w:val="15"/>
                <w:szCs w:val="15"/>
              </w:rPr>
              <w:t>SSIs after cranioplasty among patients undergoing first-time cranioplasty.</w:t>
            </w:r>
          </w:p>
        </w:tc>
        <w:tc>
          <w:tcPr>
            <w:tcW w:w="1134" w:type="dxa"/>
          </w:tcPr>
          <w:p w14:paraId="1772ECE1"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2EF6439D" w14:textId="487ED62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388CA9A3" w14:textId="4C188872" w:rsidR="00146265" w:rsidRPr="00251EA9" w:rsidRDefault="003C282B" w:rsidP="00C67F25">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CDC guidelines</w:t>
            </w:r>
          </w:p>
        </w:tc>
        <w:tc>
          <w:tcPr>
            <w:tcW w:w="2693" w:type="dxa"/>
          </w:tcPr>
          <w:p w14:paraId="6510A1C4" w14:textId="26BB6A7F" w:rsidR="00A77951" w:rsidRPr="00443B12" w:rsidRDefault="00443B12" w:rsidP="00A77951">
            <w:pPr>
              <w:spacing w:line="360" w:lineRule="auto"/>
              <w:contextualSpacing/>
              <w:rPr>
                <w:rFonts w:ascii="Arial" w:hAnsi="Arial" w:cs="Arial"/>
                <w:sz w:val="15"/>
                <w:szCs w:val="15"/>
              </w:rPr>
            </w:pPr>
            <w:r w:rsidRPr="00443B12">
              <w:rPr>
                <w:rFonts w:ascii="Arial" w:hAnsi="Arial" w:cs="Arial"/>
                <w:sz w:val="15"/>
                <w:szCs w:val="15"/>
              </w:rPr>
              <w:t xml:space="preserve">15 out of 258 </w:t>
            </w:r>
            <w:r w:rsidR="00A77951" w:rsidRPr="00443B12">
              <w:rPr>
                <w:rFonts w:ascii="Arial" w:hAnsi="Arial" w:cs="Arial"/>
                <w:sz w:val="15"/>
                <w:szCs w:val="15"/>
              </w:rPr>
              <w:t>(5.8%) patients</w:t>
            </w:r>
          </w:p>
          <w:p w14:paraId="0754B69F" w14:textId="653AAACB" w:rsidR="00A77951" w:rsidRPr="003D4AB9" w:rsidRDefault="00A77951" w:rsidP="00A77951">
            <w:pPr>
              <w:spacing w:line="360" w:lineRule="auto"/>
              <w:contextualSpacing/>
              <w:rPr>
                <w:rFonts w:ascii="Arial" w:hAnsi="Arial" w:cs="Arial"/>
                <w:sz w:val="15"/>
                <w:szCs w:val="15"/>
              </w:rPr>
            </w:pPr>
            <w:r w:rsidRPr="00443B12">
              <w:rPr>
                <w:rFonts w:ascii="Arial" w:hAnsi="Arial" w:cs="Arial"/>
                <w:sz w:val="15"/>
                <w:szCs w:val="15"/>
              </w:rPr>
              <w:t>acquired SSIs. Ninety-two patients (35.7%) received intrawound VP (VP group) and 166 (64.3%) did not (no-VP group).</w:t>
            </w:r>
            <w:r w:rsidR="003D4AB9">
              <w:rPr>
                <w:rFonts w:ascii="Arial" w:hAnsi="Arial" w:cs="Arial"/>
                <w:sz w:val="15"/>
                <w:szCs w:val="15"/>
              </w:rPr>
              <w:t xml:space="preserve"> </w:t>
            </w:r>
            <w:r w:rsidRPr="00443B12">
              <w:rPr>
                <w:rFonts w:ascii="Arial" w:hAnsi="Arial" w:cs="Arial"/>
                <w:sz w:val="15"/>
                <w:szCs w:val="15"/>
              </w:rPr>
              <w:t>Risk</w:t>
            </w:r>
            <w:r w:rsidR="003D4AB9">
              <w:rPr>
                <w:rFonts w:ascii="Arial" w:hAnsi="Arial" w:cs="Arial"/>
                <w:sz w:val="15"/>
                <w:szCs w:val="15"/>
              </w:rPr>
              <w:t xml:space="preserve"> </w:t>
            </w:r>
            <w:r w:rsidRPr="00443B12">
              <w:rPr>
                <w:rFonts w:ascii="Arial" w:hAnsi="Arial" w:cs="Arial"/>
                <w:sz w:val="15"/>
                <w:szCs w:val="15"/>
              </w:rPr>
              <w:t>factors for SSI from were diabetes, multiple craniotomy procedures before the cranioplasty, prior same-side craniotomy, and prosthetic implants.</w:t>
            </w:r>
          </w:p>
        </w:tc>
        <w:tc>
          <w:tcPr>
            <w:tcW w:w="1701" w:type="dxa"/>
          </w:tcPr>
          <w:p w14:paraId="53B318F5" w14:textId="7777777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 "The definitions of SSI used</w:t>
            </w:r>
          </w:p>
          <w:p w14:paraId="18D15E20" w14:textId="7777777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 xml:space="preserve">in the studies evaluated by </w:t>
            </w:r>
            <w:proofErr w:type="spellStart"/>
            <w:r w:rsidRPr="00251EA9">
              <w:rPr>
                <w:rFonts w:ascii="Arial" w:hAnsi="Arial" w:cs="Arial"/>
                <w:color w:val="000000" w:themeColor="text1"/>
                <w:sz w:val="15"/>
                <w:szCs w:val="15"/>
              </w:rPr>
              <w:t>Yadla</w:t>
            </w:r>
            <w:proofErr w:type="spellEnd"/>
            <w:r w:rsidRPr="00251EA9">
              <w:rPr>
                <w:rFonts w:ascii="Arial" w:hAnsi="Arial" w:cs="Arial"/>
                <w:color w:val="000000" w:themeColor="text1"/>
                <w:sz w:val="15"/>
                <w:szCs w:val="15"/>
              </w:rPr>
              <w:t xml:space="preserve"> et al. varied, and most of</w:t>
            </w:r>
          </w:p>
          <w:p w14:paraId="3314B36A" w14:textId="7777777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the studies did not use the NHSN definition, which may</w:t>
            </w:r>
          </w:p>
          <w:p w14:paraId="3C33AF6B" w14:textId="7777777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 xml:space="preserve">explain, in part, the difference between the results of </w:t>
            </w:r>
            <w:proofErr w:type="gramStart"/>
            <w:r w:rsidRPr="00251EA9">
              <w:rPr>
                <w:rFonts w:ascii="Arial" w:hAnsi="Arial" w:cs="Arial"/>
                <w:color w:val="000000" w:themeColor="text1"/>
                <w:sz w:val="15"/>
                <w:szCs w:val="15"/>
              </w:rPr>
              <w:t>our</w:t>
            </w:r>
            <w:proofErr w:type="gramEnd"/>
          </w:p>
          <w:p w14:paraId="57EEB486" w14:textId="25DD616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study and those of the systematic review."</w:t>
            </w:r>
          </w:p>
        </w:tc>
      </w:tr>
      <w:tr w:rsidR="00A77951" w:rsidRPr="00251EA9" w14:paraId="52E5587C" w14:textId="77777777" w:rsidTr="00A77951">
        <w:trPr>
          <w:trHeight w:val="586"/>
        </w:trPr>
        <w:tc>
          <w:tcPr>
            <w:tcW w:w="992" w:type="dxa"/>
          </w:tcPr>
          <w:p w14:paraId="5F2B5542" w14:textId="2CE8BB80"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Abode-</w:t>
            </w:r>
            <w:proofErr w:type="spellStart"/>
            <w:r w:rsidRPr="00251EA9">
              <w:rPr>
                <w:rFonts w:ascii="Arial" w:hAnsi="Arial" w:cs="Arial"/>
                <w:sz w:val="15"/>
                <w:szCs w:val="15"/>
              </w:rPr>
              <w:t>lyamah</w:t>
            </w:r>
            <w:proofErr w:type="spellEnd"/>
            <w:r w:rsidRPr="00251EA9">
              <w:rPr>
                <w:rFonts w:ascii="Arial" w:hAnsi="Arial" w:cs="Arial"/>
                <w:sz w:val="15"/>
                <w:szCs w:val="15"/>
              </w:rPr>
              <w:t xml:space="preserve"> K.O. et al., 2018</w:t>
            </w:r>
          </w:p>
        </w:tc>
        <w:tc>
          <w:tcPr>
            <w:tcW w:w="851" w:type="dxa"/>
          </w:tcPr>
          <w:p w14:paraId="2F398303" w14:textId="7310CCE6" w:rsidR="00A77951" w:rsidRPr="00A77951" w:rsidRDefault="00A77951" w:rsidP="00A77951">
            <w:pPr>
              <w:spacing w:line="360" w:lineRule="auto"/>
              <w:contextualSpacing/>
              <w:rPr>
                <w:rFonts w:ascii="Arial" w:hAnsi="Arial" w:cs="Arial"/>
                <w:sz w:val="15"/>
                <w:szCs w:val="15"/>
              </w:rPr>
            </w:pPr>
            <w:hyperlink r:id="rId9" w:history="1">
              <w:r w:rsidRPr="00A77951">
                <w:rPr>
                  <w:rStyle w:val="Hyperlink"/>
                  <w:rFonts w:ascii="Arial" w:hAnsi="Arial" w:cs="Arial"/>
                  <w:sz w:val="15"/>
                  <w:szCs w:val="15"/>
                </w:rPr>
                <w:t>10.3171/2017.</w:t>
              </w:r>
              <w:proofErr w:type="gramStart"/>
              <w:r w:rsidRPr="00A77951">
                <w:rPr>
                  <w:rStyle w:val="Hyperlink"/>
                  <w:rFonts w:ascii="Arial" w:hAnsi="Arial" w:cs="Arial"/>
                  <w:sz w:val="15"/>
                  <w:szCs w:val="15"/>
                </w:rPr>
                <w:t>9.JNS</w:t>
              </w:r>
              <w:proofErr w:type="gramEnd"/>
              <w:r w:rsidRPr="00A77951">
                <w:rPr>
                  <w:rStyle w:val="Hyperlink"/>
                  <w:rFonts w:ascii="Arial" w:hAnsi="Arial" w:cs="Arial"/>
                  <w:sz w:val="15"/>
                  <w:szCs w:val="15"/>
                </w:rPr>
                <w:t>1780</w:t>
              </w:r>
            </w:hyperlink>
          </w:p>
        </w:tc>
        <w:tc>
          <w:tcPr>
            <w:tcW w:w="851" w:type="dxa"/>
          </w:tcPr>
          <w:p w14:paraId="1C72B166" w14:textId="2C88022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70C6986" w14:textId="4704A07C"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23920DB" w14:textId="3690910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54AE500B" w14:textId="25778C3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Functional (DBS insertion)</w:t>
            </w:r>
          </w:p>
        </w:tc>
        <w:tc>
          <w:tcPr>
            <w:tcW w:w="1843" w:type="dxa"/>
          </w:tcPr>
          <w:p w14:paraId="3E4191B5" w14:textId="03279DC8" w:rsidR="00A77951" w:rsidRPr="00251EA9" w:rsidRDefault="00A77951" w:rsidP="00A77951">
            <w:pPr>
              <w:spacing w:line="360" w:lineRule="auto"/>
              <w:contextualSpacing/>
              <w:rPr>
                <w:rFonts w:ascii="Arial" w:hAnsi="Arial" w:cs="Arial"/>
                <w:color w:val="FF0000"/>
                <w:sz w:val="15"/>
                <w:szCs w:val="15"/>
              </w:rPr>
            </w:pPr>
            <w:r w:rsidRPr="00251EA9">
              <w:rPr>
                <w:rFonts w:ascii="Arial" w:hAnsi="Arial" w:cs="Arial"/>
                <w:sz w:val="15"/>
                <w:szCs w:val="15"/>
              </w:rPr>
              <w:t>To identify possible risk factors for DBS-related infection and analyse the efficacy of prophylactic intrawound vancomycin powder.</w:t>
            </w:r>
          </w:p>
        </w:tc>
        <w:tc>
          <w:tcPr>
            <w:tcW w:w="1134" w:type="dxa"/>
          </w:tcPr>
          <w:p w14:paraId="747FB32E" w14:textId="2CAF07C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Use of vancomycin powder vs control (not used).</w:t>
            </w:r>
          </w:p>
        </w:tc>
        <w:tc>
          <w:tcPr>
            <w:tcW w:w="992" w:type="dxa"/>
          </w:tcPr>
          <w:p w14:paraId="6209D129" w14:textId="61DC881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2DAA1000" w14:textId="3B741AC4" w:rsidR="00A77951" w:rsidRPr="00251EA9" w:rsidRDefault="003C282B"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CDC guidelines</w:t>
            </w:r>
          </w:p>
        </w:tc>
        <w:tc>
          <w:tcPr>
            <w:tcW w:w="2693" w:type="dxa"/>
          </w:tcPr>
          <w:p w14:paraId="70349E5F" w14:textId="3E84FAE0" w:rsidR="00A77951" w:rsidRPr="00CE092F" w:rsidRDefault="00A77951" w:rsidP="00A77951">
            <w:pPr>
              <w:spacing w:line="360" w:lineRule="auto"/>
              <w:contextualSpacing/>
              <w:rPr>
                <w:rFonts w:ascii="Arial" w:hAnsi="Arial" w:cs="Arial"/>
                <w:sz w:val="15"/>
                <w:szCs w:val="15"/>
              </w:rPr>
            </w:pPr>
            <w:r w:rsidRPr="00CE092F">
              <w:rPr>
                <w:rFonts w:ascii="Arial" w:hAnsi="Arial" w:cs="Arial"/>
                <w:sz w:val="15"/>
                <w:szCs w:val="15"/>
              </w:rPr>
              <w:t>Nine SSIs (3.7%) were detected within 90 days of DBS placement, and 16 (6.5%) were detected within 1 year. The median time to the onset of all 16 SSIs was 79 days</w:t>
            </w:r>
            <w:r w:rsidR="00BF429A" w:rsidRPr="00CE092F">
              <w:rPr>
                <w:rFonts w:ascii="Arial" w:hAnsi="Arial" w:cs="Arial"/>
                <w:sz w:val="15"/>
                <w:szCs w:val="15"/>
              </w:rPr>
              <w:t>;</w:t>
            </w:r>
            <w:r w:rsidRPr="00CE092F">
              <w:rPr>
                <w:rFonts w:ascii="Arial" w:hAnsi="Arial" w:cs="Arial"/>
                <w:sz w:val="15"/>
                <w:szCs w:val="15"/>
              </w:rPr>
              <w:t xml:space="preserve"> for the 9 SSIs that occurred fewer than 90 days after the procedure, the median time to onset was 50 days. Eleven infections (68.8%) affected scalp wounds; 9 of these occurred at or near burr holes and 2 were associated with lead extensions.</w:t>
            </w:r>
          </w:p>
        </w:tc>
        <w:tc>
          <w:tcPr>
            <w:tcW w:w="1701" w:type="dxa"/>
          </w:tcPr>
          <w:p w14:paraId="2DACA291" w14:textId="1E227FA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02E57DDA" w14:textId="77777777" w:rsidTr="00A77951">
        <w:trPr>
          <w:trHeight w:val="586"/>
        </w:trPr>
        <w:tc>
          <w:tcPr>
            <w:tcW w:w="992" w:type="dxa"/>
          </w:tcPr>
          <w:p w14:paraId="7A3C77E3" w14:textId="3A53FA03"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Abulhasan</w:t>
            </w:r>
            <w:proofErr w:type="spellEnd"/>
            <w:r w:rsidRPr="00251EA9">
              <w:rPr>
                <w:rFonts w:ascii="Arial" w:hAnsi="Arial" w:cs="Arial"/>
                <w:sz w:val="15"/>
                <w:szCs w:val="15"/>
              </w:rPr>
              <w:t xml:space="preserve"> Y.B. et al., 2018</w:t>
            </w:r>
          </w:p>
        </w:tc>
        <w:tc>
          <w:tcPr>
            <w:tcW w:w="851" w:type="dxa"/>
          </w:tcPr>
          <w:p w14:paraId="2B0742DB" w14:textId="66917B07" w:rsidR="00A77951" w:rsidRPr="00A77951" w:rsidRDefault="00A77951" w:rsidP="00A77951">
            <w:pPr>
              <w:spacing w:line="360" w:lineRule="auto"/>
              <w:contextualSpacing/>
              <w:rPr>
                <w:rFonts w:ascii="Arial" w:hAnsi="Arial" w:cs="Arial"/>
                <w:sz w:val="15"/>
                <w:szCs w:val="15"/>
              </w:rPr>
            </w:pPr>
            <w:hyperlink r:id="rId10" w:history="1">
              <w:r w:rsidRPr="00A77951">
                <w:rPr>
                  <w:rStyle w:val="Hyperlink"/>
                  <w:rFonts w:ascii="Arial" w:hAnsi="Arial" w:cs="Arial"/>
                  <w:sz w:val="15"/>
                  <w:szCs w:val="15"/>
                </w:rPr>
                <w:t>10.1016/j.wneu.2018.04.061</w:t>
              </w:r>
            </w:hyperlink>
          </w:p>
        </w:tc>
        <w:tc>
          <w:tcPr>
            <w:tcW w:w="851" w:type="dxa"/>
          </w:tcPr>
          <w:p w14:paraId="7CD04702" w14:textId="1C74EA9B"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Canada</w:t>
            </w:r>
          </w:p>
        </w:tc>
        <w:tc>
          <w:tcPr>
            <w:tcW w:w="1134" w:type="dxa"/>
          </w:tcPr>
          <w:p w14:paraId="5D410831" w14:textId="25BCE730"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2E4325E" w14:textId="421379C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276D0F93" w14:textId="7C54995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50990FEB" w14:textId="77777777" w:rsidR="00711248" w:rsidRDefault="00A77951" w:rsidP="00A77951">
            <w:pPr>
              <w:spacing w:line="360" w:lineRule="auto"/>
              <w:contextualSpacing/>
              <w:rPr>
                <w:rFonts w:ascii="Arial" w:hAnsi="Arial" w:cs="Arial"/>
                <w:sz w:val="15"/>
                <w:szCs w:val="15"/>
              </w:rPr>
            </w:pPr>
            <w:r w:rsidRPr="00251EA9">
              <w:rPr>
                <w:rFonts w:ascii="Arial" w:hAnsi="Arial" w:cs="Arial"/>
                <w:sz w:val="15"/>
                <w:szCs w:val="15"/>
              </w:rPr>
              <w:t>To describe the epidemiology of healthcare associated infections after SAH</w:t>
            </w:r>
            <w:r w:rsidR="00711248">
              <w:rPr>
                <w:rFonts w:ascii="Arial" w:hAnsi="Arial" w:cs="Arial"/>
                <w:sz w:val="15"/>
                <w:szCs w:val="15"/>
              </w:rPr>
              <w:t>.</w:t>
            </w:r>
          </w:p>
          <w:p w14:paraId="454D0E4D" w14:textId="77777777" w:rsidR="004019C6" w:rsidRDefault="00711248" w:rsidP="00A77951">
            <w:pPr>
              <w:spacing w:line="360" w:lineRule="auto"/>
              <w:contextualSpacing/>
              <w:rPr>
                <w:rFonts w:ascii="Arial" w:hAnsi="Arial" w:cs="Arial"/>
                <w:sz w:val="15"/>
                <w:szCs w:val="15"/>
              </w:rPr>
            </w:pPr>
            <w:r>
              <w:rPr>
                <w:rFonts w:ascii="Arial" w:hAnsi="Arial" w:cs="Arial"/>
                <w:sz w:val="15"/>
                <w:szCs w:val="15"/>
              </w:rPr>
              <w:t xml:space="preserve">To </w:t>
            </w:r>
            <w:r w:rsidR="00A77951" w:rsidRPr="00251EA9">
              <w:rPr>
                <w:rFonts w:ascii="Arial" w:hAnsi="Arial" w:cs="Arial"/>
                <w:sz w:val="15"/>
                <w:szCs w:val="15"/>
              </w:rPr>
              <w:t xml:space="preserve">identify clinical and disease-specific risk factors as predictors of </w:t>
            </w:r>
            <w:r w:rsidR="00A77951" w:rsidRPr="00251EA9">
              <w:rPr>
                <w:rFonts w:ascii="Arial" w:hAnsi="Arial" w:cs="Arial"/>
                <w:sz w:val="15"/>
                <w:szCs w:val="15"/>
              </w:rPr>
              <w:lastRenderedPageBreak/>
              <w:t xml:space="preserve">developing </w:t>
            </w:r>
            <w:r w:rsidR="00A77951" w:rsidRPr="009979CB">
              <w:rPr>
                <w:rFonts w:ascii="Arial" w:hAnsi="Arial" w:cs="Arial"/>
                <w:sz w:val="15"/>
                <w:szCs w:val="15"/>
              </w:rPr>
              <w:t xml:space="preserve">hospital acquired infections </w:t>
            </w:r>
            <w:r w:rsidR="00A77951" w:rsidRPr="00251EA9">
              <w:rPr>
                <w:rFonts w:ascii="Arial" w:hAnsi="Arial" w:cs="Arial"/>
                <w:sz w:val="15"/>
                <w:szCs w:val="15"/>
              </w:rPr>
              <w:t>(HAIs)</w:t>
            </w:r>
            <w:r w:rsidR="004019C6">
              <w:rPr>
                <w:rFonts w:ascii="Arial" w:hAnsi="Arial" w:cs="Arial"/>
                <w:sz w:val="15"/>
                <w:szCs w:val="15"/>
              </w:rPr>
              <w:t>.</w:t>
            </w:r>
          </w:p>
          <w:p w14:paraId="1DFB4290" w14:textId="1E624D20" w:rsidR="00A77951" w:rsidRPr="00251EA9" w:rsidRDefault="004019C6" w:rsidP="00A77951">
            <w:pPr>
              <w:spacing w:line="360" w:lineRule="auto"/>
              <w:contextualSpacing/>
              <w:rPr>
                <w:rFonts w:ascii="Arial" w:hAnsi="Arial" w:cs="Arial"/>
                <w:sz w:val="15"/>
                <w:szCs w:val="15"/>
              </w:rPr>
            </w:pPr>
            <w:r>
              <w:rPr>
                <w:rFonts w:ascii="Arial" w:hAnsi="Arial" w:cs="Arial"/>
                <w:sz w:val="15"/>
                <w:szCs w:val="15"/>
              </w:rPr>
              <w:t xml:space="preserve">To </w:t>
            </w:r>
            <w:r w:rsidR="00A77951" w:rsidRPr="00251EA9">
              <w:rPr>
                <w:rFonts w:ascii="Arial" w:hAnsi="Arial" w:cs="Arial"/>
                <w:sz w:val="15"/>
                <w:szCs w:val="15"/>
              </w:rPr>
              <w:t>analyse the association of HAIs with patient-related</w:t>
            </w:r>
            <w:r w:rsidR="00C43F64">
              <w:rPr>
                <w:rFonts w:ascii="Arial" w:hAnsi="Arial" w:cs="Arial"/>
                <w:sz w:val="15"/>
                <w:szCs w:val="15"/>
              </w:rPr>
              <w:t xml:space="preserve"> </w:t>
            </w:r>
            <w:r w:rsidR="00A77951" w:rsidRPr="00251EA9">
              <w:rPr>
                <w:rFonts w:ascii="Arial" w:hAnsi="Arial" w:cs="Arial"/>
                <w:sz w:val="15"/>
                <w:szCs w:val="15"/>
              </w:rPr>
              <w:t>outcomes.</w:t>
            </w:r>
          </w:p>
        </w:tc>
        <w:tc>
          <w:tcPr>
            <w:tcW w:w="1134" w:type="dxa"/>
          </w:tcPr>
          <w:p w14:paraId="4B353EB7"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54B3D95B" w14:textId="7A6163DC"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12A660F6" w14:textId="09C55035" w:rsidR="00A77951" w:rsidRPr="00251EA9" w:rsidRDefault="003C282B"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CDC guidelines</w:t>
            </w:r>
          </w:p>
        </w:tc>
        <w:tc>
          <w:tcPr>
            <w:tcW w:w="2693" w:type="dxa"/>
          </w:tcPr>
          <w:p w14:paraId="13E27C3C" w14:textId="3E400AB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Reported 0.7% frequency of infections.</w:t>
            </w:r>
          </w:p>
        </w:tc>
        <w:tc>
          <w:tcPr>
            <w:tcW w:w="1701" w:type="dxa"/>
          </w:tcPr>
          <w:p w14:paraId="72C4CC7B" w14:textId="258E343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2DBDCE99" w14:textId="77777777" w:rsidTr="00A77951">
        <w:trPr>
          <w:trHeight w:val="586"/>
        </w:trPr>
        <w:tc>
          <w:tcPr>
            <w:tcW w:w="992" w:type="dxa"/>
          </w:tcPr>
          <w:p w14:paraId="497957B3" w14:textId="297A874F"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Adeleye A.</w:t>
            </w:r>
            <w:r w:rsidR="00A62F70">
              <w:rPr>
                <w:rFonts w:ascii="Arial" w:hAnsi="Arial" w:cs="Arial"/>
                <w:sz w:val="15"/>
                <w:szCs w:val="15"/>
              </w:rPr>
              <w:t>,</w:t>
            </w:r>
            <w:r w:rsidRPr="00251EA9">
              <w:rPr>
                <w:rFonts w:ascii="Arial" w:hAnsi="Arial" w:cs="Arial"/>
                <w:sz w:val="15"/>
                <w:szCs w:val="15"/>
              </w:rPr>
              <w:t xml:space="preserve"> 2016</w:t>
            </w:r>
          </w:p>
        </w:tc>
        <w:tc>
          <w:tcPr>
            <w:tcW w:w="851" w:type="dxa"/>
          </w:tcPr>
          <w:p w14:paraId="225D046E" w14:textId="7629B5E6" w:rsidR="00A77951" w:rsidRPr="00A77951" w:rsidRDefault="00A77951" w:rsidP="00A77951">
            <w:pPr>
              <w:spacing w:line="360" w:lineRule="auto"/>
              <w:contextualSpacing/>
              <w:rPr>
                <w:rFonts w:ascii="Arial" w:hAnsi="Arial" w:cs="Arial"/>
                <w:sz w:val="15"/>
                <w:szCs w:val="15"/>
              </w:rPr>
            </w:pPr>
            <w:hyperlink r:id="rId11" w:history="1">
              <w:r w:rsidRPr="00A77951">
                <w:rPr>
                  <w:rStyle w:val="Hyperlink"/>
                  <w:rFonts w:ascii="Arial" w:hAnsi="Arial" w:cs="Arial"/>
                  <w:sz w:val="15"/>
                  <w:szCs w:val="15"/>
                </w:rPr>
                <w:t>10.1007/s10143-016-0700-4</w:t>
              </w:r>
            </w:hyperlink>
          </w:p>
        </w:tc>
        <w:tc>
          <w:tcPr>
            <w:tcW w:w="851" w:type="dxa"/>
          </w:tcPr>
          <w:p w14:paraId="4F264445" w14:textId="0F0A149F"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Nigeria</w:t>
            </w:r>
          </w:p>
        </w:tc>
        <w:tc>
          <w:tcPr>
            <w:tcW w:w="1134" w:type="dxa"/>
          </w:tcPr>
          <w:p w14:paraId="0A15E788" w14:textId="28A57E41"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0560056E" w14:textId="524B068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4FBD0934" w14:textId="780990F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General neurosurgical (cranial surgery)</w:t>
            </w:r>
          </w:p>
        </w:tc>
        <w:tc>
          <w:tcPr>
            <w:tcW w:w="1843" w:type="dxa"/>
          </w:tcPr>
          <w:p w14:paraId="16331D96" w14:textId="7478D496"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The primary outcome measure was the rate and types</w:t>
            </w:r>
          </w:p>
          <w:p w14:paraId="2216EB3B" w14:textId="7C7A220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of surgical site infections (SSI).</w:t>
            </w:r>
          </w:p>
        </w:tc>
        <w:tc>
          <w:tcPr>
            <w:tcW w:w="1134" w:type="dxa"/>
          </w:tcPr>
          <w:p w14:paraId="644AFA04"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2B666583" w14:textId="2186085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12512850" w14:textId="1009472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4E8430BF" w14:textId="76928B6A" w:rsidR="00A77951" w:rsidRPr="00251EA9" w:rsidRDefault="003C0389" w:rsidP="0068455C">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SSIs</w:t>
            </w:r>
            <w:r w:rsidR="00A77951" w:rsidRPr="00251EA9">
              <w:rPr>
                <w:rFonts w:ascii="Arial" w:hAnsi="Arial" w:cs="Arial"/>
                <w:color w:val="000000" w:themeColor="text1"/>
                <w:sz w:val="15"/>
                <w:szCs w:val="15"/>
              </w:rPr>
              <w:t xml:space="preserve"> occurred in only</w:t>
            </w:r>
            <w:r w:rsidR="00493C02">
              <w:rPr>
                <w:rFonts w:ascii="Arial" w:hAnsi="Arial" w:cs="Arial"/>
                <w:color w:val="000000" w:themeColor="text1"/>
                <w:sz w:val="15"/>
                <w:szCs w:val="15"/>
              </w:rPr>
              <w:t xml:space="preserve"> 1</w:t>
            </w:r>
            <w:r w:rsidR="00A77951" w:rsidRPr="00251EA9">
              <w:rPr>
                <w:rFonts w:ascii="Arial" w:hAnsi="Arial" w:cs="Arial"/>
                <w:color w:val="000000" w:themeColor="text1"/>
                <w:sz w:val="15"/>
                <w:szCs w:val="15"/>
              </w:rPr>
              <w:t xml:space="preserve">0 cases (3.3 %). </w:t>
            </w:r>
            <w:r w:rsidR="0068455C">
              <w:rPr>
                <w:rFonts w:ascii="Arial" w:hAnsi="Arial" w:cs="Arial"/>
                <w:color w:val="000000" w:themeColor="text1"/>
                <w:sz w:val="15"/>
                <w:szCs w:val="15"/>
              </w:rPr>
              <w:t>T</w:t>
            </w:r>
            <w:r w:rsidR="00A77951" w:rsidRPr="00251EA9">
              <w:rPr>
                <w:rFonts w:ascii="Arial" w:hAnsi="Arial" w:cs="Arial"/>
                <w:color w:val="000000" w:themeColor="text1"/>
                <w:sz w:val="15"/>
                <w:szCs w:val="15"/>
              </w:rPr>
              <w:t>he type of surgery, redo or primary, did not</w:t>
            </w:r>
            <w:r w:rsidR="0068455C">
              <w:rPr>
                <w:rFonts w:ascii="Arial" w:hAnsi="Arial" w:cs="Arial"/>
                <w:color w:val="000000" w:themeColor="text1"/>
                <w:sz w:val="15"/>
                <w:szCs w:val="15"/>
              </w:rPr>
              <w:t xml:space="preserve"> </w:t>
            </w:r>
            <w:r w:rsidR="00A77951" w:rsidRPr="00251EA9">
              <w:rPr>
                <w:rFonts w:ascii="Arial" w:hAnsi="Arial" w:cs="Arial"/>
                <w:color w:val="000000" w:themeColor="text1"/>
                <w:sz w:val="15"/>
                <w:szCs w:val="15"/>
              </w:rPr>
              <w:t>have any significant association with the in-hospital outcome</w:t>
            </w:r>
            <w:r w:rsidR="0068455C">
              <w:rPr>
                <w:rFonts w:ascii="Arial" w:hAnsi="Arial" w:cs="Arial"/>
                <w:color w:val="000000" w:themeColor="text1"/>
                <w:sz w:val="15"/>
                <w:szCs w:val="15"/>
              </w:rPr>
              <w:t xml:space="preserve"> or </w:t>
            </w:r>
            <w:r w:rsidR="00A77951" w:rsidRPr="00251EA9">
              <w:rPr>
                <w:rFonts w:ascii="Arial" w:hAnsi="Arial" w:cs="Arial"/>
                <w:color w:val="000000" w:themeColor="text1"/>
                <w:sz w:val="15"/>
                <w:szCs w:val="15"/>
              </w:rPr>
              <w:t xml:space="preserve">with the presence of </w:t>
            </w:r>
            <w:r w:rsidR="0068455C">
              <w:rPr>
                <w:rFonts w:ascii="Arial" w:hAnsi="Arial" w:cs="Arial"/>
                <w:color w:val="000000" w:themeColor="text1"/>
                <w:sz w:val="15"/>
                <w:szCs w:val="15"/>
              </w:rPr>
              <w:t>SSI.</w:t>
            </w:r>
          </w:p>
        </w:tc>
        <w:tc>
          <w:tcPr>
            <w:tcW w:w="1701" w:type="dxa"/>
          </w:tcPr>
          <w:p w14:paraId="404EE541" w14:textId="156CAF8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61D49D4A" w14:textId="77777777" w:rsidTr="00A77951">
        <w:trPr>
          <w:trHeight w:val="586"/>
        </w:trPr>
        <w:tc>
          <w:tcPr>
            <w:tcW w:w="992" w:type="dxa"/>
          </w:tcPr>
          <w:p w14:paraId="01E89982" w14:textId="5CA59F5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Adeleye A.</w:t>
            </w:r>
            <w:r w:rsidR="00A62F70">
              <w:rPr>
                <w:rFonts w:ascii="Arial" w:hAnsi="Arial" w:cs="Arial"/>
                <w:sz w:val="15"/>
                <w:szCs w:val="15"/>
              </w:rPr>
              <w:t>,</w:t>
            </w:r>
            <w:r w:rsidRPr="00251EA9">
              <w:rPr>
                <w:rFonts w:ascii="Arial" w:hAnsi="Arial" w:cs="Arial"/>
                <w:sz w:val="15"/>
                <w:szCs w:val="15"/>
              </w:rPr>
              <w:t xml:space="preserve"> 2017</w:t>
            </w:r>
          </w:p>
        </w:tc>
        <w:tc>
          <w:tcPr>
            <w:tcW w:w="851" w:type="dxa"/>
          </w:tcPr>
          <w:p w14:paraId="6F964FDD" w14:textId="39342A26" w:rsidR="00A77951" w:rsidRPr="00A77951" w:rsidRDefault="00A77951" w:rsidP="00A77951">
            <w:pPr>
              <w:spacing w:line="360" w:lineRule="auto"/>
              <w:contextualSpacing/>
              <w:rPr>
                <w:rFonts w:ascii="Arial" w:hAnsi="Arial" w:cs="Arial"/>
                <w:sz w:val="15"/>
                <w:szCs w:val="15"/>
              </w:rPr>
            </w:pPr>
            <w:hyperlink r:id="rId12" w:history="1">
              <w:r w:rsidRPr="00A77951">
                <w:rPr>
                  <w:rStyle w:val="Hyperlink"/>
                  <w:rFonts w:ascii="Arial" w:hAnsi="Arial" w:cs="Arial"/>
                  <w:sz w:val="15"/>
                  <w:szCs w:val="15"/>
                </w:rPr>
                <w:t>10.1080/02688697.2017.1407746</w:t>
              </w:r>
            </w:hyperlink>
          </w:p>
        </w:tc>
        <w:tc>
          <w:tcPr>
            <w:tcW w:w="851" w:type="dxa"/>
          </w:tcPr>
          <w:p w14:paraId="5355BFF4" w14:textId="0E6BFC56"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Nigeria</w:t>
            </w:r>
          </w:p>
        </w:tc>
        <w:tc>
          <w:tcPr>
            <w:tcW w:w="1134" w:type="dxa"/>
          </w:tcPr>
          <w:p w14:paraId="1BB1E889" w14:textId="50625FC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33281AD" w14:textId="5C9CDBF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13A57C47" w14:textId="09AC56B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General neurosurgical (cranial surgery)</w:t>
            </w:r>
          </w:p>
        </w:tc>
        <w:tc>
          <w:tcPr>
            <w:tcW w:w="1843" w:type="dxa"/>
          </w:tcPr>
          <w:p w14:paraId="4E9D6CA2" w14:textId="7419AC04" w:rsidR="00A77951" w:rsidRPr="00251EA9" w:rsidRDefault="00193200"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audit SSI following major cranial</w:t>
            </w:r>
            <w:r>
              <w:rPr>
                <w:rFonts w:ascii="Arial" w:hAnsi="Arial" w:cs="Arial"/>
                <w:sz w:val="15"/>
                <w:szCs w:val="15"/>
              </w:rPr>
              <w:t xml:space="preserve"> </w:t>
            </w:r>
            <w:r w:rsidR="00A77951" w:rsidRPr="00251EA9">
              <w:rPr>
                <w:rFonts w:ascii="Arial" w:hAnsi="Arial" w:cs="Arial"/>
                <w:sz w:val="15"/>
                <w:szCs w:val="15"/>
              </w:rPr>
              <w:t>surgery in a sub-Saharan African academic neurosurgical unit.</w:t>
            </w:r>
          </w:p>
        </w:tc>
        <w:tc>
          <w:tcPr>
            <w:tcW w:w="1134" w:type="dxa"/>
          </w:tcPr>
          <w:p w14:paraId="085D6F94"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038E2363" w14:textId="2CE719C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7EF03D4A" w14:textId="07C8D4F5" w:rsidR="00A77951" w:rsidRPr="00251EA9" w:rsidRDefault="003C282B"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CDC guidelines</w:t>
            </w:r>
          </w:p>
        </w:tc>
        <w:tc>
          <w:tcPr>
            <w:tcW w:w="2693" w:type="dxa"/>
          </w:tcPr>
          <w:p w14:paraId="014AD360" w14:textId="2665183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Surgical site infections occurred in 9 cases, 4.3%.</w:t>
            </w:r>
            <w:r w:rsidR="00186A67">
              <w:rPr>
                <w:rFonts w:ascii="Arial" w:hAnsi="Arial" w:cs="Arial"/>
                <w:color w:val="000000" w:themeColor="text1"/>
                <w:sz w:val="15"/>
                <w:szCs w:val="15"/>
              </w:rPr>
              <w:t xml:space="preserve"> </w:t>
            </w:r>
            <w:r w:rsidRPr="00251EA9">
              <w:rPr>
                <w:rFonts w:ascii="Arial" w:hAnsi="Arial" w:cs="Arial"/>
                <w:color w:val="000000" w:themeColor="text1"/>
                <w:sz w:val="15"/>
                <w:szCs w:val="15"/>
              </w:rPr>
              <w:t>The presence of SSI was associated with a longer length of stay in hospital. Majority of the SSI</w:t>
            </w:r>
          </w:p>
          <w:p w14:paraId="616C4627" w14:textId="77BDDAC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were by Gram negative organisms.</w:t>
            </w:r>
          </w:p>
        </w:tc>
        <w:tc>
          <w:tcPr>
            <w:tcW w:w="1701" w:type="dxa"/>
          </w:tcPr>
          <w:p w14:paraId="11CC3331" w14:textId="489DFAB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52502E23" w14:textId="77777777" w:rsidTr="00A77951">
        <w:trPr>
          <w:trHeight w:val="586"/>
        </w:trPr>
        <w:tc>
          <w:tcPr>
            <w:tcW w:w="992" w:type="dxa"/>
          </w:tcPr>
          <w:p w14:paraId="7EFBC02C" w14:textId="5C1A9D9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Agarwal N</w:t>
            </w:r>
            <w:r w:rsidR="00A62F70">
              <w:rPr>
                <w:rFonts w:ascii="Arial" w:hAnsi="Arial" w:cs="Arial"/>
                <w:sz w:val="15"/>
                <w:szCs w:val="15"/>
              </w:rPr>
              <w:t>.</w:t>
            </w:r>
            <w:r w:rsidRPr="00251EA9">
              <w:rPr>
                <w:rFonts w:ascii="Arial" w:hAnsi="Arial" w:cs="Arial"/>
                <w:sz w:val="15"/>
                <w:szCs w:val="15"/>
              </w:rPr>
              <w:t xml:space="preserve"> et al.</w:t>
            </w:r>
            <w:r w:rsidR="00A62F70">
              <w:rPr>
                <w:rFonts w:ascii="Arial" w:hAnsi="Arial" w:cs="Arial"/>
                <w:sz w:val="15"/>
                <w:szCs w:val="15"/>
              </w:rPr>
              <w:t>,</w:t>
            </w:r>
            <w:r w:rsidRPr="00251EA9">
              <w:rPr>
                <w:rFonts w:ascii="Arial" w:hAnsi="Arial" w:cs="Arial"/>
                <w:sz w:val="15"/>
                <w:szCs w:val="15"/>
              </w:rPr>
              <w:t xml:space="preserve"> 2017</w:t>
            </w:r>
          </w:p>
        </w:tc>
        <w:tc>
          <w:tcPr>
            <w:tcW w:w="851" w:type="dxa"/>
          </w:tcPr>
          <w:p w14:paraId="54E0114E" w14:textId="2141B55F" w:rsidR="00A77951" w:rsidRPr="00A77951" w:rsidRDefault="00A77951" w:rsidP="00A77951">
            <w:pPr>
              <w:spacing w:line="360" w:lineRule="auto"/>
              <w:contextualSpacing/>
              <w:rPr>
                <w:rFonts w:ascii="Arial" w:hAnsi="Arial" w:cs="Arial"/>
                <w:sz w:val="15"/>
                <w:szCs w:val="15"/>
              </w:rPr>
            </w:pPr>
            <w:hyperlink r:id="rId13" w:history="1">
              <w:r w:rsidRPr="00A77951">
                <w:rPr>
                  <w:rStyle w:val="Hyperlink"/>
                  <w:rFonts w:ascii="Arial" w:hAnsi="Arial" w:cs="Arial"/>
                  <w:sz w:val="15"/>
                  <w:szCs w:val="15"/>
                </w:rPr>
                <w:t>10.1093/neuros/nyx273</w:t>
              </w:r>
            </w:hyperlink>
          </w:p>
        </w:tc>
        <w:tc>
          <w:tcPr>
            <w:tcW w:w="851" w:type="dxa"/>
          </w:tcPr>
          <w:p w14:paraId="1B084F1F" w14:textId="50CEB00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8D02AE9" w14:textId="72B041B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550AED88" w14:textId="2A5C212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reported</w:t>
            </w:r>
          </w:p>
        </w:tc>
        <w:tc>
          <w:tcPr>
            <w:tcW w:w="1276" w:type="dxa"/>
          </w:tcPr>
          <w:p w14:paraId="1F475FC9" w14:textId="7020B16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General neurosurgical (craniotomy)</w:t>
            </w:r>
          </w:p>
        </w:tc>
        <w:tc>
          <w:tcPr>
            <w:tcW w:w="1843" w:type="dxa"/>
          </w:tcPr>
          <w:p w14:paraId="103272A5" w14:textId="3B78528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investigate the effects of increased physician awareness on infection incidence and surgical device cost containment.</w:t>
            </w:r>
          </w:p>
        </w:tc>
        <w:tc>
          <w:tcPr>
            <w:tcW w:w="1134" w:type="dxa"/>
          </w:tcPr>
          <w:p w14:paraId="7A64E87F" w14:textId="6E64054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Intervention of education and nasal decolonisation of patients with staphylococcus aureus</w:t>
            </w:r>
          </w:p>
        </w:tc>
        <w:tc>
          <w:tcPr>
            <w:tcW w:w="992" w:type="dxa"/>
          </w:tcPr>
          <w:p w14:paraId="0C38580F" w14:textId="4B25A5A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6896FE1B" w14:textId="5F463340" w:rsidR="00A77951" w:rsidRPr="00251EA9" w:rsidRDefault="003C282B"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CDC guidelines</w:t>
            </w:r>
          </w:p>
        </w:tc>
        <w:tc>
          <w:tcPr>
            <w:tcW w:w="2693" w:type="dxa"/>
          </w:tcPr>
          <w:p w14:paraId="40C72D7D" w14:textId="311F90F0" w:rsidR="00A77951" w:rsidRPr="00CD0571" w:rsidRDefault="008742DB" w:rsidP="00A77951">
            <w:pPr>
              <w:rPr>
                <w:rFonts w:ascii="Arial" w:hAnsi="Arial" w:cs="Arial"/>
                <w:sz w:val="15"/>
                <w:szCs w:val="15"/>
              </w:rPr>
            </w:pPr>
            <w:r>
              <w:rPr>
                <w:rFonts w:ascii="Arial" w:hAnsi="Arial" w:cs="Arial"/>
                <w:sz w:val="15"/>
                <w:szCs w:val="15"/>
              </w:rPr>
              <w:t>The c</w:t>
            </w:r>
            <w:r w:rsidR="00A77951" w:rsidRPr="00CD0571">
              <w:rPr>
                <w:rFonts w:ascii="Arial" w:hAnsi="Arial" w:cs="Arial"/>
                <w:sz w:val="15"/>
                <w:szCs w:val="15"/>
              </w:rPr>
              <w:t>raniotomy infection incidence decreased from a baseline of 3.0% (May 2011- April 2015) to 2.0% (May 2015- April 2016). Therefore, a 33% reduction of post</w:t>
            </w:r>
            <w:r>
              <w:rPr>
                <w:rFonts w:ascii="Arial" w:hAnsi="Arial" w:cs="Arial"/>
                <w:sz w:val="15"/>
                <w:szCs w:val="15"/>
              </w:rPr>
              <w:t>-</w:t>
            </w:r>
            <w:r w:rsidR="00A77951" w:rsidRPr="00CD0571">
              <w:rPr>
                <w:rFonts w:ascii="Arial" w:hAnsi="Arial" w:cs="Arial"/>
                <w:sz w:val="15"/>
                <w:szCs w:val="15"/>
              </w:rPr>
              <w:t>craniotomy infection incidence was achieved with the implementation of a physician awareness intervention and preoperative bacterial load management.</w:t>
            </w:r>
          </w:p>
          <w:p w14:paraId="039F36AB" w14:textId="77777777" w:rsidR="00A77951" w:rsidRPr="00CD0571" w:rsidRDefault="00A77951" w:rsidP="00A77951">
            <w:pPr>
              <w:spacing w:line="360" w:lineRule="auto"/>
              <w:contextualSpacing/>
              <w:rPr>
                <w:rFonts w:ascii="Arial" w:hAnsi="Arial" w:cs="Arial"/>
                <w:sz w:val="15"/>
                <w:szCs w:val="15"/>
              </w:rPr>
            </w:pPr>
          </w:p>
        </w:tc>
        <w:tc>
          <w:tcPr>
            <w:tcW w:w="1701" w:type="dxa"/>
          </w:tcPr>
          <w:p w14:paraId="0E00DDF8" w14:textId="6B9A0FE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3D859E49" w14:textId="77777777" w:rsidTr="00A77951">
        <w:trPr>
          <w:trHeight w:val="586"/>
        </w:trPr>
        <w:tc>
          <w:tcPr>
            <w:tcW w:w="992" w:type="dxa"/>
          </w:tcPr>
          <w:p w14:paraId="61C6FBF6" w14:textId="009A3EA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Ahmad N</w:t>
            </w:r>
            <w:r w:rsidR="00A62F70">
              <w:rPr>
                <w:rFonts w:ascii="Arial" w:hAnsi="Arial" w:cs="Arial"/>
                <w:sz w:val="15"/>
                <w:szCs w:val="15"/>
              </w:rPr>
              <w:t>.</w:t>
            </w:r>
            <w:r w:rsidRPr="00251EA9">
              <w:rPr>
                <w:rFonts w:ascii="Arial" w:hAnsi="Arial" w:cs="Arial"/>
                <w:sz w:val="15"/>
                <w:szCs w:val="15"/>
              </w:rPr>
              <w:t xml:space="preserve"> et al.</w:t>
            </w:r>
            <w:r w:rsidR="00A62F70">
              <w:rPr>
                <w:rFonts w:ascii="Arial" w:hAnsi="Arial" w:cs="Arial"/>
                <w:sz w:val="15"/>
                <w:szCs w:val="15"/>
              </w:rPr>
              <w:t>,</w:t>
            </w:r>
            <w:r w:rsidRPr="00251EA9">
              <w:rPr>
                <w:rFonts w:ascii="Arial" w:hAnsi="Arial" w:cs="Arial"/>
                <w:sz w:val="15"/>
                <w:szCs w:val="15"/>
              </w:rPr>
              <w:t xml:space="preserve"> 2008</w:t>
            </w:r>
          </w:p>
        </w:tc>
        <w:tc>
          <w:tcPr>
            <w:tcW w:w="851" w:type="dxa"/>
          </w:tcPr>
          <w:p w14:paraId="56251454" w14:textId="70D7AE83" w:rsidR="00A77951" w:rsidRPr="00A77951" w:rsidRDefault="00A77951" w:rsidP="00A77951">
            <w:pPr>
              <w:spacing w:line="360" w:lineRule="auto"/>
              <w:contextualSpacing/>
              <w:rPr>
                <w:rFonts w:ascii="Arial" w:hAnsi="Arial" w:cs="Arial"/>
                <w:sz w:val="15"/>
                <w:szCs w:val="15"/>
              </w:rPr>
            </w:pPr>
            <w:hyperlink r:id="rId14" w:history="1">
              <w:r w:rsidRPr="00A77951">
                <w:rPr>
                  <w:rStyle w:val="Hyperlink"/>
                  <w:rFonts w:ascii="Arial" w:hAnsi="Arial" w:cs="Arial"/>
                  <w:sz w:val="15"/>
                  <w:szCs w:val="15"/>
                </w:rPr>
                <w:t>10.1097/SCS.0b013e31816ae358</w:t>
              </w:r>
            </w:hyperlink>
          </w:p>
        </w:tc>
        <w:tc>
          <w:tcPr>
            <w:tcW w:w="851" w:type="dxa"/>
          </w:tcPr>
          <w:p w14:paraId="29BCFEEF" w14:textId="5F04BFE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28CE63F" w14:textId="133DA27B"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269ED69" w14:textId="0B6E960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Paediatrics</w:t>
            </w:r>
          </w:p>
        </w:tc>
        <w:tc>
          <w:tcPr>
            <w:tcW w:w="1276" w:type="dxa"/>
          </w:tcPr>
          <w:p w14:paraId="34C5858D" w14:textId="5563456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Paediatrics</w:t>
            </w:r>
          </w:p>
        </w:tc>
        <w:tc>
          <w:tcPr>
            <w:tcW w:w="1843" w:type="dxa"/>
          </w:tcPr>
          <w:p w14:paraId="4D0E1D6C" w14:textId="77E0D449" w:rsidR="00A77951" w:rsidRPr="00251EA9" w:rsidRDefault="00CA2C99"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evaluate the application of a</w:t>
            </w:r>
          </w:p>
          <w:p w14:paraId="318B912D" w14:textId="7777777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bioabsorbable fixation system in reconstructive</w:t>
            </w:r>
          </w:p>
          <w:p w14:paraId="18A132BE" w14:textId="763E002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craniofacial procedures in a paediatric</w:t>
            </w:r>
            <w:r w:rsidR="0049445C">
              <w:rPr>
                <w:rFonts w:ascii="Arial" w:hAnsi="Arial" w:cs="Arial"/>
                <w:sz w:val="15"/>
                <w:szCs w:val="15"/>
              </w:rPr>
              <w:t xml:space="preserve"> </w:t>
            </w:r>
            <w:r w:rsidRPr="00251EA9">
              <w:rPr>
                <w:rFonts w:ascii="Arial" w:hAnsi="Arial" w:cs="Arial"/>
                <w:sz w:val="15"/>
                <w:szCs w:val="15"/>
              </w:rPr>
              <w:t>population.</w:t>
            </w:r>
          </w:p>
        </w:tc>
        <w:tc>
          <w:tcPr>
            <w:tcW w:w="1134" w:type="dxa"/>
          </w:tcPr>
          <w:p w14:paraId="7B245632"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3C0BBEB1" w14:textId="71F701C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299F4FF6" w14:textId="77CD2BF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"Signs of infection": tenderness, erythema, induration, purulent effluent.</w:t>
            </w:r>
          </w:p>
        </w:tc>
        <w:tc>
          <w:tcPr>
            <w:tcW w:w="2693" w:type="dxa"/>
          </w:tcPr>
          <w:p w14:paraId="6E061DAE" w14:textId="7755E8D2" w:rsidR="00A77951" w:rsidRPr="00CD0571" w:rsidRDefault="00A77951" w:rsidP="00A77951">
            <w:pPr>
              <w:rPr>
                <w:rFonts w:ascii="Arial" w:hAnsi="Arial" w:cs="Arial"/>
                <w:sz w:val="15"/>
                <w:szCs w:val="15"/>
              </w:rPr>
            </w:pPr>
            <w:r w:rsidRPr="00CD0571">
              <w:rPr>
                <w:rFonts w:ascii="Arial" w:hAnsi="Arial" w:cs="Arial"/>
                <w:sz w:val="15"/>
                <w:szCs w:val="15"/>
              </w:rPr>
              <w:t>Five patients (3.4%) had signs of infection at the</w:t>
            </w:r>
            <w:r w:rsidR="008742DB">
              <w:rPr>
                <w:rFonts w:ascii="Arial" w:hAnsi="Arial" w:cs="Arial"/>
                <w:sz w:val="15"/>
                <w:szCs w:val="15"/>
              </w:rPr>
              <w:t xml:space="preserve"> </w:t>
            </w:r>
            <w:r w:rsidRPr="00CD0571">
              <w:rPr>
                <w:rFonts w:ascii="Arial" w:hAnsi="Arial" w:cs="Arial"/>
                <w:sz w:val="15"/>
                <w:szCs w:val="15"/>
              </w:rPr>
              <w:t>incision site</w:t>
            </w:r>
            <w:r w:rsidR="008742DB">
              <w:rPr>
                <w:rFonts w:ascii="Arial" w:hAnsi="Arial" w:cs="Arial"/>
                <w:sz w:val="15"/>
                <w:szCs w:val="15"/>
              </w:rPr>
              <w:t xml:space="preserve">. </w:t>
            </w:r>
            <w:r w:rsidRPr="00CD0571">
              <w:rPr>
                <w:rFonts w:ascii="Arial" w:hAnsi="Arial" w:cs="Arial"/>
                <w:sz w:val="15"/>
                <w:szCs w:val="15"/>
              </w:rPr>
              <w:t>Two of these 5 patents were treated</w:t>
            </w:r>
          </w:p>
          <w:p w14:paraId="4D8D294F" w14:textId="71BA5895" w:rsidR="007E1D6A" w:rsidRPr="00CD0571" w:rsidRDefault="00A77951" w:rsidP="007E1D6A">
            <w:pPr>
              <w:rPr>
                <w:rFonts w:ascii="Arial" w:hAnsi="Arial" w:cs="Arial"/>
                <w:sz w:val="15"/>
                <w:szCs w:val="15"/>
              </w:rPr>
            </w:pPr>
            <w:r w:rsidRPr="00CD0571">
              <w:rPr>
                <w:rFonts w:ascii="Arial" w:hAnsi="Arial" w:cs="Arial"/>
                <w:sz w:val="15"/>
                <w:szCs w:val="15"/>
              </w:rPr>
              <w:t>in the hospital with incision and drainage and</w:t>
            </w:r>
            <w:r w:rsidR="007E1D6A">
              <w:rPr>
                <w:rFonts w:ascii="Arial" w:hAnsi="Arial" w:cs="Arial"/>
                <w:sz w:val="15"/>
                <w:szCs w:val="15"/>
              </w:rPr>
              <w:t xml:space="preserve"> i</w:t>
            </w:r>
            <w:r w:rsidRPr="00CD0571">
              <w:rPr>
                <w:rFonts w:ascii="Arial" w:hAnsi="Arial" w:cs="Arial"/>
                <w:sz w:val="15"/>
                <w:szCs w:val="15"/>
              </w:rPr>
              <w:t xml:space="preserve">ntravenous antibiotics. </w:t>
            </w:r>
          </w:p>
          <w:p w14:paraId="5FCB6B07" w14:textId="1782432D" w:rsidR="00A77951" w:rsidRPr="00CD0571" w:rsidRDefault="00A77951" w:rsidP="00A77951">
            <w:pPr>
              <w:rPr>
                <w:rFonts w:ascii="Arial" w:hAnsi="Arial" w:cs="Arial"/>
                <w:sz w:val="15"/>
                <w:szCs w:val="15"/>
              </w:rPr>
            </w:pPr>
          </w:p>
        </w:tc>
        <w:tc>
          <w:tcPr>
            <w:tcW w:w="1701" w:type="dxa"/>
          </w:tcPr>
          <w:p w14:paraId="19D5E381" w14:textId="0B724C0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2BC3E432" w14:textId="77777777" w:rsidTr="00A77951">
        <w:trPr>
          <w:trHeight w:val="586"/>
        </w:trPr>
        <w:tc>
          <w:tcPr>
            <w:tcW w:w="992" w:type="dxa"/>
          </w:tcPr>
          <w:p w14:paraId="79135C18" w14:textId="66C93BF2"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Ahmadi R et al., 2021</w:t>
            </w:r>
          </w:p>
        </w:tc>
        <w:tc>
          <w:tcPr>
            <w:tcW w:w="851" w:type="dxa"/>
          </w:tcPr>
          <w:p w14:paraId="2D0068E2" w14:textId="1D4ECFDA" w:rsidR="00A77951" w:rsidRPr="00A77951" w:rsidRDefault="00A77951" w:rsidP="00A77951">
            <w:pPr>
              <w:spacing w:line="360" w:lineRule="auto"/>
              <w:contextualSpacing/>
              <w:rPr>
                <w:rFonts w:ascii="Arial" w:hAnsi="Arial" w:cs="Arial"/>
                <w:sz w:val="15"/>
                <w:szCs w:val="15"/>
              </w:rPr>
            </w:pPr>
            <w:hyperlink r:id="rId15" w:history="1">
              <w:r w:rsidRPr="00A77951">
                <w:rPr>
                  <w:rStyle w:val="Hyperlink"/>
                  <w:rFonts w:ascii="Arial" w:hAnsi="Arial" w:cs="Arial"/>
                  <w:sz w:val="15"/>
                  <w:szCs w:val="15"/>
                </w:rPr>
                <w:t>10.3109/0268869</w:t>
              </w:r>
              <w:r w:rsidRPr="00A77951">
                <w:rPr>
                  <w:rStyle w:val="Hyperlink"/>
                  <w:rFonts w:ascii="Arial" w:hAnsi="Arial" w:cs="Arial"/>
                  <w:sz w:val="15"/>
                  <w:szCs w:val="15"/>
                </w:rPr>
                <w:lastRenderedPageBreak/>
                <w:t>7.2016.1161726</w:t>
              </w:r>
            </w:hyperlink>
          </w:p>
        </w:tc>
        <w:tc>
          <w:tcPr>
            <w:tcW w:w="851" w:type="dxa"/>
          </w:tcPr>
          <w:p w14:paraId="76C0FAA7" w14:textId="25D47EDF"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lastRenderedPageBreak/>
              <w:t>Germany</w:t>
            </w:r>
          </w:p>
        </w:tc>
        <w:tc>
          <w:tcPr>
            <w:tcW w:w="1134" w:type="dxa"/>
          </w:tcPr>
          <w:p w14:paraId="645CD546" w14:textId="75035FC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586EBAF7" w14:textId="096BF0F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2B077C16" w14:textId="74A779D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5930101D" w14:textId="1CEE1B6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 xml:space="preserve">To evaluate perioperative </w:t>
            </w:r>
            <w:proofErr w:type="spellStart"/>
            <w:r w:rsidRPr="00251EA9">
              <w:rPr>
                <w:rFonts w:ascii="Arial" w:hAnsi="Arial" w:cs="Arial"/>
                <w:sz w:val="15"/>
                <w:szCs w:val="15"/>
              </w:rPr>
              <w:lastRenderedPageBreak/>
              <w:t>anaesthesiological</w:t>
            </w:r>
            <w:proofErr w:type="spellEnd"/>
            <w:r w:rsidRPr="00251EA9">
              <w:rPr>
                <w:rFonts w:ascii="Arial" w:hAnsi="Arial" w:cs="Arial"/>
                <w:sz w:val="15"/>
                <w:szCs w:val="15"/>
              </w:rPr>
              <w:t xml:space="preserve"> and surgical complications related to brain tumour surgery using i</w:t>
            </w:r>
            <w:r w:rsidR="00CA5662">
              <w:rPr>
                <w:rFonts w:ascii="Arial" w:hAnsi="Arial" w:cs="Arial"/>
                <w:sz w:val="15"/>
                <w:szCs w:val="15"/>
              </w:rPr>
              <w:t xml:space="preserve">ntra-operative </w:t>
            </w:r>
            <w:r w:rsidRPr="00251EA9">
              <w:rPr>
                <w:rFonts w:ascii="Arial" w:hAnsi="Arial" w:cs="Arial"/>
                <w:sz w:val="15"/>
                <w:szCs w:val="15"/>
              </w:rPr>
              <w:t>MRI</w:t>
            </w:r>
            <w:r w:rsidR="00CA5662">
              <w:rPr>
                <w:rFonts w:ascii="Arial" w:hAnsi="Arial" w:cs="Arial"/>
                <w:sz w:val="15"/>
                <w:szCs w:val="15"/>
              </w:rPr>
              <w:t xml:space="preserve"> (io-MRI).</w:t>
            </w:r>
          </w:p>
        </w:tc>
        <w:tc>
          <w:tcPr>
            <w:tcW w:w="1134" w:type="dxa"/>
          </w:tcPr>
          <w:p w14:paraId="23E70440" w14:textId="599C28C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lastRenderedPageBreak/>
              <w:t xml:space="preserve">Use of io-MRI vs control </w:t>
            </w:r>
            <w:r w:rsidRPr="00251EA9">
              <w:rPr>
                <w:rFonts w:ascii="Arial" w:hAnsi="Arial" w:cs="Arial"/>
                <w:color w:val="000000" w:themeColor="text1"/>
                <w:sz w:val="15"/>
                <w:szCs w:val="15"/>
              </w:rPr>
              <w:lastRenderedPageBreak/>
              <w:t>(without io-MRI)</w:t>
            </w:r>
          </w:p>
        </w:tc>
        <w:tc>
          <w:tcPr>
            <w:tcW w:w="992" w:type="dxa"/>
          </w:tcPr>
          <w:p w14:paraId="709ACB50" w14:textId="6A6CEE4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lastRenderedPageBreak/>
              <w:t>Yes</w:t>
            </w:r>
          </w:p>
        </w:tc>
        <w:tc>
          <w:tcPr>
            <w:tcW w:w="1701" w:type="dxa"/>
          </w:tcPr>
          <w:p w14:paraId="7D76A183" w14:textId="1D87EEF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4B1F1CB2" w14:textId="2C08BEBF"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 xml:space="preserve">There was no significant difference in the number of reported SSIs with 11 </w:t>
            </w:r>
            <w:r w:rsidRPr="00251EA9">
              <w:rPr>
                <w:rFonts w:ascii="Arial" w:hAnsi="Arial" w:cs="Arial"/>
                <w:color w:val="000000" w:themeColor="text1"/>
                <w:sz w:val="15"/>
                <w:szCs w:val="15"/>
              </w:rPr>
              <w:lastRenderedPageBreak/>
              <w:t>infections reported in each the MRI and control cohorts.</w:t>
            </w:r>
          </w:p>
        </w:tc>
        <w:tc>
          <w:tcPr>
            <w:tcW w:w="1701" w:type="dxa"/>
          </w:tcPr>
          <w:p w14:paraId="039CA71E" w14:textId="691D52C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lastRenderedPageBreak/>
              <w:t>No</w:t>
            </w:r>
          </w:p>
        </w:tc>
      </w:tr>
      <w:tr w:rsidR="00A77951" w:rsidRPr="00251EA9" w14:paraId="75C8D03D" w14:textId="77777777" w:rsidTr="00A77951">
        <w:trPr>
          <w:trHeight w:val="586"/>
        </w:trPr>
        <w:tc>
          <w:tcPr>
            <w:tcW w:w="992" w:type="dxa"/>
          </w:tcPr>
          <w:p w14:paraId="513E8355" w14:textId="4BB19A5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Al-</w:t>
            </w:r>
            <w:proofErr w:type="spellStart"/>
            <w:r w:rsidRPr="00251EA9">
              <w:rPr>
                <w:rFonts w:ascii="Arial" w:hAnsi="Arial" w:cs="Arial"/>
                <w:sz w:val="15"/>
                <w:szCs w:val="15"/>
              </w:rPr>
              <w:t>Sharydah</w:t>
            </w:r>
            <w:proofErr w:type="spellEnd"/>
            <w:r w:rsidRPr="00251EA9">
              <w:rPr>
                <w:rFonts w:ascii="Arial" w:hAnsi="Arial" w:cs="Arial"/>
                <w:sz w:val="15"/>
                <w:szCs w:val="15"/>
              </w:rPr>
              <w:t xml:space="preserve"> A</w:t>
            </w:r>
            <w:r w:rsidR="0052341D">
              <w:rPr>
                <w:rFonts w:ascii="Arial" w:hAnsi="Arial" w:cs="Arial"/>
                <w:sz w:val="15"/>
                <w:szCs w:val="15"/>
              </w:rPr>
              <w:t>.</w:t>
            </w:r>
            <w:r w:rsidRPr="00251EA9">
              <w:rPr>
                <w:rFonts w:ascii="Arial" w:hAnsi="Arial" w:cs="Arial"/>
                <w:sz w:val="15"/>
                <w:szCs w:val="15"/>
              </w:rPr>
              <w:t>M</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2020</w:t>
            </w:r>
          </w:p>
        </w:tc>
        <w:tc>
          <w:tcPr>
            <w:tcW w:w="851" w:type="dxa"/>
          </w:tcPr>
          <w:p w14:paraId="2011C467" w14:textId="7388A633" w:rsidR="00A77951" w:rsidRPr="00A77951" w:rsidRDefault="00A77951" w:rsidP="00A77951">
            <w:pPr>
              <w:spacing w:line="360" w:lineRule="auto"/>
              <w:contextualSpacing/>
              <w:rPr>
                <w:rFonts w:ascii="Arial" w:hAnsi="Arial" w:cs="Arial"/>
                <w:sz w:val="15"/>
                <w:szCs w:val="15"/>
              </w:rPr>
            </w:pPr>
            <w:hyperlink r:id="rId16" w:history="1">
              <w:r w:rsidRPr="00A77951">
                <w:rPr>
                  <w:rStyle w:val="Hyperlink"/>
                  <w:rFonts w:ascii="Arial" w:hAnsi="Arial" w:cs="Arial"/>
                  <w:sz w:val="15"/>
                  <w:szCs w:val="15"/>
                </w:rPr>
                <w:t>10.15537/smj.2020.6.25095</w:t>
              </w:r>
            </w:hyperlink>
          </w:p>
        </w:tc>
        <w:tc>
          <w:tcPr>
            <w:tcW w:w="851" w:type="dxa"/>
          </w:tcPr>
          <w:p w14:paraId="66413A01" w14:textId="6DF175E2"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Saudi Arabia</w:t>
            </w:r>
          </w:p>
        </w:tc>
        <w:tc>
          <w:tcPr>
            <w:tcW w:w="1134" w:type="dxa"/>
          </w:tcPr>
          <w:p w14:paraId="6F5B284E" w14:textId="65E2AE1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726206A" w14:textId="5F77E2E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2CB64186" w14:textId="1AD6A90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 xml:space="preserve">CSF dynamics </w:t>
            </w:r>
          </w:p>
        </w:tc>
        <w:tc>
          <w:tcPr>
            <w:tcW w:w="1843" w:type="dxa"/>
          </w:tcPr>
          <w:p w14:paraId="566EB8DF" w14:textId="07B99070"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assess the incidence of infection following</w:t>
            </w:r>
          </w:p>
          <w:p w14:paraId="66FC824D" w14:textId="2CE51D6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various cerebrospinal fluid (CSF) shunt procedures</w:t>
            </w:r>
            <w:r w:rsidR="0052341D">
              <w:rPr>
                <w:rFonts w:ascii="Arial" w:hAnsi="Arial" w:cs="Arial"/>
                <w:sz w:val="15"/>
                <w:szCs w:val="15"/>
              </w:rPr>
              <w:t xml:space="preserve"> </w:t>
            </w:r>
            <w:r w:rsidRPr="00251EA9">
              <w:rPr>
                <w:rFonts w:ascii="Arial" w:hAnsi="Arial" w:cs="Arial"/>
                <w:sz w:val="15"/>
                <w:szCs w:val="15"/>
              </w:rPr>
              <w:t>among patients with hydrocephalus and related</w:t>
            </w:r>
            <w:r w:rsidR="00CA5662">
              <w:rPr>
                <w:rFonts w:ascii="Arial" w:hAnsi="Arial" w:cs="Arial"/>
                <w:sz w:val="15"/>
                <w:szCs w:val="15"/>
              </w:rPr>
              <w:t xml:space="preserve"> </w:t>
            </w:r>
            <w:r w:rsidRPr="00251EA9">
              <w:rPr>
                <w:rFonts w:ascii="Arial" w:hAnsi="Arial" w:cs="Arial"/>
                <w:sz w:val="15"/>
                <w:szCs w:val="15"/>
              </w:rPr>
              <w:t>conditions, based on the age of the patient, and to</w:t>
            </w:r>
            <w:r w:rsidR="00CA5662">
              <w:rPr>
                <w:rFonts w:ascii="Arial" w:hAnsi="Arial" w:cs="Arial"/>
                <w:sz w:val="15"/>
                <w:szCs w:val="15"/>
              </w:rPr>
              <w:t xml:space="preserve"> </w:t>
            </w:r>
            <w:r w:rsidRPr="00251EA9">
              <w:rPr>
                <w:rFonts w:ascii="Arial" w:hAnsi="Arial" w:cs="Arial"/>
                <w:sz w:val="15"/>
                <w:szCs w:val="15"/>
              </w:rPr>
              <w:t>determine the types of pathogens responsible for shunt</w:t>
            </w:r>
            <w:r w:rsidR="00CA5662">
              <w:rPr>
                <w:rFonts w:ascii="Arial" w:hAnsi="Arial" w:cs="Arial"/>
                <w:sz w:val="15"/>
                <w:szCs w:val="15"/>
              </w:rPr>
              <w:t xml:space="preserve"> i</w:t>
            </w:r>
            <w:r w:rsidRPr="00251EA9">
              <w:rPr>
                <w:rFonts w:ascii="Arial" w:hAnsi="Arial" w:cs="Arial"/>
                <w:sz w:val="15"/>
                <w:szCs w:val="15"/>
              </w:rPr>
              <w:t>nfections.</w:t>
            </w:r>
          </w:p>
        </w:tc>
        <w:tc>
          <w:tcPr>
            <w:tcW w:w="1134" w:type="dxa"/>
          </w:tcPr>
          <w:p w14:paraId="001FAEE6"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5A8568BF" w14:textId="3D86C9A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52ACDDA2" w14:textId="43E2712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“Positive microbiological culture within 120 hours after</w:t>
            </w:r>
          </w:p>
          <w:p w14:paraId="4CBF747B" w14:textId="7777777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surgery, a postoperative fever (temperature &gt;38.2°C),</w:t>
            </w:r>
          </w:p>
          <w:p w14:paraId="4B105442" w14:textId="1CFA315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and available CNS imaging data."</w:t>
            </w:r>
          </w:p>
        </w:tc>
        <w:tc>
          <w:tcPr>
            <w:tcW w:w="2693" w:type="dxa"/>
          </w:tcPr>
          <w:p w14:paraId="4C7D4D47" w14:textId="5E91ABC8"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Of the patients with shunt infections, 32.3%</w:t>
            </w:r>
            <w:r w:rsidR="00CA5662">
              <w:rPr>
                <w:rFonts w:ascii="Arial" w:hAnsi="Arial" w:cs="Arial"/>
                <w:color w:val="000000" w:themeColor="text1"/>
                <w:sz w:val="15"/>
                <w:szCs w:val="15"/>
              </w:rPr>
              <w:t xml:space="preserve"> </w:t>
            </w:r>
            <w:r w:rsidRPr="00251EA9">
              <w:rPr>
                <w:rFonts w:ascii="Arial" w:hAnsi="Arial" w:cs="Arial"/>
                <w:color w:val="000000" w:themeColor="text1"/>
                <w:sz w:val="15"/>
                <w:szCs w:val="15"/>
              </w:rPr>
              <w:t>had a positive CSF culture. Incidence of infection highest among patients with an EVD followed by patients with an VPS and an ETV. The incidence of infection differed significantly</w:t>
            </w:r>
            <w:r w:rsidR="00CA5662">
              <w:rPr>
                <w:rFonts w:ascii="Arial" w:hAnsi="Arial" w:cs="Arial"/>
                <w:color w:val="000000" w:themeColor="text1"/>
                <w:sz w:val="15"/>
                <w:szCs w:val="15"/>
              </w:rPr>
              <w:t xml:space="preserve"> </w:t>
            </w:r>
            <w:r w:rsidRPr="00251EA9">
              <w:rPr>
                <w:rFonts w:ascii="Arial" w:hAnsi="Arial" w:cs="Arial"/>
                <w:color w:val="000000" w:themeColor="text1"/>
                <w:sz w:val="15"/>
                <w:szCs w:val="15"/>
              </w:rPr>
              <w:t>based on the type of procedure conducted</w:t>
            </w:r>
            <w:r w:rsidR="00CA5662">
              <w:rPr>
                <w:rFonts w:ascii="Arial" w:hAnsi="Arial" w:cs="Arial"/>
                <w:color w:val="000000" w:themeColor="text1"/>
                <w:sz w:val="15"/>
                <w:szCs w:val="15"/>
              </w:rPr>
              <w:t>.</w:t>
            </w:r>
          </w:p>
        </w:tc>
        <w:tc>
          <w:tcPr>
            <w:tcW w:w="1701" w:type="dxa"/>
          </w:tcPr>
          <w:p w14:paraId="7E0A8CCF" w14:textId="07B1366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6ADEA6B1" w14:textId="77777777" w:rsidTr="00A77951">
        <w:trPr>
          <w:trHeight w:val="586"/>
        </w:trPr>
        <w:tc>
          <w:tcPr>
            <w:tcW w:w="992" w:type="dxa"/>
          </w:tcPr>
          <w:p w14:paraId="2910A5A2" w14:textId="62FB4E6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Al-</w:t>
            </w:r>
            <w:proofErr w:type="spellStart"/>
            <w:r w:rsidRPr="00251EA9">
              <w:rPr>
                <w:rFonts w:ascii="Arial" w:hAnsi="Arial" w:cs="Arial"/>
                <w:sz w:val="15"/>
                <w:szCs w:val="15"/>
              </w:rPr>
              <w:t>Tamini</w:t>
            </w:r>
            <w:proofErr w:type="spellEnd"/>
            <w:r w:rsidRPr="00251EA9">
              <w:rPr>
                <w:rFonts w:ascii="Arial" w:hAnsi="Arial" w:cs="Arial"/>
                <w:sz w:val="15"/>
                <w:szCs w:val="15"/>
              </w:rPr>
              <w:t xml:space="preserve"> Y</w:t>
            </w:r>
            <w:r w:rsidR="0052341D">
              <w:rPr>
                <w:rFonts w:ascii="Arial" w:hAnsi="Arial" w:cs="Arial"/>
                <w:sz w:val="15"/>
                <w:szCs w:val="15"/>
              </w:rPr>
              <w:t>.</w:t>
            </w:r>
            <w:r w:rsidRPr="00251EA9">
              <w:rPr>
                <w:rFonts w:ascii="Arial" w:hAnsi="Arial" w:cs="Arial"/>
                <w:sz w:val="15"/>
                <w:szCs w:val="15"/>
              </w:rPr>
              <w:t>Z</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2012</w:t>
            </w:r>
          </w:p>
        </w:tc>
        <w:tc>
          <w:tcPr>
            <w:tcW w:w="851" w:type="dxa"/>
          </w:tcPr>
          <w:p w14:paraId="2CF174A3" w14:textId="5C5CE1B8" w:rsidR="00A77951" w:rsidRPr="00A77951" w:rsidRDefault="00A77951" w:rsidP="00A77951">
            <w:pPr>
              <w:spacing w:line="360" w:lineRule="auto"/>
              <w:contextualSpacing/>
              <w:rPr>
                <w:rFonts w:ascii="Arial" w:hAnsi="Arial" w:cs="Arial"/>
                <w:sz w:val="15"/>
                <w:szCs w:val="15"/>
              </w:rPr>
            </w:pPr>
            <w:hyperlink r:id="rId17" w:history="1">
              <w:r w:rsidRPr="00A77951">
                <w:rPr>
                  <w:rStyle w:val="Hyperlink"/>
                  <w:rFonts w:ascii="Arial" w:hAnsi="Arial" w:cs="Arial"/>
                  <w:sz w:val="15"/>
                  <w:szCs w:val="15"/>
                </w:rPr>
                <w:t>10.3109/02688697.2011.633640</w:t>
              </w:r>
            </w:hyperlink>
          </w:p>
        </w:tc>
        <w:tc>
          <w:tcPr>
            <w:tcW w:w="851" w:type="dxa"/>
          </w:tcPr>
          <w:p w14:paraId="7EAF138F" w14:textId="51A9FDD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1D8E61BE" w14:textId="284962B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A48752F" w14:textId="3B23950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48C490FF" w14:textId="3A11451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37FB6978" w14:textId="6272C5B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compare the survival of acrylic and titanium cranioplasties used in our department.</w:t>
            </w:r>
          </w:p>
        </w:tc>
        <w:tc>
          <w:tcPr>
            <w:tcW w:w="1134" w:type="dxa"/>
          </w:tcPr>
          <w:p w14:paraId="4309EA79" w14:textId="5A4047B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Titanium vs Acrylic cranioplasties</w:t>
            </w:r>
          </w:p>
        </w:tc>
        <w:tc>
          <w:tcPr>
            <w:tcW w:w="992" w:type="dxa"/>
          </w:tcPr>
          <w:p w14:paraId="6E75018A" w14:textId="3E5126F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19C90651" w14:textId="0A2E5E9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50041C94" w14:textId="185CD555"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"11 out of the 13 failures were due to wound infection."</w:t>
            </w:r>
          </w:p>
        </w:tc>
        <w:tc>
          <w:tcPr>
            <w:tcW w:w="1701" w:type="dxa"/>
          </w:tcPr>
          <w:p w14:paraId="48C93AB9" w14:textId="06C4F7A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4FD05CEE" w14:textId="77777777" w:rsidTr="00A77951">
        <w:trPr>
          <w:trHeight w:val="586"/>
        </w:trPr>
        <w:tc>
          <w:tcPr>
            <w:tcW w:w="992" w:type="dxa"/>
          </w:tcPr>
          <w:p w14:paraId="3F859833" w14:textId="25AFC7A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Alan N</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2015</w:t>
            </w:r>
          </w:p>
        </w:tc>
        <w:tc>
          <w:tcPr>
            <w:tcW w:w="851" w:type="dxa"/>
          </w:tcPr>
          <w:p w14:paraId="140BFB6C" w14:textId="724C3EF6" w:rsidR="00A77951" w:rsidRPr="00A77951" w:rsidRDefault="00A77951" w:rsidP="00A77951">
            <w:pPr>
              <w:spacing w:line="360" w:lineRule="auto"/>
              <w:contextualSpacing/>
              <w:rPr>
                <w:rFonts w:ascii="Arial" w:hAnsi="Arial" w:cs="Arial"/>
                <w:sz w:val="15"/>
                <w:szCs w:val="15"/>
              </w:rPr>
            </w:pPr>
            <w:hyperlink r:id="rId18" w:history="1">
              <w:r w:rsidRPr="00A77951">
                <w:rPr>
                  <w:rStyle w:val="Hyperlink"/>
                  <w:rFonts w:ascii="Arial" w:hAnsi="Arial" w:cs="Arial"/>
                  <w:sz w:val="15"/>
                  <w:szCs w:val="15"/>
                </w:rPr>
                <w:t>10.1016/j.jocn.2015.03.009</w:t>
              </w:r>
            </w:hyperlink>
          </w:p>
        </w:tc>
        <w:tc>
          <w:tcPr>
            <w:tcW w:w="851" w:type="dxa"/>
          </w:tcPr>
          <w:p w14:paraId="032CABF5" w14:textId="0D39FD5F"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3CD77CB" w14:textId="6CBD5372"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C79A3E1" w14:textId="01858A5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4190C641" w14:textId="0F86159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6A128B72" w14:textId="5691BDC5" w:rsidR="00A77951" w:rsidRPr="00251EA9" w:rsidRDefault="00CA5662" w:rsidP="00A77951">
            <w:pPr>
              <w:spacing w:line="360" w:lineRule="auto"/>
              <w:contextualSpacing/>
              <w:rPr>
                <w:rFonts w:ascii="Arial" w:hAnsi="Arial" w:cs="Arial"/>
                <w:sz w:val="15"/>
                <w:szCs w:val="15"/>
              </w:rPr>
            </w:pPr>
            <w:r>
              <w:rPr>
                <w:rFonts w:ascii="Arial" w:hAnsi="Arial" w:cs="Arial"/>
                <w:sz w:val="15"/>
                <w:szCs w:val="15"/>
              </w:rPr>
              <w:t>To study</w:t>
            </w:r>
            <w:r w:rsidR="00A77951" w:rsidRPr="00251EA9">
              <w:rPr>
                <w:rFonts w:ascii="Arial" w:hAnsi="Arial" w:cs="Arial"/>
                <w:sz w:val="15"/>
                <w:szCs w:val="15"/>
              </w:rPr>
              <w:t xml:space="preserve"> the impact of preoperative steroids on 30-day morbidity and mortality of craniotomy for</w:t>
            </w:r>
            <w:r>
              <w:rPr>
                <w:rFonts w:ascii="Arial" w:hAnsi="Arial" w:cs="Arial"/>
                <w:sz w:val="15"/>
                <w:szCs w:val="15"/>
              </w:rPr>
              <w:t xml:space="preserve"> </w:t>
            </w:r>
            <w:r w:rsidR="00A77951" w:rsidRPr="00251EA9">
              <w:rPr>
                <w:rFonts w:ascii="Arial" w:hAnsi="Arial" w:cs="Arial"/>
                <w:sz w:val="15"/>
                <w:szCs w:val="15"/>
              </w:rPr>
              <w:t>definitive resection of malignant brain tumours.</w:t>
            </w:r>
          </w:p>
        </w:tc>
        <w:tc>
          <w:tcPr>
            <w:tcW w:w="1134" w:type="dxa"/>
          </w:tcPr>
          <w:p w14:paraId="647C7A77"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16731035" w14:textId="7486DB3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57418716" w14:textId="1B1C457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07E83BED" w14:textId="55E295A7"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Reports deep SSI in 0.3% of chronic steroid use group preoperatively compared to 0.5% in control group. Superficial SSI occurred in 1% of chronic steroid use group compared to 0.5% in control group. Organ or space SSI occurred in 1.4% of chronic steroid use group compared to 1% in control group.</w:t>
            </w:r>
          </w:p>
        </w:tc>
        <w:tc>
          <w:tcPr>
            <w:tcW w:w="1701" w:type="dxa"/>
          </w:tcPr>
          <w:p w14:paraId="734F99E8" w14:textId="078E30B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65BBC7C1" w14:textId="77777777" w:rsidTr="00A77951">
        <w:trPr>
          <w:trHeight w:val="586"/>
        </w:trPr>
        <w:tc>
          <w:tcPr>
            <w:tcW w:w="992" w:type="dxa"/>
          </w:tcPr>
          <w:p w14:paraId="2B84836E" w14:textId="30E9D73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Alford E</w:t>
            </w:r>
            <w:r w:rsidR="0052341D">
              <w:rPr>
                <w:rFonts w:ascii="Arial" w:hAnsi="Arial" w:cs="Arial"/>
                <w:sz w:val="15"/>
                <w:szCs w:val="15"/>
              </w:rPr>
              <w:t>.</w:t>
            </w:r>
            <w:r w:rsidRPr="00251EA9">
              <w:rPr>
                <w:rFonts w:ascii="Arial" w:hAnsi="Arial" w:cs="Arial"/>
                <w:sz w:val="15"/>
                <w:szCs w:val="15"/>
              </w:rPr>
              <w:t>N</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2020</w:t>
            </w:r>
          </w:p>
        </w:tc>
        <w:tc>
          <w:tcPr>
            <w:tcW w:w="851" w:type="dxa"/>
          </w:tcPr>
          <w:p w14:paraId="1A47F504" w14:textId="72184B84" w:rsidR="00A77951" w:rsidRPr="00A77951" w:rsidRDefault="00A77951" w:rsidP="00A77951">
            <w:pPr>
              <w:spacing w:line="360" w:lineRule="auto"/>
              <w:contextualSpacing/>
              <w:rPr>
                <w:rFonts w:ascii="Arial" w:hAnsi="Arial" w:cs="Arial"/>
                <w:sz w:val="15"/>
                <w:szCs w:val="15"/>
              </w:rPr>
            </w:pPr>
            <w:hyperlink r:id="rId19" w:history="1">
              <w:r w:rsidRPr="00A77951">
                <w:rPr>
                  <w:rStyle w:val="Hyperlink"/>
                  <w:rFonts w:ascii="Arial" w:hAnsi="Arial" w:cs="Arial"/>
                  <w:sz w:val="15"/>
                  <w:szCs w:val="15"/>
                </w:rPr>
                <w:t>10.1007/s10143-020-01296-1</w:t>
              </w:r>
            </w:hyperlink>
          </w:p>
        </w:tc>
        <w:tc>
          <w:tcPr>
            <w:tcW w:w="851" w:type="dxa"/>
          </w:tcPr>
          <w:p w14:paraId="15B2CF82" w14:textId="6BA8FDD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7CF58B7" w14:textId="61FF4B1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88B1795" w14:textId="2CA7AC0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4B148452" w14:textId="1ED47B7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Vascular/Other (Microvascular decompression)</w:t>
            </w:r>
          </w:p>
        </w:tc>
        <w:tc>
          <w:tcPr>
            <w:tcW w:w="1843" w:type="dxa"/>
          </w:tcPr>
          <w:p w14:paraId="5EF9E825" w14:textId="7FB609A0" w:rsidR="00A77951" w:rsidRPr="00251EA9" w:rsidRDefault="00CA5662"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identify risk factors associated with wound-related complications after </w:t>
            </w:r>
            <w:proofErr w:type="spellStart"/>
            <w:r w:rsidR="00A77951" w:rsidRPr="00251EA9">
              <w:rPr>
                <w:rFonts w:ascii="Arial" w:hAnsi="Arial" w:cs="Arial"/>
                <w:sz w:val="15"/>
                <w:szCs w:val="15"/>
              </w:rPr>
              <w:t>retrosigmoid</w:t>
            </w:r>
            <w:proofErr w:type="spellEnd"/>
          </w:p>
          <w:p w14:paraId="6D252BC8" w14:textId="6E92D33C"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lastRenderedPageBreak/>
              <w:t>suboccipital approaches for microvascular decompression</w:t>
            </w:r>
            <w:r w:rsidR="00CA5662">
              <w:rPr>
                <w:rFonts w:ascii="Arial" w:hAnsi="Arial" w:cs="Arial"/>
                <w:sz w:val="15"/>
                <w:szCs w:val="15"/>
              </w:rPr>
              <w:t>.</w:t>
            </w:r>
          </w:p>
        </w:tc>
        <w:tc>
          <w:tcPr>
            <w:tcW w:w="1134" w:type="dxa"/>
          </w:tcPr>
          <w:p w14:paraId="460D8A5F"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10823BF3" w14:textId="4AA25A7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6F42A028" w14:textId="3B10E54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47257C56" w14:textId="6E0CD0E8"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10 patients (5.1%) had a wound infection. 9 patients (4.6%) had wound dehiscence.</w:t>
            </w:r>
          </w:p>
          <w:p w14:paraId="503EACA7" w14:textId="77777777" w:rsidR="00A77951" w:rsidRPr="00251EA9" w:rsidRDefault="00A77951" w:rsidP="00A77951">
            <w:pPr>
              <w:rPr>
                <w:rFonts w:ascii="Arial" w:hAnsi="Arial" w:cs="Arial"/>
                <w:sz w:val="15"/>
                <w:szCs w:val="15"/>
              </w:rPr>
            </w:pPr>
          </w:p>
          <w:p w14:paraId="303725B4" w14:textId="77777777" w:rsidR="00A77951" w:rsidRPr="00251EA9" w:rsidRDefault="00A77951" w:rsidP="00A77951">
            <w:pPr>
              <w:rPr>
                <w:rFonts w:ascii="Arial" w:hAnsi="Arial" w:cs="Arial"/>
                <w:color w:val="000000" w:themeColor="text1"/>
                <w:sz w:val="15"/>
                <w:szCs w:val="15"/>
              </w:rPr>
            </w:pPr>
          </w:p>
          <w:p w14:paraId="6A07184A" w14:textId="0F725518" w:rsidR="00A77951" w:rsidRPr="00251EA9" w:rsidRDefault="00A77951" w:rsidP="00A77951">
            <w:pPr>
              <w:jc w:val="center"/>
              <w:rPr>
                <w:rFonts w:ascii="Arial" w:hAnsi="Arial" w:cs="Arial"/>
                <w:sz w:val="15"/>
                <w:szCs w:val="15"/>
              </w:rPr>
            </w:pPr>
          </w:p>
        </w:tc>
        <w:tc>
          <w:tcPr>
            <w:tcW w:w="1701" w:type="dxa"/>
          </w:tcPr>
          <w:p w14:paraId="2D3BAF2B" w14:textId="1D28CDB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307AD2BB" w14:textId="77777777" w:rsidTr="00A77951">
        <w:trPr>
          <w:trHeight w:val="586"/>
        </w:trPr>
        <w:tc>
          <w:tcPr>
            <w:tcW w:w="992" w:type="dxa"/>
          </w:tcPr>
          <w:p w14:paraId="3E852A99" w14:textId="185DD29F"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Alkhaibary</w:t>
            </w:r>
            <w:proofErr w:type="spellEnd"/>
            <w:r w:rsidRPr="00251EA9">
              <w:rPr>
                <w:rFonts w:ascii="Arial" w:hAnsi="Arial" w:cs="Arial"/>
                <w:sz w:val="15"/>
                <w:szCs w:val="15"/>
              </w:rPr>
              <w:t xml:space="preserve"> A</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2019</w:t>
            </w:r>
          </w:p>
        </w:tc>
        <w:tc>
          <w:tcPr>
            <w:tcW w:w="851" w:type="dxa"/>
          </w:tcPr>
          <w:p w14:paraId="7500FCE4" w14:textId="2915F360" w:rsidR="00A77951" w:rsidRPr="00A77951" w:rsidRDefault="00A77951" w:rsidP="00A77951">
            <w:pPr>
              <w:spacing w:line="360" w:lineRule="auto"/>
              <w:contextualSpacing/>
              <w:rPr>
                <w:rFonts w:ascii="Arial" w:hAnsi="Arial" w:cs="Arial"/>
                <w:sz w:val="15"/>
                <w:szCs w:val="15"/>
              </w:rPr>
            </w:pPr>
            <w:hyperlink r:id="rId20" w:history="1">
              <w:r w:rsidRPr="00A77951">
                <w:rPr>
                  <w:rStyle w:val="Hyperlink"/>
                  <w:rFonts w:ascii="Arial" w:hAnsi="Arial" w:cs="Arial"/>
                  <w:sz w:val="15"/>
                  <w:szCs w:val="15"/>
                </w:rPr>
                <w:t>10.1016/j.wneu.2019.09.120</w:t>
              </w:r>
            </w:hyperlink>
          </w:p>
        </w:tc>
        <w:tc>
          <w:tcPr>
            <w:tcW w:w="851" w:type="dxa"/>
          </w:tcPr>
          <w:p w14:paraId="15BFFF9C" w14:textId="42B022E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Saudi Arabia</w:t>
            </w:r>
          </w:p>
        </w:tc>
        <w:tc>
          <w:tcPr>
            <w:tcW w:w="1134" w:type="dxa"/>
          </w:tcPr>
          <w:p w14:paraId="01BDB6DA" w14:textId="52FACD7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61C7EFE" w14:textId="343ADC5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6E40C026" w14:textId="00D1431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Other (Craniectomy for intracranial hypertension)</w:t>
            </w:r>
          </w:p>
        </w:tc>
        <w:tc>
          <w:tcPr>
            <w:tcW w:w="1843" w:type="dxa"/>
          </w:tcPr>
          <w:p w14:paraId="45185589" w14:textId="2EBF649B" w:rsidR="00A77951" w:rsidRPr="00251EA9" w:rsidRDefault="00CA5662"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estimate the incidence of SSI and determine its possible risk factors for patients who underwent cranioplasty using bone flaps subcutaneously preserved in abdominal pockets.</w:t>
            </w:r>
          </w:p>
        </w:tc>
        <w:tc>
          <w:tcPr>
            <w:tcW w:w="1134" w:type="dxa"/>
          </w:tcPr>
          <w:p w14:paraId="5196399E"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0B2D3BDE" w14:textId="755DAE9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615E627A" w14:textId="2228208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Positive wound/tissue culture with clinical signs and symptoms of infection</w:t>
            </w:r>
          </w:p>
        </w:tc>
        <w:tc>
          <w:tcPr>
            <w:tcW w:w="2693" w:type="dxa"/>
          </w:tcPr>
          <w:p w14:paraId="7CF4D050" w14:textId="38A8BA64"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The incidence of SSI was noted in 15.7%. The most common predictors of infection in patients requiring cranioplasty were blood glucose levels and a large defect size.</w:t>
            </w:r>
          </w:p>
        </w:tc>
        <w:tc>
          <w:tcPr>
            <w:tcW w:w="1701" w:type="dxa"/>
          </w:tcPr>
          <w:p w14:paraId="56E87FC7" w14:textId="69C2EB2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6BADE3CB" w14:textId="77777777" w:rsidTr="00A77951">
        <w:trPr>
          <w:trHeight w:val="586"/>
        </w:trPr>
        <w:tc>
          <w:tcPr>
            <w:tcW w:w="992" w:type="dxa"/>
          </w:tcPr>
          <w:p w14:paraId="1FF80230" w14:textId="795AA8D6"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Alwadei</w:t>
            </w:r>
            <w:proofErr w:type="spellEnd"/>
            <w:r w:rsidRPr="00251EA9">
              <w:rPr>
                <w:rFonts w:ascii="Arial" w:hAnsi="Arial" w:cs="Arial"/>
                <w:sz w:val="15"/>
                <w:szCs w:val="15"/>
              </w:rPr>
              <w:t xml:space="preserve"> A</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2019</w:t>
            </w:r>
          </w:p>
        </w:tc>
        <w:tc>
          <w:tcPr>
            <w:tcW w:w="851" w:type="dxa"/>
          </w:tcPr>
          <w:p w14:paraId="1422E529" w14:textId="4A267D6B" w:rsidR="00A77951" w:rsidRPr="00A77951" w:rsidRDefault="00A77951" w:rsidP="00A77951">
            <w:pPr>
              <w:spacing w:line="360" w:lineRule="auto"/>
              <w:contextualSpacing/>
              <w:rPr>
                <w:rFonts w:ascii="Arial" w:hAnsi="Arial" w:cs="Arial"/>
                <w:sz w:val="15"/>
                <w:szCs w:val="15"/>
              </w:rPr>
            </w:pPr>
            <w:hyperlink r:id="rId21" w:history="1">
              <w:r w:rsidRPr="00A77951">
                <w:rPr>
                  <w:rStyle w:val="Hyperlink"/>
                  <w:rFonts w:ascii="Arial" w:hAnsi="Arial" w:cs="Arial"/>
                  <w:sz w:val="15"/>
                  <w:szCs w:val="15"/>
                </w:rPr>
                <w:t>10.1016/j.wneu.2019.01.262</w:t>
              </w:r>
            </w:hyperlink>
          </w:p>
        </w:tc>
        <w:tc>
          <w:tcPr>
            <w:tcW w:w="851" w:type="dxa"/>
          </w:tcPr>
          <w:p w14:paraId="0878B71E" w14:textId="50F7264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Saudi Arabia</w:t>
            </w:r>
          </w:p>
        </w:tc>
        <w:tc>
          <w:tcPr>
            <w:tcW w:w="1134" w:type="dxa"/>
          </w:tcPr>
          <w:p w14:paraId="1A15BEE9" w14:textId="0399D29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F49AF49" w14:textId="4FFBEAC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58D657AA" w14:textId="4FBB430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General neurosurgical (Craniotomy)</w:t>
            </w:r>
          </w:p>
        </w:tc>
        <w:tc>
          <w:tcPr>
            <w:tcW w:w="1843" w:type="dxa"/>
          </w:tcPr>
          <w:p w14:paraId="05CDF4B7" w14:textId="60D9F893" w:rsidR="00A77951" w:rsidRPr="00251EA9" w:rsidRDefault="00CA5662"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examine the possible</w:t>
            </w:r>
          </w:p>
          <w:p w14:paraId="4931D723" w14:textId="7777777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benefits and harms of suturing the dura compared with no</w:t>
            </w:r>
          </w:p>
          <w:p w14:paraId="18173E92" w14:textId="7777777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dural closure and the occurrence of postoperative infection,</w:t>
            </w:r>
          </w:p>
          <w:p w14:paraId="31EDEDEC" w14:textId="72F2C6E1"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cerebrospinalfluid</w:t>
            </w:r>
            <w:proofErr w:type="spellEnd"/>
            <w:r w:rsidRPr="00251EA9">
              <w:rPr>
                <w:rFonts w:ascii="Arial" w:hAnsi="Arial" w:cs="Arial"/>
                <w:sz w:val="15"/>
                <w:szCs w:val="15"/>
              </w:rPr>
              <w:t xml:space="preserve"> (CSF) leak, and</w:t>
            </w:r>
            <w:r w:rsidR="00CA5662">
              <w:rPr>
                <w:rFonts w:ascii="Arial" w:hAnsi="Arial" w:cs="Arial"/>
                <w:sz w:val="15"/>
                <w:szCs w:val="15"/>
              </w:rPr>
              <w:t xml:space="preserve"> </w:t>
            </w:r>
            <w:proofErr w:type="spellStart"/>
            <w:r w:rsidRPr="00251EA9">
              <w:rPr>
                <w:rFonts w:ascii="Arial" w:hAnsi="Arial" w:cs="Arial"/>
                <w:sz w:val="15"/>
                <w:szCs w:val="15"/>
              </w:rPr>
              <w:t>postcraniotomy</w:t>
            </w:r>
            <w:proofErr w:type="spellEnd"/>
            <w:r w:rsidRPr="00251EA9">
              <w:rPr>
                <w:rFonts w:ascii="Arial" w:hAnsi="Arial" w:cs="Arial"/>
                <w:sz w:val="15"/>
                <w:szCs w:val="15"/>
              </w:rPr>
              <w:t xml:space="preserve"> headaches</w:t>
            </w:r>
          </w:p>
        </w:tc>
        <w:tc>
          <w:tcPr>
            <w:tcW w:w="1134" w:type="dxa"/>
          </w:tcPr>
          <w:p w14:paraId="0FCD566C"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53791EFC" w14:textId="6BF411A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68A69AC3" w14:textId="2976DA9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5A8C1649" w14:textId="10C10B01"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The open group experienced a greater incidence of infection and CSF leak (6 in the open group vs. 2 in the</w:t>
            </w:r>
            <w:r w:rsidR="00CA5662">
              <w:rPr>
                <w:rFonts w:ascii="Arial" w:hAnsi="Arial" w:cs="Arial"/>
                <w:color w:val="000000" w:themeColor="text1"/>
                <w:sz w:val="15"/>
                <w:szCs w:val="15"/>
              </w:rPr>
              <w:t xml:space="preserve"> </w:t>
            </w:r>
            <w:r w:rsidRPr="00251EA9">
              <w:rPr>
                <w:rFonts w:ascii="Arial" w:hAnsi="Arial" w:cs="Arial"/>
                <w:color w:val="000000" w:themeColor="text1"/>
                <w:sz w:val="15"/>
                <w:szCs w:val="15"/>
              </w:rPr>
              <w:t>closed group), but without statistical significance</w:t>
            </w:r>
            <w:r w:rsidR="00CA5662">
              <w:rPr>
                <w:rFonts w:ascii="Arial" w:hAnsi="Arial" w:cs="Arial"/>
                <w:color w:val="000000" w:themeColor="text1"/>
                <w:sz w:val="15"/>
                <w:szCs w:val="15"/>
              </w:rPr>
              <w:t>.</w:t>
            </w:r>
          </w:p>
        </w:tc>
        <w:tc>
          <w:tcPr>
            <w:tcW w:w="1701" w:type="dxa"/>
          </w:tcPr>
          <w:p w14:paraId="4B3FDA7E" w14:textId="679D32D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58A3AA7F" w14:textId="77777777" w:rsidTr="00A77951">
        <w:trPr>
          <w:trHeight w:val="586"/>
        </w:trPr>
        <w:tc>
          <w:tcPr>
            <w:tcW w:w="992" w:type="dxa"/>
          </w:tcPr>
          <w:p w14:paraId="423A5E56" w14:textId="35D3F2B3"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Alzoubi</w:t>
            </w:r>
            <w:proofErr w:type="spellEnd"/>
            <w:r w:rsidRPr="00251EA9">
              <w:rPr>
                <w:rFonts w:ascii="Arial" w:hAnsi="Arial" w:cs="Arial"/>
                <w:sz w:val="15"/>
                <w:szCs w:val="15"/>
              </w:rPr>
              <w:t xml:space="preserve"> F</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2015</w:t>
            </w:r>
          </w:p>
        </w:tc>
        <w:tc>
          <w:tcPr>
            <w:tcW w:w="851" w:type="dxa"/>
          </w:tcPr>
          <w:p w14:paraId="2C549DD9" w14:textId="41A66004" w:rsidR="00A77951" w:rsidRPr="00A77951" w:rsidRDefault="00A77951" w:rsidP="00A77951">
            <w:pPr>
              <w:spacing w:line="360" w:lineRule="auto"/>
              <w:contextualSpacing/>
              <w:rPr>
                <w:rFonts w:ascii="Arial" w:hAnsi="Arial" w:cs="Arial"/>
                <w:sz w:val="15"/>
                <w:szCs w:val="15"/>
              </w:rPr>
            </w:pPr>
            <w:hyperlink r:id="rId22" w:history="1">
              <w:r w:rsidRPr="00A77951">
                <w:rPr>
                  <w:rStyle w:val="Hyperlink"/>
                  <w:rFonts w:ascii="Arial" w:hAnsi="Arial" w:cs="Arial"/>
                  <w:sz w:val="15"/>
                  <w:szCs w:val="15"/>
                </w:rPr>
                <w:t>10.1179/1754762814Y.0000000090</w:t>
              </w:r>
            </w:hyperlink>
          </w:p>
        </w:tc>
        <w:tc>
          <w:tcPr>
            <w:tcW w:w="851" w:type="dxa"/>
          </w:tcPr>
          <w:p w14:paraId="5441E5ED" w14:textId="45A629A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Jordan</w:t>
            </w:r>
          </w:p>
        </w:tc>
        <w:tc>
          <w:tcPr>
            <w:tcW w:w="1134" w:type="dxa"/>
          </w:tcPr>
          <w:p w14:paraId="7F1EA962" w14:textId="5877CC41"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6551135" w14:textId="692BBF7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1881FACB" w14:textId="3ACB0470"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Other (cochlear implant)</w:t>
            </w:r>
          </w:p>
        </w:tc>
        <w:tc>
          <w:tcPr>
            <w:tcW w:w="1843" w:type="dxa"/>
          </w:tcPr>
          <w:p w14:paraId="7D28DF7E" w14:textId="53B8E3CB"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assess the postoperative surgical complications, morbidity, and outcome of the lazy S-shaped postauricular incision with a modified double-flap technique for</w:t>
            </w:r>
          </w:p>
          <w:p w14:paraId="2412F1DE" w14:textId="2FF10376"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cochlear implant surgery.</w:t>
            </w:r>
          </w:p>
          <w:p w14:paraId="4D7EFDBC" w14:textId="55ABF22E" w:rsidR="00A77951" w:rsidRPr="00251EA9" w:rsidRDefault="00A77951" w:rsidP="00A77951">
            <w:pPr>
              <w:spacing w:line="360" w:lineRule="auto"/>
              <w:contextualSpacing/>
              <w:rPr>
                <w:rFonts w:ascii="Arial" w:hAnsi="Arial" w:cs="Arial"/>
                <w:sz w:val="15"/>
                <w:szCs w:val="15"/>
              </w:rPr>
            </w:pPr>
          </w:p>
        </w:tc>
        <w:tc>
          <w:tcPr>
            <w:tcW w:w="1134" w:type="dxa"/>
          </w:tcPr>
          <w:p w14:paraId="1BD8F3C9"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6D0D1B5E" w14:textId="1171E3CC"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2ADFCB94" w14:textId="3D870C4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20C3030C" w14:textId="28A55D01"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Four (1.2%) minor complications including one</w:t>
            </w:r>
            <w:r w:rsidR="00CA5662">
              <w:rPr>
                <w:rFonts w:ascii="Arial" w:hAnsi="Arial" w:cs="Arial"/>
                <w:color w:val="000000" w:themeColor="text1"/>
                <w:sz w:val="15"/>
                <w:szCs w:val="15"/>
              </w:rPr>
              <w:t xml:space="preserve"> </w:t>
            </w:r>
            <w:r w:rsidRPr="00251EA9">
              <w:rPr>
                <w:rFonts w:ascii="Arial" w:hAnsi="Arial" w:cs="Arial"/>
                <w:color w:val="000000" w:themeColor="text1"/>
                <w:sz w:val="15"/>
                <w:szCs w:val="15"/>
              </w:rPr>
              <w:t>case of wound infection and discharge that required</w:t>
            </w:r>
          </w:p>
          <w:p w14:paraId="7458B15B" w14:textId="390A95DA" w:rsidR="00CA5662" w:rsidRPr="00251EA9" w:rsidRDefault="00A77951" w:rsidP="00CA5662">
            <w:pPr>
              <w:rPr>
                <w:rFonts w:ascii="Arial" w:hAnsi="Arial" w:cs="Arial"/>
                <w:color w:val="000000" w:themeColor="text1"/>
                <w:sz w:val="15"/>
                <w:szCs w:val="15"/>
              </w:rPr>
            </w:pPr>
            <w:r w:rsidRPr="00251EA9">
              <w:rPr>
                <w:rFonts w:ascii="Arial" w:hAnsi="Arial" w:cs="Arial"/>
                <w:color w:val="000000" w:themeColor="text1"/>
                <w:sz w:val="15"/>
                <w:szCs w:val="15"/>
              </w:rPr>
              <w:t xml:space="preserve">hospitalisation for intravenous antibiotic administration. </w:t>
            </w:r>
          </w:p>
          <w:p w14:paraId="6691ABEE" w14:textId="6AEDC2FB" w:rsidR="00A77951" w:rsidRPr="00251EA9" w:rsidRDefault="00A77951" w:rsidP="00A77951">
            <w:pPr>
              <w:rPr>
                <w:rFonts w:ascii="Arial" w:hAnsi="Arial" w:cs="Arial"/>
                <w:color w:val="000000" w:themeColor="text1"/>
                <w:sz w:val="15"/>
                <w:szCs w:val="15"/>
              </w:rPr>
            </w:pPr>
          </w:p>
        </w:tc>
        <w:tc>
          <w:tcPr>
            <w:tcW w:w="1701" w:type="dxa"/>
          </w:tcPr>
          <w:p w14:paraId="7D7DA804" w14:textId="24FAE70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12187B16" w14:textId="77777777" w:rsidTr="00A77951">
        <w:trPr>
          <w:trHeight w:val="586"/>
        </w:trPr>
        <w:tc>
          <w:tcPr>
            <w:tcW w:w="992" w:type="dxa"/>
          </w:tcPr>
          <w:p w14:paraId="69E8928C" w14:textId="2494D275"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Ammanuel</w:t>
            </w:r>
            <w:proofErr w:type="spellEnd"/>
            <w:r w:rsidRPr="00251EA9">
              <w:rPr>
                <w:rFonts w:ascii="Arial" w:hAnsi="Arial" w:cs="Arial"/>
                <w:sz w:val="15"/>
                <w:szCs w:val="15"/>
              </w:rPr>
              <w:t xml:space="preserve"> S</w:t>
            </w:r>
            <w:r w:rsidR="0052341D">
              <w:rPr>
                <w:rFonts w:ascii="Arial" w:hAnsi="Arial" w:cs="Arial"/>
                <w:sz w:val="15"/>
                <w:szCs w:val="15"/>
              </w:rPr>
              <w:t>.</w:t>
            </w:r>
            <w:r w:rsidRPr="00251EA9">
              <w:rPr>
                <w:rFonts w:ascii="Arial" w:hAnsi="Arial" w:cs="Arial"/>
                <w:sz w:val="15"/>
                <w:szCs w:val="15"/>
              </w:rPr>
              <w:t>G</w:t>
            </w:r>
            <w:r w:rsidR="0052341D">
              <w:rPr>
                <w:rFonts w:ascii="Arial" w:hAnsi="Arial" w:cs="Arial"/>
                <w:sz w:val="15"/>
                <w:szCs w:val="15"/>
              </w:rPr>
              <w:t>.</w:t>
            </w:r>
            <w:r w:rsidRPr="00251EA9">
              <w:rPr>
                <w:rFonts w:ascii="Arial" w:hAnsi="Arial" w:cs="Arial"/>
                <w:sz w:val="15"/>
                <w:szCs w:val="15"/>
              </w:rPr>
              <w:t xml:space="preserve"> et al., 2021</w:t>
            </w:r>
          </w:p>
        </w:tc>
        <w:tc>
          <w:tcPr>
            <w:tcW w:w="851" w:type="dxa"/>
          </w:tcPr>
          <w:p w14:paraId="1BB253EA" w14:textId="26BE53BE" w:rsidR="00A77951" w:rsidRPr="00A77951" w:rsidRDefault="00A77951" w:rsidP="00A77951">
            <w:pPr>
              <w:spacing w:line="360" w:lineRule="auto"/>
              <w:contextualSpacing/>
              <w:rPr>
                <w:rFonts w:ascii="Arial" w:hAnsi="Arial" w:cs="Arial"/>
                <w:sz w:val="15"/>
                <w:szCs w:val="15"/>
              </w:rPr>
            </w:pPr>
            <w:hyperlink r:id="rId23" w:history="1">
              <w:r w:rsidRPr="00A77951">
                <w:rPr>
                  <w:rStyle w:val="Hyperlink"/>
                  <w:rFonts w:ascii="Arial" w:hAnsi="Arial" w:cs="Arial"/>
                  <w:sz w:val="15"/>
                  <w:szCs w:val="15"/>
                </w:rPr>
                <w:t>10.3171/2020.</w:t>
              </w:r>
              <w:proofErr w:type="gramStart"/>
              <w:r w:rsidRPr="00A77951">
                <w:rPr>
                  <w:rStyle w:val="Hyperlink"/>
                  <w:rFonts w:ascii="Arial" w:hAnsi="Arial" w:cs="Arial"/>
                  <w:sz w:val="15"/>
                  <w:szCs w:val="15"/>
                </w:rPr>
                <w:t>10.JNS</w:t>
              </w:r>
              <w:proofErr w:type="gramEnd"/>
              <w:r w:rsidRPr="00A77951">
                <w:rPr>
                  <w:rStyle w:val="Hyperlink"/>
                  <w:rFonts w:ascii="Arial" w:hAnsi="Arial" w:cs="Arial"/>
                  <w:sz w:val="15"/>
                  <w:szCs w:val="15"/>
                </w:rPr>
                <w:t>201255</w:t>
              </w:r>
            </w:hyperlink>
          </w:p>
        </w:tc>
        <w:tc>
          <w:tcPr>
            <w:tcW w:w="851" w:type="dxa"/>
          </w:tcPr>
          <w:p w14:paraId="1A4AE8D1" w14:textId="178540A4"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6D2593D" w14:textId="1EC6D876"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EB665A9" w14:textId="740C2ED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0666B879" w14:textId="49F767E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General neurosurgical (craniotomy)</w:t>
            </w:r>
          </w:p>
        </w:tc>
        <w:tc>
          <w:tcPr>
            <w:tcW w:w="1843" w:type="dxa"/>
          </w:tcPr>
          <w:p w14:paraId="2DBFB6A7" w14:textId="25EE984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assess the efficacy of preoperative chlorhexidine gluconate (CHG) showers on SSI rates following cranial surgery.</w:t>
            </w:r>
          </w:p>
        </w:tc>
        <w:tc>
          <w:tcPr>
            <w:tcW w:w="1134" w:type="dxa"/>
          </w:tcPr>
          <w:p w14:paraId="2ECEDD17"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51048C94" w14:textId="1726B0D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3691DFB6" w14:textId="781E00DE" w:rsidR="00A77951" w:rsidRPr="00251EA9" w:rsidRDefault="003C282B"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CDC guidelines</w:t>
            </w:r>
          </w:p>
        </w:tc>
        <w:tc>
          <w:tcPr>
            <w:tcW w:w="2693" w:type="dxa"/>
          </w:tcPr>
          <w:p w14:paraId="154009B5" w14:textId="17C06933"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 xml:space="preserve">No significant differences (p = 0.11) were observed between the rate of SSI of the 892 patients in the </w:t>
            </w:r>
            <w:proofErr w:type="spellStart"/>
            <w:r w:rsidRPr="00251EA9">
              <w:rPr>
                <w:rFonts w:ascii="Arial" w:hAnsi="Arial" w:cs="Arial"/>
                <w:color w:val="000000" w:themeColor="text1"/>
                <w:sz w:val="15"/>
                <w:szCs w:val="15"/>
              </w:rPr>
              <w:t>preimplementation</w:t>
            </w:r>
            <w:proofErr w:type="spellEnd"/>
            <w:r w:rsidRPr="00251EA9">
              <w:rPr>
                <w:rFonts w:ascii="Arial" w:hAnsi="Arial" w:cs="Arial"/>
                <w:color w:val="000000" w:themeColor="text1"/>
                <w:sz w:val="15"/>
                <w:szCs w:val="15"/>
              </w:rPr>
              <w:t xml:space="preserve"> cohort (0.2%) and that of the 2234 patients in the postimplementation cohort (0.8%).</w:t>
            </w:r>
          </w:p>
        </w:tc>
        <w:tc>
          <w:tcPr>
            <w:tcW w:w="1701" w:type="dxa"/>
          </w:tcPr>
          <w:p w14:paraId="54C12E42" w14:textId="2A998A9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47F1544E" w14:textId="77777777" w:rsidTr="00A77951">
        <w:trPr>
          <w:trHeight w:val="586"/>
        </w:trPr>
        <w:tc>
          <w:tcPr>
            <w:tcW w:w="992" w:type="dxa"/>
          </w:tcPr>
          <w:p w14:paraId="2C0A274C" w14:textId="550353C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Ammar R. et al., 2022</w:t>
            </w:r>
          </w:p>
        </w:tc>
        <w:tc>
          <w:tcPr>
            <w:tcW w:w="851" w:type="dxa"/>
          </w:tcPr>
          <w:p w14:paraId="68A78584" w14:textId="6E9F7524" w:rsidR="00A77951" w:rsidRPr="00A77951" w:rsidRDefault="00A77951" w:rsidP="00A77951">
            <w:pPr>
              <w:spacing w:line="360" w:lineRule="auto"/>
              <w:contextualSpacing/>
              <w:rPr>
                <w:rFonts w:ascii="Arial" w:hAnsi="Arial" w:cs="Arial"/>
                <w:sz w:val="15"/>
                <w:szCs w:val="15"/>
              </w:rPr>
            </w:pPr>
            <w:hyperlink r:id="rId24" w:tooltip="Persistent link using digital object identifier" w:history="1">
              <w:r w:rsidRPr="00A77951">
                <w:rPr>
                  <w:rStyle w:val="Hyperlink"/>
                  <w:rFonts w:ascii="Arial" w:hAnsi="Arial" w:cs="Arial"/>
                  <w:sz w:val="15"/>
                  <w:szCs w:val="15"/>
                </w:rPr>
                <w:t>10.1016/j.inat.2021.101421</w:t>
              </w:r>
            </w:hyperlink>
          </w:p>
        </w:tc>
        <w:tc>
          <w:tcPr>
            <w:tcW w:w="851" w:type="dxa"/>
          </w:tcPr>
          <w:p w14:paraId="1C926C1F" w14:textId="1A199DB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Tunisia</w:t>
            </w:r>
          </w:p>
        </w:tc>
        <w:tc>
          <w:tcPr>
            <w:tcW w:w="1134" w:type="dxa"/>
          </w:tcPr>
          <w:p w14:paraId="384AAF1D" w14:textId="57E7C37F"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42CBAD0" w14:textId="22825B5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 xml:space="preserve">Adult </w:t>
            </w:r>
          </w:p>
        </w:tc>
        <w:tc>
          <w:tcPr>
            <w:tcW w:w="1276" w:type="dxa"/>
          </w:tcPr>
          <w:p w14:paraId="630777C8" w14:textId="41BA52A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General neurosurgical (craniotomy)</w:t>
            </w:r>
          </w:p>
        </w:tc>
        <w:tc>
          <w:tcPr>
            <w:tcW w:w="1843" w:type="dxa"/>
          </w:tcPr>
          <w:p w14:paraId="308B12AB" w14:textId="2FAB740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analyse clinical, epidemiological, radiological characteristics and outcome of patients undergoing decompressive craniectomy after traumatic brain injury (TBI) and to define predictive factors associated with poor prognosis.</w:t>
            </w:r>
          </w:p>
        </w:tc>
        <w:tc>
          <w:tcPr>
            <w:tcW w:w="1134" w:type="dxa"/>
          </w:tcPr>
          <w:p w14:paraId="6257E9E2"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61B4730B" w14:textId="7687501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62AE5512" w14:textId="516B5C00"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550278D7" w14:textId="1E8BA36E"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7 cases of local infection reported.</w:t>
            </w:r>
          </w:p>
        </w:tc>
        <w:tc>
          <w:tcPr>
            <w:tcW w:w="1701" w:type="dxa"/>
          </w:tcPr>
          <w:p w14:paraId="5AE2C01F" w14:textId="6444135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7ABED4F2" w14:textId="77777777" w:rsidTr="00A77951">
        <w:trPr>
          <w:trHeight w:val="586"/>
        </w:trPr>
        <w:tc>
          <w:tcPr>
            <w:tcW w:w="992" w:type="dxa"/>
          </w:tcPr>
          <w:p w14:paraId="6D49EC3B" w14:textId="036D698E"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Andren</w:t>
            </w:r>
            <w:proofErr w:type="spellEnd"/>
            <w:r w:rsidRPr="00251EA9">
              <w:rPr>
                <w:rFonts w:ascii="Arial" w:hAnsi="Arial" w:cs="Arial"/>
                <w:sz w:val="15"/>
                <w:szCs w:val="15"/>
              </w:rPr>
              <w:t xml:space="preserve"> K. et al., 2018</w:t>
            </w:r>
          </w:p>
        </w:tc>
        <w:tc>
          <w:tcPr>
            <w:tcW w:w="851" w:type="dxa"/>
          </w:tcPr>
          <w:p w14:paraId="6305B782" w14:textId="765DCD1A" w:rsidR="00A77951" w:rsidRPr="00A77951" w:rsidRDefault="00A77951" w:rsidP="00A77951">
            <w:pPr>
              <w:spacing w:line="360" w:lineRule="auto"/>
              <w:contextualSpacing/>
              <w:rPr>
                <w:rFonts w:ascii="Arial" w:hAnsi="Arial" w:cs="Arial"/>
                <w:sz w:val="15"/>
                <w:szCs w:val="15"/>
              </w:rPr>
            </w:pPr>
            <w:hyperlink r:id="rId25" w:history="1">
              <w:r w:rsidRPr="00A77951">
                <w:rPr>
                  <w:rStyle w:val="Hyperlink"/>
                  <w:rFonts w:ascii="Arial" w:hAnsi="Arial" w:cs="Arial"/>
                  <w:sz w:val="15"/>
                  <w:szCs w:val="15"/>
                </w:rPr>
                <w:t>10.1007/s00415-017-8680-z</w:t>
              </w:r>
            </w:hyperlink>
          </w:p>
        </w:tc>
        <w:tc>
          <w:tcPr>
            <w:tcW w:w="851" w:type="dxa"/>
          </w:tcPr>
          <w:p w14:paraId="47F88C71" w14:textId="6BF01496"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Sweden</w:t>
            </w:r>
          </w:p>
        </w:tc>
        <w:tc>
          <w:tcPr>
            <w:tcW w:w="1134" w:type="dxa"/>
          </w:tcPr>
          <w:p w14:paraId="2530B261" w14:textId="66BADC1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837F938" w14:textId="0C12215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7660CC35" w14:textId="1139D00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7A86F88C" w14:textId="3129B72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describe the long-term outcome of idiopathic normal pressure hydrocephalus patients, the incidence and influence of reoperation due to complications, and the influence of vascular risk factors and vascular comorbidity on outcome.</w:t>
            </w:r>
          </w:p>
        </w:tc>
        <w:tc>
          <w:tcPr>
            <w:tcW w:w="1134" w:type="dxa"/>
          </w:tcPr>
          <w:p w14:paraId="26FA1742"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635B1751" w14:textId="74F735F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389A5E2F" w14:textId="2BB2615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151C1029" w14:textId="02789B26"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6.4% of patients had reoperations due to infections.</w:t>
            </w:r>
          </w:p>
        </w:tc>
        <w:tc>
          <w:tcPr>
            <w:tcW w:w="1701" w:type="dxa"/>
          </w:tcPr>
          <w:p w14:paraId="70A4BBA0" w14:textId="43F15C7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1CB1D27E" w14:textId="77777777" w:rsidTr="00A77951">
        <w:trPr>
          <w:trHeight w:val="586"/>
        </w:trPr>
        <w:tc>
          <w:tcPr>
            <w:tcW w:w="992" w:type="dxa"/>
          </w:tcPr>
          <w:p w14:paraId="2B1FDE10" w14:textId="0AE5CF34"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Anegbe</w:t>
            </w:r>
            <w:proofErr w:type="spellEnd"/>
            <w:r w:rsidRPr="00251EA9">
              <w:rPr>
                <w:rFonts w:ascii="Arial" w:hAnsi="Arial" w:cs="Arial"/>
                <w:sz w:val="15"/>
                <w:szCs w:val="15"/>
              </w:rPr>
              <w:t xml:space="preserve"> A.O. et al., 2019</w:t>
            </w:r>
          </w:p>
        </w:tc>
        <w:tc>
          <w:tcPr>
            <w:tcW w:w="851" w:type="dxa"/>
          </w:tcPr>
          <w:p w14:paraId="477BFA60" w14:textId="0792555C" w:rsidR="00A77951" w:rsidRPr="00A77951" w:rsidRDefault="00A77951" w:rsidP="00A77951">
            <w:pPr>
              <w:spacing w:line="360" w:lineRule="auto"/>
              <w:contextualSpacing/>
              <w:rPr>
                <w:rFonts w:ascii="Arial" w:hAnsi="Arial" w:cs="Arial"/>
                <w:sz w:val="15"/>
                <w:szCs w:val="15"/>
              </w:rPr>
            </w:pPr>
            <w:hyperlink r:id="rId26" w:history="1">
              <w:r w:rsidRPr="00A77951">
                <w:rPr>
                  <w:rStyle w:val="Hyperlink"/>
                  <w:rFonts w:ascii="Arial" w:hAnsi="Arial" w:cs="Arial"/>
                  <w:sz w:val="15"/>
                  <w:szCs w:val="15"/>
                </w:rPr>
                <w:t>10.1007/s00381-</w:t>
              </w:r>
              <w:r w:rsidRPr="00A77951">
                <w:rPr>
                  <w:rStyle w:val="Hyperlink"/>
                  <w:rFonts w:ascii="Arial" w:hAnsi="Arial" w:cs="Arial"/>
                  <w:sz w:val="15"/>
                  <w:szCs w:val="15"/>
                </w:rPr>
                <w:lastRenderedPageBreak/>
                <w:t>019-04219-8</w:t>
              </w:r>
            </w:hyperlink>
          </w:p>
        </w:tc>
        <w:tc>
          <w:tcPr>
            <w:tcW w:w="851" w:type="dxa"/>
          </w:tcPr>
          <w:p w14:paraId="0096E163" w14:textId="22E0E1A4"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lastRenderedPageBreak/>
              <w:t>Nigeria</w:t>
            </w:r>
          </w:p>
        </w:tc>
        <w:tc>
          <w:tcPr>
            <w:tcW w:w="1134" w:type="dxa"/>
          </w:tcPr>
          <w:p w14:paraId="375130B6" w14:textId="21A5A09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0C6943B" w14:textId="4951EA3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w:t>
            </w:r>
          </w:p>
        </w:tc>
        <w:tc>
          <w:tcPr>
            <w:tcW w:w="1276" w:type="dxa"/>
          </w:tcPr>
          <w:p w14:paraId="1D315FC5" w14:textId="6DD24120"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Paediatric/Trauma</w:t>
            </w:r>
          </w:p>
        </w:tc>
        <w:tc>
          <w:tcPr>
            <w:tcW w:w="1843" w:type="dxa"/>
          </w:tcPr>
          <w:p w14:paraId="0A33D539" w14:textId="511A0E4B"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 xml:space="preserve">To determine the profile of and risk factors for the development of </w:t>
            </w:r>
            <w:r w:rsidRPr="00251EA9">
              <w:rPr>
                <w:rFonts w:ascii="Arial" w:hAnsi="Arial" w:cs="Arial"/>
                <w:sz w:val="15"/>
                <w:szCs w:val="15"/>
              </w:rPr>
              <w:lastRenderedPageBreak/>
              <w:t>intracranial infections in children with myelomeningocele presenting for care in our facility.</w:t>
            </w:r>
          </w:p>
        </w:tc>
        <w:tc>
          <w:tcPr>
            <w:tcW w:w="1134" w:type="dxa"/>
          </w:tcPr>
          <w:p w14:paraId="01879838"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49E74BC6" w14:textId="0162EF5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4952C3F2" w14:textId="17E5C1C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0733F821" w14:textId="2FFEDEB1"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One significant risk factor for intracranial infection in this study was infection at the myelomeningocele site.</w:t>
            </w:r>
          </w:p>
        </w:tc>
        <w:tc>
          <w:tcPr>
            <w:tcW w:w="1701" w:type="dxa"/>
          </w:tcPr>
          <w:p w14:paraId="6FC2BBF6" w14:textId="6AAC31E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51473A3F" w14:textId="77777777" w:rsidTr="00A77951">
        <w:trPr>
          <w:trHeight w:val="586"/>
        </w:trPr>
        <w:tc>
          <w:tcPr>
            <w:tcW w:w="992" w:type="dxa"/>
          </w:tcPr>
          <w:p w14:paraId="584D700E" w14:textId="37EC9EB1"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Ansari S</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2020</w:t>
            </w:r>
          </w:p>
        </w:tc>
        <w:tc>
          <w:tcPr>
            <w:tcW w:w="851" w:type="dxa"/>
          </w:tcPr>
          <w:p w14:paraId="2E3744A2" w14:textId="13E16817" w:rsidR="00A77951" w:rsidRPr="00A77951" w:rsidRDefault="00A77951" w:rsidP="00A77951">
            <w:pPr>
              <w:spacing w:line="360" w:lineRule="auto"/>
              <w:contextualSpacing/>
              <w:rPr>
                <w:rFonts w:ascii="Arial" w:hAnsi="Arial" w:cs="Arial"/>
                <w:sz w:val="15"/>
                <w:szCs w:val="15"/>
              </w:rPr>
            </w:pPr>
            <w:hyperlink r:id="rId27" w:history="1">
              <w:r w:rsidRPr="00A77951">
                <w:rPr>
                  <w:rStyle w:val="Hyperlink"/>
                  <w:rFonts w:ascii="Arial" w:hAnsi="Arial" w:cs="Arial"/>
                  <w:sz w:val="15"/>
                  <w:szCs w:val="15"/>
                </w:rPr>
                <w:t>10.1093/</w:t>
              </w:r>
              <w:proofErr w:type="spellStart"/>
              <w:r w:rsidRPr="00A77951">
                <w:rPr>
                  <w:rStyle w:val="Hyperlink"/>
                  <w:rFonts w:ascii="Arial" w:hAnsi="Arial" w:cs="Arial"/>
                  <w:sz w:val="15"/>
                  <w:szCs w:val="15"/>
                </w:rPr>
                <w:t>ons</w:t>
              </w:r>
              <w:proofErr w:type="spellEnd"/>
              <w:r w:rsidRPr="00A77951">
                <w:rPr>
                  <w:rStyle w:val="Hyperlink"/>
                  <w:rFonts w:ascii="Arial" w:hAnsi="Arial" w:cs="Arial"/>
                  <w:sz w:val="15"/>
                  <w:szCs w:val="15"/>
                </w:rPr>
                <w:t>/opaa217</w:t>
              </w:r>
            </w:hyperlink>
          </w:p>
        </w:tc>
        <w:tc>
          <w:tcPr>
            <w:tcW w:w="851" w:type="dxa"/>
          </w:tcPr>
          <w:p w14:paraId="2DD09BE2" w14:textId="4A668103"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6F8FBED" w14:textId="7E8B8DE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8E5903D" w14:textId="4193575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69DB1F2B" w14:textId="6DB9B94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1330D93E" w14:textId="6922A530"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present a series of patients treated with the supraorbital eyebrow craniotomy approach to assess</w:t>
            </w:r>
            <w:r w:rsidR="00CA5662">
              <w:rPr>
                <w:rFonts w:ascii="Arial" w:hAnsi="Arial" w:cs="Arial"/>
                <w:sz w:val="15"/>
                <w:szCs w:val="15"/>
              </w:rPr>
              <w:t xml:space="preserve"> </w:t>
            </w:r>
            <w:r w:rsidRPr="00251EA9">
              <w:rPr>
                <w:rFonts w:ascii="Arial" w:hAnsi="Arial" w:cs="Arial"/>
                <w:sz w:val="15"/>
                <w:szCs w:val="15"/>
              </w:rPr>
              <w:t xml:space="preserve">outcomes, the impact of endoscopy, and describe a modified </w:t>
            </w:r>
            <w:proofErr w:type="spellStart"/>
            <w:r w:rsidRPr="00251EA9">
              <w:rPr>
                <w:rFonts w:ascii="Arial" w:hAnsi="Arial" w:cs="Arial"/>
                <w:sz w:val="15"/>
                <w:szCs w:val="15"/>
              </w:rPr>
              <w:t>pericranial</w:t>
            </w:r>
            <w:proofErr w:type="spellEnd"/>
            <w:r w:rsidRPr="00251EA9">
              <w:rPr>
                <w:rFonts w:ascii="Arial" w:hAnsi="Arial" w:cs="Arial"/>
                <w:sz w:val="15"/>
                <w:szCs w:val="15"/>
              </w:rPr>
              <w:t xml:space="preserve"> flap aimed at</w:t>
            </w:r>
          </w:p>
          <w:p w14:paraId="16479881" w14:textId="65D8B0B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reducing postoperative frontalis paresis and hypesthesia.</w:t>
            </w:r>
          </w:p>
        </w:tc>
        <w:tc>
          <w:tcPr>
            <w:tcW w:w="1134" w:type="dxa"/>
          </w:tcPr>
          <w:p w14:paraId="53B24535"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7915F2DE" w14:textId="0F06E4A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5A132F13" w14:textId="2EEB06D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1F86CCF3" w14:textId="7128141A"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2 cases of wound infection (1.6%). No patients had meningitis, although</w:t>
            </w:r>
          </w:p>
          <w:p w14:paraId="11715A5A" w14:textId="77777777"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2 patients developed superficial wound infections treated with</w:t>
            </w:r>
          </w:p>
          <w:p w14:paraId="2D01D2A1" w14:textId="29981857"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antibiotics.</w:t>
            </w:r>
          </w:p>
        </w:tc>
        <w:tc>
          <w:tcPr>
            <w:tcW w:w="1701" w:type="dxa"/>
          </w:tcPr>
          <w:p w14:paraId="39FA4574" w14:textId="7A326CD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34AB17EE" w14:textId="77777777" w:rsidTr="00A77951">
        <w:trPr>
          <w:trHeight w:val="586"/>
        </w:trPr>
        <w:tc>
          <w:tcPr>
            <w:tcW w:w="992" w:type="dxa"/>
          </w:tcPr>
          <w:p w14:paraId="0F093737" w14:textId="0B90C70B"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Aras M</w:t>
            </w:r>
            <w:r w:rsidR="0052341D">
              <w:rPr>
                <w:rFonts w:ascii="Arial" w:hAnsi="Arial" w:cs="Arial"/>
                <w:sz w:val="15"/>
                <w:szCs w:val="15"/>
              </w:rPr>
              <w:t>.</w:t>
            </w:r>
            <w:r w:rsidRPr="00251EA9">
              <w:rPr>
                <w:rFonts w:ascii="Arial" w:hAnsi="Arial" w:cs="Arial"/>
                <w:sz w:val="15"/>
                <w:szCs w:val="15"/>
              </w:rPr>
              <w:t xml:space="preserve"> et al., 2014</w:t>
            </w:r>
          </w:p>
        </w:tc>
        <w:tc>
          <w:tcPr>
            <w:tcW w:w="851" w:type="dxa"/>
          </w:tcPr>
          <w:p w14:paraId="4D91D53F" w14:textId="496300A3" w:rsidR="00A77951" w:rsidRPr="00A77951" w:rsidRDefault="00A77951" w:rsidP="00A77951">
            <w:pPr>
              <w:spacing w:line="360" w:lineRule="auto"/>
              <w:contextualSpacing/>
              <w:rPr>
                <w:rFonts w:ascii="Arial" w:hAnsi="Arial" w:cs="Arial"/>
                <w:sz w:val="15"/>
                <w:szCs w:val="15"/>
              </w:rPr>
            </w:pPr>
            <w:hyperlink r:id="rId28" w:history="1">
              <w:r w:rsidRPr="00A77951">
                <w:rPr>
                  <w:rStyle w:val="Hyperlink"/>
                  <w:rFonts w:ascii="Arial" w:hAnsi="Arial" w:cs="Arial"/>
                  <w:sz w:val="15"/>
                  <w:szCs w:val="15"/>
                </w:rPr>
                <w:t>0.1016/j.clineuro.2014.08.019</w:t>
              </w:r>
            </w:hyperlink>
          </w:p>
        </w:tc>
        <w:tc>
          <w:tcPr>
            <w:tcW w:w="851" w:type="dxa"/>
          </w:tcPr>
          <w:p w14:paraId="6F97F153" w14:textId="40A34E83"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Turkey</w:t>
            </w:r>
          </w:p>
        </w:tc>
        <w:tc>
          <w:tcPr>
            <w:tcW w:w="1134" w:type="dxa"/>
          </w:tcPr>
          <w:p w14:paraId="3311EDC5" w14:textId="2E8EB343"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1DB78B4" w14:textId="1A8ED41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6BB27EEF" w14:textId="473949F0"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39BC8618" w14:textId="3349EB5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examine and retrospectively analyse the medical records of the patients treated in the clinics of our hospital due to cranial gunshot wounds during the war.</w:t>
            </w:r>
          </w:p>
        </w:tc>
        <w:tc>
          <w:tcPr>
            <w:tcW w:w="1134" w:type="dxa"/>
          </w:tcPr>
          <w:p w14:paraId="10711685"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5D79B0F3" w14:textId="7051C00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208642CE" w14:textId="60E313F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59BD9B39" w14:textId="03AF64AE"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SSI developed in 5 patients.</w:t>
            </w:r>
          </w:p>
        </w:tc>
        <w:tc>
          <w:tcPr>
            <w:tcW w:w="1701" w:type="dxa"/>
          </w:tcPr>
          <w:p w14:paraId="59F8B0FF" w14:textId="6E1F9CB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522ED1A6" w14:textId="77777777" w:rsidTr="00A77951">
        <w:trPr>
          <w:trHeight w:val="586"/>
        </w:trPr>
        <w:tc>
          <w:tcPr>
            <w:tcW w:w="992" w:type="dxa"/>
          </w:tcPr>
          <w:p w14:paraId="18E90D55" w14:textId="00F1A9D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Arita H</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2014</w:t>
            </w:r>
          </w:p>
        </w:tc>
        <w:tc>
          <w:tcPr>
            <w:tcW w:w="851" w:type="dxa"/>
          </w:tcPr>
          <w:p w14:paraId="404EF59A" w14:textId="761C5596" w:rsidR="00A77951" w:rsidRPr="00A77951" w:rsidRDefault="00A77951" w:rsidP="00A77951">
            <w:pPr>
              <w:spacing w:line="360" w:lineRule="auto"/>
              <w:contextualSpacing/>
              <w:rPr>
                <w:rFonts w:ascii="Arial" w:hAnsi="Arial" w:cs="Arial"/>
                <w:sz w:val="15"/>
                <w:szCs w:val="15"/>
              </w:rPr>
            </w:pPr>
            <w:hyperlink r:id="rId29" w:history="1">
              <w:r w:rsidRPr="00A77951">
                <w:rPr>
                  <w:rStyle w:val="Hyperlink"/>
                  <w:rFonts w:ascii="Arial" w:hAnsi="Arial" w:cs="Arial"/>
                  <w:sz w:val="15"/>
                  <w:szCs w:val="15"/>
                </w:rPr>
                <w:t>10.1007/s11060-013-1273-5</w:t>
              </w:r>
            </w:hyperlink>
          </w:p>
        </w:tc>
        <w:tc>
          <w:tcPr>
            <w:tcW w:w="851" w:type="dxa"/>
          </w:tcPr>
          <w:p w14:paraId="3FB1417B" w14:textId="48371A72"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0E29F017" w14:textId="7F3C7A1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9EC651D" w14:textId="02D3A6F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w:t>
            </w:r>
          </w:p>
        </w:tc>
        <w:tc>
          <w:tcPr>
            <w:tcW w:w="1276" w:type="dxa"/>
          </w:tcPr>
          <w:p w14:paraId="7CF003AA" w14:textId="735BB67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1EC993F6" w14:textId="43BDDD1E" w:rsidR="00A77951" w:rsidRPr="00251EA9" w:rsidRDefault="009F14D5"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describe a retrospective analysis of the</w:t>
            </w:r>
            <w:r>
              <w:rPr>
                <w:rFonts w:ascii="Arial" w:hAnsi="Arial" w:cs="Arial"/>
                <w:sz w:val="15"/>
                <w:szCs w:val="15"/>
              </w:rPr>
              <w:t xml:space="preserve"> </w:t>
            </w:r>
            <w:r w:rsidR="00A77951" w:rsidRPr="00251EA9">
              <w:rPr>
                <w:rFonts w:ascii="Arial" w:hAnsi="Arial" w:cs="Arial"/>
                <w:sz w:val="15"/>
                <w:szCs w:val="15"/>
              </w:rPr>
              <w:t>relationship between clinical characteristics and the outcome of surgery for brain metastases, and we discuss</w:t>
            </w:r>
            <w:r>
              <w:rPr>
                <w:rFonts w:ascii="Arial" w:hAnsi="Arial" w:cs="Arial"/>
                <w:sz w:val="15"/>
                <w:szCs w:val="15"/>
              </w:rPr>
              <w:t xml:space="preserve"> </w:t>
            </w:r>
            <w:r w:rsidR="00A77951" w:rsidRPr="00251EA9">
              <w:rPr>
                <w:rFonts w:ascii="Arial" w:hAnsi="Arial" w:cs="Arial"/>
                <w:sz w:val="15"/>
                <w:szCs w:val="15"/>
              </w:rPr>
              <w:t>the indications for and the role of surgery.</w:t>
            </w:r>
          </w:p>
        </w:tc>
        <w:tc>
          <w:tcPr>
            <w:tcW w:w="1134" w:type="dxa"/>
          </w:tcPr>
          <w:p w14:paraId="363DF9F1"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02AA6786" w14:textId="021866FC"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5E523268" w14:textId="39220AB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12649880" w14:textId="3618F2FA"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One instance of surgical site infection</w:t>
            </w:r>
          </w:p>
        </w:tc>
        <w:tc>
          <w:tcPr>
            <w:tcW w:w="1701" w:type="dxa"/>
          </w:tcPr>
          <w:p w14:paraId="383B3361" w14:textId="200A4AD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1EEA0880" w14:textId="77777777" w:rsidTr="00A77951">
        <w:trPr>
          <w:trHeight w:val="586"/>
        </w:trPr>
        <w:tc>
          <w:tcPr>
            <w:tcW w:w="992" w:type="dxa"/>
          </w:tcPr>
          <w:p w14:paraId="2B37DEC7" w14:textId="192902A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lastRenderedPageBreak/>
              <w:t>Arnautovic K</w:t>
            </w:r>
            <w:r w:rsidR="0052341D">
              <w:rPr>
                <w:rFonts w:ascii="Arial" w:hAnsi="Arial" w:cs="Arial"/>
                <w:sz w:val="15"/>
                <w:szCs w:val="15"/>
              </w:rPr>
              <w:t>.</w:t>
            </w:r>
            <w:r w:rsidRPr="00251EA9">
              <w:rPr>
                <w:rFonts w:ascii="Arial" w:hAnsi="Arial" w:cs="Arial"/>
                <w:sz w:val="15"/>
                <w:szCs w:val="15"/>
              </w:rPr>
              <w:t>I</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2020</w:t>
            </w:r>
          </w:p>
        </w:tc>
        <w:tc>
          <w:tcPr>
            <w:tcW w:w="851" w:type="dxa"/>
          </w:tcPr>
          <w:p w14:paraId="5F767000" w14:textId="380C5CAB" w:rsidR="00A77951" w:rsidRPr="00A77951" w:rsidRDefault="00A77951" w:rsidP="00A77951">
            <w:pPr>
              <w:spacing w:line="360" w:lineRule="auto"/>
              <w:contextualSpacing/>
              <w:rPr>
                <w:rFonts w:ascii="Arial" w:hAnsi="Arial" w:cs="Arial"/>
                <w:sz w:val="15"/>
                <w:szCs w:val="15"/>
              </w:rPr>
            </w:pPr>
            <w:hyperlink r:id="rId30" w:history="1">
              <w:r w:rsidRPr="00A77951">
                <w:rPr>
                  <w:rStyle w:val="Hyperlink"/>
                  <w:rFonts w:ascii="Arial" w:hAnsi="Arial" w:cs="Arial"/>
                  <w:sz w:val="15"/>
                  <w:szCs w:val="15"/>
                </w:rPr>
                <w:t>10.1016/j.wneu.2020.11.102</w:t>
              </w:r>
            </w:hyperlink>
          </w:p>
        </w:tc>
        <w:tc>
          <w:tcPr>
            <w:tcW w:w="851" w:type="dxa"/>
          </w:tcPr>
          <w:p w14:paraId="196A3284" w14:textId="304730DF"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A20AA9A" w14:textId="55F8E774"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723D95B5" w14:textId="44BA098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3FA530B2" w14:textId="6E91716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Other (Chiari malformation decompression)</w:t>
            </w:r>
          </w:p>
        </w:tc>
        <w:tc>
          <w:tcPr>
            <w:tcW w:w="1843" w:type="dxa"/>
          </w:tcPr>
          <w:p w14:paraId="192AD2D3" w14:textId="1AE771F1" w:rsidR="00A77951" w:rsidRPr="00251EA9" w:rsidRDefault="00180069"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measure </w:t>
            </w:r>
            <w:r w:rsidR="00553D69">
              <w:rPr>
                <w:rFonts w:ascii="Arial" w:hAnsi="Arial" w:cs="Arial"/>
                <w:sz w:val="15"/>
                <w:szCs w:val="15"/>
              </w:rPr>
              <w:t>the</w:t>
            </w:r>
            <w:r w:rsidR="00A77951" w:rsidRPr="00251EA9">
              <w:rPr>
                <w:rFonts w:ascii="Arial" w:hAnsi="Arial" w:cs="Arial"/>
                <w:sz w:val="15"/>
                <w:szCs w:val="15"/>
              </w:rPr>
              <w:t xml:space="preserve"> surgical outcomes related to</w:t>
            </w:r>
          </w:p>
          <w:p w14:paraId="1AE6A054" w14:textId="3C0ADED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resolution/</w:t>
            </w:r>
            <w:r w:rsidR="00553D69">
              <w:rPr>
                <w:rFonts w:ascii="Arial" w:hAnsi="Arial" w:cs="Arial"/>
                <w:sz w:val="15"/>
                <w:szCs w:val="15"/>
              </w:rPr>
              <w:t xml:space="preserve"> </w:t>
            </w:r>
            <w:r w:rsidRPr="00251EA9">
              <w:rPr>
                <w:rFonts w:ascii="Arial" w:hAnsi="Arial" w:cs="Arial"/>
                <w:sz w:val="15"/>
                <w:szCs w:val="15"/>
              </w:rPr>
              <w:t>improvement of headaches, neurological outcomes, and syringomyelia compared with</w:t>
            </w:r>
          </w:p>
          <w:p w14:paraId="3F4A04E4" w14:textId="23913631"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published adult CM-I studies from 2000–2019.</w:t>
            </w:r>
          </w:p>
        </w:tc>
        <w:tc>
          <w:tcPr>
            <w:tcW w:w="1134" w:type="dxa"/>
          </w:tcPr>
          <w:p w14:paraId="15AA6BB5"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45F2C02B" w14:textId="2B2499B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0CC2FB0E" w14:textId="4AA0F85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7C59D0FA" w14:textId="5A11CEEA"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Four patients developed superficial</w:t>
            </w:r>
          </w:p>
          <w:p w14:paraId="1CB2F69E" w14:textId="77777777"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wound infection (all female): 3 needed re-operation (debridement, washout, closure), and one</w:t>
            </w:r>
          </w:p>
          <w:p w14:paraId="2F25FBDD" w14:textId="783BCF01"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was healed only with antibiotics and dressing changes.</w:t>
            </w:r>
          </w:p>
        </w:tc>
        <w:tc>
          <w:tcPr>
            <w:tcW w:w="1701" w:type="dxa"/>
          </w:tcPr>
          <w:p w14:paraId="5F3C1477" w14:textId="6988817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05B12D68" w14:textId="77777777" w:rsidTr="00A77951">
        <w:trPr>
          <w:trHeight w:val="586"/>
        </w:trPr>
        <w:tc>
          <w:tcPr>
            <w:tcW w:w="992" w:type="dxa"/>
          </w:tcPr>
          <w:p w14:paraId="6818252E" w14:textId="3CC6EEB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Arnone G</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2020</w:t>
            </w:r>
          </w:p>
        </w:tc>
        <w:tc>
          <w:tcPr>
            <w:tcW w:w="851" w:type="dxa"/>
          </w:tcPr>
          <w:p w14:paraId="4FE35EED" w14:textId="4D4BEBA7" w:rsidR="00A77951" w:rsidRPr="00A77951" w:rsidRDefault="00A77951" w:rsidP="00A77951">
            <w:pPr>
              <w:spacing w:line="360" w:lineRule="auto"/>
              <w:contextualSpacing/>
              <w:rPr>
                <w:rFonts w:ascii="Arial" w:hAnsi="Arial" w:cs="Arial"/>
                <w:sz w:val="15"/>
                <w:szCs w:val="15"/>
              </w:rPr>
            </w:pPr>
            <w:hyperlink r:id="rId31" w:history="1">
              <w:r w:rsidRPr="00A77951">
                <w:rPr>
                  <w:rStyle w:val="Hyperlink"/>
                  <w:rFonts w:ascii="Arial" w:hAnsi="Arial" w:cs="Arial"/>
                  <w:sz w:val="15"/>
                  <w:szCs w:val="15"/>
                </w:rPr>
                <w:t>10.1055/s-0040-1715811</w:t>
              </w:r>
            </w:hyperlink>
          </w:p>
        </w:tc>
        <w:tc>
          <w:tcPr>
            <w:tcW w:w="851" w:type="dxa"/>
          </w:tcPr>
          <w:p w14:paraId="015741C3" w14:textId="1AE554DC"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B828679" w14:textId="29D4F98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96D7F04" w14:textId="599FF90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68AE7E20" w14:textId="6543D84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Skull base</w:t>
            </w:r>
          </w:p>
        </w:tc>
        <w:tc>
          <w:tcPr>
            <w:tcW w:w="1843" w:type="dxa"/>
          </w:tcPr>
          <w:p w14:paraId="21054F72" w14:textId="434C025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report the incidence and management of venous sinus compromise following skull</w:t>
            </w:r>
          </w:p>
          <w:p w14:paraId="092986A1" w14:textId="04C65351"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base surgery around the sigmoid sinus.</w:t>
            </w:r>
          </w:p>
        </w:tc>
        <w:tc>
          <w:tcPr>
            <w:tcW w:w="1134" w:type="dxa"/>
          </w:tcPr>
          <w:p w14:paraId="191E86FD"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432D49BD" w14:textId="7C26776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3B72A97C" w14:textId="4D03BF3C"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38DCBB03" w14:textId="01482B5F"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Reported 2 cases (15.4%) of surgical infection in venous sinus compromise group and 7 cases (6.9%) of infection in no venous sinus compromise group.</w:t>
            </w:r>
          </w:p>
        </w:tc>
        <w:tc>
          <w:tcPr>
            <w:tcW w:w="1701" w:type="dxa"/>
          </w:tcPr>
          <w:p w14:paraId="06FF2814" w14:textId="47576F0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0C85DD45" w14:textId="77777777" w:rsidTr="00A77951">
        <w:trPr>
          <w:trHeight w:val="586"/>
        </w:trPr>
        <w:tc>
          <w:tcPr>
            <w:tcW w:w="992" w:type="dxa"/>
          </w:tcPr>
          <w:p w14:paraId="30EB0E1A" w14:textId="106EC16B"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Arocho-Quinones E</w:t>
            </w:r>
            <w:r w:rsidR="0052341D">
              <w:rPr>
                <w:rFonts w:ascii="Arial" w:hAnsi="Arial" w:cs="Arial"/>
                <w:sz w:val="15"/>
                <w:szCs w:val="15"/>
              </w:rPr>
              <w:t>.</w:t>
            </w:r>
            <w:r w:rsidRPr="00251EA9">
              <w:rPr>
                <w:rFonts w:ascii="Arial" w:hAnsi="Arial" w:cs="Arial"/>
                <w:sz w:val="15"/>
                <w:szCs w:val="15"/>
              </w:rPr>
              <w:t>V</w:t>
            </w:r>
            <w:r w:rsidR="0052341D">
              <w:rPr>
                <w:rFonts w:ascii="Arial" w:hAnsi="Arial" w:cs="Arial"/>
                <w:sz w:val="15"/>
                <w:szCs w:val="15"/>
              </w:rPr>
              <w:t>.</w:t>
            </w:r>
            <w:r w:rsidRPr="00251EA9">
              <w:rPr>
                <w:rFonts w:ascii="Arial" w:hAnsi="Arial" w:cs="Arial"/>
                <w:sz w:val="15"/>
                <w:szCs w:val="15"/>
              </w:rPr>
              <w:t xml:space="preserve"> et al., 2019</w:t>
            </w:r>
          </w:p>
        </w:tc>
        <w:tc>
          <w:tcPr>
            <w:tcW w:w="851" w:type="dxa"/>
          </w:tcPr>
          <w:p w14:paraId="62DFCFD2" w14:textId="749C5635" w:rsidR="00A77951" w:rsidRPr="00A77951" w:rsidRDefault="00A77951" w:rsidP="00A77951">
            <w:pPr>
              <w:spacing w:line="360" w:lineRule="auto"/>
              <w:contextualSpacing/>
              <w:rPr>
                <w:rFonts w:ascii="Arial" w:hAnsi="Arial" w:cs="Arial"/>
                <w:sz w:val="15"/>
                <w:szCs w:val="15"/>
              </w:rPr>
            </w:pPr>
            <w:hyperlink r:id="rId32" w:history="1">
              <w:r w:rsidRPr="00A77951">
                <w:rPr>
                  <w:rStyle w:val="Hyperlink"/>
                  <w:rFonts w:ascii="Arial" w:hAnsi="Arial" w:cs="Arial"/>
                  <w:sz w:val="15"/>
                  <w:szCs w:val="15"/>
                </w:rPr>
                <w:t>10.1016/j.wneu.2019.04.003</w:t>
              </w:r>
            </w:hyperlink>
          </w:p>
        </w:tc>
        <w:tc>
          <w:tcPr>
            <w:tcW w:w="851" w:type="dxa"/>
          </w:tcPr>
          <w:p w14:paraId="4488B6A4" w14:textId="5C25225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BD37816" w14:textId="4D999AB4"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AB2BAEA" w14:textId="0E76F27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05B94B19" w14:textId="0026322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Functional (DBS insertion)</w:t>
            </w:r>
          </w:p>
        </w:tc>
        <w:tc>
          <w:tcPr>
            <w:tcW w:w="1843" w:type="dxa"/>
          </w:tcPr>
          <w:p w14:paraId="3082B861" w14:textId="09DE6E63"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evaluate the effectiveness of an infection prevention bundle (IPB) in minimising infections after surgeries for neuromodulation implants.</w:t>
            </w:r>
          </w:p>
        </w:tc>
        <w:tc>
          <w:tcPr>
            <w:tcW w:w="1134" w:type="dxa"/>
          </w:tcPr>
          <w:p w14:paraId="21E820DB"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61412D33" w14:textId="4AA33DF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1C6FEDD9" w14:textId="4B5AD6B4" w:rsidR="00A77951" w:rsidRPr="00251EA9" w:rsidRDefault="003C282B"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CDC guidelines</w:t>
            </w:r>
          </w:p>
        </w:tc>
        <w:tc>
          <w:tcPr>
            <w:tcW w:w="2693" w:type="dxa"/>
          </w:tcPr>
          <w:p w14:paraId="0D045C07" w14:textId="33F0FAB2"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11 cases vs 1 cases of infection between pre and post IPB group following 90-day surveillance. 15 cases vs 3 cases following 1 year surveillance.</w:t>
            </w:r>
          </w:p>
        </w:tc>
        <w:tc>
          <w:tcPr>
            <w:tcW w:w="1701" w:type="dxa"/>
          </w:tcPr>
          <w:p w14:paraId="7B4B22E0" w14:textId="55C0AAB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5408E243" w14:textId="77777777" w:rsidTr="00A77951">
        <w:trPr>
          <w:trHeight w:val="586"/>
        </w:trPr>
        <w:tc>
          <w:tcPr>
            <w:tcW w:w="992" w:type="dxa"/>
          </w:tcPr>
          <w:p w14:paraId="3E151138" w14:textId="073BC60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Arts S. et al., 2018</w:t>
            </w:r>
          </w:p>
        </w:tc>
        <w:tc>
          <w:tcPr>
            <w:tcW w:w="851" w:type="dxa"/>
          </w:tcPr>
          <w:p w14:paraId="60BB286E" w14:textId="2CA428B7" w:rsidR="00A77951" w:rsidRPr="00A77951" w:rsidRDefault="00A77951" w:rsidP="00A77951">
            <w:pPr>
              <w:spacing w:line="360" w:lineRule="auto"/>
              <w:contextualSpacing/>
              <w:rPr>
                <w:rFonts w:ascii="Arial" w:hAnsi="Arial" w:cs="Arial"/>
                <w:sz w:val="15"/>
                <w:szCs w:val="15"/>
              </w:rPr>
            </w:pPr>
            <w:hyperlink r:id="rId33" w:history="1">
              <w:r w:rsidRPr="00A77951">
                <w:rPr>
                  <w:rStyle w:val="Hyperlink"/>
                  <w:rFonts w:ascii="Arial" w:hAnsi="Arial" w:cs="Arial"/>
                  <w:sz w:val="15"/>
                  <w:szCs w:val="15"/>
                </w:rPr>
                <w:t>10.3171/2017.</w:t>
              </w:r>
              <w:proofErr w:type="gramStart"/>
              <w:r w:rsidRPr="00A77951">
                <w:rPr>
                  <w:rStyle w:val="Hyperlink"/>
                  <w:rFonts w:ascii="Arial" w:hAnsi="Arial" w:cs="Arial"/>
                  <w:sz w:val="15"/>
                  <w:szCs w:val="15"/>
                </w:rPr>
                <w:t>7.PEDS</w:t>
              </w:r>
              <w:proofErr w:type="gramEnd"/>
              <w:r w:rsidRPr="00A77951">
                <w:rPr>
                  <w:rStyle w:val="Hyperlink"/>
                  <w:rFonts w:ascii="Arial" w:hAnsi="Arial" w:cs="Arial"/>
                  <w:sz w:val="15"/>
                  <w:szCs w:val="15"/>
                </w:rPr>
                <w:t>17155</w:t>
              </w:r>
            </w:hyperlink>
          </w:p>
        </w:tc>
        <w:tc>
          <w:tcPr>
            <w:tcW w:w="851" w:type="dxa"/>
          </w:tcPr>
          <w:p w14:paraId="49427932" w14:textId="75522A2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The Netherlands</w:t>
            </w:r>
          </w:p>
        </w:tc>
        <w:tc>
          <w:tcPr>
            <w:tcW w:w="1134" w:type="dxa"/>
          </w:tcPr>
          <w:p w14:paraId="16304391" w14:textId="167C0212"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549CC154" w14:textId="318BAF8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w:t>
            </w:r>
          </w:p>
        </w:tc>
        <w:tc>
          <w:tcPr>
            <w:tcW w:w="1276" w:type="dxa"/>
          </w:tcPr>
          <w:p w14:paraId="1CB1A170" w14:textId="76CC95F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Paediatric/Skull base</w:t>
            </w:r>
          </w:p>
        </w:tc>
        <w:tc>
          <w:tcPr>
            <w:tcW w:w="1843" w:type="dxa"/>
          </w:tcPr>
          <w:p w14:paraId="7B988325" w14:textId="77777777" w:rsidR="00180069" w:rsidRDefault="00A77951" w:rsidP="00A77951">
            <w:pPr>
              <w:spacing w:line="360" w:lineRule="auto"/>
              <w:contextualSpacing/>
              <w:rPr>
                <w:rFonts w:ascii="Arial" w:hAnsi="Arial" w:cs="Arial"/>
                <w:sz w:val="15"/>
                <w:szCs w:val="15"/>
              </w:rPr>
            </w:pPr>
            <w:r w:rsidRPr="00251EA9">
              <w:rPr>
                <w:rFonts w:ascii="Arial" w:hAnsi="Arial" w:cs="Arial"/>
                <w:sz w:val="15"/>
                <w:szCs w:val="15"/>
              </w:rPr>
              <w:t xml:space="preserve">To compare minimally invasive endoscopic and open surgical procedures, to improve informed consent of parents, and to establish a baseline for further targeted </w:t>
            </w:r>
            <w:r w:rsidRPr="00251EA9">
              <w:rPr>
                <w:rFonts w:ascii="Arial" w:hAnsi="Arial" w:cs="Arial"/>
                <w:sz w:val="15"/>
                <w:szCs w:val="15"/>
              </w:rPr>
              <w:lastRenderedPageBreak/>
              <w:t>improvement of surgical care</w:t>
            </w:r>
            <w:r w:rsidR="00180069">
              <w:rPr>
                <w:rFonts w:ascii="Arial" w:hAnsi="Arial" w:cs="Arial"/>
                <w:sz w:val="15"/>
                <w:szCs w:val="15"/>
              </w:rPr>
              <w:t>.</w:t>
            </w:r>
          </w:p>
          <w:p w14:paraId="658B0B12" w14:textId="43C62549" w:rsidR="00A77951" w:rsidRPr="00251EA9" w:rsidRDefault="00180069"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evaluate the complication rate and blood transfusion rate of craniosynostosis surgery</w:t>
            </w:r>
            <w:r>
              <w:rPr>
                <w:rFonts w:ascii="Arial" w:hAnsi="Arial" w:cs="Arial"/>
                <w:sz w:val="15"/>
                <w:szCs w:val="15"/>
              </w:rPr>
              <w:t>.</w:t>
            </w:r>
          </w:p>
        </w:tc>
        <w:tc>
          <w:tcPr>
            <w:tcW w:w="1134" w:type="dxa"/>
          </w:tcPr>
          <w:p w14:paraId="22349306" w14:textId="20B0DFF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lastRenderedPageBreak/>
              <w:t xml:space="preserve">Minimally invasive vs </w:t>
            </w:r>
            <w:proofErr w:type="gramStart"/>
            <w:r w:rsidRPr="00251EA9">
              <w:rPr>
                <w:rFonts w:ascii="Arial" w:hAnsi="Arial" w:cs="Arial"/>
                <w:color w:val="000000" w:themeColor="text1"/>
                <w:sz w:val="15"/>
                <w:szCs w:val="15"/>
              </w:rPr>
              <w:t>open</w:t>
            </w:r>
            <w:proofErr w:type="gramEnd"/>
            <w:r w:rsidRPr="00251EA9">
              <w:rPr>
                <w:rFonts w:ascii="Arial" w:hAnsi="Arial" w:cs="Arial"/>
                <w:color w:val="000000" w:themeColor="text1"/>
                <w:sz w:val="15"/>
                <w:szCs w:val="15"/>
              </w:rPr>
              <w:t xml:space="preserve"> surgical procedures</w:t>
            </w:r>
          </w:p>
        </w:tc>
        <w:tc>
          <w:tcPr>
            <w:tcW w:w="992" w:type="dxa"/>
          </w:tcPr>
          <w:p w14:paraId="55F90CB8" w14:textId="3291A7D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4E69C9E2" w14:textId="6E7C1F2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4B72B12D" w14:textId="5037B749"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1 wound infection was recorded.</w:t>
            </w:r>
          </w:p>
        </w:tc>
        <w:tc>
          <w:tcPr>
            <w:tcW w:w="1701" w:type="dxa"/>
          </w:tcPr>
          <w:p w14:paraId="0A03EF88" w14:textId="0686A24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6844AE26" w14:textId="77777777" w:rsidTr="00A77951">
        <w:trPr>
          <w:trHeight w:val="586"/>
        </w:trPr>
        <w:tc>
          <w:tcPr>
            <w:tcW w:w="992" w:type="dxa"/>
          </w:tcPr>
          <w:p w14:paraId="7D693B31" w14:textId="648B89FE"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Attenello</w:t>
            </w:r>
            <w:proofErr w:type="spellEnd"/>
            <w:r w:rsidRPr="00251EA9">
              <w:rPr>
                <w:rFonts w:ascii="Arial" w:hAnsi="Arial" w:cs="Arial"/>
                <w:sz w:val="15"/>
                <w:szCs w:val="15"/>
              </w:rPr>
              <w:t xml:space="preserve"> F</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2008</w:t>
            </w:r>
          </w:p>
        </w:tc>
        <w:tc>
          <w:tcPr>
            <w:tcW w:w="851" w:type="dxa"/>
          </w:tcPr>
          <w:p w14:paraId="485BC297" w14:textId="30BAB8E4" w:rsidR="00A77951" w:rsidRPr="00A77951" w:rsidRDefault="00A77951" w:rsidP="00A77951">
            <w:pPr>
              <w:spacing w:line="360" w:lineRule="auto"/>
              <w:contextualSpacing/>
              <w:rPr>
                <w:rFonts w:ascii="Arial" w:hAnsi="Arial" w:cs="Arial"/>
                <w:sz w:val="15"/>
                <w:szCs w:val="15"/>
              </w:rPr>
            </w:pPr>
            <w:hyperlink r:id="rId34" w:history="1">
              <w:r w:rsidRPr="00A77951">
                <w:rPr>
                  <w:rStyle w:val="Hyperlink"/>
                  <w:rFonts w:ascii="Arial" w:hAnsi="Arial" w:cs="Arial"/>
                  <w:sz w:val="15"/>
                  <w:szCs w:val="15"/>
                </w:rPr>
                <w:t>10.1245/s10434-008-0048-2</w:t>
              </w:r>
            </w:hyperlink>
          </w:p>
        </w:tc>
        <w:tc>
          <w:tcPr>
            <w:tcW w:w="851" w:type="dxa"/>
          </w:tcPr>
          <w:p w14:paraId="4910C74D" w14:textId="783B5EA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3BAC298" w14:textId="3D52F320"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EC81117" w14:textId="3682207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6C449152" w14:textId="4E19E6E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1D87DB32" w14:textId="74A40D1B" w:rsidR="00A77951" w:rsidRPr="00251EA9" w:rsidRDefault="00180069"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characterise </w:t>
            </w:r>
            <w:proofErr w:type="spellStart"/>
            <w:r w:rsidR="00A77951" w:rsidRPr="00251EA9">
              <w:rPr>
                <w:rFonts w:ascii="Arial" w:hAnsi="Arial" w:cs="Arial"/>
                <w:sz w:val="15"/>
                <w:szCs w:val="15"/>
              </w:rPr>
              <w:t>Gliadel</w:t>
            </w:r>
            <w:proofErr w:type="spellEnd"/>
            <w:r w:rsidR="00A77951" w:rsidRPr="00251EA9">
              <w:rPr>
                <w:rFonts w:ascii="Arial" w:hAnsi="Arial" w:cs="Arial"/>
                <w:sz w:val="15"/>
                <w:szCs w:val="15"/>
              </w:rPr>
              <w:t xml:space="preserve">-associated morbidity in our 10- year experience with </w:t>
            </w:r>
            <w:proofErr w:type="spellStart"/>
            <w:r w:rsidR="00A77951" w:rsidRPr="00251EA9">
              <w:rPr>
                <w:rFonts w:ascii="Arial" w:hAnsi="Arial" w:cs="Arial"/>
                <w:sz w:val="15"/>
                <w:szCs w:val="15"/>
              </w:rPr>
              <w:t>Gliadel</w:t>
            </w:r>
            <w:proofErr w:type="spellEnd"/>
            <w:r w:rsidR="00A77951" w:rsidRPr="00251EA9">
              <w:rPr>
                <w:rFonts w:ascii="Arial" w:hAnsi="Arial" w:cs="Arial"/>
                <w:sz w:val="15"/>
                <w:szCs w:val="15"/>
              </w:rPr>
              <w:t xml:space="preserve"> wafers for treatment of malignant glioma.</w:t>
            </w:r>
          </w:p>
        </w:tc>
        <w:tc>
          <w:tcPr>
            <w:tcW w:w="1134" w:type="dxa"/>
          </w:tcPr>
          <w:p w14:paraId="7FF0CFEC"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54658ADE" w14:textId="095D0AE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568D437C" w14:textId="5329A4B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0462C7EA" w14:textId="29E5C3C9" w:rsidR="00A77951" w:rsidRPr="00251EA9" w:rsidRDefault="00180069" w:rsidP="00A77951">
            <w:pPr>
              <w:rPr>
                <w:rFonts w:ascii="Arial" w:hAnsi="Arial" w:cs="Arial"/>
                <w:color w:val="000000" w:themeColor="text1"/>
                <w:sz w:val="15"/>
                <w:szCs w:val="15"/>
              </w:rPr>
            </w:pPr>
            <w:r>
              <w:rPr>
                <w:rFonts w:ascii="Arial" w:hAnsi="Arial" w:cs="Arial"/>
                <w:color w:val="000000" w:themeColor="text1"/>
                <w:sz w:val="15"/>
                <w:szCs w:val="15"/>
              </w:rPr>
              <w:t>SSI</w:t>
            </w:r>
            <w:r w:rsidR="00A77951" w:rsidRPr="00251EA9">
              <w:rPr>
                <w:rFonts w:ascii="Arial" w:hAnsi="Arial" w:cs="Arial"/>
                <w:color w:val="000000" w:themeColor="text1"/>
                <w:sz w:val="15"/>
                <w:szCs w:val="15"/>
              </w:rPr>
              <w:t xml:space="preserve"> was observed in eight patients (3%). Patients in </w:t>
            </w:r>
            <w:proofErr w:type="spellStart"/>
            <w:r w:rsidR="00A77951" w:rsidRPr="00251EA9">
              <w:rPr>
                <w:rFonts w:ascii="Arial" w:hAnsi="Arial" w:cs="Arial"/>
                <w:color w:val="000000" w:themeColor="text1"/>
                <w:sz w:val="15"/>
                <w:szCs w:val="15"/>
              </w:rPr>
              <w:t>Gliadel</w:t>
            </w:r>
            <w:proofErr w:type="spellEnd"/>
            <w:r w:rsidR="00A77951" w:rsidRPr="00251EA9">
              <w:rPr>
                <w:rFonts w:ascii="Arial" w:hAnsi="Arial" w:cs="Arial"/>
                <w:color w:val="000000" w:themeColor="text1"/>
                <w:sz w:val="15"/>
                <w:szCs w:val="15"/>
              </w:rPr>
              <w:t xml:space="preserve"> versus non-</w:t>
            </w:r>
            <w:proofErr w:type="spellStart"/>
            <w:r w:rsidR="00A77951" w:rsidRPr="00251EA9">
              <w:rPr>
                <w:rFonts w:ascii="Arial" w:hAnsi="Arial" w:cs="Arial"/>
                <w:color w:val="000000" w:themeColor="text1"/>
                <w:sz w:val="15"/>
                <w:szCs w:val="15"/>
              </w:rPr>
              <w:t>Gliadel</w:t>
            </w:r>
            <w:proofErr w:type="spellEnd"/>
            <w:r w:rsidR="00A77951" w:rsidRPr="00251EA9">
              <w:rPr>
                <w:rFonts w:ascii="Arial" w:hAnsi="Arial" w:cs="Arial"/>
                <w:color w:val="000000" w:themeColor="text1"/>
                <w:sz w:val="15"/>
                <w:szCs w:val="15"/>
              </w:rPr>
              <w:t xml:space="preserve"> cohorts had similar incidences of perioperative surgical site infection (2.8% vs. 1.8).</w:t>
            </w:r>
          </w:p>
        </w:tc>
        <w:tc>
          <w:tcPr>
            <w:tcW w:w="1701" w:type="dxa"/>
          </w:tcPr>
          <w:p w14:paraId="5C9C03A5" w14:textId="05928F65"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1995FFEB" w14:textId="77777777" w:rsidTr="00A77951">
        <w:trPr>
          <w:trHeight w:val="586"/>
        </w:trPr>
        <w:tc>
          <w:tcPr>
            <w:tcW w:w="992" w:type="dxa"/>
          </w:tcPr>
          <w:p w14:paraId="1C0D0C0F" w14:textId="1E1EF3A6"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Aum D</w:t>
            </w:r>
            <w:r w:rsidR="0052341D">
              <w:rPr>
                <w:rFonts w:ascii="Arial" w:hAnsi="Arial" w:cs="Arial"/>
                <w:sz w:val="15"/>
                <w:szCs w:val="15"/>
              </w:rPr>
              <w:t>.</w:t>
            </w:r>
            <w:r w:rsidRPr="00251EA9">
              <w:rPr>
                <w:rFonts w:ascii="Arial" w:hAnsi="Arial" w:cs="Arial"/>
                <w:sz w:val="15"/>
                <w:szCs w:val="15"/>
              </w:rPr>
              <w:t>J</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2023</w:t>
            </w:r>
          </w:p>
        </w:tc>
        <w:tc>
          <w:tcPr>
            <w:tcW w:w="851" w:type="dxa"/>
          </w:tcPr>
          <w:p w14:paraId="08CAD290" w14:textId="0653D674" w:rsidR="00A77951" w:rsidRPr="00A77951" w:rsidRDefault="00A77951" w:rsidP="00A77951">
            <w:pPr>
              <w:spacing w:line="360" w:lineRule="auto"/>
              <w:contextualSpacing/>
              <w:rPr>
                <w:rFonts w:ascii="Arial" w:hAnsi="Arial" w:cs="Arial"/>
                <w:sz w:val="15"/>
                <w:szCs w:val="15"/>
              </w:rPr>
            </w:pPr>
            <w:hyperlink r:id="rId35" w:history="1">
              <w:r w:rsidRPr="00A77951">
                <w:rPr>
                  <w:rStyle w:val="Hyperlink"/>
                  <w:rFonts w:ascii="Arial" w:hAnsi="Arial" w:cs="Arial"/>
                  <w:sz w:val="15"/>
                  <w:szCs w:val="15"/>
                </w:rPr>
                <w:t>10.1111/epi.17679</w:t>
              </w:r>
            </w:hyperlink>
          </w:p>
        </w:tc>
        <w:tc>
          <w:tcPr>
            <w:tcW w:w="851" w:type="dxa"/>
          </w:tcPr>
          <w:p w14:paraId="3B945991" w14:textId="1F26CBA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53CD968" w14:textId="2F9F4CA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A6D3A6E" w14:textId="4B66C69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w:t>
            </w:r>
          </w:p>
        </w:tc>
        <w:tc>
          <w:tcPr>
            <w:tcW w:w="1276" w:type="dxa"/>
          </w:tcPr>
          <w:p w14:paraId="5B676B05" w14:textId="7E23F82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w:t>
            </w:r>
          </w:p>
        </w:tc>
        <w:tc>
          <w:tcPr>
            <w:tcW w:w="1843" w:type="dxa"/>
          </w:tcPr>
          <w:p w14:paraId="0818527D" w14:textId="3DCB1DE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The study aims to describe</w:t>
            </w:r>
            <w:r w:rsidR="00180069">
              <w:rPr>
                <w:rFonts w:ascii="Arial" w:hAnsi="Arial" w:cs="Arial"/>
                <w:sz w:val="15"/>
                <w:szCs w:val="15"/>
              </w:rPr>
              <w:t xml:space="preserve"> </w:t>
            </w:r>
            <w:r w:rsidRPr="00251EA9">
              <w:rPr>
                <w:rFonts w:ascii="Arial" w:hAnsi="Arial" w:cs="Arial"/>
                <w:sz w:val="15"/>
                <w:szCs w:val="15"/>
              </w:rPr>
              <w:t>the surgical outcomes of corpus callosotomy (CC) in a large cohort of patients</w:t>
            </w:r>
          </w:p>
          <w:p w14:paraId="29818F96" w14:textId="4F11D847"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with medically refractory epilepsy, compare anterior</w:t>
            </w:r>
            <w:r w:rsidR="00180069">
              <w:rPr>
                <w:rFonts w:ascii="Arial" w:hAnsi="Arial" w:cs="Arial"/>
                <w:sz w:val="15"/>
                <w:szCs w:val="15"/>
              </w:rPr>
              <w:t xml:space="preserve"> </w:t>
            </w:r>
            <w:r w:rsidRPr="00251EA9">
              <w:rPr>
                <w:rFonts w:ascii="Arial" w:hAnsi="Arial" w:cs="Arial"/>
                <w:sz w:val="15"/>
                <w:szCs w:val="15"/>
              </w:rPr>
              <w:t>and complete CC, and compare a less invasive LITT approach to open craniotomy for surgical</w:t>
            </w:r>
            <w:r w:rsidR="00180069">
              <w:rPr>
                <w:rFonts w:ascii="Arial" w:hAnsi="Arial" w:cs="Arial"/>
                <w:sz w:val="15"/>
                <w:szCs w:val="15"/>
              </w:rPr>
              <w:t xml:space="preserve"> </w:t>
            </w:r>
            <w:r w:rsidRPr="00251EA9">
              <w:rPr>
                <w:rFonts w:ascii="Arial" w:hAnsi="Arial" w:cs="Arial"/>
                <w:sz w:val="15"/>
                <w:szCs w:val="15"/>
              </w:rPr>
              <w:t>intervention.</w:t>
            </w:r>
          </w:p>
        </w:tc>
        <w:tc>
          <w:tcPr>
            <w:tcW w:w="1134" w:type="dxa"/>
          </w:tcPr>
          <w:p w14:paraId="6A6E2F21"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2012E353" w14:textId="7D98573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0FA7B4EE" w14:textId="558E93D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2FD4D6C5" w14:textId="52B1F0CB"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4 cases of wound infection reported.</w:t>
            </w:r>
          </w:p>
        </w:tc>
        <w:tc>
          <w:tcPr>
            <w:tcW w:w="1701" w:type="dxa"/>
          </w:tcPr>
          <w:p w14:paraId="134001E9" w14:textId="483D72C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4D654D00" w14:textId="77777777" w:rsidTr="00A77951">
        <w:trPr>
          <w:trHeight w:val="586"/>
        </w:trPr>
        <w:tc>
          <w:tcPr>
            <w:tcW w:w="992" w:type="dxa"/>
          </w:tcPr>
          <w:p w14:paraId="14A4F098" w14:textId="5A6DA446" w:rsidR="00A77951" w:rsidRPr="00251EA9" w:rsidRDefault="00A77951" w:rsidP="00A77951">
            <w:pPr>
              <w:spacing w:line="360" w:lineRule="auto"/>
              <w:contextualSpacing/>
              <w:rPr>
                <w:rFonts w:ascii="Arial" w:hAnsi="Arial" w:cs="Arial"/>
                <w:sz w:val="15"/>
                <w:szCs w:val="15"/>
              </w:rPr>
            </w:pPr>
            <w:proofErr w:type="spellStart"/>
            <w:r w:rsidRPr="00251EA9">
              <w:rPr>
                <w:rFonts w:ascii="Arial" w:hAnsi="Arial" w:cs="Arial"/>
                <w:sz w:val="15"/>
                <w:szCs w:val="15"/>
              </w:rPr>
              <w:t>Bakhsheshian</w:t>
            </w:r>
            <w:proofErr w:type="spellEnd"/>
            <w:r w:rsidRPr="00251EA9">
              <w:rPr>
                <w:rFonts w:ascii="Arial" w:hAnsi="Arial" w:cs="Arial"/>
                <w:sz w:val="15"/>
                <w:szCs w:val="15"/>
              </w:rPr>
              <w:t xml:space="preserve"> J</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2018</w:t>
            </w:r>
          </w:p>
        </w:tc>
        <w:tc>
          <w:tcPr>
            <w:tcW w:w="851" w:type="dxa"/>
          </w:tcPr>
          <w:p w14:paraId="5EC562CE" w14:textId="5956C887" w:rsidR="00A77951" w:rsidRPr="00A77951" w:rsidRDefault="00A77951" w:rsidP="00A77951">
            <w:pPr>
              <w:spacing w:line="360" w:lineRule="auto"/>
              <w:contextualSpacing/>
              <w:rPr>
                <w:rFonts w:ascii="Arial" w:hAnsi="Arial" w:cs="Arial"/>
                <w:sz w:val="15"/>
                <w:szCs w:val="15"/>
              </w:rPr>
            </w:pPr>
            <w:hyperlink r:id="rId36" w:history="1">
              <w:r w:rsidRPr="00A77951">
                <w:rPr>
                  <w:rStyle w:val="Hyperlink"/>
                  <w:rFonts w:ascii="Arial" w:hAnsi="Arial" w:cs="Arial"/>
                  <w:sz w:val="15"/>
                  <w:szCs w:val="15"/>
                </w:rPr>
                <w:t>10.1016/j.wneu.2018.07.134</w:t>
              </w:r>
            </w:hyperlink>
          </w:p>
        </w:tc>
        <w:tc>
          <w:tcPr>
            <w:tcW w:w="851" w:type="dxa"/>
          </w:tcPr>
          <w:p w14:paraId="16AEC4FF" w14:textId="29BE3EA0"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9C832F1" w14:textId="7C999E5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0572C42" w14:textId="6B46E251"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4B49983F" w14:textId="0AC30B58"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3FEC6685" w14:textId="1C5DC9E1" w:rsidR="00A77951" w:rsidRPr="00251EA9" w:rsidRDefault="006416BD" w:rsidP="00A77951">
            <w:pPr>
              <w:spacing w:line="360" w:lineRule="auto"/>
              <w:contextualSpacing/>
              <w:rPr>
                <w:rFonts w:ascii="Arial" w:hAnsi="Arial" w:cs="Arial"/>
                <w:sz w:val="15"/>
                <w:szCs w:val="15"/>
              </w:rPr>
            </w:pPr>
            <w:r>
              <w:rPr>
                <w:rFonts w:ascii="Arial" w:hAnsi="Arial" w:cs="Arial"/>
                <w:sz w:val="15"/>
                <w:szCs w:val="15"/>
              </w:rPr>
              <w:t>To</w:t>
            </w:r>
            <w:r w:rsidR="00A77951" w:rsidRPr="00251EA9">
              <w:rPr>
                <w:rFonts w:ascii="Arial" w:hAnsi="Arial" w:cs="Arial"/>
                <w:sz w:val="15"/>
                <w:szCs w:val="15"/>
              </w:rPr>
              <w:t xml:space="preserve"> analyse the effect</w:t>
            </w:r>
          </w:p>
          <w:p w14:paraId="6B25C226" w14:textId="2345DCAC"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of the safety-net burden on the FTR (failure to rescue) rates in patients undergoing</w:t>
            </w:r>
          </w:p>
          <w:p w14:paraId="229610BC" w14:textId="1E58A9C4"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 xml:space="preserve">surgical management of </w:t>
            </w:r>
            <w:r w:rsidR="006416BD">
              <w:rPr>
                <w:rFonts w:ascii="Arial" w:hAnsi="Arial" w:cs="Arial"/>
                <w:sz w:val="15"/>
                <w:szCs w:val="15"/>
              </w:rPr>
              <w:t>traumatic brain injury.</w:t>
            </w:r>
          </w:p>
          <w:p w14:paraId="61629289" w14:textId="7877E428" w:rsidR="00A77951" w:rsidRPr="00251EA9" w:rsidRDefault="00A77951" w:rsidP="00A77951">
            <w:pPr>
              <w:spacing w:line="360" w:lineRule="auto"/>
              <w:contextualSpacing/>
              <w:rPr>
                <w:rFonts w:ascii="Arial" w:hAnsi="Arial" w:cs="Arial"/>
                <w:sz w:val="15"/>
                <w:szCs w:val="15"/>
              </w:rPr>
            </w:pPr>
          </w:p>
        </w:tc>
        <w:tc>
          <w:tcPr>
            <w:tcW w:w="1134" w:type="dxa"/>
          </w:tcPr>
          <w:p w14:paraId="1D9C6FF5"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157FC9D9" w14:textId="3A1E27FC"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626F3404" w14:textId="74F162D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5F2B6168" w14:textId="2B7028F8"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An evaluation of major complication types revealed that infectious and pulmonary</w:t>
            </w:r>
            <w:r w:rsidR="006416BD">
              <w:rPr>
                <w:rFonts w:ascii="Arial" w:hAnsi="Arial" w:cs="Arial"/>
                <w:color w:val="000000" w:themeColor="text1"/>
                <w:sz w:val="15"/>
                <w:szCs w:val="15"/>
              </w:rPr>
              <w:t xml:space="preserve"> </w:t>
            </w:r>
            <w:r w:rsidRPr="00251EA9">
              <w:rPr>
                <w:rFonts w:ascii="Arial" w:hAnsi="Arial" w:cs="Arial"/>
                <w:color w:val="000000" w:themeColor="text1"/>
                <w:sz w:val="15"/>
                <w:szCs w:val="15"/>
              </w:rPr>
              <w:t>complications comprised a significant proportion of overall noted</w:t>
            </w:r>
            <w:r w:rsidR="006416BD">
              <w:rPr>
                <w:rFonts w:ascii="Arial" w:hAnsi="Arial" w:cs="Arial"/>
                <w:color w:val="000000" w:themeColor="text1"/>
                <w:sz w:val="15"/>
                <w:szCs w:val="15"/>
              </w:rPr>
              <w:t xml:space="preserve"> </w:t>
            </w:r>
            <w:r w:rsidRPr="00251EA9">
              <w:rPr>
                <w:rFonts w:ascii="Arial" w:hAnsi="Arial" w:cs="Arial"/>
                <w:color w:val="000000" w:themeColor="text1"/>
                <w:sz w:val="15"/>
                <w:szCs w:val="15"/>
              </w:rPr>
              <w:t>complications</w:t>
            </w:r>
            <w:r w:rsidR="006416BD">
              <w:rPr>
                <w:rFonts w:ascii="Arial" w:hAnsi="Arial" w:cs="Arial"/>
                <w:color w:val="000000" w:themeColor="text1"/>
                <w:sz w:val="15"/>
                <w:szCs w:val="15"/>
              </w:rPr>
              <w:t>.</w:t>
            </w:r>
          </w:p>
        </w:tc>
        <w:tc>
          <w:tcPr>
            <w:tcW w:w="1701" w:type="dxa"/>
          </w:tcPr>
          <w:p w14:paraId="1E44B876" w14:textId="7BA3826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5DAFE15A" w14:textId="77777777" w:rsidTr="00A77951">
        <w:trPr>
          <w:trHeight w:val="586"/>
        </w:trPr>
        <w:tc>
          <w:tcPr>
            <w:tcW w:w="992" w:type="dxa"/>
          </w:tcPr>
          <w:p w14:paraId="0598E147" w14:textId="1D6EDE9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lastRenderedPageBreak/>
              <w:t>Ban S</w:t>
            </w:r>
            <w:r w:rsidR="0052341D">
              <w:rPr>
                <w:rFonts w:ascii="Arial" w:hAnsi="Arial" w:cs="Arial"/>
                <w:sz w:val="15"/>
                <w:szCs w:val="15"/>
              </w:rPr>
              <w:t>.</w:t>
            </w:r>
            <w:r w:rsidRPr="00251EA9">
              <w:rPr>
                <w:rFonts w:ascii="Arial" w:hAnsi="Arial" w:cs="Arial"/>
                <w:sz w:val="15"/>
                <w:szCs w:val="15"/>
              </w:rPr>
              <w:t>P</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2018</w:t>
            </w:r>
          </w:p>
        </w:tc>
        <w:tc>
          <w:tcPr>
            <w:tcW w:w="851" w:type="dxa"/>
          </w:tcPr>
          <w:p w14:paraId="3C4433A0" w14:textId="7157B935" w:rsidR="00A77951" w:rsidRPr="00A77951" w:rsidRDefault="00A77951" w:rsidP="00A77951">
            <w:pPr>
              <w:spacing w:line="360" w:lineRule="auto"/>
              <w:contextualSpacing/>
              <w:rPr>
                <w:rFonts w:ascii="Arial" w:hAnsi="Arial" w:cs="Arial"/>
                <w:sz w:val="15"/>
                <w:szCs w:val="15"/>
              </w:rPr>
            </w:pPr>
            <w:hyperlink r:id="rId37" w:history="1">
              <w:r w:rsidRPr="00A77951">
                <w:rPr>
                  <w:rStyle w:val="Hyperlink"/>
                  <w:rFonts w:ascii="Arial" w:hAnsi="Arial" w:cs="Arial"/>
                  <w:sz w:val="15"/>
                  <w:szCs w:val="15"/>
                </w:rPr>
                <w:t>10.1136/neurintsurg-2021-017352</w:t>
              </w:r>
            </w:hyperlink>
          </w:p>
        </w:tc>
        <w:tc>
          <w:tcPr>
            <w:tcW w:w="851" w:type="dxa"/>
          </w:tcPr>
          <w:p w14:paraId="55070881" w14:textId="6B624664"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Korea</w:t>
            </w:r>
          </w:p>
        </w:tc>
        <w:tc>
          <w:tcPr>
            <w:tcW w:w="1134" w:type="dxa"/>
          </w:tcPr>
          <w:p w14:paraId="09DE210C" w14:textId="54AAB9C4"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29A67738" w14:textId="7067EBE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7238591C" w14:textId="7DB1A1C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Vascular/Trauma</w:t>
            </w:r>
          </w:p>
        </w:tc>
        <w:tc>
          <w:tcPr>
            <w:tcW w:w="1843" w:type="dxa"/>
          </w:tcPr>
          <w:p w14:paraId="5FA41D71" w14:textId="54DC297D"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evaluate the effect of middle meningeal artery (MMA)</w:t>
            </w:r>
            <w:r w:rsidR="006416BD">
              <w:rPr>
                <w:rFonts w:ascii="Arial" w:hAnsi="Arial" w:cs="Arial"/>
                <w:sz w:val="15"/>
                <w:szCs w:val="15"/>
              </w:rPr>
              <w:t xml:space="preserve"> </w:t>
            </w:r>
            <w:proofErr w:type="spellStart"/>
            <w:r w:rsidRPr="00251EA9">
              <w:rPr>
                <w:rFonts w:ascii="Arial" w:hAnsi="Arial" w:cs="Arial"/>
                <w:sz w:val="15"/>
                <w:szCs w:val="15"/>
              </w:rPr>
              <w:t>embolisation</w:t>
            </w:r>
            <w:proofErr w:type="spellEnd"/>
            <w:r w:rsidRPr="00251EA9">
              <w:rPr>
                <w:rFonts w:ascii="Arial" w:hAnsi="Arial" w:cs="Arial"/>
                <w:sz w:val="15"/>
                <w:szCs w:val="15"/>
              </w:rPr>
              <w:t xml:space="preserve"> on chronic subdural hematoma and</w:t>
            </w:r>
          </w:p>
          <w:p w14:paraId="76BF8918" w14:textId="085DB88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 xml:space="preserve">compare the treatment outcomes of MMA </w:t>
            </w:r>
            <w:r w:rsidR="006416BD">
              <w:rPr>
                <w:rFonts w:ascii="Arial" w:hAnsi="Arial" w:cs="Arial"/>
                <w:sz w:val="15"/>
                <w:szCs w:val="15"/>
              </w:rPr>
              <w:t xml:space="preserve">embolization </w:t>
            </w:r>
            <w:r w:rsidRPr="00251EA9">
              <w:rPr>
                <w:rFonts w:ascii="Arial" w:hAnsi="Arial" w:cs="Arial"/>
                <w:sz w:val="15"/>
                <w:szCs w:val="15"/>
              </w:rPr>
              <w:t>and conventional treatment.</w:t>
            </w:r>
          </w:p>
        </w:tc>
        <w:tc>
          <w:tcPr>
            <w:tcW w:w="1134" w:type="dxa"/>
          </w:tcPr>
          <w:p w14:paraId="2CFB5CB9" w14:textId="7FC8184A"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 xml:space="preserve">MMA </w:t>
            </w:r>
            <w:proofErr w:type="spellStart"/>
            <w:r w:rsidRPr="00251EA9">
              <w:rPr>
                <w:rFonts w:ascii="Arial" w:hAnsi="Arial" w:cs="Arial"/>
                <w:color w:val="000000" w:themeColor="text1"/>
                <w:sz w:val="15"/>
                <w:szCs w:val="15"/>
              </w:rPr>
              <w:t>emobilisation</w:t>
            </w:r>
            <w:proofErr w:type="spellEnd"/>
            <w:r w:rsidRPr="00251EA9">
              <w:rPr>
                <w:rFonts w:ascii="Arial" w:hAnsi="Arial" w:cs="Arial"/>
                <w:color w:val="000000" w:themeColor="text1"/>
                <w:sz w:val="15"/>
                <w:szCs w:val="15"/>
              </w:rPr>
              <w:t xml:space="preserve"> vs conventional treatment (close non-surgical follow-up and haematoma removal)</w:t>
            </w:r>
          </w:p>
        </w:tc>
        <w:tc>
          <w:tcPr>
            <w:tcW w:w="992" w:type="dxa"/>
          </w:tcPr>
          <w:p w14:paraId="4220FA8D" w14:textId="7A38B0D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0638C8CB" w14:textId="5FFEFBFB"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4B7BD7DB" w14:textId="1B94CFBB"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Surgical infection occurred in 3 out of 469 patients in the control (conventional treatment) group.</w:t>
            </w:r>
          </w:p>
        </w:tc>
        <w:tc>
          <w:tcPr>
            <w:tcW w:w="1701" w:type="dxa"/>
          </w:tcPr>
          <w:p w14:paraId="6914CAAB" w14:textId="64F8F966"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34EEDA83" w14:textId="77777777" w:rsidTr="00A77951">
        <w:trPr>
          <w:trHeight w:val="586"/>
        </w:trPr>
        <w:tc>
          <w:tcPr>
            <w:tcW w:w="992" w:type="dxa"/>
          </w:tcPr>
          <w:p w14:paraId="78154FB1" w14:textId="0D45DA9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Barone D.G. et al., 2014</w:t>
            </w:r>
          </w:p>
        </w:tc>
        <w:tc>
          <w:tcPr>
            <w:tcW w:w="851" w:type="dxa"/>
          </w:tcPr>
          <w:p w14:paraId="276523EA" w14:textId="4D69221C" w:rsidR="00A77951" w:rsidRPr="00A77951" w:rsidRDefault="00A77951" w:rsidP="00A77951">
            <w:pPr>
              <w:spacing w:line="360" w:lineRule="auto"/>
              <w:contextualSpacing/>
              <w:rPr>
                <w:rFonts w:ascii="Arial" w:hAnsi="Arial" w:cs="Arial"/>
                <w:sz w:val="15"/>
                <w:szCs w:val="15"/>
              </w:rPr>
            </w:pPr>
            <w:hyperlink r:id="rId38" w:history="1">
              <w:r w:rsidRPr="00A77951">
                <w:rPr>
                  <w:rStyle w:val="Hyperlink"/>
                  <w:rFonts w:ascii="Arial" w:hAnsi="Arial" w:cs="Arial"/>
                  <w:sz w:val="15"/>
                  <w:szCs w:val="15"/>
                </w:rPr>
                <w:t>10.1002/14651858.CD009685.pub2</w:t>
              </w:r>
            </w:hyperlink>
          </w:p>
        </w:tc>
        <w:tc>
          <w:tcPr>
            <w:tcW w:w="851" w:type="dxa"/>
          </w:tcPr>
          <w:p w14:paraId="649F293E" w14:textId="3193C2CA"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48FE17C0" w14:textId="773BECAB"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56E1EDA0" w14:textId="5206977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3465FAE7" w14:textId="160E95FE"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47573959" w14:textId="632D8B55"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compare image guided surgery with surgery either not using any image guidance or to compare surgery using two different forms of image guidance,</w:t>
            </w:r>
          </w:p>
        </w:tc>
        <w:tc>
          <w:tcPr>
            <w:tcW w:w="1134" w:type="dxa"/>
          </w:tcPr>
          <w:p w14:paraId="783FE578"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46531A24" w14:textId="6456D7EF"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7D1EA021" w14:textId="620152A3"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1AF21604" w14:textId="4044569D"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No wound infections were reported.</w:t>
            </w:r>
          </w:p>
        </w:tc>
        <w:tc>
          <w:tcPr>
            <w:tcW w:w="1701" w:type="dxa"/>
          </w:tcPr>
          <w:p w14:paraId="54434D07" w14:textId="378F371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75E338BE" w14:textId="77777777" w:rsidTr="00A77951">
        <w:trPr>
          <w:trHeight w:val="586"/>
        </w:trPr>
        <w:tc>
          <w:tcPr>
            <w:tcW w:w="992" w:type="dxa"/>
          </w:tcPr>
          <w:p w14:paraId="514AF4B8" w14:textId="74138281"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Bartek Jr J</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2017</w:t>
            </w:r>
          </w:p>
        </w:tc>
        <w:tc>
          <w:tcPr>
            <w:tcW w:w="851" w:type="dxa"/>
          </w:tcPr>
          <w:p w14:paraId="49526FE6" w14:textId="554E6FC0" w:rsidR="00A77951" w:rsidRPr="00A77951" w:rsidRDefault="00A77951" w:rsidP="00A77951">
            <w:pPr>
              <w:spacing w:line="360" w:lineRule="auto"/>
              <w:contextualSpacing/>
              <w:rPr>
                <w:rFonts w:ascii="Arial" w:hAnsi="Arial" w:cs="Arial"/>
                <w:sz w:val="15"/>
                <w:szCs w:val="15"/>
              </w:rPr>
            </w:pPr>
            <w:hyperlink r:id="rId39" w:history="1">
              <w:r w:rsidRPr="00A77951">
                <w:rPr>
                  <w:rStyle w:val="Hyperlink"/>
                  <w:rFonts w:ascii="Arial" w:hAnsi="Arial" w:cs="Arial"/>
                  <w:sz w:val="15"/>
                  <w:szCs w:val="15"/>
                </w:rPr>
                <w:t>10.1016/j.wneu.2017.07.044</w:t>
              </w:r>
            </w:hyperlink>
          </w:p>
        </w:tc>
        <w:tc>
          <w:tcPr>
            <w:tcW w:w="851" w:type="dxa"/>
          </w:tcPr>
          <w:p w14:paraId="439B1E78" w14:textId="200D2319"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Sweden</w:t>
            </w:r>
          </w:p>
        </w:tc>
        <w:tc>
          <w:tcPr>
            <w:tcW w:w="1134" w:type="dxa"/>
          </w:tcPr>
          <w:p w14:paraId="30ECC374" w14:textId="07164268"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612F529" w14:textId="21FAE2B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2053EC54" w14:textId="7B9DE89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4E9E2277" w14:textId="42B73B0E"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To investigate predictors of recurrence and</w:t>
            </w:r>
            <w:r w:rsidR="00864EBE">
              <w:rPr>
                <w:rFonts w:ascii="Arial" w:hAnsi="Arial" w:cs="Arial"/>
                <w:sz w:val="15"/>
                <w:szCs w:val="15"/>
              </w:rPr>
              <w:t xml:space="preserve"> </w:t>
            </w:r>
            <w:r w:rsidRPr="00251EA9">
              <w:rPr>
                <w:rFonts w:ascii="Arial" w:hAnsi="Arial" w:cs="Arial"/>
                <w:sz w:val="15"/>
                <w:szCs w:val="15"/>
              </w:rPr>
              <w:t>moderate to severe complications after burr-hole surgery</w:t>
            </w:r>
            <w:r w:rsidR="00864EBE">
              <w:rPr>
                <w:rFonts w:ascii="Arial" w:hAnsi="Arial" w:cs="Arial"/>
                <w:sz w:val="15"/>
                <w:szCs w:val="15"/>
              </w:rPr>
              <w:t xml:space="preserve"> f</w:t>
            </w:r>
            <w:r w:rsidRPr="00251EA9">
              <w:rPr>
                <w:rFonts w:ascii="Arial" w:hAnsi="Arial" w:cs="Arial"/>
                <w:sz w:val="15"/>
                <w:szCs w:val="15"/>
              </w:rPr>
              <w:t>or chronic subdural hematoma (</w:t>
            </w:r>
            <w:proofErr w:type="spellStart"/>
            <w:r w:rsidRPr="00251EA9">
              <w:rPr>
                <w:rFonts w:ascii="Arial" w:hAnsi="Arial" w:cs="Arial"/>
                <w:sz w:val="15"/>
                <w:szCs w:val="15"/>
              </w:rPr>
              <w:t>cSDH</w:t>
            </w:r>
            <w:proofErr w:type="spellEnd"/>
            <w:r w:rsidRPr="00251EA9">
              <w:rPr>
                <w:rFonts w:ascii="Arial" w:hAnsi="Arial" w:cs="Arial"/>
                <w:sz w:val="15"/>
                <w:szCs w:val="15"/>
              </w:rPr>
              <w:t>).</w:t>
            </w:r>
          </w:p>
        </w:tc>
        <w:tc>
          <w:tcPr>
            <w:tcW w:w="1134" w:type="dxa"/>
          </w:tcPr>
          <w:p w14:paraId="239D01CE" w14:textId="77777777" w:rsidR="00A77951" w:rsidRPr="00251EA9" w:rsidRDefault="00A77951" w:rsidP="00A77951">
            <w:pPr>
              <w:spacing w:line="360" w:lineRule="auto"/>
              <w:contextualSpacing/>
              <w:rPr>
                <w:rFonts w:ascii="Arial" w:hAnsi="Arial" w:cs="Arial"/>
                <w:color w:val="000000" w:themeColor="text1"/>
                <w:sz w:val="15"/>
                <w:szCs w:val="15"/>
              </w:rPr>
            </w:pPr>
          </w:p>
        </w:tc>
        <w:tc>
          <w:tcPr>
            <w:tcW w:w="992" w:type="dxa"/>
          </w:tcPr>
          <w:p w14:paraId="595AF5C1" w14:textId="53C520D0"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c>
          <w:tcPr>
            <w:tcW w:w="1701" w:type="dxa"/>
          </w:tcPr>
          <w:p w14:paraId="1192D69E" w14:textId="1D4C3A04"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49401548" w14:textId="314561E1" w:rsidR="00A77951" w:rsidRPr="00251EA9" w:rsidRDefault="00A77951" w:rsidP="00A77951">
            <w:pPr>
              <w:rPr>
                <w:rFonts w:ascii="Arial" w:hAnsi="Arial" w:cs="Arial"/>
                <w:color w:val="000000" w:themeColor="text1"/>
                <w:sz w:val="15"/>
                <w:szCs w:val="15"/>
              </w:rPr>
            </w:pPr>
            <w:r w:rsidRPr="00251EA9">
              <w:rPr>
                <w:rFonts w:ascii="Arial" w:hAnsi="Arial" w:cs="Arial"/>
                <w:color w:val="000000" w:themeColor="text1"/>
                <w:sz w:val="15"/>
                <w:szCs w:val="15"/>
              </w:rPr>
              <w:t>Reported cases of wound infections in table (4 cases of wound infection reported).</w:t>
            </w:r>
          </w:p>
        </w:tc>
        <w:tc>
          <w:tcPr>
            <w:tcW w:w="1701" w:type="dxa"/>
          </w:tcPr>
          <w:p w14:paraId="3A7D599A" w14:textId="2A7F01C7"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A77951" w:rsidRPr="00251EA9" w14:paraId="6A9570FB" w14:textId="77777777" w:rsidTr="00A77951">
        <w:trPr>
          <w:trHeight w:val="586"/>
        </w:trPr>
        <w:tc>
          <w:tcPr>
            <w:tcW w:w="992" w:type="dxa"/>
          </w:tcPr>
          <w:p w14:paraId="5F1D550A" w14:textId="47C912C0"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Bass D</w:t>
            </w:r>
            <w:r w:rsidR="0052341D">
              <w:rPr>
                <w:rFonts w:ascii="Arial" w:hAnsi="Arial" w:cs="Arial"/>
                <w:sz w:val="15"/>
                <w:szCs w:val="15"/>
              </w:rPr>
              <w:t>.</w:t>
            </w:r>
            <w:r w:rsidRPr="00251EA9">
              <w:rPr>
                <w:rFonts w:ascii="Arial" w:hAnsi="Arial" w:cs="Arial"/>
                <w:sz w:val="15"/>
                <w:szCs w:val="15"/>
              </w:rPr>
              <w:t xml:space="preserve"> et al.</w:t>
            </w:r>
            <w:r w:rsidR="0052341D">
              <w:rPr>
                <w:rFonts w:ascii="Arial" w:hAnsi="Arial" w:cs="Arial"/>
                <w:sz w:val="15"/>
                <w:szCs w:val="15"/>
              </w:rPr>
              <w:t>,</w:t>
            </w:r>
            <w:r w:rsidRPr="00251EA9">
              <w:rPr>
                <w:rFonts w:ascii="Arial" w:hAnsi="Arial" w:cs="Arial"/>
                <w:sz w:val="15"/>
                <w:szCs w:val="15"/>
              </w:rPr>
              <w:t xml:space="preserve"> 2019</w:t>
            </w:r>
          </w:p>
        </w:tc>
        <w:tc>
          <w:tcPr>
            <w:tcW w:w="851" w:type="dxa"/>
          </w:tcPr>
          <w:p w14:paraId="40E47E04" w14:textId="3D2201F3" w:rsidR="00A77951" w:rsidRPr="00A77951" w:rsidRDefault="00A77951" w:rsidP="00A77951">
            <w:pPr>
              <w:spacing w:line="360" w:lineRule="auto"/>
              <w:contextualSpacing/>
              <w:rPr>
                <w:rFonts w:ascii="Arial" w:hAnsi="Arial" w:cs="Arial"/>
                <w:sz w:val="15"/>
                <w:szCs w:val="15"/>
              </w:rPr>
            </w:pPr>
            <w:hyperlink r:id="rId40" w:history="1">
              <w:r w:rsidRPr="00A77951">
                <w:rPr>
                  <w:rStyle w:val="Hyperlink"/>
                  <w:rFonts w:ascii="Arial" w:hAnsi="Arial" w:cs="Arial"/>
                  <w:sz w:val="15"/>
                  <w:szCs w:val="15"/>
                </w:rPr>
                <w:t>10.1016/j.wneu.2019.08.066</w:t>
              </w:r>
            </w:hyperlink>
          </w:p>
        </w:tc>
        <w:tc>
          <w:tcPr>
            <w:tcW w:w="851" w:type="dxa"/>
          </w:tcPr>
          <w:p w14:paraId="03545B12" w14:textId="5F3CD5EF"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6366D5F" w14:textId="0E33D5F1" w:rsidR="00A77951" w:rsidRPr="00251EA9" w:rsidRDefault="00A77951" w:rsidP="00A77951">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10EB953" w14:textId="2A305150" w:rsidR="00A77951" w:rsidRPr="00251EA9" w:rsidRDefault="000A2896"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Adult</w:t>
            </w:r>
          </w:p>
        </w:tc>
        <w:tc>
          <w:tcPr>
            <w:tcW w:w="1276" w:type="dxa"/>
          </w:tcPr>
          <w:p w14:paraId="2CE8472C" w14:textId="177DD896" w:rsidR="00A77951" w:rsidRPr="00251EA9" w:rsidRDefault="001D4E94"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Functional (Epilepsy)</w:t>
            </w:r>
          </w:p>
        </w:tc>
        <w:tc>
          <w:tcPr>
            <w:tcW w:w="1843" w:type="dxa"/>
          </w:tcPr>
          <w:p w14:paraId="581204A2" w14:textId="21F551B2" w:rsidR="00643629" w:rsidRPr="00643629" w:rsidRDefault="001D4E94" w:rsidP="00643629">
            <w:pPr>
              <w:spacing w:line="360" w:lineRule="auto"/>
              <w:contextualSpacing/>
              <w:rPr>
                <w:rFonts w:ascii="Arial" w:hAnsi="Arial" w:cs="Arial"/>
                <w:sz w:val="15"/>
                <w:szCs w:val="15"/>
              </w:rPr>
            </w:pPr>
            <w:r>
              <w:rPr>
                <w:rFonts w:ascii="Arial" w:hAnsi="Arial" w:cs="Arial"/>
                <w:sz w:val="15"/>
                <w:szCs w:val="15"/>
              </w:rPr>
              <w:t>To</w:t>
            </w:r>
            <w:r w:rsidR="00643629" w:rsidRPr="00643629">
              <w:rPr>
                <w:rFonts w:ascii="Arial" w:hAnsi="Arial" w:cs="Arial"/>
                <w:sz w:val="15"/>
                <w:szCs w:val="15"/>
              </w:rPr>
              <w:t xml:space="preserve"> determine whether use of an osteoplastic</w:t>
            </w:r>
          </w:p>
          <w:p w14:paraId="65FF284B" w14:textId="5CCC1B10" w:rsidR="00A77951" w:rsidRPr="00251EA9" w:rsidRDefault="00643629" w:rsidP="001D4E94">
            <w:pPr>
              <w:spacing w:line="360" w:lineRule="auto"/>
              <w:contextualSpacing/>
              <w:rPr>
                <w:rFonts w:ascii="Arial" w:hAnsi="Arial" w:cs="Arial"/>
                <w:sz w:val="15"/>
                <w:szCs w:val="15"/>
              </w:rPr>
            </w:pPr>
            <w:r w:rsidRPr="00643629">
              <w:rPr>
                <w:rFonts w:ascii="Arial" w:hAnsi="Arial" w:cs="Arial"/>
                <w:sz w:val="15"/>
                <w:szCs w:val="15"/>
              </w:rPr>
              <w:t>bone flap technique would reduce the infection rate in</w:t>
            </w:r>
            <w:r w:rsidR="001D4E94">
              <w:rPr>
                <w:rFonts w:ascii="Arial" w:hAnsi="Arial" w:cs="Arial"/>
                <w:sz w:val="15"/>
                <w:szCs w:val="15"/>
              </w:rPr>
              <w:t xml:space="preserve"> patients undergoing neurosurgical procedures for </w:t>
            </w:r>
            <w:r w:rsidR="001D4E94">
              <w:rPr>
                <w:rFonts w:ascii="Arial" w:hAnsi="Arial" w:cs="Arial"/>
                <w:sz w:val="15"/>
                <w:szCs w:val="15"/>
              </w:rPr>
              <w:lastRenderedPageBreak/>
              <w:t>medically intractable epilepsy.</w:t>
            </w:r>
          </w:p>
        </w:tc>
        <w:tc>
          <w:tcPr>
            <w:tcW w:w="1134" w:type="dxa"/>
          </w:tcPr>
          <w:p w14:paraId="08B9AB44" w14:textId="7294D395" w:rsidR="00A77951" w:rsidRPr="00251EA9" w:rsidRDefault="00E646B4" w:rsidP="00A77951">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lastRenderedPageBreak/>
              <w:t>Standard free flaps Vs osteoplastic flaps.</w:t>
            </w:r>
          </w:p>
        </w:tc>
        <w:tc>
          <w:tcPr>
            <w:tcW w:w="992" w:type="dxa"/>
          </w:tcPr>
          <w:p w14:paraId="55EBFB9C" w14:textId="23320B29"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59207A72" w14:textId="77968F82"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388EF401" w14:textId="2A0BFAE5" w:rsidR="00236B89" w:rsidRPr="00236B89" w:rsidRDefault="00236B89" w:rsidP="00236B89">
            <w:pPr>
              <w:rPr>
                <w:rFonts w:ascii="Arial" w:hAnsi="Arial" w:cs="Arial"/>
                <w:color w:val="000000" w:themeColor="text1"/>
                <w:sz w:val="15"/>
                <w:szCs w:val="15"/>
              </w:rPr>
            </w:pPr>
            <w:r w:rsidRPr="00236B89">
              <w:rPr>
                <w:rFonts w:ascii="Arial" w:hAnsi="Arial" w:cs="Arial"/>
                <w:color w:val="000000" w:themeColor="text1"/>
                <w:sz w:val="15"/>
                <w:szCs w:val="15"/>
              </w:rPr>
              <w:t>Infection occurred in 24 (17%) patients who underwent standard</w:t>
            </w:r>
          </w:p>
          <w:p w14:paraId="5F33900C" w14:textId="6A3A927C" w:rsidR="00E646B4" w:rsidRPr="00236B89" w:rsidRDefault="00236B89" w:rsidP="00E646B4">
            <w:pPr>
              <w:rPr>
                <w:rFonts w:ascii="Arial" w:hAnsi="Arial" w:cs="Arial"/>
                <w:color w:val="000000" w:themeColor="text1"/>
                <w:sz w:val="15"/>
                <w:szCs w:val="15"/>
              </w:rPr>
            </w:pPr>
            <w:r>
              <w:rPr>
                <w:rFonts w:ascii="Arial" w:hAnsi="Arial" w:cs="Arial"/>
                <w:color w:val="000000" w:themeColor="text1"/>
                <w:sz w:val="15"/>
                <w:szCs w:val="15"/>
              </w:rPr>
              <w:t>c</w:t>
            </w:r>
            <w:r w:rsidRPr="00236B89">
              <w:rPr>
                <w:rFonts w:ascii="Arial" w:hAnsi="Arial" w:cs="Arial"/>
                <w:color w:val="000000" w:themeColor="text1"/>
                <w:sz w:val="15"/>
                <w:szCs w:val="15"/>
              </w:rPr>
              <w:t>raniotomy</w:t>
            </w:r>
            <w:r>
              <w:rPr>
                <w:rFonts w:ascii="Arial" w:hAnsi="Arial" w:cs="Arial"/>
                <w:color w:val="000000" w:themeColor="text1"/>
                <w:sz w:val="15"/>
                <w:szCs w:val="15"/>
              </w:rPr>
              <w:t xml:space="preserve"> whilst</w:t>
            </w:r>
            <w:r w:rsidRPr="00236B89">
              <w:rPr>
                <w:rFonts w:ascii="Arial" w:hAnsi="Arial" w:cs="Arial"/>
                <w:color w:val="000000" w:themeColor="text1"/>
                <w:sz w:val="15"/>
                <w:szCs w:val="15"/>
              </w:rPr>
              <w:t xml:space="preserve"> there were no infections in the osteoplastic cohort.</w:t>
            </w:r>
            <w:r w:rsidR="00E646B4">
              <w:rPr>
                <w:rFonts w:ascii="Arial" w:hAnsi="Arial" w:cs="Arial"/>
                <w:color w:val="000000" w:themeColor="text1"/>
                <w:sz w:val="15"/>
                <w:szCs w:val="15"/>
              </w:rPr>
              <w:t xml:space="preserve"> </w:t>
            </w:r>
          </w:p>
          <w:p w14:paraId="4E063B09" w14:textId="797908A0" w:rsidR="00A77951" w:rsidRPr="00251EA9" w:rsidRDefault="00236B89" w:rsidP="00236B89">
            <w:pPr>
              <w:rPr>
                <w:rFonts w:ascii="Arial" w:hAnsi="Arial" w:cs="Arial"/>
                <w:color w:val="000000" w:themeColor="text1"/>
                <w:sz w:val="15"/>
                <w:szCs w:val="15"/>
              </w:rPr>
            </w:pPr>
            <w:r w:rsidRPr="00236B89">
              <w:rPr>
                <w:rFonts w:ascii="Arial" w:hAnsi="Arial" w:cs="Arial"/>
                <w:color w:val="000000" w:themeColor="text1"/>
                <w:sz w:val="15"/>
                <w:szCs w:val="15"/>
              </w:rPr>
              <w:t>Standard free flaps were</w:t>
            </w:r>
            <w:r w:rsidR="00E76A09">
              <w:rPr>
                <w:rFonts w:ascii="Arial" w:hAnsi="Arial" w:cs="Arial"/>
                <w:color w:val="000000" w:themeColor="text1"/>
                <w:sz w:val="15"/>
                <w:szCs w:val="15"/>
              </w:rPr>
              <w:t xml:space="preserve"> </w:t>
            </w:r>
            <w:r w:rsidRPr="00236B89">
              <w:rPr>
                <w:rFonts w:ascii="Arial" w:hAnsi="Arial" w:cs="Arial"/>
                <w:color w:val="000000" w:themeColor="text1"/>
                <w:sz w:val="15"/>
                <w:szCs w:val="15"/>
              </w:rPr>
              <w:t>associated with an increased rate of infection at the</w:t>
            </w:r>
            <w:r w:rsidR="00E646B4">
              <w:rPr>
                <w:rFonts w:ascii="Arial" w:hAnsi="Arial" w:cs="Arial"/>
                <w:color w:val="000000" w:themeColor="text1"/>
                <w:sz w:val="15"/>
                <w:szCs w:val="15"/>
              </w:rPr>
              <w:t xml:space="preserve"> </w:t>
            </w:r>
            <w:r w:rsidRPr="00236B89">
              <w:rPr>
                <w:rFonts w:ascii="Arial" w:hAnsi="Arial" w:cs="Arial"/>
                <w:color w:val="000000" w:themeColor="text1"/>
                <w:sz w:val="15"/>
                <w:szCs w:val="15"/>
              </w:rPr>
              <w:t>craniotomy site</w:t>
            </w:r>
            <w:r w:rsidR="00E646B4">
              <w:rPr>
                <w:rFonts w:ascii="Arial" w:hAnsi="Arial" w:cs="Arial"/>
                <w:color w:val="000000" w:themeColor="text1"/>
                <w:sz w:val="15"/>
                <w:szCs w:val="15"/>
              </w:rPr>
              <w:t>.</w:t>
            </w:r>
          </w:p>
        </w:tc>
        <w:tc>
          <w:tcPr>
            <w:tcW w:w="1701" w:type="dxa"/>
          </w:tcPr>
          <w:p w14:paraId="60139704" w14:textId="4E3C317D" w:rsidR="00A77951" w:rsidRPr="00251EA9" w:rsidRDefault="00A77951" w:rsidP="00A77951">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6E5533" w:rsidRPr="00251EA9" w14:paraId="42FB52E6" w14:textId="77777777" w:rsidTr="00A77951">
        <w:trPr>
          <w:trHeight w:val="586"/>
        </w:trPr>
        <w:tc>
          <w:tcPr>
            <w:tcW w:w="992" w:type="dxa"/>
          </w:tcPr>
          <w:p w14:paraId="165C9E88" w14:textId="09DD12BC" w:rsidR="006E5533" w:rsidRPr="00251EA9" w:rsidRDefault="006E5533" w:rsidP="006E5533">
            <w:pPr>
              <w:spacing w:line="360" w:lineRule="auto"/>
              <w:contextualSpacing/>
              <w:rPr>
                <w:rFonts w:ascii="Arial" w:hAnsi="Arial" w:cs="Arial"/>
                <w:sz w:val="15"/>
                <w:szCs w:val="15"/>
              </w:rPr>
            </w:pPr>
            <w:proofErr w:type="spellStart"/>
            <w:r w:rsidRPr="006E5533">
              <w:rPr>
                <w:rFonts w:ascii="Arial" w:hAnsi="Arial" w:cs="Arial"/>
                <w:sz w:val="15"/>
                <w:szCs w:val="15"/>
              </w:rPr>
              <w:t>Batzdorf</w:t>
            </w:r>
            <w:proofErr w:type="spellEnd"/>
            <w:r w:rsidRPr="006E5533">
              <w:rPr>
                <w:rFonts w:ascii="Arial" w:hAnsi="Arial" w:cs="Arial"/>
                <w:sz w:val="15"/>
                <w:szCs w:val="15"/>
              </w:rPr>
              <w:t xml:space="preserve"> U</w:t>
            </w:r>
            <w:r>
              <w:rPr>
                <w:rFonts w:ascii="Arial" w:hAnsi="Arial" w:cs="Arial"/>
                <w:sz w:val="15"/>
                <w:szCs w:val="15"/>
              </w:rPr>
              <w:t>.</w:t>
            </w:r>
            <w:r w:rsidRPr="006E5533">
              <w:rPr>
                <w:rFonts w:ascii="Arial" w:hAnsi="Arial" w:cs="Arial"/>
                <w:sz w:val="15"/>
                <w:szCs w:val="15"/>
              </w:rPr>
              <w:t xml:space="preserve"> et al.</w:t>
            </w:r>
            <w:r>
              <w:rPr>
                <w:rFonts w:ascii="Arial" w:hAnsi="Arial" w:cs="Arial"/>
                <w:sz w:val="15"/>
                <w:szCs w:val="15"/>
              </w:rPr>
              <w:t>,</w:t>
            </w:r>
            <w:r w:rsidRPr="006E5533">
              <w:rPr>
                <w:rFonts w:ascii="Arial" w:hAnsi="Arial" w:cs="Arial"/>
                <w:sz w:val="15"/>
                <w:szCs w:val="15"/>
              </w:rPr>
              <w:t xml:space="preserve"> 2013</w:t>
            </w:r>
          </w:p>
        </w:tc>
        <w:tc>
          <w:tcPr>
            <w:tcW w:w="851" w:type="dxa"/>
          </w:tcPr>
          <w:p w14:paraId="16C4298A" w14:textId="5CB1A204" w:rsidR="006E5533" w:rsidRPr="00A77951" w:rsidRDefault="006E5533" w:rsidP="006E5533">
            <w:pPr>
              <w:spacing w:line="360" w:lineRule="auto"/>
              <w:contextualSpacing/>
              <w:rPr>
                <w:rFonts w:ascii="Arial" w:hAnsi="Arial" w:cs="Arial"/>
                <w:sz w:val="15"/>
                <w:szCs w:val="15"/>
              </w:rPr>
            </w:pPr>
            <w:hyperlink r:id="rId41" w:history="1">
              <w:r w:rsidRPr="00A77951">
                <w:rPr>
                  <w:rStyle w:val="Hyperlink"/>
                  <w:rFonts w:ascii="Arial" w:hAnsi="Arial" w:cs="Arial"/>
                  <w:sz w:val="15"/>
                  <w:szCs w:val="15"/>
                </w:rPr>
                <w:t>10.3171/2012.</w:t>
              </w:r>
              <w:proofErr w:type="gramStart"/>
              <w:r w:rsidRPr="00A77951">
                <w:rPr>
                  <w:rStyle w:val="Hyperlink"/>
                  <w:rFonts w:ascii="Arial" w:hAnsi="Arial" w:cs="Arial"/>
                  <w:sz w:val="15"/>
                  <w:szCs w:val="15"/>
                </w:rPr>
                <w:t>10.JNS</w:t>
              </w:r>
              <w:proofErr w:type="gramEnd"/>
              <w:r w:rsidRPr="00A77951">
                <w:rPr>
                  <w:rStyle w:val="Hyperlink"/>
                  <w:rFonts w:ascii="Arial" w:hAnsi="Arial" w:cs="Arial"/>
                  <w:sz w:val="15"/>
                  <w:szCs w:val="15"/>
                </w:rPr>
                <w:t>12305</w:t>
              </w:r>
            </w:hyperlink>
          </w:p>
        </w:tc>
        <w:tc>
          <w:tcPr>
            <w:tcW w:w="851" w:type="dxa"/>
          </w:tcPr>
          <w:p w14:paraId="7A3A79AE" w14:textId="1EEC6E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05B03D8" w14:textId="6F672F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EAF4438" w14:textId="64876943"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14D8EE84" w14:textId="39DE27C0"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Other (Chiari malformation decompression)</w:t>
            </w:r>
          </w:p>
        </w:tc>
        <w:tc>
          <w:tcPr>
            <w:tcW w:w="1843" w:type="dxa"/>
          </w:tcPr>
          <w:p w14:paraId="1AA7C69F" w14:textId="77777777"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t>To</w:t>
            </w:r>
            <w:r w:rsidRPr="00251EA9">
              <w:rPr>
                <w:rFonts w:ascii="Arial" w:hAnsi="Arial" w:cs="Arial"/>
                <w:sz w:val="15"/>
                <w:szCs w:val="15"/>
              </w:rPr>
              <w:t xml:space="preserve"> show the relationship between clinical outcome in patients who underwent surgical</w:t>
            </w:r>
          </w:p>
          <w:p w14:paraId="6142ED15" w14:textId="317B7B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decompression for Chiari malformation (CM) and postoperative imaging studies, with particular emphasis on the</w:t>
            </w:r>
            <w:r>
              <w:rPr>
                <w:rFonts w:ascii="Arial" w:hAnsi="Arial" w:cs="Arial"/>
                <w:sz w:val="15"/>
                <w:szCs w:val="15"/>
              </w:rPr>
              <w:t xml:space="preserve"> </w:t>
            </w:r>
            <w:r w:rsidRPr="00251EA9">
              <w:rPr>
                <w:rFonts w:ascii="Arial" w:hAnsi="Arial" w:cs="Arial"/>
                <w:sz w:val="15"/>
                <w:szCs w:val="15"/>
              </w:rPr>
              <w:t>subarachnoid cisterns of the posterior fossa.</w:t>
            </w:r>
          </w:p>
        </w:tc>
        <w:tc>
          <w:tcPr>
            <w:tcW w:w="1134" w:type="dxa"/>
          </w:tcPr>
          <w:p w14:paraId="5F8E2222" w14:textId="77777777" w:rsidR="006E5533" w:rsidRPr="00251EA9" w:rsidRDefault="006E5533" w:rsidP="006E5533">
            <w:pPr>
              <w:spacing w:line="360" w:lineRule="auto"/>
              <w:contextualSpacing/>
              <w:rPr>
                <w:rFonts w:ascii="Arial" w:hAnsi="Arial" w:cs="Arial"/>
                <w:color w:val="000000" w:themeColor="text1"/>
                <w:sz w:val="15"/>
                <w:szCs w:val="15"/>
              </w:rPr>
            </w:pPr>
          </w:p>
        </w:tc>
        <w:tc>
          <w:tcPr>
            <w:tcW w:w="992" w:type="dxa"/>
          </w:tcPr>
          <w:p w14:paraId="6AC05495" w14:textId="69392C3A"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6F79B6FC" w14:textId="51628DCD"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2B6DE01A" w14:textId="4CE6DE6B"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0 wound infections reported</w:t>
            </w:r>
          </w:p>
        </w:tc>
        <w:tc>
          <w:tcPr>
            <w:tcW w:w="1701" w:type="dxa"/>
          </w:tcPr>
          <w:p w14:paraId="313B1758" w14:textId="4FEF8CC1"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6E5533" w:rsidRPr="00251EA9" w14:paraId="217C6ADD" w14:textId="77777777" w:rsidTr="00A77951">
        <w:trPr>
          <w:trHeight w:val="586"/>
        </w:trPr>
        <w:tc>
          <w:tcPr>
            <w:tcW w:w="992" w:type="dxa"/>
          </w:tcPr>
          <w:p w14:paraId="1F5C753B" w14:textId="6E4577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Baum G.R. et al., 2017</w:t>
            </w:r>
          </w:p>
        </w:tc>
        <w:tc>
          <w:tcPr>
            <w:tcW w:w="851" w:type="dxa"/>
          </w:tcPr>
          <w:p w14:paraId="3460DB6E" w14:textId="25A14C05" w:rsidR="006E5533" w:rsidRPr="00A77951" w:rsidRDefault="006E5533" w:rsidP="006E5533">
            <w:pPr>
              <w:spacing w:line="360" w:lineRule="auto"/>
              <w:contextualSpacing/>
              <w:rPr>
                <w:rFonts w:ascii="Arial" w:hAnsi="Arial" w:cs="Arial"/>
                <w:sz w:val="15"/>
                <w:szCs w:val="15"/>
              </w:rPr>
            </w:pPr>
            <w:hyperlink r:id="rId42" w:history="1">
              <w:r w:rsidRPr="00A77951">
                <w:rPr>
                  <w:rStyle w:val="Hyperlink"/>
                  <w:rFonts w:ascii="Arial" w:hAnsi="Arial" w:cs="Arial"/>
                  <w:sz w:val="15"/>
                  <w:szCs w:val="15"/>
                </w:rPr>
                <w:t>10.3171/2016.</w:t>
              </w:r>
              <w:proofErr w:type="gramStart"/>
              <w:r w:rsidRPr="00A77951">
                <w:rPr>
                  <w:rStyle w:val="Hyperlink"/>
                  <w:rFonts w:ascii="Arial" w:hAnsi="Arial" w:cs="Arial"/>
                  <w:sz w:val="15"/>
                  <w:szCs w:val="15"/>
                </w:rPr>
                <w:t>9.JNS</w:t>
              </w:r>
              <w:proofErr w:type="gramEnd"/>
              <w:r w:rsidRPr="00A77951">
                <w:rPr>
                  <w:rStyle w:val="Hyperlink"/>
                  <w:rFonts w:ascii="Arial" w:hAnsi="Arial" w:cs="Arial"/>
                  <w:sz w:val="15"/>
                  <w:szCs w:val="15"/>
                </w:rPr>
                <w:t>16367</w:t>
              </w:r>
            </w:hyperlink>
          </w:p>
        </w:tc>
        <w:tc>
          <w:tcPr>
            <w:tcW w:w="851" w:type="dxa"/>
          </w:tcPr>
          <w:p w14:paraId="390A27C9" w14:textId="266884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5A50B35" w14:textId="248A31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7ABCB25" w14:textId="4F1493E1"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549D0A94" w14:textId="5B084301"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27ABBC30" w14:textId="6CD836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survey the neurosurgical community and determine the most frequent EVD insertion practices.</w:t>
            </w:r>
          </w:p>
        </w:tc>
        <w:tc>
          <w:tcPr>
            <w:tcW w:w="1134" w:type="dxa"/>
          </w:tcPr>
          <w:p w14:paraId="025F50E9" w14:textId="3DB0B7D4" w:rsidR="006E5533" w:rsidRPr="00251EA9" w:rsidRDefault="006E5533" w:rsidP="006E5533">
            <w:pPr>
              <w:spacing w:line="360" w:lineRule="auto"/>
              <w:contextualSpacing/>
              <w:rPr>
                <w:rFonts w:ascii="Arial" w:hAnsi="Arial" w:cs="Arial"/>
                <w:color w:val="000000" w:themeColor="text1"/>
                <w:sz w:val="15"/>
                <w:szCs w:val="15"/>
              </w:rPr>
            </w:pPr>
          </w:p>
        </w:tc>
        <w:tc>
          <w:tcPr>
            <w:tcW w:w="992" w:type="dxa"/>
          </w:tcPr>
          <w:p w14:paraId="1DAFBB76" w14:textId="086A06FA"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79B755EA" w14:textId="4B931DC3"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0967DDC2" w14:textId="4E95ED6A" w:rsidR="006E5533" w:rsidRPr="00251EA9" w:rsidRDefault="006E5533" w:rsidP="006E5533">
            <w:pPr>
              <w:rPr>
                <w:rFonts w:ascii="Arial" w:hAnsi="Arial" w:cs="Arial"/>
                <w:color w:val="000000" w:themeColor="text1"/>
                <w:sz w:val="15"/>
                <w:szCs w:val="15"/>
              </w:rPr>
            </w:pPr>
            <w:proofErr w:type="gramStart"/>
            <w:r w:rsidRPr="00251EA9">
              <w:rPr>
                <w:rFonts w:ascii="Arial" w:hAnsi="Arial" w:cs="Arial"/>
                <w:color w:val="000000" w:themeColor="text1"/>
                <w:sz w:val="15"/>
                <w:szCs w:val="15"/>
              </w:rPr>
              <w:t>The majority of</w:t>
            </w:r>
            <w:proofErr w:type="gramEnd"/>
            <w:r w:rsidRPr="00251EA9">
              <w:rPr>
                <w:rFonts w:ascii="Arial" w:hAnsi="Arial" w:cs="Arial"/>
                <w:color w:val="000000" w:themeColor="text1"/>
                <w:sz w:val="15"/>
                <w:szCs w:val="15"/>
              </w:rPr>
              <w:t xml:space="preserve"> responders considered a positive CSF culture (42.4%) and positive CSF Gram stain (34.0%) to be the most significant indicators of infection.</w:t>
            </w:r>
          </w:p>
        </w:tc>
        <w:tc>
          <w:tcPr>
            <w:tcW w:w="1701" w:type="dxa"/>
          </w:tcPr>
          <w:p w14:paraId="70B316BE" w14:textId="72AEE022"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6E5533" w:rsidRPr="00251EA9" w14:paraId="3E63547F" w14:textId="77777777" w:rsidTr="00A77951">
        <w:trPr>
          <w:trHeight w:val="586"/>
        </w:trPr>
        <w:tc>
          <w:tcPr>
            <w:tcW w:w="992" w:type="dxa"/>
          </w:tcPr>
          <w:p w14:paraId="5B88DAC8" w14:textId="34B9B8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Beckman J</w:t>
            </w:r>
            <w:r>
              <w:rPr>
                <w:rFonts w:ascii="Arial" w:hAnsi="Arial" w:cs="Arial"/>
                <w:sz w:val="15"/>
                <w:szCs w:val="15"/>
              </w:rPr>
              <w:t>.</w:t>
            </w:r>
            <w:r w:rsidRPr="00251EA9">
              <w:rPr>
                <w:rFonts w:ascii="Arial" w:hAnsi="Arial" w:cs="Arial"/>
                <w:sz w:val="15"/>
                <w:szCs w:val="15"/>
              </w:rPr>
              <w:t xml:space="preserve"> et al.</w:t>
            </w:r>
            <w:r>
              <w:rPr>
                <w:rFonts w:ascii="Arial" w:hAnsi="Arial" w:cs="Arial"/>
                <w:sz w:val="15"/>
                <w:szCs w:val="15"/>
              </w:rPr>
              <w:t>,</w:t>
            </w:r>
            <w:r w:rsidRPr="00251EA9">
              <w:rPr>
                <w:rFonts w:ascii="Arial" w:hAnsi="Arial" w:cs="Arial"/>
                <w:sz w:val="15"/>
                <w:szCs w:val="15"/>
              </w:rPr>
              <w:t xml:space="preserve"> 2015</w:t>
            </w:r>
          </w:p>
        </w:tc>
        <w:tc>
          <w:tcPr>
            <w:tcW w:w="851" w:type="dxa"/>
          </w:tcPr>
          <w:p w14:paraId="55A2645A" w14:textId="37EE2A1E" w:rsidR="006E5533" w:rsidRPr="00A77951" w:rsidRDefault="006E5533" w:rsidP="006E5533">
            <w:pPr>
              <w:spacing w:line="360" w:lineRule="auto"/>
              <w:contextualSpacing/>
              <w:rPr>
                <w:rFonts w:ascii="Arial" w:hAnsi="Arial" w:cs="Arial"/>
                <w:sz w:val="15"/>
                <w:szCs w:val="15"/>
              </w:rPr>
            </w:pPr>
            <w:hyperlink r:id="rId43"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12.PEDS</w:t>
              </w:r>
              <w:proofErr w:type="gramEnd"/>
              <w:r w:rsidRPr="00A77951">
                <w:rPr>
                  <w:rStyle w:val="Hyperlink"/>
                  <w:rFonts w:ascii="Arial" w:hAnsi="Arial" w:cs="Arial"/>
                  <w:sz w:val="15"/>
                  <w:szCs w:val="15"/>
                </w:rPr>
                <w:t>13675</w:t>
              </w:r>
            </w:hyperlink>
          </w:p>
        </w:tc>
        <w:tc>
          <w:tcPr>
            <w:tcW w:w="851" w:type="dxa"/>
          </w:tcPr>
          <w:p w14:paraId="2C3E0998" w14:textId="6731EE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302C503" w14:textId="197AD4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C4CF827" w14:textId="5E277B47"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w:t>
            </w:r>
          </w:p>
        </w:tc>
        <w:tc>
          <w:tcPr>
            <w:tcW w:w="1276" w:type="dxa"/>
          </w:tcPr>
          <w:p w14:paraId="2FD8D7DF" w14:textId="47A0FDB2"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Paediatric</w:t>
            </w:r>
          </w:p>
        </w:tc>
        <w:tc>
          <w:tcPr>
            <w:tcW w:w="1843" w:type="dxa"/>
          </w:tcPr>
          <w:p w14:paraId="330AE877" w14:textId="77777777"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t>To</w:t>
            </w:r>
            <w:r w:rsidRPr="00251EA9">
              <w:rPr>
                <w:rFonts w:ascii="Arial" w:hAnsi="Arial" w:cs="Arial"/>
                <w:sz w:val="15"/>
                <w:szCs w:val="15"/>
              </w:rPr>
              <w:t xml:space="preserve"> evaluate the effectiveness of concentrated bacitracin</w:t>
            </w:r>
          </w:p>
          <w:p w14:paraId="2CDE487A" w14:textId="4484EF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powder applied directly to wounds prior to closure during cranial shunt surgery and to evaluate the association between</w:t>
            </w:r>
            <w:r>
              <w:rPr>
                <w:rFonts w:ascii="Arial" w:hAnsi="Arial" w:cs="Arial"/>
                <w:sz w:val="15"/>
                <w:szCs w:val="15"/>
              </w:rPr>
              <w:t xml:space="preserve"> </w:t>
            </w:r>
            <w:r w:rsidRPr="00251EA9">
              <w:rPr>
                <w:rFonts w:ascii="Arial" w:hAnsi="Arial" w:cs="Arial"/>
                <w:sz w:val="15"/>
                <w:szCs w:val="15"/>
              </w:rPr>
              <w:t xml:space="preserve">shunt infection and other risk factors. </w:t>
            </w:r>
          </w:p>
        </w:tc>
        <w:tc>
          <w:tcPr>
            <w:tcW w:w="1134" w:type="dxa"/>
          </w:tcPr>
          <w:p w14:paraId="668F2837" w14:textId="3AED8BE3" w:rsidR="006E5533" w:rsidRPr="00251EA9" w:rsidRDefault="006E5533" w:rsidP="006E5533">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Bacitracin powder application</w:t>
            </w:r>
          </w:p>
        </w:tc>
        <w:tc>
          <w:tcPr>
            <w:tcW w:w="992" w:type="dxa"/>
          </w:tcPr>
          <w:p w14:paraId="1D06B327" w14:textId="466B6B15"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2513AB99" w14:textId="3AFC4BD7"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7BF639DD" w14:textId="77777777"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A total of 47 infections out of 539 shunt operations occurred during the study period, resulting in an overall</w:t>
            </w:r>
          </w:p>
          <w:p w14:paraId="7EAACA8B" w14:textId="3016CD6B"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infection rate of 8.7%.</w:t>
            </w:r>
          </w:p>
        </w:tc>
        <w:tc>
          <w:tcPr>
            <w:tcW w:w="1701" w:type="dxa"/>
          </w:tcPr>
          <w:p w14:paraId="79293F03" w14:textId="48E5219E"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6E5533" w:rsidRPr="00251EA9" w14:paraId="163989C4" w14:textId="77777777" w:rsidTr="00A77951">
        <w:trPr>
          <w:trHeight w:val="586"/>
        </w:trPr>
        <w:tc>
          <w:tcPr>
            <w:tcW w:w="992" w:type="dxa"/>
          </w:tcPr>
          <w:p w14:paraId="36B205F5" w14:textId="39567DA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Bekar</w:t>
            </w:r>
            <w:proofErr w:type="spellEnd"/>
            <w:r w:rsidRPr="00251EA9">
              <w:rPr>
                <w:rFonts w:ascii="Arial" w:hAnsi="Arial" w:cs="Arial"/>
                <w:sz w:val="15"/>
                <w:szCs w:val="15"/>
              </w:rPr>
              <w:t xml:space="preserve"> A</w:t>
            </w:r>
            <w:r>
              <w:rPr>
                <w:rFonts w:ascii="Arial" w:hAnsi="Arial" w:cs="Arial"/>
                <w:sz w:val="15"/>
                <w:szCs w:val="15"/>
              </w:rPr>
              <w:t>.</w:t>
            </w:r>
            <w:r w:rsidRPr="00251EA9">
              <w:rPr>
                <w:rFonts w:ascii="Arial" w:hAnsi="Arial" w:cs="Arial"/>
                <w:sz w:val="15"/>
                <w:szCs w:val="15"/>
              </w:rPr>
              <w:t xml:space="preserve"> et al.</w:t>
            </w:r>
            <w:r>
              <w:rPr>
                <w:rFonts w:ascii="Arial" w:hAnsi="Arial" w:cs="Arial"/>
                <w:sz w:val="15"/>
                <w:szCs w:val="15"/>
              </w:rPr>
              <w:t>,</w:t>
            </w:r>
            <w:r w:rsidRPr="00251EA9">
              <w:rPr>
                <w:rFonts w:ascii="Arial" w:hAnsi="Arial" w:cs="Arial"/>
                <w:sz w:val="15"/>
                <w:szCs w:val="15"/>
              </w:rPr>
              <w:t xml:space="preserve"> 2001</w:t>
            </w:r>
          </w:p>
        </w:tc>
        <w:tc>
          <w:tcPr>
            <w:tcW w:w="851" w:type="dxa"/>
          </w:tcPr>
          <w:p w14:paraId="199FE8E0" w14:textId="46D2939F" w:rsidR="006E5533" w:rsidRPr="00A77951" w:rsidRDefault="006E5533" w:rsidP="006E5533">
            <w:pPr>
              <w:spacing w:line="360" w:lineRule="auto"/>
              <w:contextualSpacing/>
              <w:rPr>
                <w:rFonts w:ascii="Arial" w:hAnsi="Arial" w:cs="Arial"/>
                <w:sz w:val="15"/>
                <w:szCs w:val="15"/>
              </w:rPr>
            </w:pPr>
            <w:hyperlink r:id="rId44" w:history="1">
              <w:r w:rsidRPr="00A77951">
                <w:rPr>
                  <w:rStyle w:val="Hyperlink"/>
                  <w:rFonts w:ascii="Arial" w:hAnsi="Arial" w:cs="Arial"/>
                  <w:sz w:val="15"/>
                  <w:szCs w:val="15"/>
                </w:rPr>
                <w:t>10.1007/s007010170057</w:t>
              </w:r>
            </w:hyperlink>
          </w:p>
        </w:tc>
        <w:tc>
          <w:tcPr>
            <w:tcW w:w="851" w:type="dxa"/>
          </w:tcPr>
          <w:p w14:paraId="669B552E" w14:textId="65E87E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Turkey</w:t>
            </w:r>
          </w:p>
        </w:tc>
        <w:tc>
          <w:tcPr>
            <w:tcW w:w="1134" w:type="dxa"/>
          </w:tcPr>
          <w:p w14:paraId="701FA2FE" w14:textId="0BA899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8BCEFF3" w14:textId="09D36813"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reported, likely adult cohort</w:t>
            </w:r>
          </w:p>
        </w:tc>
        <w:tc>
          <w:tcPr>
            <w:tcW w:w="1276" w:type="dxa"/>
          </w:tcPr>
          <w:p w14:paraId="534DF28D" w14:textId="248F7968"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 xml:space="preserve">General neurosurgical (all cranial </w:t>
            </w:r>
            <w:r w:rsidRPr="00251EA9">
              <w:rPr>
                <w:rFonts w:ascii="Arial" w:hAnsi="Arial" w:cs="Arial"/>
                <w:color w:val="000000" w:themeColor="text1"/>
                <w:sz w:val="15"/>
                <w:szCs w:val="15"/>
              </w:rPr>
              <w:lastRenderedPageBreak/>
              <w:t>neurosurgical procedures)</w:t>
            </w:r>
          </w:p>
        </w:tc>
        <w:tc>
          <w:tcPr>
            <w:tcW w:w="1843" w:type="dxa"/>
          </w:tcPr>
          <w:p w14:paraId="705EEAAE" w14:textId="13FC844D"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lastRenderedPageBreak/>
              <w:t>To</w:t>
            </w:r>
            <w:r w:rsidRPr="00251EA9">
              <w:rPr>
                <w:rFonts w:ascii="Arial" w:hAnsi="Arial" w:cs="Arial"/>
                <w:sz w:val="15"/>
                <w:szCs w:val="15"/>
              </w:rPr>
              <w:t xml:space="preserve"> assess whether this change</w:t>
            </w:r>
            <w:r>
              <w:rPr>
                <w:rFonts w:ascii="Arial" w:hAnsi="Arial" w:cs="Arial"/>
                <w:sz w:val="15"/>
                <w:szCs w:val="15"/>
              </w:rPr>
              <w:t xml:space="preserve"> </w:t>
            </w:r>
            <w:r w:rsidRPr="00251EA9">
              <w:rPr>
                <w:rFonts w:ascii="Arial" w:hAnsi="Arial" w:cs="Arial"/>
                <w:sz w:val="15"/>
                <w:szCs w:val="15"/>
              </w:rPr>
              <w:t xml:space="preserve">in routine, which was implemented in 1992, has affected the </w:t>
            </w:r>
            <w:r w:rsidRPr="00251EA9">
              <w:rPr>
                <w:rFonts w:ascii="Arial" w:hAnsi="Arial" w:cs="Arial"/>
                <w:sz w:val="15"/>
                <w:szCs w:val="15"/>
              </w:rPr>
              <w:lastRenderedPageBreak/>
              <w:t>rate of</w:t>
            </w:r>
            <w:r>
              <w:rPr>
                <w:rFonts w:ascii="Arial" w:hAnsi="Arial" w:cs="Arial"/>
                <w:sz w:val="15"/>
                <w:szCs w:val="15"/>
              </w:rPr>
              <w:t xml:space="preserve"> </w:t>
            </w:r>
            <w:r w:rsidRPr="00251EA9">
              <w:rPr>
                <w:rFonts w:ascii="Arial" w:hAnsi="Arial" w:cs="Arial"/>
                <w:sz w:val="15"/>
                <w:szCs w:val="15"/>
              </w:rPr>
              <w:t>postoperative infection in our cranial surgery patients.</w:t>
            </w:r>
          </w:p>
        </w:tc>
        <w:tc>
          <w:tcPr>
            <w:tcW w:w="1134" w:type="dxa"/>
          </w:tcPr>
          <w:p w14:paraId="045DFECA" w14:textId="77777777" w:rsidR="006E5533" w:rsidRPr="00251EA9" w:rsidRDefault="006E5533" w:rsidP="006E5533">
            <w:pPr>
              <w:spacing w:line="360" w:lineRule="auto"/>
              <w:contextualSpacing/>
              <w:rPr>
                <w:rFonts w:ascii="Arial" w:hAnsi="Arial" w:cs="Arial"/>
                <w:color w:val="000000" w:themeColor="text1"/>
                <w:sz w:val="15"/>
                <w:szCs w:val="15"/>
              </w:rPr>
            </w:pPr>
          </w:p>
        </w:tc>
        <w:tc>
          <w:tcPr>
            <w:tcW w:w="992" w:type="dxa"/>
          </w:tcPr>
          <w:p w14:paraId="25043C50" w14:textId="26C319AD"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2E8A93FE" w14:textId="4945D28A" w:rsidR="006E5533" w:rsidRPr="00251EA9" w:rsidRDefault="003C282B" w:rsidP="006E5533">
            <w:pPr>
              <w:spacing w:line="360" w:lineRule="auto"/>
              <w:contextualSpacing/>
              <w:rPr>
                <w:rFonts w:ascii="Arial" w:hAnsi="Arial" w:cs="Arial"/>
                <w:color w:val="000000" w:themeColor="text1"/>
                <w:sz w:val="15"/>
                <w:szCs w:val="15"/>
              </w:rPr>
            </w:pPr>
            <w:r>
              <w:rPr>
                <w:rFonts w:ascii="Arial" w:hAnsi="Arial" w:cs="Arial"/>
                <w:color w:val="000000" w:themeColor="text1"/>
                <w:sz w:val="15"/>
                <w:szCs w:val="15"/>
              </w:rPr>
              <w:t>CDC guidelines</w:t>
            </w:r>
          </w:p>
        </w:tc>
        <w:tc>
          <w:tcPr>
            <w:tcW w:w="2693" w:type="dxa"/>
          </w:tcPr>
          <w:p w14:paraId="1C65C1E9" w14:textId="77777777" w:rsidR="006E5533" w:rsidRPr="00251EA9" w:rsidRDefault="006E5533" w:rsidP="006E5533">
            <w:pPr>
              <w:rPr>
                <w:rFonts w:ascii="Arial" w:hAnsi="Arial" w:cs="Arial"/>
                <w:color w:val="000000" w:themeColor="text1"/>
                <w:sz w:val="15"/>
                <w:szCs w:val="15"/>
              </w:rPr>
            </w:pPr>
            <w:r>
              <w:rPr>
                <w:rFonts w:ascii="Arial" w:hAnsi="Arial" w:cs="Arial"/>
                <w:color w:val="000000" w:themeColor="text1"/>
                <w:sz w:val="15"/>
                <w:szCs w:val="15"/>
              </w:rPr>
              <w:t>Reported</w:t>
            </w:r>
            <w:r w:rsidRPr="00251EA9">
              <w:rPr>
                <w:rFonts w:ascii="Arial" w:hAnsi="Arial" w:cs="Arial"/>
                <w:color w:val="000000" w:themeColor="text1"/>
                <w:sz w:val="15"/>
                <w:szCs w:val="15"/>
              </w:rPr>
              <w:t xml:space="preserve"> 13 postoperative wound infections (1.25%), including 9 deep (0.87%) and 4 superficial infections (0.39%). There was no significant difference between the rate</w:t>
            </w:r>
            <w:r>
              <w:rPr>
                <w:rFonts w:ascii="Arial" w:hAnsi="Arial" w:cs="Arial"/>
                <w:color w:val="000000" w:themeColor="text1"/>
                <w:sz w:val="15"/>
                <w:szCs w:val="15"/>
              </w:rPr>
              <w:t xml:space="preserve"> </w:t>
            </w:r>
            <w:r w:rsidRPr="00251EA9">
              <w:rPr>
                <w:rFonts w:ascii="Arial" w:hAnsi="Arial" w:cs="Arial"/>
                <w:color w:val="000000" w:themeColor="text1"/>
                <w:sz w:val="15"/>
                <w:szCs w:val="15"/>
              </w:rPr>
              <w:t xml:space="preserve">of </w:t>
            </w:r>
            <w:r w:rsidRPr="00251EA9">
              <w:rPr>
                <w:rFonts w:ascii="Arial" w:hAnsi="Arial" w:cs="Arial"/>
                <w:color w:val="000000" w:themeColor="text1"/>
                <w:sz w:val="15"/>
                <w:szCs w:val="15"/>
              </w:rPr>
              <w:lastRenderedPageBreak/>
              <w:t>infection in patients whose heads were shaven (12/980) and the</w:t>
            </w:r>
          </w:p>
          <w:p w14:paraId="06CCCD68" w14:textId="77777777"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rate in those whose hair was spared (13/1038).</w:t>
            </w:r>
          </w:p>
          <w:p w14:paraId="155C4354" w14:textId="0132FECD" w:rsidR="006E5533" w:rsidRPr="00251EA9" w:rsidRDefault="006E5533" w:rsidP="006E5533">
            <w:pPr>
              <w:rPr>
                <w:rFonts w:ascii="Arial" w:hAnsi="Arial" w:cs="Arial"/>
                <w:color w:val="000000" w:themeColor="text1"/>
                <w:sz w:val="15"/>
                <w:szCs w:val="15"/>
              </w:rPr>
            </w:pPr>
          </w:p>
        </w:tc>
        <w:tc>
          <w:tcPr>
            <w:tcW w:w="1701" w:type="dxa"/>
          </w:tcPr>
          <w:p w14:paraId="0F8FAF02" w14:textId="26B084B0"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lastRenderedPageBreak/>
              <w:t>No</w:t>
            </w:r>
          </w:p>
        </w:tc>
      </w:tr>
      <w:tr w:rsidR="006E5533" w:rsidRPr="00251EA9" w14:paraId="6F4B0C64" w14:textId="77777777" w:rsidTr="00A77951">
        <w:trPr>
          <w:trHeight w:val="586"/>
        </w:trPr>
        <w:tc>
          <w:tcPr>
            <w:tcW w:w="992" w:type="dxa"/>
          </w:tcPr>
          <w:p w14:paraId="052EAB47" w14:textId="5A62552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Bekelis</w:t>
            </w:r>
            <w:proofErr w:type="spellEnd"/>
            <w:r w:rsidRPr="00251EA9">
              <w:rPr>
                <w:rFonts w:ascii="Arial" w:hAnsi="Arial" w:cs="Arial"/>
                <w:sz w:val="15"/>
                <w:szCs w:val="15"/>
              </w:rPr>
              <w:t xml:space="preserve"> K</w:t>
            </w:r>
            <w:r>
              <w:rPr>
                <w:rFonts w:ascii="Arial" w:hAnsi="Arial" w:cs="Arial"/>
                <w:sz w:val="15"/>
                <w:szCs w:val="15"/>
              </w:rPr>
              <w:t>.</w:t>
            </w:r>
            <w:r w:rsidRPr="00251EA9">
              <w:rPr>
                <w:rFonts w:ascii="Arial" w:hAnsi="Arial" w:cs="Arial"/>
                <w:sz w:val="15"/>
                <w:szCs w:val="15"/>
              </w:rPr>
              <w:t xml:space="preserve"> et al.</w:t>
            </w:r>
            <w:r>
              <w:rPr>
                <w:rFonts w:ascii="Arial" w:hAnsi="Arial" w:cs="Arial"/>
                <w:sz w:val="15"/>
                <w:szCs w:val="15"/>
              </w:rPr>
              <w:t>,</w:t>
            </w:r>
            <w:r w:rsidRPr="00251EA9">
              <w:rPr>
                <w:rFonts w:ascii="Arial" w:hAnsi="Arial" w:cs="Arial"/>
                <w:sz w:val="15"/>
                <w:szCs w:val="15"/>
              </w:rPr>
              <w:t xml:space="preserve"> 2015</w:t>
            </w:r>
          </w:p>
        </w:tc>
        <w:tc>
          <w:tcPr>
            <w:tcW w:w="851" w:type="dxa"/>
          </w:tcPr>
          <w:p w14:paraId="2286C3B7" w14:textId="1776029F" w:rsidR="006E5533" w:rsidRPr="00A77951" w:rsidRDefault="006E5533" w:rsidP="006E5533">
            <w:pPr>
              <w:spacing w:line="360" w:lineRule="auto"/>
              <w:contextualSpacing/>
              <w:rPr>
                <w:rFonts w:ascii="Arial" w:hAnsi="Arial" w:cs="Arial"/>
                <w:sz w:val="15"/>
                <w:szCs w:val="15"/>
              </w:rPr>
            </w:pPr>
            <w:hyperlink r:id="rId45" w:history="1">
              <w:r w:rsidRPr="00A77951">
                <w:rPr>
                  <w:rStyle w:val="Hyperlink"/>
                  <w:rFonts w:ascii="Arial" w:hAnsi="Arial" w:cs="Arial"/>
                  <w:sz w:val="15"/>
                  <w:szCs w:val="15"/>
                </w:rPr>
                <w:t>10.1016/j.wneu.2015.02.032</w:t>
              </w:r>
            </w:hyperlink>
          </w:p>
        </w:tc>
        <w:tc>
          <w:tcPr>
            <w:tcW w:w="851" w:type="dxa"/>
          </w:tcPr>
          <w:p w14:paraId="6A6D86C0" w14:textId="73B638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6D76A4A" w14:textId="17003A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1155A00" w14:textId="16C69F8A"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7B2A5F8E" w14:textId="1419A2A7"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23A0B536" w14:textId="26114A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attempt to create a predictive model of complications in patients undergoing benign intracranial tumour resection.</w:t>
            </w:r>
          </w:p>
        </w:tc>
        <w:tc>
          <w:tcPr>
            <w:tcW w:w="1134" w:type="dxa"/>
          </w:tcPr>
          <w:p w14:paraId="67549E60" w14:textId="77777777" w:rsidR="006E5533" w:rsidRPr="00251EA9" w:rsidRDefault="006E5533" w:rsidP="006E5533">
            <w:pPr>
              <w:spacing w:line="360" w:lineRule="auto"/>
              <w:contextualSpacing/>
              <w:rPr>
                <w:rFonts w:ascii="Arial" w:hAnsi="Arial" w:cs="Arial"/>
                <w:color w:val="000000" w:themeColor="text1"/>
                <w:sz w:val="15"/>
                <w:szCs w:val="15"/>
              </w:rPr>
            </w:pPr>
          </w:p>
        </w:tc>
        <w:tc>
          <w:tcPr>
            <w:tcW w:w="992" w:type="dxa"/>
          </w:tcPr>
          <w:p w14:paraId="344CA6D6" w14:textId="36CF8B9B"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7BA93109" w14:textId="47C4CF5E"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24CB298C" w14:textId="645411E7"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 xml:space="preserve">“The respective inpatient postoperative risks were 1.3% for death, 22.7% for </w:t>
            </w:r>
            <w:proofErr w:type="spellStart"/>
            <w:r w:rsidRPr="00251EA9">
              <w:rPr>
                <w:rFonts w:ascii="Arial" w:hAnsi="Arial" w:cs="Arial"/>
                <w:color w:val="000000" w:themeColor="text1"/>
                <w:sz w:val="15"/>
                <w:szCs w:val="15"/>
              </w:rPr>
              <w:t>unfavorable</w:t>
            </w:r>
            <w:proofErr w:type="spellEnd"/>
            <w:r w:rsidRPr="00251EA9">
              <w:rPr>
                <w:rFonts w:ascii="Arial" w:hAnsi="Arial" w:cs="Arial"/>
                <w:color w:val="000000" w:themeColor="text1"/>
                <w:sz w:val="15"/>
                <w:szCs w:val="15"/>
              </w:rPr>
              <w:t xml:space="preserve"> discharge, 4.2% for treated hydrocephalus, 1.1% for cardiac complications, 0.9% for respiratory complications, 0.5% for wound infection, 0.5% for DVT, 2.3% for PE, and 1.5% for ARF.”</w:t>
            </w:r>
          </w:p>
        </w:tc>
        <w:tc>
          <w:tcPr>
            <w:tcW w:w="1701" w:type="dxa"/>
          </w:tcPr>
          <w:p w14:paraId="21059C54" w14:textId="0EC57F73"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6E5533" w:rsidRPr="00251EA9" w14:paraId="08909B20" w14:textId="77777777" w:rsidTr="00A77951">
        <w:trPr>
          <w:trHeight w:val="586"/>
        </w:trPr>
        <w:tc>
          <w:tcPr>
            <w:tcW w:w="992" w:type="dxa"/>
          </w:tcPr>
          <w:p w14:paraId="1E728CBB" w14:textId="41F7901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Bekelis</w:t>
            </w:r>
            <w:proofErr w:type="spellEnd"/>
            <w:r w:rsidRPr="00251EA9">
              <w:rPr>
                <w:rFonts w:ascii="Arial" w:hAnsi="Arial" w:cs="Arial"/>
                <w:sz w:val="15"/>
                <w:szCs w:val="15"/>
              </w:rPr>
              <w:t xml:space="preserve"> K</w:t>
            </w:r>
            <w:r>
              <w:rPr>
                <w:rFonts w:ascii="Arial" w:hAnsi="Arial" w:cs="Arial"/>
                <w:sz w:val="15"/>
                <w:szCs w:val="15"/>
              </w:rPr>
              <w:t>.</w:t>
            </w:r>
            <w:r w:rsidRPr="00251EA9">
              <w:rPr>
                <w:rFonts w:ascii="Arial" w:hAnsi="Arial" w:cs="Arial"/>
                <w:sz w:val="15"/>
                <w:szCs w:val="15"/>
              </w:rPr>
              <w:t xml:space="preserve"> et al.</w:t>
            </w:r>
            <w:r>
              <w:rPr>
                <w:rFonts w:ascii="Arial" w:hAnsi="Arial" w:cs="Arial"/>
                <w:sz w:val="15"/>
                <w:szCs w:val="15"/>
              </w:rPr>
              <w:t>,</w:t>
            </w:r>
            <w:r w:rsidRPr="00251EA9">
              <w:rPr>
                <w:rFonts w:ascii="Arial" w:hAnsi="Arial" w:cs="Arial"/>
                <w:sz w:val="15"/>
                <w:szCs w:val="15"/>
              </w:rPr>
              <w:t xml:space="preserve"> 2017</w:t>
            </w:r>
          </w:p>
        </w:tc>
        <w:tc>
          <w:tcPr>
            <w:tcW w:w="851" w:type="dxa"/>
          </w:tcPr>
          <w:p w14:paraId="08F60F33" w14:textId="254F48A8" w:rsidR="006E5533" w:rsidRPr="00A77951" w:rsidRDefault="006E5533" w:rsidP="006E5533">
            <w:pPr>
              <w:spacing w:line="360" w:lineRule="auto"/>
              <w:contextualSpacing/>
              <w:rPr>
                <w:rFonts w:ascii="Arial" w:hAnsi="Arial" w:cs="Arial"/>
                <w:sz w:val="15"/>
                <w:szCs w:val="15"/>
              </w:rPr>
            </w:pPr>
            <w:hyperlink r:id="rId46" w:history="1">
              <w:r w:rsidRPr="00A77951">
                <w:rPr>
                  <w:rStyle w:val="Hyperlink"/>
                  <w:rFonts w:ascii="Arial" w:hAnsi="Arial" w:cs="Arial"/>
                  <w:sz w:val="15"/>
                  <w:szCs w:val="15"/>
                </w:rPr>
                <w:t>10.1007/s11060-013-1089-3</w:t>
              </w:r>
            </w:hyperlink>
          </w:p>
        </w:tc>
        <w:tc>
          <w:tcPr>
            <w:tcW w:w="851" w:type="dxa"/>
          </w:tcPr>
          <w:p w14:paraId="2B8D9902" w14:textId="11F8DA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233A89B" w14:textId="7F6DDFB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2D83C11" w14:textId="1EB293A3"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7C853875" w14:textId="17D88635"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Neuro-oncology</w:t>
            </w:r>
          </w:p>
        </w:tc>
        <w:tc>
          <w:tcPr>
            <w:tcW w:w="1843" w:type="dxa"/>
          </w:tcPr>
          <w:p w14:paraId="13CF54FE" w14:textId="77777777"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t>To produce a model to</w:t>
            </w:r>
          </w:p>
          <w:p w14:paraId="13FC44F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provide individuali</w:t>
            </w:r>
            <w:r>
              <w:rPr>
                <w:rFonts w:ascii="Arial" w:hAnsi="Arial" w:cs="Arial"/>
                <w:sz w:val="15"/>
                <w:szCs w:val="15"/>
              </w:rPr>
              <w:t>s</w:t>
            </w:r>
            <w:r w:rsidRPr="00251EA9">
              <w:rPr>
                <w:rFonts w:ascii="Arial" w:hAnsi="Arial" w:cs="Arial"/>
                <w:sz w:val="15"/>
                <w:szCs w:val="15"/>
              </w:rPr>
              <w:t>ed estimates of the risks of post-operative complications based on pre-operative conditions, and</w:t>
            </w:r>
          </w:p>
          <w:p w14:paraId="1DD3CA01" w14:textId="4FEF07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can potentially be utili</w:t>
            </w:r>
            <w:r>
              <w:rPr>
                <w:rFonts w:ascii="Arial" w:hAnsi="Arial" w:cs="Arial"/>
                <w:sz w:val="15"/>
                <w:szCs w:val="15"/>
              </w:rPr>
              <w:t>s</w:t>
            </w:r>
            <w:r w:rsidRPr="00251EA9">
              <w:rPr>
                <w:rFonts w:ascii="Arial" w:hAnsi="Arial" w:cs="Arial"/>
                <w:sz w:val="15"/>
                <w:szCs w:val="15"/>
              </w:rPr>
              <w:t>ed as an adjunct in the decision making for surgical intervention in brain tumour patients.</w:t>
            </w:r>
          </w:p>
        </w:tc>
        <w:tc>
          <w:tcPr>
            <w:tcW w:w="1134" w:type="dxa"/>
          </w:tcPr>
          <w:p w14:paraId="60F9589C" w14:textId="77777777" w:rsidR="006E5533" w:rsidRPr="00251EA9" w:rsidRDefault="006E5533" w:rsidP="006E5533">
            <w:pPr>
              <w:spacing w:line="360" w:lineRule="auto"/>
              <w:contextualSpacing/>
              <w:rPr>
                <w:rFonts w:ascii="Arial" w:hAnsi="Arial" w:cs="Arial"/>
                <w:color w:val="000000" w:themeColor="text1"/>
                <w:sz w:val="15"/>
                <w:szCs w:val="15"/>
              </w:rPr>
            </w:pPr>
          </w:p>
        </w:tc>
        <w:tc>
          <w:tcPr>
            <w:tcW w:w="992" w:type="dxa"/>
          </w:tcPr>
          <w:p w14:paraId="58C9471D" w14:textId="7B610AD8"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3CBA19B3" w14:textId="3053B65E"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7B0F25C7" w14:textId="77777777"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 xml:space="preserve">The 30-day postoperative risks </w:t>
            </w:r>
            <w:proofErr w:type="gramStart"/>
            <w:r w:rsidRPr="00251EA9">
              <w:rPr>
                <w:rFonts w:ascii="Arial" w:hAnsi="Arial" w:cs="Arial"/>
                <w:color w:val="000000" w:themeColor="text1"/>
                <w:sz w:val="15"/>
                <w:szCs w:val="15"/>
              </w:rPr>
              <w:t>was</w:t>
            </w:r>
            <w:proofErr w:type="gramEnd"/>
            <w:r w:rsidRPr="00251EA9">
              <w:rPr>
                <w:rFonts w:ascii="Arial" w:hAnsi="Arial" w:cs="Arial"/>
                <w:color w:val="000000" w:themeColor="text1"/>
                <w:sz w:val="15"/>
                <w:szCs w:val="15"/>
              </w:rPr>
              <w:t xml:space="preserve"> 2.4 %</w:t>
            </w:r>
            <w:r>
              <w:rPr>
                <w:rFonts w:ascii="Arial" w:hAnsi="Arial" w:cs="Arial"/>
                <w:color w:val="000000" w:themeColor="text1"/>
                <w:sz w:val="15"/>
                <w:szCs w:val="15"/>
              </w:rPr>
              <w:t xml:space="preserve"> </w:t>
            </w:r>
            <w:r w:rsidRPr="00251EA9">
              <w:rPr>
                <w:rFonts w:ascii="Arial" w:hAnsi="Arial" w:cs="Arial"/>
                <w:color w:val="000000" w:themeColor="text1"/>
                <w:sz w:val="15"/>
                <w:szCs w:val="15"/>
              </w:rPr>
              <w:t>for deep surgical site infection. The following risk factors were independently associated with a higher risk of the deep surgical site</w:t>
            </w:r>
          </w:p>
          <w:p w14:paraId="0F294E10" w14:textId="77777777"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infection within 30 days:</w:t>
            </w:r>
            <w:r>
              <w:rPr>
                <w:rFonts w:ascii="Arial" w:hAnsi="Arial" w:cs="Arial"/>
                <w:color w:val="000000" w:themeColor="text1"/>
                <w:sz w:val="15"/>
                <w:szCs w:val="15"/>
              </w:rPr>
              <w:t xml:space="preserve"> </w:t>
            </w:r>
            <w:r w:rsidRPr="00251EA9">
              <w:rPr>
                <w:rFonts w:ascii="Arial" w:hAnsi="Arial" w:cs="Arial"/>
                <w:color w:val="000000" w:themeColor="text1"/>
                <w:sz w:val="15"/>
                <w:szCs w:val="15"/>
              </w:rPr>
              <w:t>disseminated cancer, weight loss,</w:t>
            </w:r>
          </w:p>
          <w:p w14:paraId="3EA47E93" w14:textId="77777777" w:rsidR="006E5533" w:rsidRPr="00251EA9" w:rsidRDefault="006E5533" w:rsidP="006E5533">
            <w:pPr>
              <w:rPr>
                <w:rFonts w:ascii="Arial" w:hAnsi="Arial" w:cs="Arial"/>
                <w:color w:val="000000" w:themeColor="text1"/>
                <w:sz w:val="15"/>
                <w:szCs w:val="15"/>
              </w:rPr>
            </w:pPr>
            <w:proofErr w:type="spellStart"/>
            <w:r w:rsidRPr="00251EA9">
              <w:rPr>
                <w:rFonts w:ascii="Arial" w:hAnsi="Arial" w:cs="Arial"/>
                <w:color w:val="000000" w:themeColor="text1"/>
                <w:sz w:val="15"/>
                <w:szCs w:val="15"/>
              </w:rPr>
              <w:t>tumor</w:t>
            </w:r>
            <w:proofErr w:type="spellEnd"/>
            <w:r w:rsidRPr="00251EA9">
              <w:rPr>
                <w:rFonts w:ascii="Arial" w:hAnsi="Arial" w:cs="Arial"/>
                <w:color w:val="000000" w:themeColor="text1"/>
                <w:sz w:val="15"/>
                <w:szCs w:val="15"/>
              </w:rPr>
              <w:t xml:space="preserve">-related neurologic deficit </w:t>
            </w:r>
          </w:p>
          <w:p w14:paraId="4798A12C" w14:textId="77777777"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and history of stroke.</w:t>
            </w:r>
          </w:p>
          <w:p w14:paraId="4A78ACA9" w14:textId="16880406" w:rsidR="006E5533" w:rsidRPr="00251EA9" w:rsidRDefault="006E5533" w:rsidP="006E5533">
            <w:pPr>
              <w:rPr>
                <w:rFonts w:ascii="Arial" w:hAnsi="Arial" w:cs="Arial"/>
                <w:color w:val="000000" w:themeColor="text1"/>
                <w:sz w:val="15"/>
                <w:szCs w:val="15"/>
              </w:rPr>
            </w:pPr>
          </w:p>
        </w:tc>
        <w:tc>
          <w:tcPr>
            <w:tcW w:w="1701" w:type="dxa"/>
          </w:tcPr>
          <w:p w14:paraId="1284B7EC" w14:textId="59232169"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6E5533" w:rsidRPr="00251EA9" w14:paraId="483ACA86" w14:textId="77777777" w:rsidTr="00A77951">
        <w:trPr>
          <w:trHeight w:val="586"/>
        </w:trPr>
        <w:tc>
          <w:tcPr>
            <w:tcW w:w="992" w:type="dxa"/>
          </w:tcPr>
          <w:p w14:paraId="4BA4B4E0" w14:textId="52ABE6EB"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Berghauser</w:t>
            </w:r>
            <w:proofErr w:type="spellEnd"/>
            <w:r w:rsidRPr="00251EA9">
              <w:rPr>
                <w:rFonts w:ascii="Arial" w:hAnsi="Arial" w:cs="Arial"/>
                <w:sz w:val="15"/>
                <w:szCs w:val="15"/>
              </w:rPr>
              <w:t xml:space="preserve"> Pont L</w:t>
            </w:r>
            <w:r>
              <w:rPr>
                <w:rFonts w:ascii="Arial" w:hAnsi="Arial" w:cs="Arial"/>
                <w:sz w:val="15"/>
                <w:szCs w:val="15"/>
              </w:rPr>
              <w:t>.</w:t>
            </w:r>
            <w:r w:rsidRPr="00251EA9">
              <w:rPr>
                <w:rFonts w:ascii="Arial" w:hAnsi="Arial" w:cs="Arial"/>
                <w:sz w:val="15"/>
                <w:szCs w:val="15"/>
              </w:rPr>
              <w:t>M</w:t>
            </w:r>
            <w:r>
              <w:rPr>
                <w:rFonts w:ascii="Arial" w:hAnsi="Arial" w:cs="Arial"/>
                <w:sz w:val="15"/>
                <w:szCs w:val="15"/>
              </w:rPr>
              <w:t>.</w:t>
            </w:r>
            <w:r w:rsidRPr="00251EA9">
              <w:rPr>
                <w:rFonts w:ascii="Arial" w:hAnsi="Arial" w:cs="Arial"/>
                <w:sz w:val="15"/>
                <w:szCs w:val="15"/>
              </w:rPr>
              <w:t>E</w:t>
            </w:r>
            <w:r>
              <w:rPr>
                <w:rFonts w:ascii="Arial" w:hAnsi="Arial" w:cs="Arial"/>
                <w:sz w:val="15"/>
                <w:szCs w:val="15"/>
              </w:rPr>
              <w:t>.</w:t>
            </w:r>
            <w:r w:rsidRPr="00251EA9">
              <w:rPr>
                <w:rFonts w:ascii="Arial" w:hAnsi="Arial" w:cs="Arial"/>
                <w:sz w:val="15"/>
                <w:szCs w:val="15"/>
              </w:rPr>
              <w:t xml:space="preserve"> et al., 2012</w:t>
            </w:r>
          </w:p>
        </w:tc>
        <w:tc>
          <w:tcPr>
            <w:tcW w:w="851" w:type="dxa"/>
          </w:tcPr>
          <w:p w14:paraId="5938DD5F" w14:textId="6DA32607" w:rsidR="006E5533" w:rsidRPr="00A77951" w:rsidRDefault="006E5533" w:rsidP="006E5533">
            <w:pPr>
              <w:spacing w:line="360" w:lineRule="auto"/>
              <w:contextualSpacing/>
              <w:rPr>
                <w:rFonts w:ascii="Arial" w:hAnsi="Arial" w:cs="Arial"/>
                <w:sz w:val="15"/>
                <w:szCs w:val="15"/>
              </w:rPr>
            </w:pPr>
            <w:hyperlink r:id="rId47" w:history="1">
              <w:r w:rsidRPr="00A77951">
                <w:rPr>
                  <w:rStyle w:val="Hyperlink"/>
                  <w:rFonts w:ascii="Arial" w:hAnsi="Arial" w:cs="Arial"/>
                  <w:sz w:val="15"/>
                  <w:szCs w:val="15"/>
                </w:rPr>
                <w:t>10.1227/NEU.0b013e31823672ad</w:t>
              </w:r>
            </w:hyperlink>
          </w:p>
        </w:tc>
        <w:tc>
          <w:tcPr>
            <w:tcW w:w="851" w:type="dxa"/>
          </w:tcPr>
          <w:p w14:paraId="08BBD0CB" w14:textId="3D1AA5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The Netherlands</w:t>
            </w:r>
          </w:p>
        </w:tc>
        <w:tc>
          <w:tcPr>
            <w:tcW w:w="1134" w:type="dxa"/>
          </w:tcPr>
          <w:p w14:paraId="28459FF0" w14:textId="0B42F0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21589C4" w14:textId="33518CCB"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w:t>
            </w:r>
          </w:p>
        </w:tc>
        <w:tc>
          <w:tcPr>
            <w:tcW w:w="1276" w:type="dxa"/>
          </w:tcPr>
          <w:p w14:paraId="5F52D3EE" w14:textId="589093C4"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Skull base</w:t>
            </w:r>
          </w:p>
        </w:tc>
        <w:tc>
          <w:tcPr>
            <w:tcW w:w="1843" w:type="dxa"/>
          </w:tcPr>
          <w:p w14:paraId="0799465A" w14:textId="357A62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report our single-</w:t>
            </w:r>
            <w:proofErr w:type="spellStart"/>
            <w:r w:rsidRPr="00251EA9">
              <w:rPr>
                <w:rFonts w:ascii="Arial" w:hAnsi="Arial" w:cs="Arial"/>
                <w:sz w:val="15"/>
                <w:szCs w:val="15"/>
              </w:rPr>
              <w:t>center</w:t>
            </w:r>
            <w:proofErr w:type="spellEnd"/>
            <w:r w:rsidRPr="00251EA9">
              <w:rPr>
                <w:rFonts w:ascii="Arial" w:hAnsi="Arial" w:cs="Arial"/>
                <w:sz w:val="15"/>
                <w:szCs w:val="15"/>
              </w:rPr>
              <w:t xml:space="preserve"> experience with the surgical treatment of CSDH (chronic subdural haematoma) in patients on preoperative corticosteroids and to assess possible predictors of outcome</w:t>
            </w:r>
          </w:p>
        </w:tc>
        <w:tc>
          <w:tcPr>
            <w:tcW w:w="1134" w:type="dxa"/>
          </w:tcPr>
          <w:p w14:paraId="1E2CABF6" w14:textId="77777777" w:rsidR="006E5533" w:rsidRPr="00251EA9" w:rsidRDefault="006E5533" w:rsidP="006E5533">
            <w:pPr>
              <w:spacing w:line="360" w:lineRule="auto"/>
              <w:contextualSpacing/>
              <w:rPr>
                <w:rFonts w:ascii="Arial" w:hAnsi="Arial" w:cs="Arial"/>
                <w:color w:val="000000" w:themeColor="text1"/>
                <w:sz w:val="15"/>
                <w:szCs w:val="15"/>
              </w:rPr>
            </w:pPr>
          </w:p>
        </w:tc>
        <w:tc>
          <w:tcPr>
            <w:tcW w:w="992" w:type="dxa"/>
          </w:tcPr>
          <w:p w14:paraId="32CDB7DD" w14:textId="7D6EC68A"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1913554E" w14:textId="7559D517"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15BC57C5" w14:textId="3DB7B5FA"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38.6% vs 10.9% complication rate in recurrent vs no recurrent CSDH groups.</w:t>
            </w:r>
          </w:p>
        </w:tc>
        <w:tc>
          <w:tcPr>
            <w:tcW w:w="1701" w:type="dxa"/>
          </w:tcPr>
          <w:p w14:paraId="757FF083" w14:textId="12A48F2B"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6E5533" w:rsidRPr="00251EA9" w14:paraId="2A7BBA1A" w14:textId="77777777" w:rsidTr="00A77951">
        <w:trPr>
          <w:trHeight w:val="586"/>
        </w:trPr>
        <w:tc>
          <w:tcPr>
            <w:tcW w:w="992" w:type="dxa"/>
          </w:tcPr>
          <w:p w14:paraId="60D20B4D" w14:textId="0974F0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Bhaskar I</w:t>
            </w:r>
            <w:r>
              <w:rPr>
                <w:rFonts w:ascii="Arial" w:hAnsi="Arial" w:cs="Arial"/>
                <w:sz w:val="15"/>
                <w:szCs w:val="15"/>
              </w:rPr>
              <w:t>.</w:t>
            </w:r>
            <w:r w:rsidRPr="00251EA9">
              <w:rPr>
                <w:rFonts w:ascii="Arial" w:hAnsi="Arial" w:cs="Arial"/>
                <w:sz w:val="15"/>
                <w:szCs w:val="15"/>
              </w:rPr>
              <w:t>P</w:t>
            </w:r>
            <w:r>
              <w:rPr>
                <w:rFonts w:ascii="Arial" w:hAnsi="Arial" w:cs="Arial"/>
                <w:sz w:val="15"/>
                <w:szCs w:val="15"/>
              </w:rPr>
              <w:t>.</w:t>
            </w:r>
            <w:r w:rsidRPr="00251EA9">
              <w:rPr>
                <w:rFonts w:ascii="Arial" w:hAnsi="Arial" w:cs="Arial"/>
                <w:sz w:val="15"/>
                <w:szCs w:val="15"/>
              </w:rPr>
              <w:t xml:space="preserve"> et al., 2014</w:t>
            </w:r>
          </w:p>
        </w:tc>
        <w:tc>
          <w:tcPr>
            <w:tcW w:w="851" w:type="dxa"/>
          </w:tcPr>
          <w:p w14:paraId="6676A0AF" w14:textId="26F6C1F2" w:rsidR="006E5533" w:rsidRPr="00A77951" w:rsidRDefault="006E5533" w:rsidP="006E5533">
            <w:pPr>
              <w:spacing w:line="360" w:lineRule="auto"/>
              <w:contextualSpacing/>
              <w:rPr>
                <w:rFonts w:ascii="Arial" w:hAnsi="Arial" w:cs="Arial"/>
                <w:sz w:val="15"/>
                <w:szCs w:val="15"/>
              </w:rPr>
            </w:pPr>
            <w:hyperlink r:id="rId48" w:history="1">
              <w:r w:rsidRPr="00A77951">
                <w:rPr>
                  <w:rStyle w:val="Hyperlink"/>
                  <w:rFonts w:ascii="Arial" w:hAnsi="Arial" w:cs="Arial"/>
                  <w:sz w:val="15"/>
                  <w:szCs w:val="15"/>
                </w:rPr>
                <w:t>10.1016/j.wneu.2013.01.013</w:t>
              </w:r>
            </w:hyperlink>
          </w:p>
        </w:tc>
        <w:tc>
          <w:tcPr>
            <w:tcW w:w="851" w:type="dxa"/>
          </w:tcPr>
          <w:p w14:paraId="75087E62" w14:textId="1B331E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Australia</w:t>
            </w:r>
          </w:p>
        </w:tc>
        <w:tc>
          <w:tcPr>
            <w:tcW w:w="1134" w:type="dxa"/>
          </w:tcPr>
          <w:p w14:paraId="61E567A4" w14:textId="6B2A9C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8C5EA1A" w14:textId="46EECB92"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Adults and Paediatrics</w:t>
            </w:r>
          </w:p>
        </w:tc>
        <w:tc>
          <w:tcPr>
            <w:tcW w:w="1276" w:type="dxa"/>
          </w:tcPr>
          <w:p w14:paraId="1BB2B406" w14:textId="1190953B"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Trauma</w:t>
            </w:r>
          </w:p>
        </w:tc>
        <w:tc>
          <w:tcPr>
            <w:tcW w:w="1843" w:type="dxa"/>
          </w:tcPr>
          <w:p w14:paraId="31B11615" w14:textId="5A18A3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Describe characteristics of patients who develop infections after </w:t>
            </w:r>
            <w:r w:rsidRPr="00251EA9">
              <w:rPr>
                <w:rFonts w:ascii="Arial" w:hAnsi="Arial" w:cs="Arial"/>
                <w:sz w:val="15"/>
                <w:szCs w:val="15"/>
              </w:rPr>
              <w:lastRenderedPageBreak/>
              <w:t>autogenous cranioplasty.</w:t>
            </w:r>
          </w:p>
        </w:tc>
        <w:tc>
          <w:tcPr>
            <w:tcW w:w="1134" w:type="dxa"/>
          </w:tcPr>
          <w:p w14:paraId="71A8FD8A" w14:textId="77777777" w:rsidR="006E5533" w:rsidRPr="00251EA9" w:rsidRDefault="006E5533" w:rsidP="006E5533">
            <w:pPr>
              <w:spacing w:line="360" w:lineRule="auto"/>
              <w:contextualSpacing/>
              <w:rPr>
                <w:rFonts w:ascii="Arial" w:hAnsi="Arial" w:cs="Arial"/>
                <w:color w:val="000000" w:themeColor="text1"/>
                <w:sz w:val="15"/>
                <w:szCs w:val="15"/>
              </w:rPr>
            </w:pPr>
          </w:p>
        </w:tc>
        <w:tc>
          <w:tcPr>
            <w:tcW w:w="992" w:type="dxa"/>
          </w:tcPr>
          <w:p w14:paraId="7B139622" w14:textId="214F7489"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Yes</w:t>
            </w:r>
          </w:p>
        </w:tc>
        <w:tc>
          <w:tcPr>
            <w:tcW w:w="1701" w:type="dxa"/>
          </w:tcPr>
          <w:p w14:paraId="3973920F" w14:textId="4415A159"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Not defined</w:t>
            </w:r>
          </w:p>
        </w:tc>
        <w:tc>
          <w:tcPr>
            <w:tcW w:w="2693" w:type="dxa"/>
          </w:tcPr>
          <w:p w14:paraId="21B71F18" w14:textId="620B16FD" w:rsidR="006E5533" w:rsidRPr="00251EA9" w:rsidRDefault="006E5533" w:rsidP="006E5533">
            <w:pPr>
              <w:rPr>
                <w:rFonts w:ascii="Arial" w:hAnsi="Arial" w:cs="Arial"/>
                <w:color w:val="000000" w:themeColor="text1"/>
                <w:sz w:val="15"/>
                <w:szCs w:val="15"/>
              </w:rPr>
            </w:pPr>
            <w:r w:rsidRPr="00251EA9">
              <w:rPr>
                <w:rFonts w:ascii="Arial" w:hAnsi="Arial" w:cs="Arial"/>
                <w:color w:val="000000" w:themeColor="text1"/>
                <w:sz w:val="15"/>
                <w:szCs w:val="15"/>
              </w:rPr>
              <w:t xml:space="preserve">Seventeen patients (median age, 25 years) developed deep infection necessitating </w:t>
            </w:r>
            <w:proofErr w:type="spellStart"/>
            <w:r w:rsidRPr="00251EA9">
              <w:rPr>
                <w:rFonts w:ascii="Arial" w:hAnsi="Arial" w:cs="Arial"/>
                <w:color w:val="000000" w:themeColor="text1"/>
                <w:sz w:val="15"/>
                <w:szCs w:val="15"/>
              </w:rPr>
              <w:t>explantation</w:t>
            </w:r>
            <w:proofErr w:type="spellEnd"/>
            <w:r w:rsidRPr="00251EA9">
              <w:rPr>
                <w:rFonts w:ascii="Arial" w:hAnsi="Arial" w:cs="Arial"/>
                <w:color w:val="000000" w:themeColor="text1"/>
                <w:sz w:val="15"/>
                <w:szCs w:val="15"/>
              </w:rPr>
              <w:t xml:space="preserve"> of the bone flap</w:t>
            </w:r>
          </w:p>
        </w:tc>
        <w:tc>
          <w:tcPr>
            <w:tcW w:w="1701" w:type="dxa"/>
          </w:tcPr>
          <w:p w14:paraId="0930A6CD" w14:textId="1E1EFF24" w:rsidR="006E5533" w:rsidRPr="00251EA9" w:rsidRDefault="006E5533" w:rsidP="006E5533">
            <w:pPr>
              <w:spacing w:line="360" w:lineRule="auto"/>
              <w:contextualSpacing/>
              <w:rPr>
                <w:rFonts w:ascii="Arial" w:hAnsi="Arial" w:cs="Arial"/>
                <w:color w:val="000000" w:themeColor="text1"/>
                <w:sz w:val="15"/>
                <w:szCs w:val="15"/>
              </w:rPr>
            </w:pPr>
            <w:r w:rsidRPr="00251EA9">
              <w:rPr>
                <w:rFonts w:ascii="Arial" w:hAnsi="Arial" w:cs="Arial"/>
                <w:color w:val="000000" w:themeColor="text1"/>
                <w:sz w:val="15"/>
                <w:szCs w:val="15"/>
              </w:rPr>
              <w:t>No</w:t>
            </w:r>
          </w:p>
        </w:tc>
      </w:tr>
      <w:tr w:rsidR="006E5533" w:rsidRPr="00251EA9" w14:paraId="38B9CC19" w14:textId="77777777" w:rsidTr="00A77951">
        <w:trPr>
          <w:trHeight w:val="586"/>
        </w:trPr>
        <w:tc>
          <w:tcPr>
            <w:tcW w:w="992" w:type="dxa"/>
          </w:tcPr>
          <w:p w14:paraId="5C3DF808" w14:textId="1ACFE0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Bhatti M</w:t>
            </w:r>
            <w:r>
              <w:rPr>
                <w:rFonts w:ascii="Arial" w:hAnsi="Arial" w:cs="Arial"/>
                <w:sz w:val="15"/>
                <w:szCs w:val="15"/>
              </w:rPr>
              <w:t>.</w:t>
            </w:r>
            <w:r w:rsidRPr="00251EA9">
              <w:rPr>
                <w:rFonts w:ascii="Arial" w:hAnsi="Arial" w:cs="Arial"/>
                <w:sz w:val="15"/>
                <w:szCs w:val="15"/>
              </w:rPr>
              <w:t xml:space="preserve"> et al.</w:t>
            </w:r>
            <w:r>
              <w:rPr>
                <w:rFonts w:ascii="Arial" w:hAnsi="Arial" w:cs="Arial"/>
                <w:sz w:val="15"/>
                <w:szCs w:val="15"/>
              </w:rPr>
              <w:t>,</w:t>
            </w:r>
            <w:r w:rsidRPr="00251EA9">
              <w:rPr>
                <w:rFonts w:ascii="Arial" w:hAnsi="Arial" w:cs="Arial"/>
                <w:sz w:val="15"/>
                <w:szCs w:val="15"/>
              </w:rPr>
              <w:t xml:space="preserve"> 2012</w:t>
            </w:r>
          </w:p>
        </w:tc>
        <w:tc>
          <w:tcPr>
            <w:tcW w:w="851" w:type="dxa"/>
          </w:tcPr>
          <w:p w14:paraId="2D27B263" w14:textId="637B2DDD" w:rsidR="006E5533" w:rsidRPr="00A77951" w:rsidRDefault="006E5533" w:rsidP="006E5533">
            <w:pPr>
              <w:spacing w:line="360" w:lineRule="auto"/>
              <w:contextualSpacing/>
              <w:rPr>
                <w:rFonts w:ascii="Arial" w:hAnsi="Arial" w:cs="Arial"/>
                <w:sz w:val="15"/>
                <w:szCs w:val="15"/>
              </w:rPr>
            </w:pPr>
            <w:hyperlink r:id="rId49" w:history="1">
              <w:r w:rsidRPr="00A77951">
                <w:rPr>
                  <w:rStyle w:val="Hyperlink"/>
                  <w:rFonts w:ascii="Arial" w:hAnsi="Arial" w:cs="Arial"/>
                  <w:sz w:val="15"/>
                  <w:szCs w:val="15"/>
                </w:rPr>
                <w:t>10.3109/02688697.2012.743968</w:t>
              </w:r>
            </w:hyperlink>
          </w:p>
        </w:tc>
        <w:tc>
          <w:tcPr>
            <w:tcW w:w="851" w:type="dxa"/>
          </w:tcPr>
          <w:p w14:paraId="50612F76" w14:textId="6E1117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3B669291" w14:textId="272501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69119034" w14:textId="448C08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1D5F853" w14:textId="1C2DDA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68A47565" w14:textId="4817B2F8"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t>To</w:t>
            </w:r>
            <w:r w:rsidRPr="00251EA9">
              <w:rPr>
                <w:rFonts w:ascii="Arial" w:hAnsi="Arial" w:cs="Arial"/>
                <w:sz w:val="15"/>
                <w:szCs w:val="15"/>
              </w:rPr>
              <w:t xml:space="preserve"> look at the</w:t>
            </w:r>
            <w:r w:rsidRPr="00251EA9">
              <w:rPr>
                <w:rFonts w:ascii="Arial" w:hAnsi="Arial" w:cs="Arial"/>
                <w:sz w:val="15"/>
                <w:szCs w:val="15"/>
              </w:rPr>
              <w:br/>
              <w:t>infection rate in adults undergoing craniotomies without hair</w:t>
            </w:r>
            <w:r>
              <w:rPr>
                <w:rFonts w:ascii="Arial" w:hAnsi="Arial" w:cs="Arial"/>
                <w:sz w:val="15"/>
                <w:szCs w:val="15"/>
              </w:rPr>
              <w:t xml:space="preserve"> </w:t>
            </w:r>
            <w:r w:rsidRPr="00251EA9">
              <w:rPr>
                <w:rFonts w:ascii="Arial" w:hAnsi="Arial" w:cs="Arial"/>
                <w:sz w:val="15"/>
                <w:szCs w:val="15"/>
              </w:rPr>
              <w:t>removal and</w:t>
            </w:r>
            <w:r>
              <w:rPr>
                <w:rFonts w:ascii="Arial" w:hAnsi="Arial" w:cs="Arial"/>
                <w:sz w:val="15"/>
                <w:szCs w:val="15"/>
              </w:rPr>
              <w:t xml:space="preserve"> </w:t>
            </w:r>
            <w:r w:rsidRPr="00251EA9">
              <w:rPr>
                <w:rFonts w:ascii="Arial" w:hAnsi="Arial" w:cs="Arial"/>
                <w:sz w:val="15"/>
                <w:szCs w:val="15"/>
              </w:rPr>
              <w:t>compare the results with the usual practice</w:t>
            </w:r>
            <w:r w:rsidRPr="00251EA9">
              <w:rPr>
                <w:rFonts w:ascii="Arial" w:hAnsi="Arial" w:cs="Arial"/>
                <w:sz w:val="15"/>
                <w:szCs w:val="15"/>
              </w:rPr>
              <w:br/>
              <w:t>of pre-operative shaving/clipping.</w:t>
            </w:r>
          </w:p>
        </w:tc>
        <w:tc>
          <w:tcPr>
            <w:tcW w:w="1134" w:type="dxa"/>
          </w:tcPr>
          <w:p w14:paraId="08389D74" w14:textId="5039B74C" w:rsidR="006E5533" w:rsidRPr="00251EA9" w:rsidRDefault="006E5533" w:rsidP="006E5533">
            <w:pPr>
              <w:spacing w:line="360" w:lineRule="auto"/>
              <w:contextualSpacing/>
              <w:rPr>
                <w:rFonts w:ascii="Arial" w:hAnsi="Arial" w:cs="Arial"/>
                <w:color w:val="000000" w:themeColor="text1"/>
                <w:sz w:val="15"/>
                <w:szCs w:val="15"/>
              </w:rPr>
            </w:pPr>
          </w:p>
        </w:tc>
        <w:tc>
          <w:tcPr>
            <w:tcW w:w="992" w:type="dxa"/>
          </w:tcPr>
          <w:p w14:paraId="7EFD24FB" w14:textId="313A44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080BA14" w14:textId="34DB3163"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756F65B5" w14:textId="491407E4" w:rsidR="006E5533" w:rsidRPr="00251EA9" w:rsidRDefault="006E5533" w:rsidP="006E5533">
            <w:pPr>
              <w:rPr>
                <w:rFonts w:ascii="Arial" w:hAnsi="Arial" w:cs="Arial"/>
                <w:sz w:val="15"/>
                <w:szCs w:val="15"/>
              </w:rPr>
            </w:pPr>
            <w:r w:rsidRPr="00251EA9">
              <w:rPr>
                <w:rFonts w:ascii="Arial" w:hAnsi="Arial" w:cs="Arial"/>
                <w:sz w:val="15"/>
                <w:szCs w:val="15"/>
              </w:rPr>
              <w:t>A total of three patients</w:t>
            </w:r>
            <w:r w:rsidRPr="00251EA9">
              <w:rPr>
                <w:rFonts w:ascii="Arial" w:hAnsi="Arial" w:cs="Arial"/>
                <w:sz w:val="15"/>
                <w:szCs w:val="15"/>
              </w:rPr>
              <w:br/>
              <w:t xml:space="preserve">developed surgical-site infection. One infection occurred in the glioma and two in the meningioma subgroup. </w:t>
            </w:r>
          </w:p>
        </w:tc>
        <w:tc>
          <w:tcPr>
            <w:tcW w:w="1701" w:type="dxa"/>
          </w:tcPr>
          <w:p w14:paraId="4D9DC5CB" w14:textId="5B8604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2487D98" w14:textId="77777777" w:rsidTr="00A77951">
        <w:trPr>
          <w:trHeight w:val="586"/>
        </w:trPr>
        <w:tc>
          <w:tcPr>
            <w:tcW w:w="992" w:type="dxa"/>
          </w:tcPr>
          <w:p w14:paraId="0AF516CB" w14:textId="5C481F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Bhimani A.D. et al., 2019</w:t>
            </w:r>
          </w:p>
        </w:tc>
        <w:tc>
          <w:tcPr>
            <w:tcW w:w="851" w:type="dxa"/>
          </w:tcPr>
          <w:p w14:paraId="1EFD1A34" w14:textId="079B6608" w:rsidR="006E5533" w:rsidRPr="00A77951" w:rsidRDefault="006E5533" w:rsidP="006E5533">
            <w:pPr>
              <w:spacing w:line="360" w:lineRule="auto"/>
              <w:contextualSpacing/>
              <w:rPr>
                <w:rFonts w:ascii="Arial" w:hAnsi="Arial" w:cs="Arial"/>
                <w:sz w:val="15"/>
                <w:szCs w:val="15"/>
              </w:rPr>
            </w:pPr>
            <w:hyperlink r:id="rId50" w:history="1">
              <w:r w:rsidRPr="00A77951">
                <w:rPr>
                  <w:rStyle w:val="Hyperlink"/>
                  <w:rFonts w:ascii="Arial" w:hAnsi="Arial" w:cs="Arial"/>
                  <w:sz w:val="15"/>
                  <w:szCs w:val="15"/>
                </w:rPr>
                <w:t>10.1016/j.wneu.2018.09.079</w:t>
              </w:r>
            </w:hyperlink>
          </w:p>
        </w:tc>
        <w:tc>
          <w:tcPr>
            <w:tcW w:w="851" w:type="dxa"/>
          </w:tcPr>
          <w:p w14:paraId="7778217D" w14:textId="475FF4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6A9BE02" w14:textId="660CE0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 control</w:t>
            </w:r>
          </w:p>
        </w:tc>
        <w:tc>
          <w:tcPr>
            <w:tcW w:w="992" w:type="dxa"/>
          </w:tcPr>
          <w:p w14:paraId="48EB2778" w14:textId="678B9A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0561125" w14:textId="4DF3B2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0DC7729" w14:textId="67DF81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whether a 2-stage approach, intracranial electrode placement followed by ATL (anterior temporal lobectomy), is worthwhile versus ATL alone.</w:t>
            </w:r>
          </w:p>
        </w:tc>
        <w:tc>
          <w:tcPr>
            <w:tcW w:w="1134" w:type="dxa"/>
          </w:tcPr>
          <w:p w14:paraId="24D414A6" w14:textId="047364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intracranial electrode placement followed by ATL vs ATL alone</w:t>
            </w:r>
          </w:p>
        </w:tc>
        <w:tc>
          <w:tcPr>
            <w:tcW w:w="992" w:type="dxa"/>
          </w:tcPr>
          <w:p w14:paraId="7728E15B" w14:textId="7739A7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65A564B" w14:textId="230C88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2AD6D5E" w14:textId="7F7D08EA" w:rsidR="006E5533" w:rsidRPr="00251EA9" w:rsidRDefault="006E5533" w:rsidP="006E5533">
            <w:pPr>
              <w:rPr>
                <w:rFonts w:ascii="Arial" w:hAnsi="Arial" w:cs="Arial"/>
                <w:sz w:val="15"/>
                <w:szCs w:val="15"/>
              </w:rPr>
            </w:pPr>
            <w:r w:rsidRPr="00251EA9">
              <w:rPr>
                <w:rFonts w:ascii="Arial" w:hAnsi="Arial" w:cs="Arial"/>
                <w:sz w:val="15"/>
                <w:szCs w:val="15"/>
              </w:rPr>
              <w:t>Reported 2.5% of cases having organ space SSI, 1.4% superficial SSI, 0.4% deep SSI.</w:t>
            </w:r>
          </w:p>
        </w:tc>
        <w:tc>
          <w:tcPr>
            <w:tcW w:w="1701" w:type="dxa"/>
          </w:tcPr>
          <w:p w14:paraId="524954D6" w14:textId="7C7531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37B6663" w14:textId="77777777" w:rsidTr="00A77951">
        <w:trPr>
          <w:trHeight w:val="586"/>
        </w:trPr>
        <w:tc>
          <w:tcPr>
            <w:tcW w:w="992" w:type="dxa"/>
          </w:tcPr>
          <w:p w14:paraId="5A19F037" w14:textId="3147EF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Bhimani A.D. et al., 2018</w:t>
            </w:r>
          </w:p>
        </w:tc>
        <w:tc>
          <w:tcPr>
            <w:tcW w:w="851" w:type="dxa"/>
          </w:tcPr>
          <w:p w14:paraId="142ECC2F" w14:textId="6FA60636" w:rsidR="006E5533" w:rsidRPr="00A77951" w:rsidRDefault="006E5533" w:rsidP="006E5533">
            <w:pPr>
              <w:spacing w:line="360" w:lineRule="auto"/>
              <w:contextualSpacing/>
              <w:rPr>
                <w:rFonts w:ascii="Arial" w:hAnsi="Arial" w:cs="Arial"/>
                <w:sz w:val="15"/>
                <w:szCs w:val="15"/>
              </w:rPr>
            </w:pPr>
            <w:hyperlink r:id="rId51" w:history="1">
              <w:r w:rsidRPr="00A77951">
                <w:rPr>
                  <w:rStyle w:val="Hyperlink"/>
                  <w:rFonts w:ascii="Arial" w:hAnsi="Arial" w:cs="Arial"/>
                  <w:sz w:val="15"/>
                  <w:szCs w:val="15"/>
                </w:rPr>
                <w:t>10.1016/j.wneu.2018.04.077</w:t>
              </w:r>
            </w:hyperlink>
          </w:p>
        </w:tc>
        <w:tc>
          <w:tcPr>
            <w:tcW w:w="851" w:type="dxa"/>
          </w:tcPr>
          <w:p w14:paraId="30215921" w14:textId="05EF95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A651717" w14:textId="7C31B1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333877F" w14:textId="6E7FD0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AE2118A" w14:textId="1BC56B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5DC7C561" w14:textId="51D4E2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provide a contemporary surgical profile of risk factors and complications for Chiari I malformations in adults.</w:t>
            </w:r>
          </w:p>
        </w:tc>
        <w:tc>
          <w:tcPr>
            <w:tcW w:w="1134" w:type="dxa"/>
          </w:tcPr>
          <w:p w14:paraId="53EC09CE" w14:textId="46187FD2" w:rsidR="006E5533" w:rsidRPr="00251EA9" w:rsidRDefault="006E5533" w:rsidP="006E5533">
            <w:pPr>
              <w:spacing w:line="360" w:lineRule="auto"/>
              <w:contextualSpacing/>
              <w:rPr>
                <w:rFonts w:ascii="Arial" w:hAnsi="Arial" w:cs="Arial"/>
                <w:sz w:val="15"/>
                <w:szCs w:val="15"/>
              </w:rPr>
            </w:pPr>
          </w:p>
        </w:tc>
        <w:tc>
          <w:tcPr>
            <w:tcW w:w="992" w:type="dxa"/>
          </w:tcPr>
          <w:p w14:paraId="21410F6F" w14:textId="777E79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7F9E8DE" w14:textId="16B09B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9677ACB" w14:textId="65A0E578" w:rsidR="006E5533" w:rsidRPr="00251EA9" w:rsidRDefault="006E5533" w:rsidP="006E5533">
            <w:pPr>
              <w:rPr>
                <w:rFonts w:ascii="Arial" w:hAnsi="Arial" w:cs="Arial"/>
                <w:sz w:val="15"/>
                <w:szCs w:val="15"/>
              </w:rPr>
            </w:pPr>
            <w:r w:rsidRPr="00251EA9">
              <w:rPr>
                <w:rFonts w:ascii="Arial" w:hAnsi="Arial" w:cs="Arial"/>
                <w:sz w:val="15"/>
                <w:szCs w:val="15"/>
              </w:rPr>
              <w:t>Total of 36 SSIs - 10 superficial, 6 deep, 9 organ space.</w:t>
            </w:r>
          </w:p>
        </w:tc>
        <w:tc>
          <w:tcPr>
            <w:tcW w:w="1701" w:type="dxa"/>
          </w:tcPr>
          <w:p w14:paraId="01DE980A" w14:textId="7BD759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0C21AE8" w14:textId="77777777" w:rsidTr="00A77951">
        <w:trPr>
          <w:trHeight w:val="586"/>
        </w:trPr>
        <w:tc>
          <w:tcPr>
            <w:tcW w:w="992" w:type="dxa"/>
          </w:tcPr>
          <w:p w14:paraId="6308D755" w14:textId="0B42F9E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Bjellvi</w:t>
            </w:r>
            <w:proofErr w:type="spellEnd"/>
            <w:r w:rsidRPr="00251EA9">
              <w:rPr>
                <w:rFonts w:ascii="Arial" w:hAnsi="Arial" w:cs="Arial"/>
                <w:sz w:val="15"/>
                <w:szCs w:val="15"/>
              </w:rPr>
              <w:t xml:space="preserve"> J</w:t>
            </w:r>
            <w:r>
              <w:rPr>
                <w:rFonts w:ascii="Arial" w:hAnsi="Arial" w:cs="Arial"/>
                <w:sz w:val="15"/>
                <w:szCs w:val="15"/>
              </w:rPr>
              <w:t>.</w:t>
            </w:r>
            <w:r w:rsidRPr="00251EA9">
              <w:rPr>
                <w:rFonts w:ascii="Arial" w:hAnsi="Arial" w:cs="Arial"/>
                <w:sz w:val="15"/>
                <w:szCs w:val="15"/>
              </w:rPr>
              <w:t xml:space="preserve"> et al</w:t>
            </w:r>
            <w:r>
              <w:rPr>
                <w:rFonts w:ascii="Arial" w:hAnsi="Arial" w:cs="Arial"/>
                <w:sz w:val="15"/>
                <w:szCs w:val="15"/>
              </w:rPr>
              <w:t>.</w:t>
            </w:r>
            <w:r w:rsidRPr="00251EA9">
              <w:rPr>
                <w:rFonts w:ascii="Arial" w:hAnsi="Arial" w:cs="Arial"/>
                <w:sz w:val="15"/>
                <w:szCs w:val="15"/>
              </w:rPr>
              <w:t>, 2015</w:t>
            </w:r>
          </w:p>
        </w:tc>
        <w:tc>
          <w:tcPr>
            <w:tcW w:w="851" w:type="dxa"/>
          </w:tcPr>
          <w:p w14:paraId="7AB38FAF" w14:textId="4F49467E" w:rsidR="006E5533" w:rsidRPr="00A77951" w:rsidRDefault="006E5533" w:rsidP="006E5533">
            <w:pPr>
              <w:spacing w:line="360" w:lineRule="auto"/>
              <w:contextualSpacing/>
              <w:rPr>
                <w:rFonts w:ascii="Arial" w:hAnsi="Arial" w:cs="Arial"/>
                <w:sz w:val="15"/>
                <w:szCs w:val="15"/>
              </w:rPr>
            </w:pPr>
            <w:hyperlink r:id="rId52"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9.JNS</w:t>
              </w:r>
              <w:proofErr w:type="gramEnd"/>
              <w:r w:rsidRPr="00A77951">
                <w:rPr>
                  <w:rStyle w:val="Hyperlink"/>
                  <w:rFonts w:ascii="Arial" w:hAnsi="Arial" w:cs="Arial"/>
                  <w:sz w:val="15"/>
                  <w:szCs w:val="15"/>
                </w:rPr>
                <w:t>132679</w:t>
              </w:r>
            </w:hyperlink>
          </w:p>
        </w:tc>
        <w:tc>
          <w:tcPr>
            <w:tcW w:w="851" w:type="dxa"/>
          </w:tcPr>
          <w:p w14:paraId="6539D262" w14:textId="6FCF23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Sweden</w:t>
            </w:r>
          </w:p>
        </w:tc>
        <w:tc>
          <w:tcPr>
            <w:tcW w:w="1134" w:type="dxa"/>
          </w:tcPr>
          <w:p w14:paraId="7648F920" w14:textId="5F720F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688A46AB" w14:textId="0E38C4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BC60CAD" w14:textId="6FBCE0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cases</w:t>
            </w:r>
          </w:p>
        </w:tc>
        <w:tc>
          <w:tcPr>
            <w:tcW w:w="1843" w:type="dxa"/>
          </w:tcPr>
          <w:p w14:paraId="17E11AAC" w14:textId="79BD49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major and minor complications related to epilepsy surgery in a large, prospective series</w:t>
            </w:r>
          </w:p>
        </w:tc>
        <w:tc>
          <w:tcPr>
            <w:tcW w:w="1134" w:type="dxa"/>
          </w:tcPr>
          <w:p w14:paraId="31C8F973" w14:textId="6DBCCC11" w:rsidR="006E5533" w:rsidRPr="00251EA9" w:rsidRDefault="006E5533" w:rsidP="006E5533">
            <w:pPr>
              <w:spacing w:line="360" w:lineRule="auto"/>
              <w:contextualSpacing/>
              <w:rPr>
                <w:rFonts w:ascii="Arial" w:hAnsi="Arial" w:cs="Arial"/>
                <w:sz w:val="15"/>
                <w:szCs w:val="15"/>
              </w:rPr>
            </w:pPr>
          </w:p>
        </w:tc>
        <w:tc>
          <w:tcPr>
            <w:tcW w:w="992" w:type="dxa"/>
          </w:tcPr>
          <w:p w14:paraId="061676C4" w14:textId="7C507A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6D6E358" w14:textId="5FBFF2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CDC6BE8" w14:textId="68A98D7B" w:rsidR="006E5533" w:rsidRPr="00251EA9" w:rsidRDefault="006E5533" w:rsidP="006E5533">
            <w:pPr>
              <w:rPr>
                <w:rFonts w:ascii="Arial" w:hAnsi="Arial" w:cs="Arial"/>
                <w:sz w:val="15"/>
                <w:szCs w:val="15"/>
              </w:rPr>
            </w:pPr>
            <w:r w:rsidRPr="00251EA9">
              <w:rPr>
                <w:rFonts w:ascii="Arial" w:hAnsi="Arial" w:cs="Arial"/>
                <w:sz w:val="15"/>
                <w:szCs w:val="15"/>
              </w:rPr>
              <w:t>1 case of infection as a major complication, and 18 as a minor complication.</w:t>
            </w:r>
          </w:p>
        </w:tc>
        <w:tc>
          <w:tcPr>
            <w:tcW w:w="1701" w:type="dxa"/>
          </w:tcPr>
          <w:p w14:paraId="4F245AF4" w14:textId="2ABC7C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509B840" w14:textId="77777777" w:rsidTr="00A77951">
        <w:trPr>
          <w:trHeight w:val="586"/>
        </w:trPr>
        <w:tc>
          <w:tcPr>
            <w:tcW w:w="992" w:type="dxa"/>
          </w:tcPr>
          <w:p w14:paraId="44C61B43" w14:textId="752C2B5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Bjerknes</w:t>
            </w:r>
            <w:proofErr w:type="spellEnd"/>
            <w:r w:rsidRPr="00251EA9">
              <w:rPr>
                <w:rFonts w:ascii="Arial" w:hAnsi="Arial" w:cs="Arial"/>
                <w:sz w:val="15"/>
                <w:szCs w:val="15"/>
              </w:rPr>
              <w:t xml:space="preserve"> S</w:t>
            </w:r>
            <w:r>
              <w:rPr>
                <w:rFonts w:ascii="Arial" w:hAnsi="Arial" w:cs="Arial"/>
                <w:sz w:val="15"/>
                <w:szCs w:val="15"/>
              </w:rPr>
              <w:t>.</w:t>
            </w:r>
            <w:r w:rsidRPr="00251EA9">
              <w:rPr>
                <w:rFonts w:ascii="Arial" w:hAnsi="Arial" w:cs="Arial"/>
                <w:sz w:val="15"/>
                <w:szCs w:val="15"/>
              </w:rPr>
              <w:t xml:space="preserve"> et al.</w:t>
            </w:r>
            <w:r>
              <w:rPr>
                <w:rFonts w:ascii="Arial" w:hAnsi="Arial" w:cs="Arial"/>
                <w:sz w:val="15"/>
                <w:szCs w:val="15"/>
              </w:rPr>
              <w:t>,</w:t>
            </w:r>
            <w:r w:rsidRPr="00251EA9">
              <w:rPr>
                <w:rFonts w:ascii="Arial" w:hAnsi="Arial" w:cs="Arial"/>
                <w:sz w:val="15"/>
                <w:szCs w:val="15"/>
              </w:rPr>
              <w:t xml:space="preserve"> 2014</w:t>
            </w:r>
          </w:p>
        </w:tc>
        <w:tc>
          <w:tcPr>
            <w:tcW w:w="851" w:type="dxa"/>
          </w:tcPr>
          <w:p w14:paraId="5FD109AE" w14:textId="492239CC" w:rsidR="006E5533" w:rsidRPr="00A77951" w:rsidRDefault="006E5533" w:rsidP="006E5533">
            <w:pPr>
              <w:spacing w:line="360" w:lineRule="auto"/>
              <w:contextualSpacing/>
              <w:rPr>
                <w:rFonts w:ascii="Arial" w:hAnsi="Arial" w:cs="Arial"/>
                <w:sz w:val="15"/>
                <w:szCs w:val="15"/>
              </w:rPr>
            </w:pPr>
            <w:hyperlink r:id="rId53" w:history="1">
              <w:r w:rsidRPr="00A77951">
                <w:rPr>
                  <w:rStyle w:val="Hyperlink"/>
                  <w:rFonts w:ascii="Arial" w:hAnsi="Arial" w:cs="Arial"/>
                  <w:sz w:val="15"/>
                  <w:szCs w:val="15"/>
                </w:rPr>
                <w:t>10.1371/journal.pone.0105288</w:t>
              </w:r>
            </w:hyperlink>
          </w:p>
        </w:tc>
        <w:tc>
          <w:tcPr>
            <w:tcW w:w="851" w:type="dxa"/>
          </w:tcPr>
          <w:p w14:paraId="7F10ADA1" w14:textId="7A947F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Norway</w:t>
            </w:r>
          </w:p>
        </w:tc>
        <w:tc>
          <w:tcPr>
            <w:tcW w:w="1134" w:type="dxa"/>
          </w:tcPr>
          <w:p w14:paraId="3DE206F4" w14:textId="7E6AE5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3319616" w14:textId="6FABC5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0577C7F" w14:textId="64A530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774FD7F2" w14:textId="78F337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frequency and possible risk factors of DBS related infections at the </w:t>
            </w:r>
            <w:r w:rsidRPr="00251EA9">
              <w:rPr>
                <w:rFonts w:ascii="Arial" w:hAnsi="Arial" w:cs="Arial"/>
                <w:sz w:val="15"/>
                <w:szCs w:val="15"/>
              </w:rPr>
              <w:lastRenderedPageBreak/>
              <w:t>author’s centre. To analyse treatment, the clinical and microbiological characteristics of the infections.</w:t>
            </w:r>
          </w:p>
        </w:tc>
        <w:tc>
          <w:tcPr>
            <w:tcW w:w="1134" w:type="dxa"/>
          </w:tcPr>
          <w:p w14:paraId="4D1C4783" w14:textId="25A3B4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w:t>
            </w:r>
          </w:p>
        </w:tc>
        <w:tc>
          <w:tcPr>
            <w:tcW w:w="992" w:type="dxa"/>
          </w:tcPr>
          <w:p w14:paraId="50F05C4F" w14:textId="79010A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01215DF" w14:textId="6E58EC19"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r w:rsidR="006E5533" w:rsidRPr="00251EA9">
              <w:rPr>
                <w:rFonts w:ascii="Arial" w:hAnsi="Arial" w:cs="Arial"/>
                <w:sz w:val="15"/>
                <w:szCs w:val="15"/>
              </w:rPr>
              <w:t xml:space="preserve"> /Guideline for Prevention of SSI</w:t>
            </w:r>
          </w:p>
        </w:tc>
        <w:tc>
          <w:tcPr>
            <w:tcW w:w="2693" w:type="dxa"/>
          </w:tcPr>
          <w:p w14:paraId="40DDD751" w14:textId="52B8830E" w:rsidR="006E5533" w:rsidRPr="00251EA9" w:rsidRDefault="006E5533" w:rsidP="006E5533">
            <w:pPr>
              <w:rPr>
                <w:rFonts w:ascii="Arial" w:hAnsi="Arial" w:cs="Arial"/>
                <w:sz w:val="15"/>
                <w:szCs w:val="15"/>
              </w:rPr>
            </w:pPr>
            <w:r w:rsidRPr="00251EA9">
              <w:rPr>
                <w:rFonts w:ascii="Arial" w:hAnsi="Arial" w:cs="Arial"/>
                <w:sz w:val="15"/>
                <w:szCs w:val="15"/>
              </w:rPr>
              <w:t xml:space="preserve">Of the 588 procedures performed 33 (5.6%) led to an infection. Most infections (52%) developed within the first month and 79% within three months. Staphylococcus aureus infections were the most frequent </w:t>
            </w:r>
            <w:r w:rsidRPr="00251EA9">
              <w:rPr>
                <w:rFonts w:ascii="Arial" w:hAnsi="Arial" w:cs="Arial"/>
                <w:sz w:val="15"/>
                <w:szCs w:val="15"/>
              </w:rPr>
              <w:lastRenderedPageBreak/>
              <w:t>(36%), and</w:t>
            </w:r>
            <w:r>
              <w:rPr>
                <w:rFonts w:ascii="Arial" w:hAnsi="Arial" w:cs="Arial"/>
                <w:sz w:val="15"/>
                <w:szCs w:val="15"/>
              </w:rPr>
              <w:t xml:space="preserve"> </w:t>
            </w:r>
            <w:r w:rsidRPr="00251EA9">
              <w:rPr>
                <w:rFonts w:ascii="Arial" w:hAnsi="Arial" w:cs="Arial"/>
                <w:sz w:val="15"/>
                <w:szCs w:val="15"/>
              </w:rPr>
              <w:t>more likely to have earlier onset, pus formation, a more aggressive development and lead to hardware removal.</w:t>
            </w:r>
          </w:p>
        </w:tc>
        <w:tc>
          <w:tcPr>
            <w:tcW w:w="1701" w:type="dxa"/>
          </w:tcPr>
          <w:p w14:paraId="1011BB6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Yes: "Previous studies have reported very</w:t>
            </w:r>
          </w:p>
          <w:p w14:paraId="134FBF81"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different frequencies of infectious complications, varying from 0% to more than 15% of operated patients. These numbers are difficult to interpret for several reasons, including the lack of consensus regarding definition and criteria of infection, varying</w:t>
            </w:r>
          </w:p>
          <w:p w14:paraId="75728436"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follow-up time, few included patients, different operating techniques and varying peri- and postoperative use of prophylactic</w:t>
            </w:r>
          </w:p>
          <w:p w14:paraId="45470F5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antibiotics. Some </w:t>
            </w:r>
            <w:proofErr w:type="spellStart"/>
            <w:r w:rsidRPr="00251EA9">
              <w:rPr>
                <w:rFonts w:ascii="Arial" w:hAnsi="Arial" w:cs="Arial"/>
                <w:sz w:val="15"/>
                <w:szCs w:val="15"/>
              </w:rPr>
              <w:t>centers</w:t>
            </w:r>
            <w:proofErr w:type="spellEnd"/>
            <w:r w:rsidRPr="00251EA9">
              <w:rPr>
                <w:rFonts w:ascii="Arial" w:hAnsi="Arial" w:cs="Arial"/>
                <w:sz w:val="15"/>
                <w:szCs w:val="15"/>
              </w:rPr>
              <w:t xml:space="preserve"> only include those patients whose infections need surgical intervention and exclude those with superficial infections that can be cured with conservative therapy</w:t>
            </w:r>
          </w:p>
          <w:p w14:paraId="199A06F6" w14:textId="522463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alone"</w:t>
            </w:r>
          </w:p>
        </w:tc>
      </w:tr>
      <w:tr w:rsidR="006E5533" w:rsidRPr="00251EA9" w14:paraId="7021B665" w14:textId="77777777" w:rsidTr="00A77951">
        <w:trPr>
          <w:trHeight w:val="586"/>
        </w:trPr>
        <w:tc>
          <w:tcPr>
            <w:tcW w:w="992" w:type="dxa"/>
          </w:tcPr>
          <w:p w14:paraId="38529A8D" w14:textId="256EFF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Blomstedt P. et al., 2005</w:t>
            </w:r>
          </w:p>
        </w:tc>
        <w:tc>
          <w:tcPr>
            <w:tcW w:w="851" w:type="dxa"/>
          </w:tcPr>
          <w:p w14:paraId="09841C17" w14:textId="411021C6" w:rsidR="006E5533" w:rsidRPr="00A77951" w:rsidRDefault="006E5533" w:rsidP="006E5533">
            <w:pPr>
              <w:spacing w:line="360" w:lineRule="auto"/>
              <w:contextualSpacing/>
              <w:rPr>
                <w:rFonts w:ascii="Arial" w:hAnsi="Arial" w:cs="Arial"/>
                <w:sz w:val="15"/>
                <w:szCs w:val="15"/>
              </w:rPr>
            </w:pPr>
            <w:hyperlink r:id="rId54" w:history="1">
              <w:r w:rsidRPr="00A77951">
                <w:rPr>
                  <w:rStyle w:val="Hyperlink"/>
                  <w:rFonts w:ascii="Arial" w:hAnsi="Arial" w:cs="Arial"/>
                  <w:sz w:val="15"/>
                  <w:szCs w:val="15"/>
                </w:rPr>
                <w:t>10.1007/s00701-</w:t>
              </w:r>
              <w:r w:rsidRPr="00A77951">
                <w:rPr>
                  <w:rStyle w:val="Hyperlink"/>
                  <w:rFonts w:ascii="Arial" w:hAnsi="Arial" w:cs="Arial"/>
                  <w:sz w:val="15"/>
                  <w:szCs w:val="15"/>
                </w:rPr>
                <w:lastRenderedPageBreak/>
                <w:t>005-0576-5</w:t>
              </w:r>
            </w:hyperlink>
          </w:p>
        </w:tc>
        <w:tc>
          <w:tcPr>
            <w:tcW w:w="851" w:type="dxa"/>
          </w:tcPr>
          <w:p w14:paraId="53FFED10" w14:textId="3F7214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Sweden and UK</w:t>
            </w:r>
          </w:p>
        </w:tc>
        <w:tc>
          <w:tcPr>
            <w:tcW w:w="1134" w:type="dxa"/>
          </w:tcPr>
          <w:p w14:paraId="1C36507D" w14:textId="5F9415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ABA7E6F" w14:textId="3E7433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F915CEA" w14:textId="186E20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56A648C2" w14:textId="16FB5E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hardware-related</w:t>
            </w:r>
            <w:r>
              <w:rPr>
                <w:rFonts w:ascii="Arial" w:hAnsi="Arial" w:cs="Arial"/>
                <w:sz w:val="15"/>
                <w:szCs w:val="15"/>
              </w:rPr>
              <w:t xml:space="preserve"> </w:t>
            </w:r>
            <w:r w:rsidRPr="00251EA9">
              <w:rPr>
                <w:rFonts w:ascii="Arial" w:hAnsi="Arial" w:cs="Arial"/>
                <w:sz w:val="15"/>
                <w:szCs w:val="15"/>
              </w:rPr>
              <w:t xml:space="preserve">complications encountered in this </w:t>
            </w:r>
            <w:r w:rsidRPr="00251EA9">
              <w:rPr>
                <w:rFonts w:ascii="Arial" w:hAnsi="Arial" w:cs="Arial"/>
                <w:sz w:val="15"/>
                <w:szCs w:val="15"/>
              </w:rPr>
              <w:lastRenderedPageBreak/>
              <w:t>consecutive series of</w:t>
            </w:r>
            <w:r w:rsidRPr="00251EA9">
              <w:rPr>
                <w:rFonts w:ascii="Arial" w:hAnsi="Arial" w:cs="Arial"/>
                <w:sz w:val="15"/>
                <w:szCs w:val="15"/>
              </w:rPr>
              <w:br/>
              <w:t xml:space="preserve">patients treated over a period of ten years with </w:t>
            </w:r>
            <w:proofErr w:type="spellStart"/>
            <w:r w:rsidRPr="00251EA9">
              <w:rPr>
                <w:rFonts w:ascii="Arial" w:hAnsi="Arial" w:cs="Arial"/>
                <w:sz w:val="15"/>
                <w:szCs w:val="15"/>
              </w:rPr>
              <w:t>nonmicroelectrode</w:t>
            </w:r>
            <w:proofErr w:type="spellEnd"/>
            <w:r w:rsidRPr="00251EA9">
              <w:rPr>
                <w:rFonts w:ascii="Arial" w:hAnsi="Arial" w:cs="Arial"/>
                <w:sz w:val="15"/>
                <w:szCs w:val="15"/>
              </w:rPr>
              <w:t>-</w:t>
            </w:r>
            <w:r w:rsidRPr="00251EA9">
              <w:rPr>
                <w:rFonts w:ascii="Arial" w:hAnsi="Arial" w:cs="Arial"/>
                <w:sz w:val="15"/>
                <w:szCs w:val="15"/>
              </w:rPr>
              <w:br/>
              <w:t>guided DBS.</w:t>
            </w:r>
          </w:p>
        </w:tc>
        <w:tc>
          <w:tcPr>
            <w:tcW w:w="1134" w:type="dxa"/>
          </w:tcPr>
          <w:p w14:paraId="44422CD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9BE2ECF" w14:textId="325397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0168FB8" w14:textId="7D87C3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C945B7E" w14:textId="4770B3BB" w:rsidR="006E5533" w:rsidRPr="00251EA9" w:rsidRDefault="006E5533" w:rsidP="006E5533">
            <w:pPr>
              <w:rPr>
                <w:rFonts w:ascii="Arial" w:hAnsi="Arial" w:cs="Arial"/>
                <w:sz w:val="15"/>
                <w:szCs w:val="15"/>
              </w:rPr>
            </w:pPr>
            <w:r w:rsidRPr="00251EA9">
              <w:rPr>
                <w:rFonts w:ascii="Arial" w:hAnsi="Arial" w:cs="Arial"/>
                <w:sz w:val="15"/>
                <w:szCs w:val="15"/>
              </w:rPr>
              <w:t>1.5% hardware infection rate reported.</w:t>
            </w:r>
          </w:p>
        </w:tc>
        <w:tc>
          <w:tcPr>
            <w:tcW w:w="1701" w:type="dxa"/>
          </w:tcPr>
          <w:p w14:paraId="3286957D" w14:textId="65648D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F4665B8" w14:textId="77777777" w:rsidTr="00A77951">
        <w:trPr>
          <w:trHeight w:val="586"/>
        </w:trPr>
        <w:tc>
          <w:tcPr>
            <w:tcW w:w="992" w:type="dxa"/>
          </w:tcPr>
          <w:p w14:paraId="24D2CA27" w14:textId="167E54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Bonfield C.M. et al., 2014</w:t>
            </w:r>
          </w:p>
        </w:tc>
        <w:tc>
          <w:tcPr>
            <w:tcW w:w="851" w:type="dxa"/>
          </w:tcPr>
          <w:p w14:paraId="3C191C9A" w14:textId="22EC7A87" w:rsidR="006E5533" w:rsidRPr="00A77951" w:rsidRDefault="006E5533" w:rsidP="006E5533">
            <w:pPr>
              <w:spacing w:line="360" w:lineRule="auto"/>
              <w:contextualSpacing/>
              <w:rPr>
                <w:rFonts w:ascii="Arial" w:hAnsi="Arial" w:cs="Arial"/>
                <w:sz w:val="15"/>
                <w:szCs w:val="15"/>
              </w:rPr>
            </w:pPr>
            <w:hyperlink r:id="rId55"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6.PEDS</w:t>
              </w:r>
              <w:proofErr w:type="gramEnd"/>
              <w:r w:rsidRPr="00A77951">
                <w:rPr>
                  <w:rStyle w:val="Hyperlink"/>
                  <w:rFonts w:ascii="Arial" w:hAnsi="Arial" w:cs="Arial"/>
                  <w:sz w:val="15"/>
                  <w:szCs w:val="15"/>
                </w:rPr>
                <w:t>13682</w:t>
              </w:r>
            </w:hyperlink>
          </w:p>
        </w:tc>
        <w:tc>
          <w:tcPr>
            <w:tcW w:w="851" w:type="dxa"/>
          </w:tcPr>
          <w:p w14:paraId="45A20984" w14:textId="17130D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453F480" w14:textId="656D6D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3D7D3C0" w14:textId="71A4F2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19E35354" w14:textId="37DA47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Trauma</w:t>
            </w:r>
          </w:p>
        </w:tc>
        <w:tc>
          <w:tcPr>
            <w:tcW w:w="1843" w:type="dxa"/>
          </w:tcPr>
          <w:p w14:paraId="41008A8B" w14:textId="1EA4B9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characteristics, injuries, complications, and outcomes of the</w:t>
            </w:r>
            <w:r>
              <w:rPr>
                <w:rFonts w:ascii="Arial" w:hAnsi="Arial" w:cs="Arial"/>
                <w:sz w:val="15"/>
                <w:szCs w:val="15"/>
              </w:rPr>
              <w:t xml:space="preserve"> </w:t>
            </w:r>
            <w:r w:rsidRPr="00251EA9">
              <w:rPr>
                <w:rFonts w:ascii="Arial" w:hAnsi="Arial" w:cs="Arial"/>
                <w:sz w:val="15"/>
                <w:szCs w:val="15"/>
              </w:rPr>
              <w:t>patients in whom surgical intervention was needed</w:t>
            </w:r>
            <w:r>
              <w:rPr>
                <w:rFonts w:ascii="Arial" w:hAnsi="Arial" w:cs="Arial"/>
                <w:sz w:val="15"/>
                <w:szCs w:val="15"/>
              </w:rPr>
              <w:t xml:space="preserve"> </w:t>
            </w:r>
            <w:r w:rsidRPr="00251EA9">
              <w:rPr>
                <w:rFonts w:ascii="Arial" w:hAnsi="Arial" w:cs="Arial"/>
                <w:sz w:val="15"/>
                <w:szCs w:val="15"/>
              </w:rPr>
              <w:t>for skull fractures.</w:t>
            </w:r>
          </w:p>
        </w:tc>
        <w:tc>
          <w:tcPr>
            <w:tcW w:w="1134" w:type="dxa"/>
          </w:tcPr>
          <w:p w14:paraId="4CCFC5D8"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9E5D705" w14:textId="4E2CA7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176B5B4" w14:textId="4B11B3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225A0E5" w14:textId="10271123" w:rsidR="006E5533" w:rsidRPr="00251EA9" w:rsidRDefault="006E5533" w:rsidP="006E5533">
            <w:pPr>
              <w:rPr>
                <w:rFonts w:ascii="Arial" w:hAnsi="Arial" w:cs="Arial"/>
                <w:sz w:val="15"/>
                <w:szCs w:val="15"/>
              </w:rPr>
            </w:pPr>
            <w:r w:rsidRPr="00251EA9">
              <w:rPr>
                <w:rFonts w:ascii="Arial" w:hAnsi="Arial" w:cs="Arial"/>
                <w:sz w:val="15"/>
                <w:szCs w:val="15"/>
              </w:rPr>
              <w:t>Eight patients (38.0%) had</w:t>
            </w:r>
            <w:r>
              <w:rPr>
                <w:rFonts w:ascii="Arial" w:hAnsi="Arial" w:cs="Arial"/>
                <w:sz w:val="15"/>
                <w:szCs w:val="15"/>
              </w:rPr>
              <w:t xml:space="preserve"> </w:t>
            </w:r>
            <w:r w:rsidRPr="00251EA9">
              <w:rPr>
                <w:rFonts w:ascii="Arial" w:hAnsi="Arial" w:cs="Arial"/>
                <w:sz w:val="15"/>
                <w:szCs w:val="15"/>
              </w:rPr>
              <w:t>complications related to the surgical procedure, including wound infection. 32 patients (42.8%) in the TBI group had complications:</w:t>
            </w:r>
            <w:r>
              <w:rPr>
                <w:rFonts w:ascii="Arial" w:hAnsi="Arial" w:cs="Arial"/>
                <w:sz w:val="15"/>
                <w:szCs w:val="15"/>
              </w:rPr>
              <w:t xml:space="preserve"> </w:t>
            </w:r>
            <w:r w:rsidRPr="00251EA9">
              <w:rPr>
                <w:rFonts w:ascii="Arial" w:hAnsi="Arial" w:cs="Arial"/>
                <w:sz w:val="15"/>
                <w:szCs w:val="15"/>
              </w:rPr>
              <w:t xml:space="preserve">3 (9.4%) were surgery </w:t>
            </w:r>
            <w:proofErr w:type="gramStart"/>
            <w:r w:rsidRPr="00251EA9">
              <w:rPr>
                <w:rFonts w:ascii="Arial" w:hAnsi="Arial" w:cs="Arial"/>
                <w:sz w:val="15"/>
                <w:szCs w:val="15"/>
              </w:rPr>
              <w:t>related, and</w:t>
            </w:r>
            <w:proofErr w:type="gramEnd"/>
            <w:r w:rsidRPr="00251EA9">
              <w:rPr>
                <w:rFonts w:ascii="Arial" w:hAnsi="Arial" w:cs="Arial"/>
                <w:sz w:val="15"/>
                <w:szCs w:val="15"/>
              </w:rPr>
              <w:t xml:space="preserve"> included cranioplasty</w:t>
            </w:r>
            <w:r>
              <w:rPr>
                <w:rFonts w:ascii="Arial" w:hAnsi="Arial" w:cs="Arial"/>
                <w:sz w:val="15"/>
                <w:szCs w:val="15"/>
              </w:rPr>
              <w:t xml:space="preserve"> </w:t>
            </w:r>
            <w:r w:rsidRPr="00251EA9">
              <w:rPr>
                <w:rFonts w:ascii="Arial" w:hAnsi="Arial" w:cs="Arial"/>
                <w:sz w:val="15"/>
                <w:szCs w:val="15"/>
              </w:rPr>
              <w:t>resorption and infection.</w:t>
            </w:r>
          </w:p>
        </w:tc>
        <w:tc>
          <w:tcPr>
            <w:tcW w:w="1701" w:type="dxa"/>
          </w:tcPr>
          <w:p w14:paraId="189A3741" w14:textId="536A6D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9CA0F10" w14:textId="77777777" w:rsidTr="00A77951">
        <w:trPr>
          <w:trHeight w:val="586"/>
        </w:trPr>
        <w:tc>
          <w:tcPr>
            <w:tcW w:w="992" w:type="dxa"/>
          </w:tcPr>
          <w:p w14:paraId="6C4CF78C" w14:textId="518109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Borger V</w:t>
            </w:r>
            <w:r>
              <w:rPr>
                <w:rFonts w:ascii="Arial" w:hAnsi="Arial" w:cs="Arial"/>
                <w:sz w:val="15"/>
                <w:szCs w:val="15"/>
              </w:rPr>
              <w:t>.</w:t>
            </w:r>
            <w:r w:rsidRPr="00251EA9">
              <w:rPr>
                <w:rFonts w:ascii="Arial" w:hAnsi="Arial" w:cs="Arial"/>
                <w:sz w:val="15"/>
                <w:szCs w:val="15"/>
              </w:rPr>
              <w:t xml:space="preserve"> et al., 2021 </w:t>
            </w:r>
          </w:p>
        </w:tc>
        <w:tc>
          <w:tcPr>
            <w:tcW w:w="851" w:type="dxa"/>
          </w:tcPr>
          <w:p w14:paraId="68BAD1D9" w14:textId="65255F76" w:rsidR="006E5533" w:rsidRPr="00A77951" w:rsidRDefault="006E5533" w:rsidP="006E5533">
            <w:pPr>
              <w:spacing w:line="360" w:lineRule="auto"/>
              <w:contextualSpacing/>
              <w:rPr>
                <w:rFonts w:ascii="Arial" w:hAnsi="Arial" w:cs="Arial"/>
                <w:sz w:val="15"/>
                <w:szCs w:val="15"/>
              </w:rPr>
            </w:pPr>
            <w:hyperlink r:id="rId56" w:history="1">
              <w:r w:rsidRPr="00A77951">
                <w:rPr>
                  <w:rStyle w:val="Hyperlink"/>
                  <w:rFonts w:ascii="Arial" w:hAnsi="Arial" w:cs="Arial"/>
                  <w:sz w:val="15"/>
                  <w:szCs w:val="15"/>
                </w:rPr>
                <w:t>10.3171/2020.</w:t>
              </w:r>
              <w:proofErr w:type="gramStart"/>
              <w:r w:rsidRPr="00A77951">
                <w:rPr>
                  <w:rStyle w:val="Hyperlink"/>
                  <w:rFonts w:ascii="Arial" w:hAnsi="Arial" w:cs="Arial"/>
                  <w:sz w:val="15"/>
                  <w:szCs w:val="15"/>
                </w:rPr>
                <w:t>7.JNS</w:t>
              </w:r>
              <w:proofErr w:type="gramEnd"/>
              <w:r w:rsidRPr="00A77951">
                <w:rPr>
                  <w:rStyle w:val="Hyperlink"/>
                  <w:rFonts w:ascii="Arial" w:hAnsi="Arial" w:cs="Arial"/>
                  <w:sz w:val="15"/>
                  <w:szCs w:val="15"/>
                </w:rPr>
                <w:t>20284</w:t>
              </w:r>
            </w:hyperlink>
          </w:p>
        </w:tc>
        <w:tc>
          <w:tcPr>
            <w:tcW w:w="851" w:type="dxa"/>
          </w:tcPr>
          <w:p w14:paraId="5FC1AC2B" w14:textId="2A9080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23F6E6A2" w14:textId="057A93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 control</w:t>
            </w:r>
          </w:p>
        </w:tc>
        <w:tc>
          <w:tcPr>
            <w:tcW w:w="992" w:type="dxa"/>
          </w:tcPr>
          <w:p w14:paraId="51FA95BD" w14:textId="67BA16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54F590B" w14:textId="1FB077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(temporal lobe resection for epilepsy)</w:t>
            </w:r>
          </w:p>
        </w:tc>
        <w:tc>
          <w:tcPr>
            <w:tcW w:w="1843" w:type="dxa"/>
          </w:tcPr>
          <w:p w14:paraId="2017A542" w14:textId="19384B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The aim of this study was to evaluate the seizure</w:t>
            </w:r>
            <w:r w:rsidRPr="00251EA9">
              <w:rPr>
                <w:rFonts w:ascii="Arial" w:hAnsi="Arial" w:cs="Arial"/>
                <w:sz w:val="15"/>
                <w:szCs w:val="15"/>
              </w:rPr>
              <w:br/>
              <w:t xml:space="preserve">outcome in patients with drug-refractory temporal lobe epilepsy who underwent </w:t>
            </w:r>
            <w:proofErr w:type="spellStart"/>
            <w:r w:rsidRPr="00251EA9">
              <w:rPr>
                <w:rFonts w:ascii="Arial" w:hAnsi="Arial" w:cs="Arial"/>
                <w:sz w:val="15"/>
                <w:szCs w:val="15"/>
              </w:rPr>
              <w:t>resective</w:t>
            </w:r>
            <w:proofErr w:type="spellEnd"/>
            <w:r w:rsidRPr="00251EA9">
              <w:rPr>
                <w:rFonts w:ascii="Arial" w:hAnsi="Arial" w:cs="Arial"/>
                <w:sz w:val="15"/>
                <w:szCs w:val="15"/>
              </w:rPr>
              <w:t xml:space="preserve"> temporal lobe surgery and to determine</w:t>
            </w:r>
            <w:r w:rsidRPr="00251EA9">
              <w:rPr>
                <w:rFonts w:ascii="Arial" w:hAnsi="Arial" w:cs="Arial"/>
                <w:sz w:val="15"/>
                <w:szCs w:val="15"/>
              </w:rPr>
              <w:br/>
              <w:t xml:space="preserve">features associated with </w:t>
            </w:r>
            <w:proofErr w:type="spellStart"/>
            <w:r w:rsidRPr="00251EA9">
              <w:rPr>
                <w:rFonts w:ascii="Arial" w:hAnsi="Arial" w:cs="Arial"/>
                <w:sz w:val="15"/>
                <w:szCs w:val="15"/>
              </w:rPr>
              <w:t>unfavorable</w:t>
            </w:r>
            <w:proofErr w:type="spellEnd"/>
            <w:r w:rsidRPr="00251EA9">
              <w:rPr>
                <w:rFonts w:ascii="Arial" w:hAnsi="Arial" w:cs="Arial"/>
                <w:sz w:val="15"/>
                <w:szCs w:val="15"/>
              </w:rPr>
              <w:t xml:space="preserve"> postsurgical seizure outcome.</w:t>
            </w:r>
          </w:p>
        </w:tc>
        <w:tc>
          <w:tcPr>
            <w:tcW w:w="1134" w:type="dxa"/>
          </w:tcPr>
          <w:p w14:paraId="462B9989" w14:textId="08203757" w:rsidR="006E5533" w:rsidRPr="00251EA9" w:rsidRDefault="006E5533" w:rsidP="006E5533">
            <w:pPr>
              <w:spacing w:line="360" w:lineRule="auto"/>
              <w:contextualSpacing/>
              <w:rPr>
                <w:rFonts w:ascii="Arial" w:hAnsi="Arial" w:cs="Arial"/>
                <w:sz w:val="15"/>
                <w:szCs w:val="15"/>
              </w:rPr>
            </w:pPr>
          </w:p>
        </w:tc>
        <w:tc>
          <w:tcPr>
            <w:tcW w:w="992" w:type="dxa"/>
          </w:tcPr>
          <w:p w14:paraId="11ADFE54" w14:textId="1A32F1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B02A306" w14:textId="38F825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F34F41A" w14:textId="01283BE5" w:rsidR="006E5533" w:rsidRPr="00251EA9" w:rsidRDefault="006E5533" w:rsidP="006E5533">
            <w:pPr>
              <w:rPr>
                <w:rFonts w:ascii="Arial" w:hAnsi="Arial" w:cs="Arial"/>
                <w:sz w:val="15"/>
                <w:szCs w:val="15"/>
              </w:rPr>
            </w:pPr>
            <w:r w:rsidRPr="00251EA9">
              <w:rPr>
                <w:rFonts w:ascii="Arial" w:hAnsi="Arial" w:cs="Arial"/>
                <w:sz w:val="15"/>
                <w:szCs w:val="15"/>
              </w:rPr>
              <w:t>Surgical site infections were the most frequent complication (in 9 [5.6%] of 161 patients).</w:t>
            </w:r>
          </w:p>
        </w:tc>
        <w:tc>
          <w:tcPr>
            <w:tcW w:w="1701" w:type="dxa"/>
          </w:tcPr>
          <w:p w14:paraId="7D853187" w14:textId="14F5AF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6D8B5A9" w14:textId="77777777" w:rsidTr="00A77951">
        <w:trPr>
          <w:trHeight w:val="586"/>
        </w:trPr>
        <w:tc>
          <w:tcPr>
            <w:tcW w:w="992" w:type="dxa"/>
          </w:tcPr>
          <w:p w14:paraId="0C8AE47F" w14:textId="404BF2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Branch L.G. et al., 2017</w:t>
            </w:r>
          </w:p>
        </w:tc>
        <w:tc>
          <w:tcPr>
            <w:tcW w:w="851" w:type="dxa"/>
          </w:tcPr>
          <w:p w14:paraId="4D0F5177" w14:textId="65CC2A93" w:rsidR="006E5533" w:rsidRPr="00A77951" w:rsidRDefault="006E5533" w:rsidP="006E5533">
            <w:pPr>
              <w:spacing w:line="360" w:lineRule="auto"/>
              <w:contextualSpacing/>
              <w:rPr>
                <w:rFonts w:ascii="Arial" w:hAnsi="Arial" w:cs="Arial"/>
                <w:sz w:val="15"/>
                <w:szCs w:val="15"/>
              </w:rPr>
            </w:pPr>
            <w:hyperlink r:id="rId57" w:history="1">
              <w:r w:rsidRPr="00A77951">
                <w:rPr>
                  <w:rStyle w:val="Hyperlink"/>
                  <w:rFonts w:ascii="Arial" w:hAnsi="Arial" w:cs="Arial"/>
                  <w:sz w:val="15"/>
                  <w:szCs w:val="15"/>
                </w:rPr>
                <w:t>10.1097/SCS.0000000000003166</w:t>
              </w:r>
            </w:hyperlink>
          </w:p>
        </w:tc>
        <w:tc>
          <w:tcPr>
            <w:tcW w:w="851" w:type="dxa"/>
          </w:tcPr>
          <w:p w14:paraId="476CA232" w14:textId="2BA58D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D972BA3" w14:textId="7A1C65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B71CD08" w14:textId="58C608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77D363F3" w14:textId="25077B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w:t>
            </w:r>
            <w:proofErr w:type="spellStart"/>
            <w:r w:rsidRPr="00251EA9">
              <w:rPr>
                <w:rFonts w:ascii="Arial" w:hAnsi="Arial" w:cs="Arial"/>
                <w:sz w:val="15"/>
                <w:szCs w:val="15"/>
              </w:rPr>
              <w:t>Skullbase</w:t>
            </w:r>
            <w:proofErr w:type="spellEnd"/>
          </w:p>
        </w:tc>
        <w:tc>
          <w:tcPr>
            <w:tcW w:w="1843" w:type="dxa"/>
          </w:tcPr>
          <w:p w14:paraId="03AE5C63" w14:textId="771B95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our long-term experience with the use of absorbable plating fixation systems for </w:t>
            </w:r>
            <w:proofErr w:type="spellStart"/>
            <w:r w:rsidRPr="00251EA9">
              <w:rPr>
                <w:rFonts w:ascii="Arial" w:hAnsi="Arial" w:cs="Arial"/>
                <w:sz w:val="15"/>
                <w:szCs w:val="15"/>
              </w:rPr>
              <w:t>pediatric</w:t>
            </w:r>
            <w:proofErr w:type="spellEnd"/>
            <w:r w:rsidRPr="00251EA9">
              <w:rPr>
                <w:rFonts w:ascii="Arial" w:hAnsi="Arial" w:cs="Arial"/>
                <w:sz w:val="15"/>
                <w:szCs w:val="15"/>
              </w:rPr>
              <w:t xml:space="preserve"> cranial reconstructions for treatment of craniosynostosis</w:t>
            </w:r>
          </w:p>
        </w:tc>
        <w:tc>
          <w:tcPr>
            <w:tcW w:w="1134" w:type="dxa"/>
          </w:tcPr>
          <w:p w14:paraId="531B0639"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ECAA4C1" w14:textId="4C7ABE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F1F571B" w14:textId="493E43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05D7C3B" w14:textId="6A71D4B5" w:rsidR="006E5533" w:rsidRPr="00251EA9" w:rsidRDefault="006E5533" w:rsidP="006E5533">
            <w:pPr>
              <w:rPr>
                <w:rFonts w:ascii="Arial" w:hAnsi="Arial" w:cs="Arial"/>
                <w:sz w:val="15"/>
                <w:szCs w:val="15"/>
              </w:rPr>
            </w:pPr>
            <w:r w:rsidRPr="00251EA9">
              <w:rPr>
                <w:rFonts w:ascii="Arial" w:hAnsi="Arial" w:cs="Arial"/>
                <w:sz w:val="15"/>
                <w:szCs w:val="15"/>
              </w:rPr>
              <w:t>Reported that 4 patients developed SSI.</w:t>
            </w:r>
          </w:p>
        </w:tc>
        <w:tc>
          <w:tcPr>
            <w:tcW w:w="1701" w:type="dxa"/>
          </w:tcPr>
          <w:p w14:paraId="1D73999C" w14:textId="33905E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8ED2C89" w14:textId="77777777" w:rsidTr="00A77951">
        <w:trPr>
          <w:trHeight w:val="586"/>
        </w:trPr>
        <w:tc>
          <w:tcPr>
            <w:tcW w:w="992" w:type="dxa"/>
          </w:tcPr>
          <w:p w14:paraId="13FC6FE0" w14:textId="7C2A7D9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Brokinkel</w:t>
            </w:r>
            <w:proofErr w:type="spellEnd"/>
            <w:r w:rsidRPr="00251EA9">
              <w:rPr>
                <w:rFonts w:ascii="Arial" w:hAnsi="Arial" w:cs="Arial"/>
                <w:sz w:val="15"/>
                <w:szCs w:val="15"/>
              </w:rPr>
              <w:t xml:space="preserve"> B</w:t>
            </w:r>
            <w:r>
              <w:rPr>
                <w:rFonts w:ascii="Arial" w:hAnsi="Arial" w:cs="Arial"/>
                <w:sz w:val="15"/>
                <w:szCs w:val="15"/>
              </w:rPr>
              <w:t>.</w:t>
            </w:r>
            <w:r w:rsidRPr="00251EA9">
              <w:rPr>
                <w:rFonts w:ascii="Arial" w:hAnsi="Arial" w:cs="Arial"/>
                <w:sz w:val="15"/>
                <w:szCs w:val="15"/>
              </w:rPr>
              <w:t xml:space="preserve"> et al., 2021</w:t>
            </w:r>
          </w:p>
        </w:tc>
        <w:tc>
          <w:tcPr>
            <w:tcW w:w="851" w:type="dxa"/>
          </w:tcPr>
          <w:p w14:paraId="4383DEE2" w14:textId="648A3B24" w:rsidR="006E5533" w:rsidRPr="00A77951" w:rsidRDefault="006E5533" w:rsidP="006E5533">
            <w:pPr>
              <w:spacing w:line="360" w:lineRule="auto"/>
              <w:contextualSpacing/>
              <w:rPr>
                <w:rFonts w:ascii="Arial" w:hAnsi="Arial" w:cs="Arial"/>
                <w:sz w:val="15"/>
                <w:szCs w:val="15"/>
              </w:rPr>
            </w:pPr>
            <w:hyperlink r:id="rId58" w:history="1">
              <w:r w:rsidRPr="00A77951">
                <w:rPr>
                  <w:rStyle w:val="Hyperlink"/>
                  <w:rFonts w:ascii="Arial" w:hAnsi="Arial" w:cs="Arial"/>
                  <w:sz w:val="15"/>
                  <w:szCs w:val="15"/>
                </w:rPr>
                <w:t>10.1016/j.clineuro.2020.106315</w:t>
              </w:r>
            </w:hyperlink>
          </w:p>
        </w:tc>
        <w:tc>
          <w:tcPr>
            <w:tcW w:w="851" w:type="dxa"/>
          </w:tcPr>
          <w:p w14:paraId="565C8F28" w14:textId="258B26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37ECE6DF" w14:textId="0BFE71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661BDB9" w14:textId="7F5B9D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EB82B56" w14:textId="1ED2A9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A6366DF" w14:textId="45F8F2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correlations between clinical, radiological and histological variables and the development of new postoperative seizures in a series of 752 patients who underwent surgery for primary diagnosed intracranial meningioma.</w:t>
            </w:r>
          </w:p>
        </w:tc>
        <w:tc>
          <w:tcPr>
            <w:tcW w:w="1134" w:type="dxa"/>
          </w:tcPr>
          <w:p w14:paraId="126E50AE" w14:textId="54F7DF6C" w:rsidR="006E5533" w:rsidRPr="00251EA9" w:rsidRDefault="006E5533" w:rsidP="006E5533">
            <w:pPr>
              <w:spacing w:line="360" w:lineRule="auto"/>
              <w:contextualSpacing/>
              <w:rPr>
                <w:rFonts w:ascii="Arial" w:hAnsi="Arial" w:cs="Arial"/>
                <w:sz w:val="15"/>
                <w:szCs w:val="15"/>
              </w:rPr>
            </w:pPr>
          </w:p>
        </w:tc>
        <w:tc>
          <w:tcPr>
            <w:tcW w:w="992" w:type="dxa"/>
          </w:tcPr>
          <w:p w14:paraId="2D19EA9E" w14:textId="4C259D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64A8D35" w14:textId="777E5E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51813FB" w14:textId="6615CCA1" w:rsidR="006E5533" w:rsidRPr="00251EA9" w:rsidRDefault="006E5533" w:rsidP="006E5533">
            <w:pPr>
              <w:rPr>
                <w:rFonts w:ascii="Arial" w:hAnsi="Arial" w:cs="Arial"/>
                <w:sz w:val="15"/>
                <w:szCs w:val="15"/>
              </w:rPr>
            </w:pPr>
            <w:r w:rsidRPr="00251EA9">
              <w:rPr>
                <w:rFonts w:ascii="Arial" w:hAnsi="Arial" w:cs="Arial"/>
                <w:sz w:val="15"/>
                <w:szCs w:val="15"/>
              </w:rPr>
              <w:t>Reported 36 cases of SSI (6%). SSI was not correlated with postoperative seizures.</w:t>
            </w:r>
          </w:p>
        </w:tc>
        <w:tc>
          <w:tcPr>
            <w:tcW w:w="1701" w:type="dxa"/>
          </w:tcPr>
          <w:p w14:paraId="07C342FA" w14:textId="6799C3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113653C" w14:textId="77777777" w:rsidTr="00A77951">
        <w:trPr>
          <w:trHeight w:val="586"/>
        </w:trPr>
        <w:tc>
          <w:tcPr>
            <w:tcW w:w="992" w:type="dxa"/>
          </w:tcPr>
          <w:p w14:paraId="2D90E202" w14:textId="7F7223B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Brommeland</w:t>
            </w:r>
            <w:proofErr w:type="spellEnd"/>
            <w:r w:rsidRPr="00251EA9">
              <w:rPr>
                <w:rFonts w:ascii="Arial" w:hAnsi="Arial" w:cs="Arial"/>
                <w:sz w:val="15"/>
                <w:szCs w:val="15"/>
              </w:rPr>
              <w:t xml:space="preserve"> T</w:t>
            </w:r>
            <w:r>
              <w:rPr>
                <w:rFonts w:ascii="Arial" w:hAnsi="Arial" w:cs="Arial"/>
                <w:sz w:val="15"/>
                <w:szCs w:val="15"/>
              </w:rPr>
              <w:t>.</w:t>
            </w:r>
            <w:r w:rsidRPr="00251EA9">
              <w:rPr>
                <w:rFonts w:ascii="Arial" w:hAnsi="Arial" w:cs="Arial"/>
                <w:sz w:val="15"/>
                <w:szCs w:val="15"/>
              </w:rPr>
              <w:t xml:space="preserve"> et al., 2015</w:t>
            </w:r>
          </w:p>
        </w:tc>
        <w:tc>
          <w:tcPr>
            <w:tcW w:w="851" w:type="dxa"/>
          </w:tcPr>
          <w:p w14:paraId="676CD31F" w14:textId="260BC9F1" w:rsidR="006E5533" w:rsidRPr="00A77951" w:rsidRDefault="006E5533" w:rsidP="006E5533">
            <w:pPr>
              <w:spacing w:line="360" w:lineRule="auto"/>
              <w:contextualSpacing/>
              <w:rPr>
                <w:rFonts w:ascii="Arial" w:hAnsi="Arial" w:cs="Arial"/>
                <w:sz w:val="15"/>
                <w:szCs w:val="15"/>
              </w:rPr>
            </w:pPr>
            <w:hyperlink r:id="rId59" w:history="1">
              <w:r w:rsidRPr="00A77951">
                <w:rPr>
                  <w:rStyle w:val="Hyperlink"/>
                  <w:rFonts w:ascii="Arial" w:hAnsi="Arial" w:cs="Arial"/>
                  <w:sz w:val="15"/>
                  <w:szCs w:val="15"/>
                </w:rPr>
                <w:t>10.1186/s13049-015-0155-6</w:t>
              </w:r>
            </w:hyperlink>
          </w:p>
        </w:tc>
        <w:tc>
          <w:tcPr>
            <w:tcW w:w="851" w:type="dxa"/>
          </w:tcPr>
          <w:p w14:paraId="2A3B37BA" w14:textId="66D8BF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Norway</w:t>
            </w:r>
          </w:p>
        </w:tc>
        <w:tc>
          <w:tcPr>
            <w:tcW w:w="1134" w:type="dxa"/>
          </w:tcPr>
          <w:p w14:paraId="3CD59B9C" w14:textId="3D161E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9BF7C9F" w14:textId="0FBD60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21CCE81" w14:textId="04168E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62B1689" w14:textId="15E9C1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possible predictive parameters for post-operative complications in cranioplasty.</w:t>
            </w:r>
          </w:p>
        </w:tc>
        <w:tc>
          <w:tcPr>
            <w:tcW w:w="1134" w:type="dxa"/>
          </w:tcPr>
          <w:p w14:paraId="4E0C605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BD9740D" w14:textId="3C563B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045ED43" w14:textId="5B141C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5AC1BAD" w14:textId="6D20EC27" w:rsidR="006E5533" w:rsidRPr="00251EA9" w:rsidRDefault="006E5533" w:rsidP="006E5533">
            <w:pPr>
              <w:rPr>
                <w:rFonts w:ascii="Arial" w:hAnsi="Arial" w:cs="Arial"/>
                <w:sz w:val="15"/>
                <w:szCs w:val="15"/>
              </w:rPr>
            </w:pPr>
            <w:r w:rsidRPr="00251EA9">
              <w:rPr>
                <w:rFonts w:ascii="Arial" w:hAnsi="Arial" w:cs="Arial"/>
                <w:sz w:val="15"/>
                <w:szCs w:val="15"/>
              </w:rPr>
              <w:t>SSI with subsequent removal of the skull implant occurred in 8 out of 87 (9.2 %) cases, of which one was synthetic.</w:t>
            </w:r>
          </w:p>
        </w:tc>
        <w:tc>
          <w:tcPr>
            <w:tcW w:w="1701" w:type="dxa"/>
          </w:tcPr>
          <w:p w14:paraId="76AE8AE5" w14:textId="4EBF8A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B84825A" w14:textId="77777777" w:rsidTr="00A77951">
        <w:trPr>
          <w:trHeight w:val="586"/>
        </w:trPr>
        <w:tc>
          <w:tcPr>
            <w:tcW w:w="992" w:type="dxa"/>
          </w:tcPr>
          <w:p w14:paraId="460FBEFE" w14:textId="57F136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Buang S</w:t>
            </w:r>
            <w:r>
              <w:rPr>
                <w:rFonts w:ascii="Arial" w:hAnsi="Arial" w:cs="Arial"/>
                <w:sz w:val="15"/>
                <w:szCs w:val="15"/>
              </w:rPr>
              <w:t>.</w:t>
            </w:r>
            <w:r w:rsidRPr="00251EA9">
              <w:rPr>
                <w:rFonts w:ascii="Arial" w:hAnsi="Arial" w:cs="Arial"/>
                <w:sz w:val="15"/>
                <w:szCs w:val="15"/>
              </w:rPr>
              <w:t>S</w:t>
            </w:r>
            <w:r>
              <w:rPr>
                <w:rFonts w:ascii="Arial" w:hAnsi="Arial" w:cs="Arial"/>
                <w:sz w:val="15"/>
                <w:szCs w:val="15"/>
              </w:rPr>
              <w:t>.</w:t>
            </w:r>
            <w:r w:rsidRPr="00251EA9">
              <w:rPr>
                <w:rFonts w:ascii="Arial" w:hAnsi="Arial" w:cs="Arial"/>
                <w:sz w:val="15"/>
                <w:szCs w:val="15"/>
              </w:rPr>
              <w:t xml:space="preserve"> et al., 2012</w:t>
            </w:r>
          </w:p>
        </w:tc>
        <w:tc>
          <w:tcPr>
            <w:tcW w:w="851" w:type="dxa"/>
          </w:tcPr>
          <w:p w14:paraId="04672F23" w14:textId="2D4EF1A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PMID: 23082448</w:t>
            </w:r>
          </w:p>
        </w:tc>
        <w:tc>
          <w:tcPr>
            <w:tcW w:w="851" w:type="dxa"/>
          </w:tcPr>
          <w:p w14:paraId="651F01CB" w14:textId="6547EF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Malaysia</w:t>
            </w:r>
          </w:p>
        </w:tc>
        <w:tc>
          <w:tcPr>
            <w:tcW w:w="1134" w:type="dxa"/>
          </w:tcPr>
          <w:p w14:paraId="7194BBAF" w14:textId="660914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71F11AD6" w14:textId="3B3797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99F8418" w14:textId="2BCD68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General neurosurgical (Craniectomy, craniotomy, cranioplasty, </w:t>
            </w:r>
            <w:proofErr w:type="spellStart"/>
            <w:r w:rsidRPr="00251EA9">
              <w:rPr>
                <w:rFonts w:ascii="Arial" w:hAnsi="Arial" w:cs="Arial"/>
                <w:sz w:val="15"/>
                <w:szCs w:val="15"/>
              </w:rPr>
              <w:t>burrhole</w:t>
            </w:r>
            <w:proofErr w:type="spellEnd"/>
            <w:r w:rsidRPr="00251EA9">
              <w:rPr>
                <w:rFonts w:ascii="Arial" w:hAnsi="Arial" w:cs="Arial"/>
                <w:sz w:val="15"/>
                <w:szCs w:val="15"/>
              </w:rPr>
              <w:t>)</w:t>
            </w:r>
          </w:p>
        </w:tc>
        <w:tc>
          <w:tcPr>
            <w:tcW w:w="1843" w:type="dxa"/>
          </w:tcPr>
          <w:p w14:paraId="079B6C68" w14:textId="7811A7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incidence and risk factors of SSI after craniotomy.</w:t>
            </w:r>
          </w:p>
        </w:tc>
        <w:tc>
          <w:tcPr>
            <w:tcW w:w="1134" w:type="dxa"/>
          </w:tcPr>
          <w:p w14:paraId="709A8388"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2B4E99F" w14:textId="0DAC56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1736449" w14:textId="47D15115"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r w:rsidR="006E5533" w:rsidRPr="00251EA9">
              <w:rPr>
                <w:rFonts w:ascii="Arial" w:hAnsi="Arial" w:cs="Arial"/>
                <w:sz w:val="15"/>
                <w:szCs w:val="15"/>
              </w:rPr>
              <w:t>/ National Healthcare Safety Network Surveillance Definitions</w:t>
            </w:r>
          </w:p>
        </w:tc>
        <w:tc>
          <w:tcPr>
            <w:tcW w:w="2693" w:type="dxa"/>
          </w:tcPr>
          <w:p w14:paraId="62DB112B" w14:textId="609627E3" w:rsidR="006E5533" w:rsidRPr="00251EA9" w:rsidRDefault="006E5533" w:rsidP="006E5533">
            <w:pPr>
              <w:rPr>
                <w:rFonts w:ascii="Arial" w:hAnsi="Arial" w:cs="Arial"/>
                <w:sz w:val="15"/>
                <w:szCs w:val="15"/>
              </w:rPr>
            </w:pPr>
            <w:r w:rsidRPr="00251EA9">
              <w:rPr>
                <w:rFonts w:ascii="Arial" w:hAnsi="Arial" w:cs="Arial"/>
                <w:sz w:val="15"/>
                <w:szCs w:val="15"/>
              </w:rPr>
              <w:t xml:space="preserve">Total of 30 SSI cases out of 390 cases. Included 19 superficial wound infections, 9 bone flap osteitis and 2 with organ/space infections. Mean time between surgery and onset of infection was 11.8 +/- 21.8 days. </w:t>
            </w:r>
          </w:p>
        </w:tc>
        <w:tc>
          <w:tcPr>
            <w:tcW w:w="1701" w:type="dxa"/>
          </w:tcPr>
          <w:p w14:paraId="092E97DC" w14:textId="3C270B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C45ED97" w14:textId="77777777" w:rsidTr="00A77951">
        <w:trPr>
          <w:trHeight w:val="586"/>
        </w:trPr>
        <w:tc>
          <w:tcPr>
            <w:tcW w:w="992" w:type="dxa"/>
          </w:tcPr>
          <w:p w14:paraId="5397D258" w14:textId="58F09D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Buchanan I.A. et al., 2018</w:t>
            </w:r>
          </w:p>
        </w:tc>
        <w:tc>
          <w:tcPr>
            <w:tcW w:w="851" w:type="dxa"/>
          </w:tcPr>
          <w:p w14:paraId="4CA98C94" w14:textId="489A4C7E" w:rsidR="006E5533" w:rsidRPr="00A77951" w:rsidRDefault="006E5533" w:rsidP="006E5533">
            <w:pPr>
              <w:spacing w:line="360" w:lineRule="auto"/>
              <w:contextualSpacing/>
              <w:rPr>
                <w:rFonts w:ascii="Arial" w:hAnsi="Arial" w:cs="Arial"/>
                <w:sz w:val="15"/>
                <w:szCs w:val="15"/>
              </w:rPr>
            </w:pPr>
            <w:hyperlink r:id="rId60" w:history="1">
              <w:r w:rsidRPr="00A77951">
                <w:rPr>
                  <w:rStyle w:val="Hyperlink"/>
                  <w:rFonts w:ascii="Arial" w:hAnsi="Arial" w:cs="Arial"/>
                  <w:sz w:val="15"/>
                  <w:szCs w:val="15"/>
                </w:rPr>
                <w:t>10.1016/j.wneu.2018.08.102</w:t>
              </w:r>
            </w:hyperlink>
          </w:p>
        </w:tc>
        <w:tc>
          <w:tcPr>
            <w:tcW w:w="851" w:type="dxa"/>
          </w:tcPr>
          <w:p w14:paraId="026D6592" w14:textId="40D6F5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9DE3F39" w14:textId="4BC0D5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E2C357E" w14:textId="6B2A26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10CEDB4" w14:textId="5B64FE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4B893491" w14:textId="77777777"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t>To</w:t>
            </w:r>
            <w:r w:rsidRPr="00251EA9">
              <w:rPr>
                <w:rFonts w:ascii="Arial" w:hAnsi="Arial" w:cs="Arial"/>
                <w:sz w:val="15"/>
                <w:szCs w:val="15"/>
              </w:rPr>
              <w:t xml:space="preserve"> use a large </w:t>
            </w:r>
            <w:proofErr w:type="spellStart"/>
            <w:r w:rsidRPr="00251EA9">
              <w:rPr>
                <w:rFonts w:ascii="Arial" w:hAnsi="Arial" w:cs="Arial"/>
                <w:sz w:val="15"/>
                <w:szCs w:val="15"/>
              </w:rPr>
              <w:t>hetereogenous</w:t>
            </w:r>
            <w:proofErr w:type="spellEnd"/>
            <w:r w:rsidRPr="00251EA9">
              <w:rPr>
                <w:rFonts w:ascii="Arial" w:hAnsi="Arial" w:cs="Arial"/>
                <w:sz w:val="15"/>
                <w:szCs w:val="15"/>
              </w:rPr>
              <w:t xml:space="preserve"> patient sample to determine SSI incidence</w:t>
            </w:r>
          </w:p>
          <w:p w14:paraId="0807DE72" w14:textId="69B28B9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after nonemergent craniotomy and identify factors associated with readmission and subsequent need for wound washout.</w:t>
            </w:r>
          </w:p>
        </w:tc>
        <w:tc>
          <w:tcPr>
            <w:tcW w:w="1134" w:type="dxa"/>
          </w:tcPr>
          <w:p w14:paraId="30ED7CE7" w14:textId="695B10C8" w:rsidR="006E5533" w:rsidRPr="00251EA9" w:rsidRDefault="006E5533" w:rsidP="006E5533">
            <w:pPr>
              <w:spacing w:line="360" w:lineRule="auto"/>
              <w:contextualSpacing/>
              <w:rPr>
                <w:rFonts w:ascii="Arial" w:hAnsi="Arial" w:cs="Arial"/>
                <w:sz w:val="15"/>
                <w:szCs w:val="15"/>
              </w:rPr>
            </w:pPr>
          </w:p>
        </w:tc>
        <w:tc>
          <w:tcPr>
            <w:tcW w:w="992" w:type="dxa"/>
          </w:tcPr>
          <w:p w14:paraId="21DD7A51" w14:textId="6C8E1A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8AA4B71" w14:textId="063C61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81D1BF8" w14:textId="2B0D9194" w:rsidR="006E5533" w:rsidRPr="00251EA9" w:rsidRDefault="006E5533" w:rsidP="006E5533">
            <w:pPr>
              <w:rPr>
                <w:rFonts w:ascii="Arial" w:hAnsi="Arial" w:cs="Arial"/>
                <w:sz w:val="15"/>
                <w:szCs w:val="15"/>
              </w:rPr>
            </w:pPr>
            <w:r w:rsidRPr="00251EA9">
              <w:rPr>
                <w:rFonts w:ascii="Arial" w:hAnsi="Arial" w:cs="Arial"/>
                <w:sz w:val="15"/>
                <w:szCs w:val="15"/>
              </w:rPr>
              <w:t>There were 2079 cases of SSI (2.2%) and 835 reoperations for washout (0.89%) within 30 days of admission and there were 2761 cases of SSI (3.6%) and 1220 reoperations for washout (1.58%) within 90 days.</w:t>
            </w:r>
            <w:r w:rsidRPr="00251EA9">
              <w:rPr>
                <w:rFonts w:ascii="Arial" w:hAnsi="Arial" w:cs="Arial"/>
                <w:sz w:val="15"/>
                <w:szCs w:val="15"/>
              </w:rPr>
              <w:br/>
              <w:t>Several factors were predictive of SSI, including tumour operations, external ventricular</w:t>
            </w:r>
            <w:r>
              <w:rPr>
                <w:rFonts w:ascii="Arial" w:hAnsi="Arial" w:cs="Arial"/>
                <w:sz w:val="15"/>
                <w:szCs w:val="15"/>
              </w:rPr>
              <w:t xml:space="preserve"> </w:t>
            </w:r>
            <w:r w:rsidRPr="00251EA9">
              <w:rPr>
                <w:rFonts w:ascii="Arial" w:hAnsi="Arial" w:cs="Arial"/>
                <w:sz w:val="15"/>
                <w:szCs w:val="15"/>
              </w:rPr>
              <w:t>drain (EVD), age, length of stay, diabetes, discharge to an intermediate-care facility, insurance type, and hospital bed size.</w:t>
            </w:r>
          </w:p>
        </w:tc>
        <w:tc>
          <w:tcPr>
            <w:tcW w:w="1701" w:type="dxa"/>
          </w:tcPr>
          <w:p w14:paraId="1FC6E4D8" w14:textId="26C73C15" w:rsidR="006E5533" w:rsidRPr="00251EA9" w:rsidRDefault="006E5533" w:rsidP="006E5533">
            <w:pPr>
              <w:spacing w:line="360" w:lineRule="auto"/>
              <w:contextualSpacing/>
              <w:rPr>
                <w:rFonts w:ascii="Arial" w:hAnsi="Arial" w:cs="Arial"/>
                <w:b/>
                <w:bCs/>
                <w:sz w:val="15"/>
                <w:szCs w:val="15"/>
                <w:u w:val="single"/>
              </w:rPr>
            </w:pPr>
            <w:r w:rsidRPr="00251EA9">
              <w:rPr>
                <w:rFonts w:ascii="Arial" w:hAnsi="Arial" w:cs="Arial"/>
                <w:sz w:val="15"/>
                <w:szCs w:val="15"/>
              </w:rPr>
              <w:t xml:space="preserve">Yes: "SSIs are one of the most common health </w:t>
            </w:r>
            <w:proofErr w:type="gramStart"/>
            <w:r w:rsidRPr="00251EA9">
              <w:rPr>
                <w:rFonts w:ascii="Arial" w:hAnsi="Arial" w:cs="Arial"/>
                <w:sz w:val="15"/>
                <w:szCs w:val="15"/>
              </w:rPr>
              <w:t>care</w:t>
            </w:r>
            <w:proofErr w:type="gramEnd"/>
            <w:r w:rsidRPr="00251EA9">
              <w:rPr>
                <w:rFonts w:ascii="Arial" w:hAnsi="Arial" w:cs="Arial"/>
                <w:sz w:val="15"/>
                <w:szCs w:val="15"/>
              </w:rPr>
              <w:t xml:space="preserve"> associated infections, with a fiscal footprint equivalent to approximately $3 billion dollars annually. Their reported incidence after craniotomy is </w:t>
            </w:r>
            <w:r w:rsidRPr="00251EA9">
              <w:rPr>
                <w:rFonts w:ascii="Arial" w:hAnsi="Arial" w:cs="Arial"/>
                <w:sz w:val="15"/>
                <w:szCs w:val="15"/>
              </w:rPr>
              <w:lastRenderedPageBreak/>
              <w:t>variable, ranging from 0.8% to 5.6%. Various risk factors have been implicated; however, many of the data are inconsistent. This factor is likely attributable to immense variation in study inclusion criteria and SSI definitions used throughout the literature"</w:t>
            </w:r>
          </w:p>
        </w:tc>
      </w:tr>
      <w:tr w:rsidR="006E5533" w:rsidRPr="00251EA9" w14:paraId="23477151" w14:textId="77777777" w:rsidTr="00A77951">
        <w:trPr>
          <w:trHeight w:val="586"/>
        </w:trPr>
        <w:tc>
          <w:tcPr>
            <w:tcW w:w="992" w:type="dxa"/>
          </w:tcPr>
          <w:p w14:paraId="18B37CD4" w14:textId="74785AE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Byoun</w:t>
            </w:r>
            <w:proofErr w:type="spellEnd"/>
            <w:r w:rsidRPr="00251EA9">
              <w:rPr>
                <w:rFonts w:ascii="Arial" w:hAnsi="Arial" w:cs="Arial"/>
                <w:sz w:val="15"/>
                <w:szCs w:val="15"/>
              </w:rPr>
              <w:t xml:space="preserve"> H.S. et al., 2019</w:t>
            </w:r>
          </w:p>
        </w:tc>
        <w:tc>
          <w:tcPr>
            <w:tcW w:w="851" w:type="dxa"/>
          </w:tcPr>
          <w:p w14:paraId="7B8AC12B" w14:textId="62756506" w:rsidR="006E5533" w:rsidRPr="00A77951" w:rsidRDefault="006E5533" w:rsidP="006E5533">
            <w:pPr>
              <w:spacing w:line="360" w:lineRule="auto"/>
              <w:contextualSpacing/>
              <w:rPr>
                <w:rFonts w:ascii="Arial" w:hAnsi="Arial" w:cs="Arial"/>
                <w:sz w:val="15"/>
                <w:szCs w:val="15"/>
              </w:rPr>
            </w:pPr>
            <w:hyperlink r:id="rId61" w:history="1">
              <w:r w:rsidRPr="00A77951">
                <w:rPr>
                  <w:rStyle w:val="Hyperlink"/>
                  <w:rFonts w:ascii="Arial" w:hAnsi="Arial" w:cs="Arial"/>
                  <w:sz w:val="15"/>
                  <w:szCs w:val="15"/>
                </w:rPr>
                <w:t>10.1016/j.clineuro.2019.105503</w:t>
              </w:r>
            </w:hyperlink>
          </w:p>
        </w:tc>
        <w:tc>
          <w:tcPr>
            <w:tcW w:w="851" w:type="dxa"/>
          </w:tcPr>
          <w:p w14:paraId="38C8950D" w14:textId="1B5205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020AEADE" w14:textId="5BA5DD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7E103A3" w14:textId="76A77C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E557EE1" w14:textId="23122E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00F12F1F" w14:textId="629101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safety and unexpected finding of the intraoperative neuromonitoring (IONM) including</w:t>
            </w:r>
            <w:r>
              <w:rPr>
                <w:rFonts w:ascii="Arial" w:hAnsi="Arial" w:cs="Arial"/>
                <w:sz w:val="15"/>
                <w:szCs w:val="15"/>
              </w:rPr>
              <w:t xml:space="preserve"> </w:t>
            </w:r>
            <w:r w:rsidRPr="00251EA9">
              <w:rPr>
                <w:rFonts w:ascii="Arial" w:hAnsi="Arial" w:cs="Arial"/>
                <w:sz w:val="15"/>
                <w:szCs w:val="15"/>
              </w:rPr>
              <w:t>somatosensory evoked potentials (SSEPs) and motor evoked potentials (MEPs) during microsurgical clipping of an unruptured anterior choroidal artery (</w:t>
            </w:r>
            <w:proofErr w:type="spellStart"/>
            <w:r w:rsidRPr="00251EA9">
              <w:rPr>
                <w:rFonts w:ascii="Arial" w:hAnsi="Arial" w:cs="Arial"/>
                <w:sz w:val="15"/>
                <w:szCs w:val="15"/>
              </w:rPr>
              <w:t>AChA</w:t>
            </w:r>
            <w:proofErr w:type="spellEnd"/>
            <w:r w:rsidRPr="00251EA9">
              <w:rPr>
                <w:rFonts w:ascii="Arial" w:hAnsi="Arial" w:cs="Arial"/>
                <w:sz w:val="15"/>
                <w:szCs w:val="15"/>
              </w:rPr>
              <w:t>) aneurysm.</w:t>
            </w:r>
          </w:p>
        </w:tc>
        <w:tc>
          <w:tcPr>
            <w:tcW w:w="1134" w:type="dxa"/>
          </w:tcPr>
          <w:p w14:paraId="3FA96046" w14:textId="7AE55918" w:rsidR="006E5533" w:rsidRPr="00251EA9" w:rsidRDefault="006E5533" w:rsidP="006E5533">
            <w:pPr>
              <w:spacing w:line="360" w:lineRule="auto"/>
              <w:contextualSpacing/>
              <w:rPr>
                <w:rFonts w:ascii="Arial" w:hAnsi="Arial" w:cs="Arial"/>
                <w:sz w:val="15"/>
                <w:szCs w:val="15"/>
              </w:rPr>
            </w:pPr>
          </w:p>
        </w:tc>
        <w:tc>
          <w:tcPr>
            <w:tcW w:w="992" w:type="dxa"/>
          </w:tcPr>
          <w:p w14:paraId="5FDF371E" w14:textId="049EA1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1526F77" w14:textId="73235C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28ADB7C" w14:textId="7BAFD060" w:rsidR="006E5533" w:rsidRPr="00251EA9" w:rsidRDefault="006E5533" w:rsidP="006E5533">
            <w:pPr>
              <w:rPr>
                <w:rFonts w:ascii="Arial" w:hAnsi="Arial" w:cs="Arial"/>
                <w:sz w:val="15"/>
                <w:szCs w:val="15"/>
              </w:rPr>
            </w:pPr>
            <w:r w:rsidRPr="00251EA9">
              <w:rPr>
                <w:rFonts w:ascii="Arial" w:hAnsi="Arial" w:cs="Arial"/>
                <w:sz w:val="15"/>
                <w:szCs w:val="15"/>
              </w:rPr>
              <w:t>1 case of SSI was recorded.</w:t>
            </w:r>
          </w:p>
        </w:tc>
        <w:tc>
          <w:tcPr>
            <w:tcW w:w="1701" w:type="dxa"/>
          </w:tcPr>
          <w:p w14:paraId="4412E0D0" w14:textId="1C0792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B0AF410" w14:textId="77777777" w:rsidTr="00A77951">
        <w:trPr>
          <w:trHeight w:val="586"/>
        </w:trPr>
        <w:tc>
          <w:tcPr>
            <w:tcW w:w="992" w:type="dxa"/>
          </w:tcPr>
          <w:p w14:paraId="53B325FC" w14:textId="0687D9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Cacciola F. et al., 2001</w:t>
            </w:r>
          </w:p>
        </w:tc>
        <w:tc>
          <w:tcPr>
            <w:tcW w:w="851" w:type="dxa"/>
          </w:tcPr>
          <w:p w14:paraId="407A288B" w14:textId="4CB17C8F" w:rsidR="006E5533" w:rsidRPr="00A77951" w:rsidRDefault="006E5533" w:rsidP="006E5533">
            <w:pPr>
              <w:spacing w:line="360" w:lineRule="auto"/>
              <w:contextualSpacing/>
              <w:rPr>
                <w:rFonts w:ascii="Arial" w:hAnsi="Arial" w:cs="Arial"/>
                <w:sz w:val="15"/>
                <w:szCs w:val="15"/>
              </w:rPr>
            </w:pPr>
            <w:hyperlink r:id="rId62" w:history="1">
              <w:r w:rsidRPr="00A77951">
                <w:rPr>
                  <w:rStyle w:val="Hyperlink"/>
                  <w:rFonts w:ascii="Arial" w:hAnsi="Arial" w:cs="Arial"/>
                  <w:sz w:val="15"/>
                  <w:szCs w:val="15"/>
                </w:rPr>
                <w:t>10.1179/joc.2001.13.Supplement-2.119</w:t>
              </w:r>
            </w:hyperlink>
          </w:p>
        </w:tc>
        <w:tc>
          <w:tcPr>
            <w:tcW w:w="851" w:type="dxa"/>
          </w:tcPr>
          <w:p w14:paraId="1AC5174E" w14:textId="764F01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161BCE40" w14:textId="1225A0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43C42898" w14:textId="30662A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75623A9" w14:textId="606EC0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1EA2FF6F" w14:textId="6F09F5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efficacy of antibiotic prophylaxis and the risk factors for postoperative infections in clean neurosurgery.</w:t>
            </w:r>
          </w:p>
        </w:tc>
        <w:tc>
          <w:tcPr>
            <w:tcW w:w="1134" w:type="dxa"/>
          </w:tcPr>
          <w:p w14:paraId="6E2E148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8D6324A" w14:textId="78DDC3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C544A60" w14:textId="289B040A"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58B62AB4" w14:textId="62DA1550" w:rsidR="006E5533" w:rsidRPr="00251EA9" w:rsidRDefault="006E5533" w:rsidP="006E5533">
            <w:pPr>
              <w:rPr>
                <w:rFonts w:ascii="Arial" w:hAnsi="Arial" w:cs="Arial"/>
                <w:sz w:val="15"/>
                <w:szCs w:val="15"/>
              </w:rPr>
            </w:pPr>
            <w:r w:rsidRPr="00251EA9">
              <w:rPr>
                <w:rFonts w:ascii="Arial" w:hAnsi="Arial" w:cs="Arial"/>
                <w:sz w:val="15"/>
                <w:szCs w:val="15"/>
              </w:rPr>
              <w:t>Reported 31 cases of infections in antibiotic prophylaxis group, and 39 cases of infections in no prophylaxis group. Antibiotic prophylaxis in clean craniotomies had no preventive effect on postoperative infection.</w:t>
            </w:r>
          </w:p>
        </w:tc>
        <w:tc>
          <w:tcPr>
            <w:tcW w:w="1701" w:type="dxa"/>
          </w:tcPr>
          <w:p w14:paraId="5F910F75" w14:textId="6E35D9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C13EF36" w14:textId="77777777" w:rsidTr="00A77951">
        <w:trPr>
          <w:trHeight w:val="586"/>
        </w:trPr>
        <w:tc>
          <w:tcPr>
            <w:tcW w:w="992" w:type="dxa"/>
          </w:tcPr>
          <w:p w14:paraId="5DEB0D43" w14:textId="3CF5C2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Campbell E. et al., 2017</w:t>
            </w:r>
          </w:p>
        </w:tc>
        <w:tc>
          <w:tcPr>
            <w:tcW w:w="851" w:type="dxa"/>
          </w:tcPr>
          <w:p w14:paraId="1AE69216" w14:textId="50044A92" w:rsidR="006E5533" w:rsidRPr="00A77951" w:rsidRDefault="006E5533" w:rsidP="006E5533">
            <w:pPr>
              <w:spacing w:line="360" w:lineRule="auto"/>
              <w:contextualSpacing/>
              <w:rPr>
                <w:rFonts w:ascii="Arial" w:hAnsi="Arial" w:cs="Arial"/>
                <w:sz w:val="15"/>
                <w:szCs w:val="15"/>
              </w:rPr>
            </w:pPr>
            <w:hyperlink r:id="rId63" w:history="1">
              <w:r w:rsidRPr="00A77951">
                <w:rPr>
                  <w:rStyle w:val="Hyperlink"/>
                  <w:rFonts w:ascii="Arial" w:hAnsi="Arial" w:cs="Arial"/>
                  <w:sz w:val="15"/>
                  <w:szCs w:val="15"/>
                </w:rPr>
                <w:t>10.1007/s00381-017-3358-5</w:t>
              </w:r>
            </w:hyperlink>
          </w:p>
        </w:tc>
        <w:tc>
          <w:tcPr>
            <w:tcW w:w="851" w:type="dxa"/>
          </w:tcPr>
          <w:p w14:paraId="1D68B9F4" w14:textId="066306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55B28DB8" w14:textId="7E5809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DF3C202" w14:textId="7A7FA7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4B668B5C" w14:textId="4688D0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37FD30F3" w14:textId="29A5A6D5"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t>To</w:t>
            </w:r>
            <w:r w:rsidRPr="00251EA9">
              <w:rPr>
                <w:rFonts w:ascii="Arial" w:hAnsi="Arial" w:cs="Arial"/>
                <w:sz w:val="15"/>
                <w:szCs w:val="15"/>
              </w:rPr>
              <w:t xml:space="preserve"> record the 30-day and</w:t>
            </w:r>
            <w:r>
              <w:rPr>
                <w:rFonts w:ascii="Arial" w:hAnsi="Arial" w:cs="Arial"/>
                <w:sz w:val="15"/>
                <w:szCs w:val="15"/>
              </w:rPr>
              <w:t xml:space="preserve"> </w:t>
            </w:r>
            <w:r w:rsidRPr="00251EA9">
              <w:rPr>
                <w:rFonts w:ascii="Arial" w:hAnsi="Arial" w:cs="Arial"/>
                <w:sz w:val="15"/>
                <w:szCs w:val="15"/>
              </w:rPr>
              <w:t>inpatient morbidity and mortality in paediatric patients in a</w:t>
            </w:r>
            <w:r w:rsidRPr="00251EA9">
              <w:rPr>
                <w:rFonts w:ascii="Arial" w:hAnsi="Arial" w:cs="Arial"/>
                <w:sz w:val="15"/>
                <w:szCs w:val="15"/>
              </w:rPr>
              <w:br/>
              <w:t>tertiary neuroscience centre over a 2-year period. The intentions were to establish the frequency of significant adverse events, review the current published rates of morbidity in paediatric neurosurgical patients and propose three clinical indicators for future comparison.</w:t>
            </w:r>
          </w:p>
        </w:tc>
        <w:tc>
          <w:tcPr>
            <w:tcW w:w="1134" w:type="dxa"/>
          </w:tcPr>
          <w:p w14:paraId="074B9CA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AC5FD0C" w14:textId="75F816C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889A6A7" w14:textId="5AFD037E"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Not defined</w:t>
            </w:r>
          </w:p>
        </w:tc>
        <w:tc>
          <w:tcPr>
            <w:tcW w:w="2693" w:type="dxa"/>
          </w:tcPr>
          <w:p w14:paraId="73CB20B8" w14:textId="25CFB140" w:rsidR="006E5533" w:rsidRPr="00251EA9" w:rsidRDefault="006E5533" w:rsidP="006E5533">
            <w:pPr>
              <w:rPr>
                <w:rFonts w:ascii="Arial" w:hAnsi="Arial" w:cs="Arial"/>
                <w:sz w:val="15"/>
                <w:szCs w:val="15"/>
              </w:rPr>
            </w:pPr>
            <w:r w:rsidRPr="00251EA9">
              <w:rPr>
                <w:rFonts w:ascii="Arial" w:hAnsi="Arial" w:cs="Arial"/>
                <w:sz w:val="15"/>
                <w:szCs w:val="15"/>
              </w:rPr>
              <w:t>Reported 30 cases of SSI</w:t>
            </w:r>
            <w:r w:rsidRPr="00251EA9">
              <w:rPr>
                <w:rFonts w:ascii="Arial" w:hAnsi="Arial" w:cs="Arial"/>
                <w:sz w:val="15"/>
                <w:szCs w:val="15"/>
              </w:rPr>
              <w:br/>
              <w:t>or a suspected infection for which treatment was commenced; the</w:t>
            </w:r>
            <w:r w:rsidRPr="00251EA9">
              <w:rPr>
                <w:rFonts w:ascii="Arial" w:hAnsi="Arial" w:cs="Arial"/>
                <w:sz w:val="15"/>
                <w:szCs w:val="15"/>
              </w:rPr>
              <w:br/>
              <w:t>overall SSI rate was 5.5%.</w:t>
            </w:r>
          </w:p>
        </w:tc>
        <w:tc>
          <w:tcPr>
            <w:tcW w:w="1701" w:type="dxa"/>
          </w:tcPr>
          <w:p w14:paraId="52B31AB2" w14:textId="58C84C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E14958A" w14:textId="77777777" w:rsidTr="00A77951">
        <w:trPr>
          <w:trHeight w:val="586"/>
        </w:trPr>
        <w:tc>
          <w:tcPr>
            <w:tcW w:w="992" w:type="dxa"/>
          </w:tcPr>
          <w:p w14:paraId="031F2950" w14:textId="59A42D0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Campioli</w:t>
            </w:r>
            <w:proofErr w:type="spellEnd"/>
            <w:r w:rsidRPr="00251EA9">
              <w:rPr>
                <w:rFonts w:ascii="Arial" w:hAnsi="Arial" w:cs="Arial"/>
                <w:sz w:val="15"/>
                <w:szCs w:val="15"/>
              </w:rPr>
              <w:t xml:space="preserve"> C. et al., 2022</w:t>
            </w:r>
          </w:p>
        </w:tc>
        <w:tc>
          <w:tcPr>
            <w:tcW w:w="851" w:type="dxa"/>
          </w:tcPr>
          <w:p w14:paraId="15E5FA6A" w14:textId="4FADADF6" w:rsidR="006E5533" w:rsidRPr="00A77951" w:rsidRDefault="006E5533" w:rsidP="006E5533">
            <w:pPr>
              <w:spacing w:line="360" w:lineRule="auto"/>
              <w:contextualSpacing/>
              <w:rPr>
                <w:rFonts w:ascii="Arial" w:hAnsi="Arial" w:cs="Arial"/>
                <w:sz w:val="15"/>
                <w:szCs w:val="15"/>
              </w:rPr>
            </w:pPr>
            <w:hyperlink r:id="rId64" w:history="1">
              <w:r w:rsidRPr="00A77951">
                <w:rPr>
                  <w:rStyle w:val="Hyperlink"/>
                  <w:rFonts w:ascii="Arial" w:hAnsi="Arial" w:cs="Arial"/>
                  <w:sz w:val="15"/>
                  <w:szCs w:val="15"/>
                </w:rPr>
                <w:t>10.1017/ash.2021.258</w:t>
              </w:r>
            </w:hyperlink>
          </w:p>
        </w:tc>
        <w:tc>
          <w:tcPr>
            <w:tcW w:w="851" w:type="dxa"/>
          </w:tcPr>
          <w:p w14:paraId="5D80978F" w14:textId="5B4C84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9433D51" w14:textId="25DB17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 series</w:t>
            </w:r>
          </w:p>
        </w:tc>
        <w:tc>
          <w:tcPr>
            <w:tcW w:w="992" w:type="dxa"/>
          </w:tcPr>
          <w:p w14:paraId="13941A48" w14:textId="2B0937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3C0E511" w14:textId="6FD9BC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0A209DC3" w14:textId="321947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demographic characteristics, risk factors, and antibiotic prophylaxis choice</w:t>
            </w:r>
            <w:r w:rsidRPr="00251EA9">
              <w:rPr>
                <w:rFonts w:ascii="Arial" w:hAnsi="Arial" w:cs="Arial"/>
                <w:sz w:val="15"/>
                <w:szCs w:val="15"/>
              </w:rPr>
              <w:br/>
              <w:t>in patients with craniotomy complicated with SSI.</w:t>
            </w:r>
          </w:p>
        </w:tc>
        <w:tc>
          <w:tcPr>
            <w:tcW w:w="1134" w:type="dxa"/>
          </w:tcPr>
          <w:p w14:paraId="2050FA7D" w14:textId="78673E7B" w:rsidR="006E5533" w:rsidRPr="00251EA9" w:rsidRDefault="006E5533" w:rsidP="006E5533">
            <w:pPr>
              <w:spacing w:line="360" w:lineRule="auto"/>
              <w:contextualSpacing/>
              <w:rPr>
                <w:rFonts w:ascii="Arial" w:hAnsi="Arial" w:cs="Arial"/>
                <w:sz w:val="15"/>
                <w:szCs w:val="15"/>
              </w:rPr>
            </w:pPr>
          </w:p>
        </w:tc>
        <w:tc>
          <w:tcPr>
            <w:tcW w:w="992" w:type="dxa"/>
          </w:tcPr>
          <w:p w14:paraId="5DA64D2C" w14:textId="033F5E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FEB80ED" w14:textId="5BC03FF8"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18BDEC2D" w14:textId="69F7DE85" w:rsidR="006E5533" w:rsidRPr="00251EA9" w:rsidRDefault="006E5533" w:rsidP="006E5533">
            <w:pPr>
              <w:rPr>
                <w:rFonts w:ascii="Arial" w:hAnsi="Arial" w:cs="Arial"/>
                <w:sz w:val="15"/>
                <w:szCs w:val="15"/>
              </w:rPr>
            </w:pPr>
            <w:r w:rsidRPr="00251EA9">
              <w:rPr>
                <w:rFonts w:ascii="Arial" w:hAnsi="Arial" w:cs="Arial"/>
                <w:sz w:val="15"/>
                <w:szCs w:val="15"/>
              </w:rPr>
              <w:t>5,328 patients undergoing craniotomy were identified during the study period; 59 (1.1%) suffered an SSI. Compared with non-SSI cases, patients with SSI had a significantly higher frequency of emergency procedures.</w:t>
            </w:r>
          </w:p>
        </w:tc>
        <w:tc>
          <w:tcPr>
            <w:tcW w:w="1701" w:type="dxa"/>
          </w:tcPr>
          <w:p w14:paraId="491A394A" w14:textId="28C15F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DEB8E5C" w14:textId="77777777" w:rsidTr="00A77951">
        <w:trPr>
          <w:trHeight w:val="586"/>
        </w:trPr>
        <w:tc>
          <w:tcPr>
            <w:tcW w:w="992" w:type="dxa"/>
          </w:tcPr>
          <w:p w14:paraId="7140A133" w14:textId="26DA21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Cao Y. et al., 2020</w:t>
            </w:r>
          </w:p>
        </w:tc>
        <w:tc>
          <w:tcPr>
            <w:tcW w:w="851" w:type="dxa"/>
          </w:tcPr>
          <w:p w14:paraId="382E6E2C" w14:textId="54F797EC" w:rsidR="006E5533" w:rsidRPr="00A77951" w:rsidRDefault="006E5533" w:rsidP="006E5533">
            <w:pPr>
              <w:spacing w:line="360" w:lineRule="auto"/>
              <w:contextualSpacing/>
              <w:rPr>
                <w:rFonts w:ascii="Arial" w:hAnsi="Arial" w:cs="Arial"/>
                <w:sz w:val="15"/>
                <w:szCs w:val="15"/>
              </w:rPr>
            </w:pPr>
            <w:hyperlink r:id="rId65" w:history="1">
              <w:r w:rsidRPr="00A77951">
                <w:rPr>
                  <w:rStyle w:val="Hyperlink"/>
                  <w:rFonts w:ascii="Arial" w:hAnsi="Arial" w:cs="Arial"/>
                  <w:sz w:val="15"/>
                  <w:szCs w:val="15"/>
                </w:rPr>
                <w:t>10.1186/s13756-020-00784-9</w:t>
              </w:r>
            </w:hyperlink>
          </w:p>
        </w:tc>
        <w:tc>
          <w:tcPr>
            <w:tcW w:w="851" w:type="dxa"/>
          </w:tcPr>
          <w:p w14:paraId="5775154A" w14:textId="790A9C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41BEAA26" w14:textId="40D6A4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4A924DB8" w14:textId="7443D5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9BC647B" w14:textId="441F49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7B67BE50" w14:textId="7C92AA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conduct an indirect treatment comparison of alternative antibiotic prophylaxis for patients undergoing craniotomy.</w:t>
            </w:r>
          </w:p>
        </w:tc>
        <w:tc>
          <w:tcPr>
            <w:tcW w:w="1134" w:type="dxa"/>
          </w:tcPr>
          <w:p w14:paraId="55FCF806" w14:textId="405B4C5B" w:rsidR="006E5533" w:rsidRPr="00251EA9" w:rsidRDefault="006E5533" w:rsidP="006E5533">
            <w:pPr>
              <w:spacing w:line="360" w:lineRule="auto"/>
              <w:contextualSpacing/>
              <w:rPr>
                <w:rFonts w:ascii="Arial" w:hAnsi="Arial" w:cs="Arial"/>
                <w:sz w:val="15"/>
                <w:szCs w:val="15"/>
              </w:rPr>
            </w:pPr>
          </w:p>
        </w:tc>
        <w:tc>
          <w:tcPr>
            <w:tcW w:w="992" w:type="dxa"/>
          </w:tcPr>
          <w:p w14:paraId="64C3ECD9" w14:textId="5674F1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B622589" w14:textId="77264F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F46D768" w14:textId="1AB85EAC" w:rsidR="006E5533" w:rsidRPr="00251EA9" w:rsidRDefault="006E5533" w:rsidP="006E5533">
            <w:pPr>
              <w:rPr>
                <w:rFonts w:ascii="Arial" w:hAnsi="Arial" w:cs="Arial"/>
                <w:sz w:val="15"/>
                <w:szCs w:val="15"/>
              </w:rPr>
            </w:pPr>
            <w:r w:rsidRPr="00251EA9">
              <w:rPr>
                <w:rFonts w:ascii="Arial" w:hAnsi="Arial" w:cs="Arial"/>
                <w:sz w:val="15"/>
                <w:szCs w:val="15"/>
              </w:rPr>
              <w:t>Cephalosporins, clindamycin, vancomycin and penicillin can significantly reduce the incidence of intracranial infections after craniotomy. However, there was no significant difference between the above four antibacterial drugs in the indirect comparison.</w:t>
            </w:r>
          </w:p>
        </w:tc>
        <w:tc>
          <w:tcPr>
            <w:tcW w:w="1701" w:type="dxa"/>
          </w:tcPr>
          <w:p w14:paraId="2BC27412" w14:textId="67609C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86B5F7B" w14:textId="77777777" w:rsidTr="00A77951">
        <w:trPr>
          <w:trHeight w:val="586"/>
        </w:trPr>
        <w:tc>
          <w:tcPr>
            <w:tcW w:w="992" w:type="dxa"/>
          </w:tcPr>
          <w:p w14:paraId="58FB1692" w14:textId="1E154A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Carlson J.D. et al., 2019</w:t>
            </w:r>
          </w:p>
        </w:tc>
        <w:tc>
          <w:tcPr>
            <w:tcW w:w="851" w:type="dxa"/>
          </w:tcPr>
          <w:p w14:paraId="465161FE" w14:textId="398C259B" w:rsidR="006E5533" w:rsidRPr="00A77951" w:rsidRDefault="006E5533" w:rsidP="006E5533">
            <w:pPr>
              <w:spacing w:line="360" w:lineRule="auto"/>
              <w:contextualSpacing/>
              <w:rPr>
                <w:rFonts w:ascii="Arial" w:hAnsi="Arial" w:cs="Arial"/>
                <w:sz w:val="15"/>
                <w:szCs w:val="15"/>
              </w:rPr>
            </w:pPr>
            <w:hyperlink r:id="rId66" w:history="1">
              <w:r w:rsidRPr="00A77951">
                <w:rPr>
                  <w:rStyle w:val="Hyperlink"/>
                  <w:rFonts w:ascii="Arial" w:hAnsi="Arial" w:cs="Arial"/>
                  <w:sz w:val="15"/>
                  <w:szCs w:val="15"/>
                </w:rPr>
                <w:t>10.1016/j.wneu.2019.04.233</w:t>
              </w:r>
            </w:hyperlink>
          </w:p>
        </w:tc>
        <w:tc>
          <w:tcPr>
            <w:tcW w:w="851" w:type="dxa"/>
          </w:tcPr>
          <w:p w14:paraId="339DC6F7" w14:textId="2E292A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6E6C919" w14:textId="72C596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EBD95FB" w14:textId="54DACA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A2F861D" w14:textId="1CE50E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generator replacement)</w:t>
            </w:r>
          </w:p>
        </w:tc>
        <w:tc>
          <w:tcPr>
            <w:tcW w:w="1843" w:type="dxa"/>
          </w:tcPr>
          <w:p w14:paraId="3C38EEC3" w14:textId="5FDE11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complication rates after generator replacements in end-stage Parkinson’s disease patients.</w:t>
            </w:r>
          </w:p>
        </w:tc>
        <w:tc>
          <w:tcPr>
            <w:tcW w:w="1134" w:type="dxa"/>
          </w:tcPr>
          <w:p w14:paraId="6F2C7BB7"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8930342" w14:textId="08CDF7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AF0C47B" w14:textId="011CF4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"Purulent discharge from a wound that required surgical treatment"</w:t>
            </w:r>
          </w:p>
        </w:tc>
        <w:tc>
          <w:tcPr>
            <w:tcW w:w="2693" w:type="dxa"/>
          </w:tcPr>
          <w:p w14:paraId="61AE83CA" w14:textId="171486E7" w:rsidR="006E5533" w:rsidRPr="00251EA9" w:rsidRDefault="006E5533" w:rsidP="006E5533">
            <w:pPr>
              <w:rPr>
                <w:rFonts w:ascii="Arial" w:hAnsi="Arial" w:cs="Arial"/>
                <w:sz w:val="15"/>
                <w:szCs w:val="15"/>
              </w:rPr>
            </w:pPr>
            <w:r w:rsidRPr="00251EA9">
              <w:rPr>
                <w:rFonts w:ascii="Arial" w:hAnsi="Arial" w:cs="Arial"/>
                <w:sz w:val="15"/>
                <w:szCs w:val="15"/>
              </w:rPr>
              <w:t>"Infections occurred in the perioperative period (&lt;90 days) after the initial lead implantation (n = 6 of 232 cases, 2.5%) and generator replacement surgery (n = 1 of 172 cases, 0.6%)”.</w:t>
            </w:r>
            <w:r w:rsidRPr="00251EA9">
              <w:rPr>
                <w:rFonts w:ascii="Arial" w:hAnsi="Arial" w:cs="Arial"/>
                <w:sz w:val="15"/>
                <w:szCs w:val="15"/>
              </w:rPr>
              <w:br/>
              <w:t xml:space="preserve">“Infections occurred in a delayed fashion, after </w:t>
            </w:r>
            <w:proofErr w:type="gramStart"/>
            <w:r w:rsidRPr="00251EA9">
              <w:rPr>
                <w:rFonts w:ascii="Arial" w:hAnsi="Arial" w:cs="Arial"/>
                <w:sz w:val="15"/>
                <w:szCs w:val="15"/>
              </w:rPr>
              <w:t>either type</w:t>
            </w:r>
            <w:proofErr w:type="gramEnd"/>
            <w:r w:rsidRPr="00251EA9">
              <w:rPr>
                <w:rFonts w:ascii="Arial" w:hAnsi="Arial" w:cs="Arial"/>
                <w:sz w:val="15"/>
                <w:szCs w:val="15"/>
              </w:rPr>
              <w:t xml:space="preserve"> of surgery </w:t>
            </w:r>
            <w:r w:rsidRPr="00251EA9">
              <w:rPr>
                <w:rFonts w:ascii="Arial" w:hAnsi="Arial" w:cs="Arial"/>
                <w:sz w:val="15"/>
                <w:szCs w:val="15"/>
              </w:rPr>
              <w:lastRenderedPageBreak/>
              <w:t xml:space="preserve">(n = 11 of 404 cases, 2.7%). Delayed infections occurred an average of 7.6 ± 9.5 months after a previous operation.” </w:t>
            </w:r>
          </w:p>
        </w:tc>
        <w:tc>
          <w:tcPr>
            <w:tcW w:w="1701" w:type="dxa"/>
          </w:tcPr>
          <w:p w14:paraId="7F02C5CE" w14:textId="449972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0ECFE05B" w14:textId="77777777" w:rsidTr="00A77951">
        <w:trPr>
          <w:trHeight w:val="586"/>
        </w:trPr>
        <w:tc>
          <w:tcPr>
            <w:tcW w:w="992" w:type="dxa"/>
          </w:tcPr>
          <w:p w14:paraId="25B01983" w14:textId="5A24C1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Catapano J. et al., 2019</w:t>
            </w:r>
          </w:p>
        </w:tc>
        <w:tc>
          <w:tcPr>
            <w:tcW w:w="851" w:type="dxa"/>
          </w:tcPr>
          <w:p w14:paraId="356C6E18" w14:textId="508B823A" w:rsidR="006E5533" w:rsidRPr="00A77951" w:rsidRDefault="006E5533" w:rsidP="006E5533">
            <w:pPr>
              <w:spacing w:line="360" w:lineRule="auto"/>
              <w:contextualSpacing/>
              <w:rPr>
                <w:rFonts w:ascii="Arial" w:hAnsi="Arial" w:cs="Arial"/>
                <w:sz w:val="15"/>
                <w:szCs w:val="15"/>
              </w:rPr>
            </w:pPr>
            <w:hyperlink r:id="rId67" w:history="1">
              <w:r w:rsidRPr="00A77951">
                <w:rPr>
                  <w:rStyle w:val="Hyperlink"/>
                  <w:rFonts w:ascii="Arial" w:hAnsi="Arial" w:cs="Arial"/>
                  <w:sz w:val="15"/>
                  <w:szCs w:val="15"/>
                </w:rPr>
                <w:t>10.1016/j.wneu.2019.07.183</w:t>
              </w:r>
            </w:hyperlink>
          </w:p>
        </w:tc>
        <w:tc>
          <w:tcPr>
            <w:tcW w:w="851" w:type="dxa"/>
          </w:tcPr>
          <w:p w14:paraId="6FCF7F91" w14:textId="37755A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65DDABC" w14:textId="3E82D6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99D17EA" w14:textId="6B0AD5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AAB5FFE" w14:textId="6E8709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1B8E9A5F" w14:textId="31E4D1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report the external ventricular drain (EVD) associated infection rate among patients with aneurysmal</w:t>
            </w:r>
            <w:r w:rsidRPr="00251EA9">
              <w:rPr>
                <w:rFonts w:ascii="Arial" w:hAnsi="Arial" w:cs="Arial"/>
                <w:sz w:val="15"/>
                <w:szCs w:val="15"/>
              </w:rPr>
              <w:br/>
              <w:t xml:space="preserve">subarachnoid </w:t>
            </w:r>
            <w:proofErr w:type="spellStart"/>
            <w:r w:rsidRPr="00251EA9">
              <w:rPr>
                <w:rFonts w:ascii="Arial" w:hAnsi="Arial" w:cs="Arial"/>
                <w:sz w:val="15"/>
                <w:szCs w:val="15"/>
              </w:rPr>
              <w:t>hemorrhage</w:t>
            </w:r>
            <w:proofErr w:type="spellEnd"/>
            <w:r w:rsidRPr="00251EA9">
              <w:rPr>
                <w:rFonts w:ascii="Arial" w:hAnsi="Arial" w:cs="Arial"/>
                <w:sz w:val="15"/>
                <w:szCs w:val="15"/>
              </w:rPr>
              <w:br/>
              <w:t>managed with a unique standardised treatment protocol without an occlusive EVD dressing.</w:t>
            </w:r>
          </w:p>
        </w:tc>
        <w:tc>
          <w:tcPr>
            <w:tcW w:w="1134" w:type="dxa"/>
          </w:tcPr>
          <w:p w14:paraId="48C4F52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6FE5779" w14:textId="75FE9D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66EA988" w14:textId="7A931E82"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An EVD-related infection was defined as a “CSF culture with positive results”.</w:t>
            </w:r>
          </w:p>
        </w:tc>
        <w:tc>
          <w:tcPr>
            <w:tcW w:w="2693" w:type="dxa"/>
          </w:tcPr>
          <w:p w14:paraId="7E6A8172" w14:textId="069D9639" w:rsidR="006E5533" w:rsidRPr="00251EA9" w:rsidRDefault="006E5533" w:rsidP="006E5533">
            <w:pPr>
              <w:rPr>
                <w:rFonts w:ascii="Arial" w:hAnsi="Arial" w:cs="Arial"/>
                <w:sz w:val="15"/>
                <w:szCs w:val="15"/>
              </w:rPr>
            </w:pPr>
            <w:r w:rsidRPr="00251EA9">
              <w:rPr>
                <w:rFonts w:ascii="Arial" w:hAnsi="Arial" w:cs="Arial"/>
                <w:sz w:val="15"/>
                <w:szCs w:val="15"/>
              </w:rPr>
              <w:t>A total of 347 CSF studies</w:t>
            </w:r>
            <w:r w:rsidRPr="00251EA9">
              <w:rPr>
                <w:rFonts w:ascii="Arial" w:hAnsi="Arial" w:cs="Arial"/>
                <w:sz w:val="15"/>
                <w:szCs w:val="15"/>
              </w:rPr>
              <w:br/>
              <w:t>were performed with no EVD-associated infections. There were 3 CSF samples with false-positive Gram stain results but no growth on concurrent or multiple repeat cultures.</w:t>
            </w:r>
          </w:p>
        </w:tc>
        <w:tc>
          <w:tcPr>
            <w:tcW w:w="1701" w:type="dxa"/>
          </w:tcPr>
          <w:p w14:paraId="56F4F7B6" w14:textId="0E0A96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C4ABF36" w14:textId="77777777" w:rsidTr="00A77951">
        <w:trPr>
          <w:trHeight w:val="586"/>
        </w:trPr>
        <w:tc>
          <w:tcPr>
            <w:tcW w:w="992" w:type="dxa"/>
          </w:tcPr>
          <w:p w14:paraId="0ADB4E2B" w14:textId="255EEF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Cater D.T. et al., 2021</w:t>
            </w:r>
          </w:p>
        </w:tc>
        <w:tc>
          <w:tcPr>
            <w:tcW w:w="851" w:type="dxa"/>
          </w:tcPr>
          <w:p w14:paraId="72D5E251" w14:textId="130FB986" w:rsidR="006E5533" w:rsidRPr="00A77951" w:rsidRDefault="006E5533" w:rsidP="006E5533">
            <w:pPr>
              <w:spacing w:line="360" w:lineRule="auto"/>
              <w:contextualSpacing/>
              <w:rPr>
                <w:rFonts w:ascii="Arial" w:hAnsi="Arial" w:cs="Arial"/>
                <w:sz w:val="15"/>
                <w:szCs w:val="15"/>
              </w:rPr>
            </w:pPr>
            <w:hyperlink r:id="rId68" w:history="1">
              <w:r w:rsidRPr="00A77951">
                <w:rPr>
                  <w:rStyle w:val="Hyperlink"/>
                  <w:rFonts w:ascii="Arial" w:hAnsi="Arial" w:cs="Arial"/>
                  <w:sz w:val="15"/>
                  <w:szCs w:val="15"/>
                </w:rPr>
                <w:t>10.3171/2021.</w:t>
              </w:r>
              <w:proofErr w:type="gramStart"/>
              <w:r w:rsidRPr="00A77951">
                <w:rPr>
                  <w:rStyle w:val="Hyperlink"/>
                  <w:rFonts w:ascii="Arial" w:hAnsi="Arial" w:cs="Arial"/>
                  <w:sz w:val="15"/>
                  <w:szCs w:val="15"/>
                </w:rPr>
                <w:t>10.PEDS</w:t>
              </w:r>
              <w:proofErr w:type="gramEnd"/>
              <w:r w:rsidRPr="00A77951">
                <w:rPr>
                  <w:rStyle w:val="Hyperlink"/>
                  <w:rFonts w:ascii="Arial" w:hAnsi="Arial" w:cs="Arial"/>
                  <w:sz w:val="15"/>
                  <w:szCs w:val="15"/>
                </w:rPr>
                <w:t>21291</w:t>
              </w:r>
            </w:hyperlink>
          </w:p>
        </w:tc>
        <w:tc>
          <w:tcPr>
            <w:tcW w:w="851" w:type="dxa"/>
          </w:tcPr>
          <w:p w14:paraId="1A5272A2" w14:textId="46A67C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8046E5E" w14:textId="71D347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D0AEADC" w14:textId="11A26F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76E0C42C" w14:textId="37C5FC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w:t>
            </w:r>
          </w:p>
        </w:tc>
        <w:tc>
          <w:tcPr>
            <w:tcW w:w="1843" w:type="dxa"/>
          </w:tcPr>
          <w:p w14:paraId="27D2CC6A" w14:textId="110968BF"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t>To</w:t>
            </w:r>
            <w:r w:rsidRPr="00251EA9">
              <w:rPr>
                <w:rFonts w:ascii="Arial" w:hAnsi="Arial" w:cs="Arial"/>
                <w:sz w:val="15"/>
                <w:szCs w:val="15"/>
              </w:rPr>
              <w:t xml:space="preserve"> determine the association of postoperative dexmedetomidine with markers of pain in children undergoing Chiari malformation decompression.</w:t>
            </w:r>
          </w:p>
        </w:tc>
        <w:tc>
          <w:tcPr>
            <w:tcW w:w="1134" w:type="dxa"/>
          </w:tcPr>
          <w:p w14:paraId="5CF8BEDF" w14:textId="360C22FE" w:rsidR="006E5533" w:rsidRPr="00251EA9" w:rsidRDefault="006E5533" w:rsidP="006E5533">
            <w:pPr>
              <w:spacing w:line="360" w:lineRule="auto"/>
              <w:contextualSpacing/>
              <w:rPr>
                <w:rFonts w:ascii="Arial" w:hAnsi="Arial" w:cs="Arial"/>
                <w:sz w:val="15"/>
                <w:szCs w:val="15"/>
              </w:rPr>
            </w:pPr>
          </w:p>
        </w:tc>
        <w:tc>
          <w:tcPr>
            <w:tcW w:w="992" w:type="dxa"/>
          </w:tcPr>
          <w:p w14:paraId="4DBF4BF9" w14:textId="06DD72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ED27CED" w14:textId="08DEB2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C0F7866" w14:textId="48A51957" w:rsidR="006E5533" w:rsidRPr="00251EA9" w:rsidRDefault="006E5533" w:rsidP="006E5533">
            <w:pPr>
              <w:rPr>
                <w:rFonts w:ascii="Arial" w:hAnsi="Arial" w:cs="Arial"/>
                <w:sz w:val="15"/>
                <w:szCs w:val="15"/>
              </w:rPr>
            </w:pPr>
            <w:r w:rsidRPr="00251EA9">
              <w:rPr>
                <w:rFonts w:ascii="Arial" w:hAnsi="Arial" w:cs="Arial"/>
                <w:sz w:val="15"/>
                <w:szCs w:val="15"/>
              </w:rPr>
              <w:t xml:space="preserve">There was no difference between cohorts in the rate of postoperative complications, including </w:t>
            </w:r>
            <w:proofErr w:type="spellStart"/>
            <w:r w:rsidRPr="00251EA9">
              <w:rPr>
                <w:rFonts w:ascii="Arial" w:hAnsi="Arial" w:cs="Arial"/>
                <w:sz w:val="15"/>
                <w:szCs w:val="15"/>
              </w:rPr>
              <w:t>pseudomeningocele</w:t>
            </w:r>
            <w:proofErr w:type="spellEnd"/>
            <w:r w:rsidRPr="00251EA9">
              <w:rPr>
                <w:rFonts w:ascii="Arial" w:hAnsi="Arial" w:cs="Arial"/>
                <w:sz w:val="15"/>
                <w:szCs w:val="15"/>
              </w:rPr>
              <w:t xml:space="preserve"> formation, surgical site infection, aseptic meningitis, hydrocephalus, CSF</w:t>
            </w:r>
            <w:r w:rsidRPr="00251EA9">
              <w:rPr>
                <w:rFonts w:ascii="Arial" w:hAnsi="Arial" w:cs="Arial"/>
                <w:sz w:val="15"/>
                <w:szCs w:val="15"/>
              </w:rPr>
              <w:br/>
              <w:t>leak and the need for reoperation.</w:t>
            </w:r>
          </w:p>
        </w:tc>
        <w:tc>
          <w:tcPr>
            <w:tcW w:w="1701" w:type="dxa"/>
          </w:tcPr>
          <w:p w14:paraId="688AB4E6" w14:textId="5EA646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B23E6DA" w14:textId="77777777" w:rsidTr="00A77951">
        <w:trPr>
          <w:trHeight w:val="586"/>
        </w:trPr>
        <w:tc>
          <w:tcPr>
            <w:tcW w:w="992" w:type="dxa"/>
          </w:tcPr>
          <w:p w14:paraId="2E1422FF" w14:textId="65D78E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Chacon-Quesada T. et al., 2021</w:t>
            </w:r>
          </w:p>
        </w:tc>
        <w:tc>
          <w:tcPr>
            <w:tcW w:w="851" w:type="dxa"/>
          </w:tcPr>
          <w:p w14:paraId="5BDCD6DB" w14:textId="5D4D03F9" w:rsidR="006E5533" w:rsidRPr="00A77951" w:rsidRDefault="006E5533" w:rsidP="006E5533">
            <w:pPr>
              <w:spacing w:line="360" w:lineRule="auto"/>
              <w:contextualSpacing/>
              <w:rPr>
                <w:rFonts w:ascii="Arial" w:hAnsi="Arial" w:cs="Arial"/>
                <w:sz w:val="15"/>
                <w:szCs w:val="15"/>
              </w:rPr>
            </w:pPr>
            <w:hyperlink r:id="rId69" w:history="1">
              <w:r w:rsidRPr="00A77951">
                <w:rPr>
                  <w:rStyle w:val="Hyperlink"/>
                  <w:rFonts w:ascii="Arial" w:hAnsi="Arial" w:cs="Arial"/>
                  <w:sz w:val="15"/>
                  <w:szCs w:val="15"/>
                </w:rPr>
                <w:t>10.1007/s10143-021-01513-5</w:t>
              </w:r>
            </w:hyperlink>
          </w:p>
        </w:tc>
        <w:tc>
          <w:tcPr>
            <w:tcW w:w="851" w:type="dxa"/>
          </w:tcPr>
          <w:p w14:paraId="558F5EF0" w14:textId="02E405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7839EFE8" w14:textId="3B30CF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1B58580" w14:textId="313285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BCF60D6" w14:textId="5FCDC4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(all cases)</w:t>
            </w:r>
          </w:p>
        </w:tc>
        <w:tc>
          <w:tcPr>
            <w:tcW w:w="1843" w:type="dxa"/>
          </w:tcPr>
          <w:p w14:paraId="2DC2A359" w14:textId="21EB54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rate of SSIs after the beginning of COVID-19 hygiene measures.</w:t>
            </w:r>
          </w:p>
        </w:tc>
        <w:tc>
          <w:tcPr>
            <w:tcW w:w="1134" w:type="dxa"/>
          </w:tcPr>
          <w:p w14:paraId="1F014A40"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F8A4694" w14:textId="74EAA7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6C260A0" w14:textId="559A15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A01B131" w14:textId="0022623D" w:rsidR="006E5533" w:rsidRPr="00251EA9" w:rsidRDefault="006E5533" w:rsidP="006E5533">
            <w:pPr>
              <w:rPr>
                <w:rFonts w:ascii="Arial" w:hAnsi="Arial" w:cs="Arial"/>
                <w:sz w:val="15"/>
                <w:szCs w:val="15"/>
              </w:rPr>
            </w:pPr>
            <w:r w:rsidRPr="00251EA9">
              <w:rPr>
                <w:rFonts w:ascii="Arial" w:hAnsi="Arial" w:cs="Arial"/>
                <w:sz w:val="15"/>
                <w:szCs w:val="15"/>
              </w:rPr>
              <w:t>The SSI rate was 3.6% (03/2019–09/2019, 50 cases of SSIs) and 2.2% (09/2019–03/2020, 29 cases of SSIs), resulting in a mean of 2.9% before COVID-19 began. After the beginning of COVID-19 hygiene measures, this rate dropped to 1.4% (16 cases of SSIs). This resembles a significant reduction of SSI rates (p=0.003).</w:t>
            </w:r>
          </w:p>
        </w:tc>
        <w:tc>
          <w:tcPr>
            <w:tcW w:w="1701" w:type="dxa"/>
          </w:tcPr>
          <w:p w14:paraId="1DF78131" w14:textId="48690D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040F40E" w14:textId="77777777" w:rsidTr="00A77951">
        <w:trPr>
          <w:trHeight w:val="586"/>
        </w:trPr>
        <w:tc>
          <w:tcPr>
            <w:tcW w:w="992" w:type="dxa"/>
          </w:tcPr>
          <w:p w14:paraId="34A11575" w14:textId="2C1324D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Chaichana</w:t>
            </w:r>
            <w:proofErr w:type="spellEnd"/>
            <w:r w:rsidRPr="00251EA9">
              <w:rPr>
                <w:rFonts w:ascii="Arial" w:hAnsi="Arial" w:cs="Arial"/>
                <w:sz w:val="15"/>
                <w:szCs w:val="15"/>
              </w:rPr>
              <w:t xml:space="preserve"> K.L. et al., 2015</w:t>
            </w:r>
          </w:p>
        </w:tc>
        <w:tc>
          <w:tcPr>
            <w:tcW w:w="851" w:type="dxa"/>
          </w:tcPr>
          <w:p w14:paraId="17CD5057" w14:textId="6E9E4D6F" w:rsidR="006E5533" w:rsidRPr="00A77951" w:rsidRDefault="006E5533" w:rsidP="006E5533">
            <w:pPr>
              <w:spacing w:line="360" w:lineRule="auto"/>
              <w:contextualSpacing/>
              <w:rPr>
                <w:rFonts w:ascii="Arial" w:hAnsi="Arial" w:cs="Arial"/>
                <w:sz w:val="15"/>
                <w:szCs w:val="15"/>
              </w:rPr>
            </w:pPr>
            <w:hyperlink r:id="rId70" w:history="1">
              <w:r w:rsidRPr="00A77951">
                <w:rPr>
                  <w:rStyle w:val="Hyperlink"/>
                  <w:rFonts w:ascii="Arial" w:hAnsi="Arial" w:cs="Arial"/>
                  <w:sz w:val="15"/>
                  <w:szCs w:val="15"/>
                </w:rPr>
                <w:t>10.1179/1743132815Y.0000000042</w:t>
              </w:r>
            </w:hyperlink>
          </w:p>
        </w:tc>
        <w:tc>
          <w:tcPr>
            <w:tcW w:w="851" w:type="dxa"/>
          </w:tcPr>
          <w:p w14:paraId="22C10A3D" w14:textId="2444EE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2B28CBE" w14:textId="74AFD8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6CE32E8" w14:textId="4C052C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F83DEF9" w14:textId="77712A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610DD77D" w14:textId="68E9DF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The goals of this study were to calculate the incidence of postoperative infection,</w:t>
            </w:r>
            <w:r w:rsidRPr="00251EA9">
              <w:rPr>
                <w:rFonts w:ascii="Arial" w:hAnsi="Arial" w:cs="Arial"/>
                <w:sz w:val="15"/>
                <w:szCs w:val="15"/>
              </w:rPr>
              <w:br/>
              <w:t xml:space="preserve">evaluate if </w:t>
            </w:r>
            <w:proofErr w:type="spellStart"/>
            <w:r w:rsidRPr="00251EA9">
              <w:rPr>
                <w:rFonts w:ascii="Arial" w:hAnsi="Arial" w:cs="Arial"/>
                <w:sz w:val="15"/>
                <w:szCs w:val="15"/>
              </w:rPr>
              <w:t>carmustine</w:t>
            </w:r>
            <w:proofErr w:type="spellEnd"/>
            <w:r w:rsidRPr="00251EA9">
              <w:rPr>
                <w:rFonts w:ascii="Arial" w:hAnsi="Arial" w:cs="Arial"/>
                <w:sz w:val="15"/>
                <w:szCs w:val="15"/>
              </w:rPr>
              <w:t xml:space="preserve"> wafers changes the risk </w:t>
            </w:r>
            <w:r w:rsidRPr="00251EA9">
              <w:rPr>
                <w:rFonts w:ascii="Arial" w:hAnsi="Arial" w:cs="Arial"/>
                <w:sz w:val="15"/>
                <w:szCs w:val="15"/>
              </w:rPr>
              <w:lastRenderedPageBreak/>
              <w:t>of infection and identify factors independently associated</w:t>
            </w:r>
            <w:r w:rsidRPr="00251EA9">
              <w:rPr>
                <w:rFonts w:ascii="Arial" w:hAnsi="Arial" w:cs="Arial"/>
                <w:sz w:val="15"/>
                <w:szCs w:val="15"/>
              </w:rPr>
              <w:br/>
              <w:t>with an infection following GBM surgery.</w:t>
            </w:r>
          </w:p>
        </w:tc>
        <w:tc>
          <w:tcPr>
            <w:tcW w:w="1134" w:type="dxa"/>
          </w:tcPr>
          <w:p w14:paraId="6B10B8DD" w14:textId="69F090EF" w:rsidR="006E5533" w:rsidRPr="00251EA9" w:rsidRDefault="006E5533" w:rsidP="006E5533">
            <w:pPr>
              <w:spacing w:line="360" w:lineRule="auto"/>
              <w:contextualSpacing/>
              <w:rPr>
                <w:rFonts w:ascii="Arial" w:hAnsi="Arial" w:cs="Arial"/>
                <w:sz w:val="15"/>
                <w:szCs w:val="15"/>
              </w:rPr>
            </w:pPr>
          </w:p>
        </w:tc>
        <w:tc>
          <w:tcPr>
            <w:tcW w:w="992" w:type="dxa"/>
          </w:tcPr>
          <w:p w14:paraId="7B90EA0C" w14:textId="6568E3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16FC0A1" w14:textId="65E86677"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373D941D" w14:textId="0AF53C4E" w:rsidR="006E5533" w:rsidRPr="00251EA9" w:rsidRDefault="006E5533" w:rsidP="006E5533">
            <w:pPr>
              <w:rPr>
                <w:rFonts w:ascii="Arial" w:hAnsi="Arial" w:cs="Arial"/>
                <w:sz w:val="15"/>
                <w:szCs w:val="15"/>
              </w:rPr>
            </w:pPr>
            <w:r w:rsidRPr="00251EA9">
              <w:rPr>
                <w:rFonts w:ascii="Arial" w:hAnsi="Arial" w:cs="Arial"/>
                <w:sz w:val="15"/>
                <w:szCs w:val="15"/>
              </w:rPr>
              <w:t>Four hundred and one patients underwent resection of an intracranial GBM during the reviewed</w:t>
            </w:r>
            <w:r w:rsidRPr="00251EA9">
              <w:rPr>
                <w:rFonts w:ascii="Arial" w:hAnsi="Arial" w:cs="Arial"/>
                <w:sz w:val="15"/>
                <w:szCs w:val="15"/>
              </w:rPr>
              <w:br/>
              <w:t xml:space="preserve">period, and 21 (5%) patients developed an infection at a median time of 40 [28–286] days following surgery. The incidence of infection was not higher in patients who had </w:t>
            </w:r>
            <w:proofErr w:type="spellStart"/>
            <w:r w:rsidRPr="00251EA9">
              <w:rPr>
                <w:rFonts w:ascii="Arial" w:hAnsi="Arial" w:cs="Arial"/>
                <w:sz w:val="15"/>
                <w:szCs w:val="15"/>
              </w:rPr>
              <w:t>carmustine</w:t>
            </w:r>
            <w:proofErr w:type="spellEnd"/>
            <w:r w:rsidRPr="00251EA9">
              <w:rPr>
                <w:rFonts w:ascii="Arial" w:hAnsi="Arial" w:cs="Arial"/>
                <w:sz w:val="15"/>
                <w:szCs w:val="15"/>
              </w:rPr>
              <w:t xml:space="preserve"> wafers, and this </w:t>
            </w:r>
            <w:r w:rsidRPr="00251EA9">
              <w:rPr>
                <w:rFonts w:ascii="Arial" w:hAnsi="Arial" w:cs="Arial"/>
                <w:sz w:val="15"/>
                <w:szCs w:val="15"/>
              </w:rPr>
              <w:lastRenderedPageBreak/>
              <w:t>remained</w:t>
            </w:r>
            <w:r w:rsidRPr="00251EA9">
              <w:rPr>
                <w:rFonts w:ascii="Arial" w:hAnsi="Arial" w:cs="Arial"/>
                <w:sz w:val="15"/>
                <w:szCs w:val="15"/>
              </w:rPr>
              <w:br/>
              <w:t>true in multivariate analyses to account for differences in treatment cohorts. The factors that remained significantly associated with an increased risk of infection were prior surgery, diabetes mellitus, and increasing duration</w:t>
            </w:r>
            <w:r w:rsidRPr="00251EA9">
              <w:rPr>
                <w:rFonts w:ascii="Arial" w:hAnsi="Arial" w:cs="Arial"/>
                <w:sz w:val="15"/>
                <w:szCs w:val="15"/>
              </w:rPr>
              <w:br/>
              <w:t>of hospital stay, where the greatest risk occurred with hospital stays w5 days.</w:t>
            </w:r>
          </w:p>
        </w:tc>
        <w:tc>
          <w:tcPr>
            <w:tcW w:w="1701" w:type="dxa"/>
          </w:tcPr>
          <w:p w14:paraId="5067FC25" w14:textId="7EA323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4B877BDA" w14:textId="77777777" w:rsidTr="00A77951">
        <w:trPr>
          <w:trHeight w:val="586"/>
        </w:trPr>
        <w:tc>
          <w:tcPr>
            <w:tcW w:w="992" w:type="dxa"/>
          </w:tcPr>
          <w:p w14:paraId="16C62CA7" w14:textId="61C64C1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Champeaux</w:t>
            </w:r>
            <w:proofErr w:type="spellEnd"/>
            <w:r w:rsidRPr="00251EA9">
              <w:rPr>
                <w:rFonts w:ascii="Arial" w:hAnsi="Arial" w:cs="Arial"/>
                <w:sz w:val="15"/>
                <w:szCs w:val="15"/>
              </w:rPr>
              <w:t xml:space="preserve"> C. et al., 2020</w:t>
            </w:r>
          </w:p>
        </w:tc>
        <w:tc>
          <w:tcPr>
            <w:tcW w:w="851" w:type="dxa"/>
          </w:tcPr>
          <w:p w14:paraId="3AE942B9" w14:textId="4A0D7D55" w:rsidR="006E5533" w:rsidRPr="00A77951" w:rsidRDefault="006E5533" w:rsidP="006E5533">
            <w:pPr>
              <w:spacing w:line="360" w:lineRule="auto"/>
              <w:contextualSpacing/>
              <w:rPr>
                <w:rFonts w:ascii="Arial" w:hAnsi="Arial" w:cs="Arial"/>
                <w:sz w:val="15"/>
                <w:szCs w:val="15"/>
              </w:rPr>
            </w:pPr>
            <w:hyperlink r:id="rId71" w:history="1">
              <w:r w:rsidRPr="00A77951">
                <w:rPr>
                  <w:rStyle w:val="Hyperlink"/>
                  <w:rFonts w:ascii="Arial" w:hAnsi="Arial" w:cs="Arial"/>
                  <w:sz w:val="15"/>
                  <w:szCs w:val="15"/>
                </w:rPr>
                <w:t>10.1007/s11060-020-03410-1</w:t>
              </w:r>
            </w:hyperlink>
          </w:p>
        </w:tc>
        <w:tc>
          <w:tcPr>
            <w:tcW w:w="851" w:type="dxa"/>
          </w:tcPr>
          <w:p w14:paraId="4BABB399" w14:textId="46C04D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1515BF83" w14:textId="51D586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E60D0A3" w14:textId="26708F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3310B6D" w14:textId="55797B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6B904B82" w14:textId="2A75CB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the epidemiology of </w:t>
            </w:r>
            <w:proofErr w:type="spellStart"/>
            <w:r w:rsidRPr="00251EA9">
              <w:rPr>
                <w:rFonts w:ascii="Arial" w:hAnsi="Arial" w:cs="Arial"/>
                <w:sz w:val="15"/>
                <w:szCs w:val="15"/>
              </w:rPr>
              <w:t>carmustine</w:t>
            </w:r>
            <w:proofErr w:type="spellEnd"/>
            <w:r w:rsidRPr="00251EA9">
              <w:rPr>
                <w:rFonts w:ascii="Arial" w:hAnsi="Arial" w:cs="Arial"/>
                <w:sz w:val="15"/>
                <w:szCs w:val="15"/>
              </w:rPr>
              <w:t xml:space="preserve"> wafer implantation, search for related complications, long-term survival and associated prognostic factors.</w:t>
            </w:r>
          </w:p>
        </w:tc>
        <w:tc>
          <w:tcPr>
            <w:tcW w:w="1134" w:type="dxa"/>
          </w:tcPr>
          <w:p w14:paraId="19AD9E2F"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49A308A" w14:textId="5A6960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A44F234" w14:textId="4F1A58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20C8716" w14:textId="381B1EA1" w:rsidR="006E5533" w:rsidRPr="00251EA9" w:rsidRDefault="006E5533" w:rsidP="006E5533">
            <w:pPr>
              <w:rPr>
                <w:rFonts w:ascii="Arial" w:hAnsi="Arial" w:cs="Arial"/>
                <w:sz w:val="15"/>
                <w:szCs w:val="15"/>
              </w:rPr>
            </w:pPr>
            <w:r w:rsidRPr="00251EA9">
              <w:rPr>
                <w:rFonts w:ascii="Arial" w:hAnsi="Arial" w:cs="Arial"/>
                <w:sz w:val="15"/>
                <w:szCs w:val="15"/>
              </w:rPr>
              <w:t>121 patients out of 1659 developed an SSI.</w:t>
            </w:r>
          </w:p>
        </w:tc>
        <w:tc>
          <w:tcPr>
            <w:tcW w:w="1701" w:type="dxa"/>
          </w:tcPr>
          <w:p w14:paraId="15A73ACD" w14:textId="65BF0E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839825B" w14:textId="77777777" w:rsidTr="00A77951">
        <w:trPr>
          <w:trHeight w:val="586"/>
        </w:trPr>
        <w:tc>
          <w:tcPr>
            <w:tcW w:w="992" w:type="dxa"/>
          </w:tcPr>
          <w:p w14:paraId="62692F3E" w14:textId="694438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Chang S.M. et al., 2003</w:t>
            </w:r>
          </w:p>
        </w:tc>
        <w:tc>
          <w:tcPr>
            <w:tcW w:w="851" w:type="dxa"/>
          </w:tcPr>
          <w:p w14:paraId="31D08A4D" w14:textId="028DEFD6" w:rsidR="006E5533" w:rsidRPr="00A77951" w:rsidRDefault="006E5533" w:rsidP="006E5533">
            <w:pPr>
              <w:spacing w:line="360" w:lineRule="auto"/>
              <w:contextualSpacing/>
              <w:rPr>
                <w:rFonts w:ascii="Arial" w:hAnsi="Arial" w:cs="Arial"/>
                <w:sz w:val="15"/>
                <w:szCs w:val="15"/>
              </w:rPr>
            </w:pPr>
            <w:hyperlink r:id="rId72" w:history="1">
              <w:r w:rsidRPr="00A77951">
                <w:rPr>
                  <w:rStyle w:val="Hyperlink"/>
                  <w:rFonts w:ascii="Arial" w:hAnsi="Arial" w:cs="Arial"/>
                  <w:sz w:val="15"/>
                  <w:szCs w:val="15"/>
                </w:rPr>
                <w:t>10.3171/jns.2003.98.6.1175</w:t>
              </w:r>
            </w:hyperlink>
          </w:p>
        </w:tc>
        <w:tc>
          <w:tcPr>
            <w:tcW w:w="851" w:type="dxa"/>
          </w:tcPr>
          <w:p w14:paraId="78463E54" w14:textId="286031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9D2106E" w14:textId="39EA93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ACD25CD" w14:textId="21B332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B2FFB25" w14:textId="5769C7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AC293D5" w14:textId="582610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the medical and neurological</w:t>
            </w:r>
            <w:r>
              <w:rPr>
                <w:rFonts w:ascii="Arial" w:hAnsi="Arial" w:cs="Arial"/>
                <w:sz w:val="15"/>
                <w:szCs w:val="15"/>
              </w:rPr>
              <w:t xml:space="preserve"> </w:t>
            </w:r>
            <w:r w:rsidRPr="00251EA9">
              <w:rPr>
                <w:rFonts w:ascii="Arial" w:hAnsi="Arial" w:cs="Arial"/>
                <w:sz w:val="15"/>
                <w:szCs w:val="15"/>
              </w:rPr>
              <w:t>complications associated with first and second craniotomies for patients with malignant gliomas.</w:t>
            </w:r>
          </w:p>
        </w:tc>
        <w:tc>
          <w:tcPr>
            <w:tcW w:w="1134" w:type="dxa"/>
          </w:tcPr>
          <w:p w14:paraId="55AE209A" w14:textId="593B2497" w:rsidR="006E5533" w:rsidRPr="00251EA9" w:rsidRDefault="006E5533" w:rsidP="006E5533">
            <w:pPr>
              <w:spacing w:line="360" w:lineRule="auto"/>
              <w:contextualSpacing/>
              <w:rPr>
                <w:rFonts w:ascii="Arial" w:hAnsi="Arial" w:cs="Arial"/>
                <w:sz w:val="15"/>
                <w:szCs w:val="15"/>
              </w:rPr>
            </w:pPr>
          </w:p>
        </w:tc>
        <w:tc>
          <w:tcPr>
            <w:tcW w:w="992" w:type="dxa"/>
          </w:tcPr>
          <w:p w14:paraId="1425A610" w14:textId="6B204C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3607FCB" w14:textId="3F51A3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8134944" w14:textId="108C888E" w:rsidR="006E5533" w:rsidRPr="00251EA9" w:rsidRDefault="006E5533" w:rsidP="006E5533">
            <w:pPr>
              <w:rPr>
                <w:rFonts w:ascii="Arial" w:hAnsi="Arial" w:cs="Arial"/>
                <w:sz w:val="15"/>
                <w:szCs w:val="15"/>
              </w:rPr>
            </w:pPr>
            <w:r w:rsidRPr="00251EA9">
              <w:rPr>
                <w:rFonts w:ascii="Arial" w:hAnsi="Arial" w:cs="Arial"/>
                <w:sz w:val="15"/>
                <w:szCs w:val="15"/>
              </w:rPr>
              <w:t xml:space="preserve">There were no significant differences between the two groups with respect to perioperative rates of wound infection. </w:t>
            </w:r>
          </w:p>
        </w:tc>
        <w:tc>
          <w:tcPr>
            <w:tcW w:w="1701" w:type="dxa"/>
          </w:tcPr>
          <w:p w14:paraId="06EE8A3A" w14:textId="3A1FFA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2CD4E60" w14:textId="77777777" w:rsidTr="00A77951">
        <w:trPr>
          <w:trHeight w:val="586"/>
        </w:trPr>
        <w:tc>
          <w:tcPr>
            <w:tcW w:w="992" w:type="dxa"/>
          </w:tcPr>
          <w:p w14:paraId="5BA538C1" w14:textId="7C5048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Chaturvedi D. et al., 2019</w:t>
            </w:r>
          </w:p>
        </w:tc>
        <w:tc>
          <w:tcPr>
            <w:tcW w:w="851" w:type="dxa"/>
          </w:tcPr>
          <w:p w14:paraId="1A4FAEA0" w14:textId="1A36A2E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10.1055/s-0039-1680276</w:t>
            </w:r>
          </w:p>
        </w:tc>
        <w:tc>
          <w:tcPr>
            <w:tcW w:w="851" w:type="dxa"/>
          </w:tcPr>
          <w:p w14:paraId="6C7F3241" w14:textId="1E3D79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66B7E843" w14:textId="61BA77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8564DE6" w14:textId="16B27A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1F7382F" w14:textId="796C9A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643355CA" w14:textId="48F454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rate of healthcare associated infections in the neurosurgical ICU.</w:t>
            </w:r>
          </w:p>
        </w:tc>
        <w:tc>
          <w:tcPr>
            <w:tcW w:w="1134" w:type="dxa"/>
          </w:tcPr>
          <w:p w14:paraId="206F03BF" w14:textId="605E73F5" w:rsidR="006E5533" w:rsidRPr="00251EA9" w:rsidRDefault="006E5533" w:rsidP="006E5533">
            <w:pPr>
              <w:spacing w:line="360" w:lineRule="auto"/>
              <w:contextualSpacing/>
              <w:rPr>
                <w:rFonts w:ascii="Arial" w:hAnsi="Arial" w:cs="Arial"/>
                <w:sz w:val="15"/>
                <w:szCs w:val="15"/>
              </w:rPr>
            </w:pPr>
          </w:p>
        </w:tc>
        <w:tc>
          <w:tcPr>
            <w:tcW w:w="992" w:type="dxa"/>
          </w:tcPr>
          <w:p w14:paraId="5DEF764D" w14:textId="09EE47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69A3F7D" w14:textId="030F78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6827E3F" w14:textId="0C46395C" w:rsidR="006E5533" w:rsidRPr="00251EA9" w:rsidRDefault="006E5533" w:rsidP="006E5533">
            <w:pPr>
              <w:rPr>
                <w:rFonts w:ascii="Arial" w:hAnsi="Arial" w:cs="Arial"/>
                <w:sz w:val="15"/>
                <w:szCs w:val="15"/>
              </w:rPr>
            </w:pPr>
            <w:r w:rsidRPr="00251EA9">
              <w:rPr>
                <w:rFonts w:ascii="Arial" w:hAnsi="Arial" w:cs="Arial"/>
                <w:sz w:val="15"/>
                <w:szCs w:val="15"/>
              </w:rPr>
              <w:t>Reported that 2 patients experienced SSI.</w:t>
            </w:r>
          </w:p>
        </w:tc>
        <w:tc>
          <w:tcPr>
            <w:tcW w:w="1701" w:type="dxa"/>
          </w:tcPr>
          <w:p w14:paraId="7731F693" w14:textId="654B10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D5216C8" w14:textId="77777777" w:rsidTr="00A77951">
        <w:trPr>
          <w:trHeight w:val="586"/>
        </w:trPr>
        <w:tc>
          <w:tcPr>
            <w:tcW w:w="992" w:type="dxa"/>
          </w:tcPr>
          <w:p w14:paraId="346CCE61" w14:textId="640C97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Cheah PP et al., 2017</w:t>
            </w:r>
          </w:p>
        </w:tc>
        <w:tc>
          <w:tcPr>
            <w:tcW w:w="851" w:type="dxa"/>
          </w:tcPr>
          <w:p w14:paraId="38F3680E" w14:textId="3D157B86" w:rsidR="006E5533" w:rsidRPr="00A77951" w:rsidRDefault="006E5533" w:rsidP="006E5533">
            <w:pPr>
              <w:spacing w:line="360" w:lineRule="auto"/>
              <w:contextualSpacing/>
              <w:rPr>
                <w:rFonts w:ascii="Arial" w:hAnsi="Arial" w:cs="Arial"/>
                <w:sz w:val="15"/>
                <w:szCs w:val="15"/>
              </w:rPr>
            </w:pPr>
            <w:hyperlink r:id="rId73" w:history="1">
              <w:r w:rsidRPr="00A77951">
                <w:rPr>
                  <w:rStyle w:val="Hyperlink"/>
                  <w:rFonts w:ascii="Arial" w:hAnsi="Arial" w:cs="Arial"/>
                  <w:sz w:val="15"/>
                  <w:szCs w:val="15"/>
                </w:rPr>
                <w:t>10.21315/mjms2017.24.6.8</w:t>
              </w:r>
            </w:hyperlink>
          </w:p>
        </w:tc>
        <w:tc>
          <w:tcPr>
            <w:tcW w:w="851" w:type="dxa"/>
          </w:tcPr>
          <w:p w14:paraId="4D361D94" w14:textId="5CA5D6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Malaysia</w:t>
            </w:r>
          </w:p>
        </w:tc>
        <w:tc>
          <w:tcPr>
            <w:tcW w:w="1134" w:type="dxa"/>
          </w:tcPr>
          <w:p w14:paraId="30199567" w14:textId="7F38F0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608553B4" w14:textId="154B15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5E8FE93" w14:textId="29C9A8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067B339C" w14:textId="70EAEF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surgical outcomes, specifically SSI, associated with two bone flap preservation methods, frozen versus subcutaneous pockets, as well as other risk factors, such as the </w:t>
            </w:r>
            <w:r w:rsidRPr="00251EA9">
              <w:rPr>
                <w:rFonts w:ascii="Arial" w:hAnsi="Arial" w:cs="Arial"/>
                <w:sz w:val="15"/>
                <w:szCs w:val="15"/>
              </w:rPr>
              <w:lastRenderedPageBreak/>
              <w:t>timing of the cranioplasty, the indication and types of decompressive craniotomy (unilateral versus bifrontal), the status of the operating surgeon and the number of repeated surgeries before cranioplasty.</w:t>
            </w:r>
          </w:p>
        </w:tc>
        <w:tc>
          <w:tcPr>
            <w:tcW w:w="1134" w:type="dxa"/>
          </w:tcPr>
          <w:p w14:paraId="3F7791DB" w14:textId="7FF8E0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Comparison between two bone flap preservation methods: frozen vs subcutaneous pockets</w:t>
            </w:r>
          </w:p>
        </w:tc>
        <w:tc>
          <w:tcPr>
            <w:tcW w:w="992" w:type="dxa"/>
          </w:tcPr>
          <w:p w14:paraId="69236283" w14:textId="6F5001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D872145" w14:textId="3468280A"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14141A34" w14:textId="41A907B0" w:rsidR="006E5533" w:rsidRPr="00251EA9" w:rsidRDefault="006E5533" w:rsidP="006E5533">
            <w:pPr>
              <w:rPr>
                <w:rFonts w:ascii="Arial" w:hAnsi="Arial" w:cs="Arial"/>
                <w:sz w:val="15"/>
                <w:szCs w:val="15"/>
              </w:rPr>
            </w:pPr>
            <w:r w:rsidRPr="00251EA9">
              <w:rPr>
                <w:rFonts w:ascii="Arial" w:hAnsi="Arial" w:cs="Arial"/>
                <w:sz w:val="15"/>
                <w:szCs w:val="15"/>
              </w:rPr>
              <w:t>Among the 12 early cranioplasty cases, two (16.7%) were found to have post-cranioplasty SSI. Of the 89 cases in the late cranioplasty group, only four cases of infection (4.5%) were found.</w:t>
            </w:r>
          </w:p>
        </w:tc>
        <w:tc>
          <w:tcPr>
            <w:tcW w:w="1701" w:type="dxa"/>
          </w:tcPr>
          <w:p w14:paraId="623DF0F7" w14:textId="5C79CF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9E9DCA3" w14:textId="77777777" w:rsidTr="00A77951">
        <w:trPr>
          <w:trHeight w:val="586"/>
        </w:trPr>
        <w:tc>
          <w:tcPr>
            <w:tcW w:w="992" w:type="dxa"/>
          </w:tcPr>
          <w:p w14:paraId="5AF5F817" w14:textId="72CB10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Chen C. et al., 2016 </w:t>
            </w:r>
          </w:p>
        </w:tc>
        <w:tc>
          <w:tcPr>
            <w:tcW w:w="851" w:type="dxa"/>
          </w:tcPr>
          <w:p w14:paraId="29EAADB8" w14:textId="7C30A63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10.1097/MD.0000000000004329</w:t>
            </w:r>
          </w:p>
        </w:tc>
        <w:tc>
          <w:tcPr>
            <w:tcW w:w="851" w:type="dxa"/>
          </w:tcPr>
          <w:p w14:paraId="293B73EE" w14:textId="45FD98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Taiwan</w:t>
            </w:r>
          </w:p>
        </w:tc>
        <w:tc>
          <w:tcPr>
            <w:tcW w:w="1134" w:type="dxa"/>
          </w:tcPr>
          <w:p w14:paraId="68DB48AD" w14:textId="171EFF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3F7FFF2C" w14:textId="0D9CF5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C6D0B29" w14:textId="594CB0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Craniotomy</w:t>
            </w:r>
          </w:p>
        </w:tc>
        <w:tc>
          <w:tcPr>
            <w:tcW w:w="1843" w:type="dxa"/>
          </w:tcPr>
          <w:p w14:paraId="6E51E501" w14:textId="6F9FED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t>
            </w:r>
            <w:proofErr w:type="spellStart"/>
            <w:r w:rsidRPr="00251EA9">
              <w:rPr>
                <w:rFonts w:ascii="Arial" w:hAnsi="Arial" w:cs="Arial"/>
                <w:sz w:val="15"/>
                <w:szCs w:val="15"/>
              </w:rPr>
              <w:t>i</w:t>
            </w:r>
            <w:proofErr w:type="spellEnd"/>
            <w:r w:rsidRPr="00251EA9">
              <w:rPr>
                <w:rFonts w:ascii="Arial" w:hAnsi="Arial" w:cs="Arial"/>
                <w:sz w:val="15"/>
                <w:szCs w:val="15"/>
              </w:rPr>
              <w:t>) a risk assessment</w:t>
            </w:r>
            <w:r w:rsidRPr="00251EA9">
              <w:rPr>
                <w:rFonts w:ascii="Arial" w:hAnsi="Arial" w:cs="Arial"/>
                <w:sz w:val="15"/>
                <w:szCs w:val="15"/>
              </w:rPr>
              <w:br/>
              <w:t>of post-craniotomy meningitis (PCM) and (ii) the current pattern of its infectious agents in our healthcare system.</w:t>
            </w:r>
          </w:p>
        </w:tc>
        <w:tc>
          <w:tcPr>
            <w:tcW w:w="1134" w:type="dxa"/>
          </w:tcPr>
          <w:p w14:paraId="56CB51A5" w14:textId="0C377AC3" w:rsidR="006E5533" w:rsidRPr="00251EA9" w:rsidRDefault="006E5533" w:rsidP="006E5533">
            <w:pPr>
              <w:spacing w:line="360" w:lineRule="auto"/>
              <w:contextualSpacing/>
              <w:rPr>
                <w:rFonts w:ascii="Arial" w:hAnsi="Arial" w:cs="Arial"/>
                <w:sz w:val="15"/>
                <w:szCs w:val="15"/>
              </w:rPr>
            </w:pPr>
          </w:p>
        </w:tc>
        <w:tc>
          <w:tcPr>
            <w:tcW w:w="992" w:type="dxa"/>
          </w:tcPr>
          <w:p w14:paraId="51081190" w14:textId="4726CD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D96AD5C" w14:textId="7214850F"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r w:rsidR="006E5533" w:rsidRPr="00251EA9">
              <w:rPr>
                <w:rFonts w:ascii="Arial" w:hAnsi="Arial" w:cs="Arial"/>
                <w:sz w:val="15"/>
                <w:szCs w:val="15"/>
              </w:rPr>
              <w:t xml:space="preserve">/ National Healthcare Safety Network Surveillance </w:t>
            </w:r>
            <w:r w:rsidR="004756E6">
              <w:rPr>
                <w:rFonts w:ascii="Arial" w:hAnsi="Arial" w:cs="Arial"/>
                <w:sz w:val="15"/>
                <w:szCs w:val="15"/>
              </w:rPr>
              <w:t>D</w:t>
            </w:r>
            <w:r w:rsidR="006E5533" w:rsidRPr="00251EA9">
              <w:rPr>
                <w:rFonts w:ascii="Arial" w:hAnsi="Arial" w:cs="Arial"/>
                <w:sz w:val="15"/>
                <w:szCs w:val="15"/>
              </w:rPr>
              <w:t>efinitions</w:t>
            </w:r>
          </w:p>
        </w:tc>
        <w:tc>
          <w:tcPr>
            <w:tcW w:w="2693" w:type="dxa"/>
          </w:tcPr>
          <w:p w14:paraId="5885796A" w14:textId="4554E4BB" w:rsidR="006E5533" w:rsidRPr="00251EA9" w:rsidRDefault="006E5533" w:rsidP="006E5533">
            <w:pPr>
              <w:rPr>
                <w:rFonts w:ascii="Arial" w:hAnsi="Arial" w:cs="Arial"/>
                <w:sz w:val="15"/>
                <w:szCs w:val="15"/>
              </w:rPr>
            </w:pPr>
            <w:r w:rsidRPr="00251EA9">
              <w:rPr>
                <w:rFonts w:ascii="Arial" w:hAnsi="Arial" w:cs="Arial"/>
                <w:sz w:val="15"/>
                <w:szCs w:val="15"/>
              </w:rPr>
              <w:t>Seven of 22 PCM patients did not meet the criteria of SSI because they had open wounds on admission. Of the 22 patients with PCM, SSI occurred in 15 patients (68.2%),</w:t>
            </w:r>
          </w:p>
        </w:tc>
        <w:tc>
          <w:tcPr>
            <w:tcW w:w="1701" w:type="dxa"/>
          </w:tcPr>
          <w:p w14:paraId="138FACEE" w14:textId="42B69D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547F444" w14:textId="77777777" w:rsidTr="00A77951">
        <w:trPr>
          <w:trHeight w:val="586"/>
        </w:trPr>
        <w:tc>
          <w:tcPr>
            <w:tcW w:w="992" w:type="dxa"/>
          </w:tcPr>
          <w:p w14:paraId="31009190" w14:textId="41A807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Chen H. et al., 2023</w:t>
            </w:r>
          </w:p>
        </w:tc>
        <w:tc>
          <w:tcPr>
            <w:tcW w:w="851" w:type="dxa"/>
          </w:tcPr>
          <w:p w14:paraId="3671A0E7" w14:textId="716539FC" w:rsidR="006E5533" w:rsidRPr="00A77951" w:rsidRDefault="006E5533" w:rsidP="006E5533">
            <w:pPr>
              <w:spacing w:line="360" w:lineRule="auto"/>
              <w:contextualSpacing/>
              <w:rPr>
                <w:rFonts w:ascii="Arial" w:hAnsi="Arial" w:cs="Arial"/>
                <w:sz w:val="15"/>
                <w:szCs w:val="15"/>
              </w:rPr>
            </w:pPr>
            <w:hyperlink r:id="rId74" w:history="1">
              <w:r w:rsidRPr="00A77951">
                <w:rPr>
                  <w:rStyle w:val="Hyperlink"/>
                  <w:rFonts w:ascii="Arial" w:hAnsi="Arial" w:cs="Arial"/>
                  <w:sz w:val="15"/>
                  <w:szCs w:val="15"/>
                </w:rPr>
                <w:t>10.1007/s00586-023-07729-x</w:t>
              </w:r>
            </w:hyperlink>
          </w:p>
        </w:tc>
        <w:tc>
          <w:tcPr>
            <w:tcW w:w="851" w:type="dxa"/>
          </w:tcPr>
          <w:p w14:paraId="7DDD11B5" w14:textId="7C6DA9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24FD4923" w14:textId="25A20B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3EB8B46" w14:textId="5B0CE7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E4AC1D1" w14:textId="2570B4C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34FA2A0C" w14:textId="372DC6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incidences, causes, and risk factors for unplanned reoperation within 30 days of craniovertebral junction (CVJ) surgery</w:t>
            </w:r>
          </w:p>
        </w:tc>
        <w:tc>
          <w:tcPr>
            <w:tcW w:w="1134" w:type="dxa"/>
          </w:tcPr>
          <w:p w14:paraId="7C2BCDE5" w14:textId="476D3D31" w:rsidR="006E5533" w:rsidRPr="00251EA9" w:rsidRDefault="006E5533" w:rsidP="006E5533">
            <w:pPr>
              <w:spacing w:line="360" w:lineRule="auto"/>
              <w:contextualSpacing/>
              <w:rPr>
                <w:rFonts w:ascii="Arial" w:hAnsi="Arial" w:cs="Arial"/>
                <w:sz w:val="15"/>
                <w:szCs w:val="15"/>
              </w:rPr>
            </w:pPr>
          </w:p>
        </w:tc>
        <w:tc>
          <w:tcPr>
            <w:tcW w:w="992" w:type="dxa"/>
          </w:tcPr>
          <w:p w14:paraId="3786CB98" w14:textId="07F84A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93D545E" w14:textId="7141A3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0DA854C" w14:textId="08F54092" w:rsidR="006E5533" w:rsidRPr="00251EA9" w:rsidRDefault="006E5533" w:rsidP="006E5533">
            <w:pPr>
              <w:rPr>
                <w:rFonts w:ascii="Arial" w:hAnsi="Arial" w:cs="Arial"/>
                <w:sz w:val="15"/>
                <w:szCs w:val="15"/>
              </w:rPr>
            </w:pPr>
            <w:r w:rsidRPr="00251EA9">
              <w:rPr>
                <w:rFonts w:ascii="Arial" w:hAnsi="Arial" w:cs="Arial"/>
                <w:sz w:val="15"/>
                <w:szCs w:val="15"/>
              </w:rPr>
              <w:t>14 out of 34 patients underwent unplanned reoperation because of wound infection.</w:t>
            </w:r>
          </w:p>
        </w:tc>
        <w:tc>
          <w:tcPr>
            <w:tcW w:w="1701" w:type="dxa"/>
          </w:tcPr>
          <w:p w14:paraId="6A3884B5" w14:textId="6F32F7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4D80365" w14:textId="77777777" w:rsidTr="00A77951">
        <w:trPr>
          <w:trHeight w:val="586"/>
        </w:trPr>
        <w:tc>
          <w:tcPr>
            <w:tcW w:w="992" w:type="dxa"/>
          </w:tcPr>
          <w:p w14:paraId="2F533E10" w14:textId="1B2831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Chen P et al., 2021</w:t>
            </w:r>
          </w:p>
        </w:tc>
        <w:tc>
          <w:tcPr>
            <w:tcW w:w="851" w:type="dxa"/>
          </w:tcPr>
          <w:p w14:paraId="089408B9" w14:textId="536E66C4" w:rsidR="006E5533" w:rsidRPr="00A77951" w:rsidRDefault="006E5533" w:rsidP="006E5533">
            <w:pPr>
              <w:spacing w:line="360" w:lineRule="auto"/>
              <w:contextualSpacing/>
              <w:rPr>
                <w:rFonts w:ascii="Arial" w:hAnsi="Arial" w:cs="Arial"/>
                <w:sz w:val="15"/>
                <w:szCs w:val="15"/>
              </w:rPr>
            </w:pPr>
            <w:hyperlink r:id="rId75" w:history="1">
              <w:r w:rsidRPr="00A77951">
                <w:rPr>
                  <w:rStyle w:val="Hyperlink"/>
                  <w:rFonts w:ascii="Arial" w:hAnsi="Arial" w:cs="Arial"/>
                  <w:sz w:val="15"/>
                  <w:szCs w:val="15"/>
                </w:rPr>
                <w:t>10.1155/2021/4948664</w:t>
              </w:r>
            </w:hyperlink>
          </w:p>
        </w:tc>
        <w:tc>
          <w:tcPr>
            <w:tcW w:w="851" w:type="dxa"/>
          </w:tcPr>
          <w:p w14:paraId="2780ADFA" w14:textId="5D6F39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Papua New Guinea</w:t>
            </w:r>
          </w:p>
        </w:tc>
        <w:tc>
          <w:tcPr>
            <w:tcW w:w="1134" w:type="dxa"/>
          </w:tcPr>
          <w:p w14:paraId="0E9F1236" w14:textId="08B142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78A528D" w14:textId="421ABD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08D8FC9" w14:textId="46D7E1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31D20470" w14:textId="274952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clinical characteristics and prognosis of traumatic brain injury (TBI) patients from 2016 to 2019 admitted to Port Moresby General Hospital of Papua New Guinea and compare </w:t>
            </w:r>
            <w:r w:rsidRPr="00251EA9">
              <w:rPr>
                <w:rFonts w:ascii="Arial" w:hAnsi="Arial" w:cs="Arial"/>
                <w:sz w:val="15"/>
                <w:szCs w:val="15"/>
              </w:rPr>
              <w:lastRenderedPageBreak/>
              <w:t xml:space="preserve">the results with previous </w:t>
            </w:r>
            <w:proofErr w:type="gramStart"/>
            <w:r w:rsidRPr="00251EA9">
              <w:rPr>
                <w:rFonts w:ascii="Arial" w:hAnsi="Arial" w:cs="Arial"/>
                <w:sz w:val="15"/>
                <w:szCs w:val="15"/>
              </w:rPr>
              <w:t>researches</w:t>
            </w:r>
            <w:proofErr w:type="gramEnd"/>
            <w:r w:rsidRPr="00251EA9">
              <w:rPr>
                <w:rFonts w:ascii="Arial" w:hAnsi="Arial" w:cs="Arial"/>
                <w:sz w:val="15"/>
                <w:szCs w:val="15"/>
              </w:rPr>
              <w:t xml:space="preserve"> to analyse current clinical characteristics and prognosis. </w:t>
            </w:r>
          </w:p>
        </w:tc>
        <w:tc>
          <w:tcPr>
            <w:tcW w:w="1134" w:type="dxa"/>
          </w:tcPr>
          <w:p w14:paraId="6100FE2C"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E23D4BE" w14:textId="4AE136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FA57968" w14:textId="181475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A2F5256" w14:textId="0986429B" w:rsidR="006E5533" w:rsidRPr="00251EA9" w:rsidRDefault="006E5533" w:rsidP="006E5533">
            <w:pPr>
              <w:rPr>
                <w:rFonts w:ascii="Arial" w:hAnsi="Arial" w:cs="Arial"/>
                <w:sz w:val="15"/>
                <w:szCs w:val="15"/>
              </w:rPr>
            </w:pPr>
            <w:r w:rsidRPr="00251EA9">
              <w:rPr>
                <w:rFonts w:ascii="Arial" w:hAnsi="Arial" w:cs="Arial"/>
                <w:sz w:val="15"/>
                <w:szCs w:val="15"/>
              </w:rPr>
              <w:t>Postoperative infection happened in 23 (10.2%) patients.</w:t>
            </w:r>
          </w:p>
        </w:tc>
        <w:tc>
          <w:tcPr>
            <w:tcW w:w="1701" w:type="dxa"/>
          </w:tcPr>
          <w:p w14:paraId="147698FE" w14:textId="23F436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8A33CE4" w14:textId="77777777" w:rsidTr="00A77951">
        <w:trPr>
          <w:trHeight w:val="586"/>
        </w:trPr>
        <w:tc>
          <w:tcPr>
            <w:tcW w:w="992" w:type="dxa"/>
          </w:tcPr>
          <w:p w14:paraId="6F903AF8" w14:textId="66F42F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Chen R. et al., 2023</w:t>
            </w:r>
          </w:p>
        </w:tc>
        <w:tc>
          <w:tcPr>
            <w:tcW w:w="851" w:type="dxa"/>
          </w:tcPr>
          <w:p w14:paraId="76A49362" w14:textId="4D694E89" w:rsidR="006E5533" w:rsidRPr="00A77951" w:rsidRDefault="006E5533" w:rsidP="006E5533">
            <w:pPr>
              <w:spacing w:line="360" w:lineRule="auto"/>
              <w:contextualSpacing/>
              <w:rPr>
                <w:rFonts w:ascii="Arial" w:hAnsi="Arial" w:cs="Arial"/>
                <w:sz w:val="15"/>
                <w:szCs w:val="15"/>
              </w:rPr>
            </w:pPr>
            <w:hyperlink r:id="rId76" w:history="1">
              <w:r w:rsidRPr="00A77951">
                <w:rPr>
                  <w:rStyle w:val="Hyperlink"/>
                  <w:rFonts w:ascii="Arial" w:hAnsi="Arial" w:cs="Arial"/>
                  <w:sz w:val="15"/>
                  <w:szCs w:val="15"/>
                </w:rPr>
                <w:t>10.1227/neu.0000000000002376</w:t>
              </w:r>
            </w:hyperlink>
          </w:p>
        </w:tc>
        <w:tc>
          <w:tcPr>
            <w:tcW w:w="851" w:type="dxa"/>
          </w:tcPr>
          <w:p w14:paraId="0B3330D6" w14:textId="5D8541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45E53538" w14:textId="4FB2E1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5377705" w14:textId="1F2619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BDDADD8" w14:textId="26939A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(Cranioplasty)</w:t>
            </w:r>
          </w:p>
        </w:tc>
        <w:tc>
          <w:tcPr>
            <w:tcW w:w="1843" w:type="dxa"/>
          </w:tcPr>
          <w:p w14:paraId="426305B2" w14:textId="573FD576" w:rsidR="006E5533" w:rsidRPr="00251EA9" w:rsidRDefault="006E5533" w:rsidP="006E5533">
            <w:pPr>
              <w:spacing w:line="360" w:lineRule="auto"/>
              <w:contextualSpacing/>
              <w:rPr>
                <w:rFonts w:ascii="Arial" w:hAnsi="Arial" w:cs="Arial"/>
                <w:sz w:val="15"/>
                <w:szCs w:val="15"/>
              </w:rPr>
            </w:pPr>
            <w:r>
              <w:rPr>
                <w:rFonts w:ascii="Arial" w:hAnsi="Arial" w:cs="Arial"/>
                <w:sz w:val="15"/>
                <w:szCs w:val="15"/>
              </w:rPr>
              <w:t>To</w:t>
            </w:r>
            <w:r w:rsidRPr="00251EA9">
              <w:rPr>
                <w:rFonts w:ascii="Arial" w:hAnsi="Arial" w:cs="Arial"/>
                <w:sz w:val="15"/>
                <w:szCs w:val="15"/>
              </w:rPr>
              <w:t xml:space="preserve"> analyse the independent risk factors of complications after cranioplasty and elucidate the potential correlation between brain collapse volume and prognosis.</w:t>
            </w:r>
          </w:p>
        </w:tc>
        <w:tc>
          <w:tcPr>
            <w:tcW w:w="1134" w:type="dxa"/>
          </w:tcPr>
          <w:p w14:paraId="6BDE496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9B359D9" w14:textId="0B6104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08ABADE" w14:textId="394E10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roofErr w:type="gramStart"/>
            <w:r w:rsidRPr="00251EA9">
              <w:rPr>
                <w:rFonts w:ascii="Arial" w:hAnsi="Arial" w:cs="Arial"/>
                <w:sz w:val="15"/>
                <w:szCs w:val="15"/>
              </w:rPr>
              <w:t>an</w:t>
            </w:r>
            <w:proofErr w:type="gramEnd"/>
            <w:r w:rsidRPr="00251EA9">
              <w:rPr>
                <w:rFonts w:ascii="Arial" w:hAnsi="Arial" w:cs="Arial"/>
                <w:sz w:val="15"/>
                <w:szCs w:val="15"/>
              </w:rPr>
              <w:t xml:space="preserve"> incision or intracranial infection with symptoms or</w:t>
            </w:r>
            <w:r w:rsidRPr="00251EA9">
              <w:rPr>
                <w:rFonts w:ascii="Arial" w:hAnsi="Arial" w:cs="Arial"/>
                <w:sz w:val="15"/>
                <w:szCs w:val="15"/>
              </w:rPr>
              <w:br/>
              <w:t xml:space="preserve">physical signs.” </w:t>
            </w:r>
          </w:p>
        </w:tc>
        <w:tc>
          <w:tcPr>
            <w:tcW w:w="2693" w:type="dxa"/>
          </w:tcPr>
          <w:p w14:paraId="652F92BD" w14:textId="6843D478" w:rsidR="006E5533" w:rsidRPr="00251EA9" w:rsidRDefault="006E5533" w:rsidP="006E5533">
            <w:pPr>
              <w:rPr>
                <w:rFonts w:ascii="Arial" w:hAnsi="Arial" w:cs="Arial"/>
                <w:sz w:val="15"/>
                <w:szCs w:val="15"/>
              </w:rPr>
            </w:pPr>
            <w:r w:rsidRPr="00251EA9">
              <w:rPr>
                <w:rFonts w:ascii="Arial" w:hAnsi="Arial" w:cs="Arial"/>
                <w:sz w:val="15"/>
                <w:szCs w:val="15"/>
              </w:rPr>
              <w:t>Four total cases of SSI (3.9%) reported.</w:t>
            </w:r>
          </w:p>
        </w:tc>
        <w:tc>
          <w:tcPr>
            <w:tcW w:w="1701" w:type="dxa"/>
          </w:tcPr>
          <w:p w14:paraId="6D1D506C" w14:textId="2B90DC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3CA28F5" w14:textId="77777777" w:rsidTr="00A77951">
        <w:trPr>
          <w:trHeight w:val="586"/>
        </w:trPr>
        <w:tc>
          <w:tcPr>
            <w:tcW w:w="992" w:type="dxa"/>
          </w:tcPr>
          <w:p w14:paraId="05346189" w14:textId="0645B1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Chen Y. et al., 2018</w:t>
            </w:r>
          </w:p>
        </w:tc>
        <w:tc>
          <w:tcPr>
            <w:tcW w:w="851" w:type="dxa"/>
          </w:tcPr>
          <w:p w14:paraId="61A5949A" w14:textId="5BF6B5BC" w:rsidR="006E5533" w:rsidRPr="00A77951" w:rsidRDefault="006E5533" w:rsidP="006E5533">
            <w:pPr>
              <w:spacing w:line="360" w:lineRule="auto"/>
              <w:contextualSpacing/>
              <w:rPr>
                <w:rFonts w:ascii="Arial" w:hAnsi="Arial" w:cs="Arial"/>
                <w:sz w:val="15"/>
                <w:szCs w:val="15"/>
              </w:rPr>
            </w:pPr>
            <w:hyperlink r:id="rId77" w:history="1">
              <w:r w:rsidRPr="00A77951">
                <w:rPr>
                  <w:rStyle w:val="Hyperlink"/>
                  <w:rFonts w:ascii="Arial" w:hAnsi="Arial" w:cs="Arial"/>
                  <w:sz w:val="15"/>
                  <w:szCs w:val="15"/>
                </w:rPr>
                <w:t>10.1016/j.wneu.2018.01.211</w:t>
              </w:r>
            </w:hyperlink>
          </w:p>
        </w:tc>
        <w:tc>
          <w:tcPr>
            <w:tcW w:w="851" w:type="dxa"/>
          </w:tcPr>
          <w:p w14:paraId="458E65D0" w14:textId="74BBB9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2E4BA60" w14:textId="606058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BCEB83D" w14:textId="30C907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47EBAF3" w14:textId="5B99E6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6CD6F55C" w14:textId="2A8557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glioblastoma reoperation trends nationally in older patients, with emphasis on outcomes.</w:t>
            </w:r>
          </w:p>
        </w:tc>
        <w:tc>
          <w:tcPr>
            <w:tcW w:w="1134" w:type="dxa"/>
          </w:tcPr>
          <w:p w14:paraId="0D8FB8A5" w14:textId="3B69F669" w:rsidR="006E5533" w:rsidRPr="00251EA9" w:rsidRDefault="006E5533" w:rsidP="006E5533">
            <w:pPr>
              <w:spacing w:line="360" w:lineRule="auto"/>
              <w:contextualSpacing/>
              <w:rPr>
                <w:rFonts w:ascii="Arial" w:hAnsi="Arial" w:cs="Arial"/>
                <w:sz w:val="15"/>
                <w:szCs w:val="15"/>
              </w:rPr>
            </w:pPr>
          </w:p>
        </w:tc>
        <w:tc>
          <w:tcPr>
            <w:tcW w:w="992" w:type="dxa"/>
          </w:tcPr>
          <w:p w14:paraId="5DAB4CE9" w14:textId="13672F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FB25E9D" w14:textId="55D640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8E469F4" w14:textId="0EF447C4" w:rsidR="006E5533" w:rsidRPr="00251EA9" w:rsidRDefault="006E5533" w:rsidP="006E5533">
            <w:pPr>
              <w:rPr>
                <w:rFonts w:ascii="Arial" w:hAnsi="Arial" w:cs="Arial"/>
                <w:sz w:val="15"/>
                <w:szCs w:val="15"/>
              </w:rPr>
            </w:pPr>
            <w:r w:rsidRPr="00251EA9">
              <w:rPr>
                <w:rFonts w:ascii="Arial" w:hAnsi="Arial" w:cs="Arial"/>
                <w:sz w:val="15"/>
                <w:szCs w:val="15"/>
              </w:rPr>
              <w:t xml:space="preserve">Wound infection occurred in 37 patients (8%) that received one reoperation. Wound infection occurred more frequently in the 1 reoperation cohort as compared to the no reoperation cohort. </w:t>
            </w:r>
          </w:p>
        </w:tc>
        <w:tc>
          <w:tcPr>
            <w:tcW w:w="1701" w:type="dxa"/>
          </w:tcPr>
          <w:p w14:paraId="7DC182F7" w14:textId="46E4F2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3D29DE" w14:textId="77777777" w:rsidTr="00A77951">
        <w:trPr>
          <w:trHeight w:val="586"/>
        </w:trPr>
        <w:tc>
          <w:tcPr>
            <w:tcW w:w="992" w:type="dxa"/>
          </w:tcPr>
          <w:p w14:paraId="02D4441E" w14:textId="43C7F4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Cheng C.H. et al., 2014</w:t>
            </w:r>
          </w:p>
        </w:tc>
        <w:tc>
          <w:tcPr>
            <w:tcW w:w="851" w:type="dxa"/>
          </w:tcPr>
          <w:p w14:paraId="25FDEBE7" w14:textId="22A6D094" w:rsidR="006E5533" w:rsidRPr="00A77951" w:rsidRDefault="006E5533" w:rsidP="006E5533">
            <w:pPr>
              <w:spacing w:line="360" w:lineRule="auto"/>
              <w:contextualSpacing/>
              <w:rPr>
                <w:rFonts w:ascii="Arial" w:hAnsi="Arial" w:cs="Arial"/>
                <w:sz w:val="15"/>
                <w:szCs w:val="15"/>
              </w:rPr>
            </w:pPr>
            <w:hyperlink r:id="rId78" w:history="1">
              <w:r w:rsidRPr="00A77951">
                <w:rPr>
                  <w:rStyle w:val="Hyperlink"/>
                  <w:rFonts w:ascii="Arial" w:hAnsi="Arial" w:cs="Arial"/>
                  <w:sz w:val="15"/>
                  <w:szCs w:val="15"/>
                </w:rPr>
                <w:t>10.1016/j.clineuro.2014.06.029</w:t>
              </w:r>
            </w:hyperlink>
          </w:p>
        </w:tc>
        <w:tc>
          <w:tcPr>
            <w:tcW w:w="851" w:type="dxa"/>
          </w:tcPr>
          <w:p w14:paraId="2445D96A" w14:textId="2AAC98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26B278ED" w14:textId="5CA808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27D5D62B" w14:textId="535C63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18600B1" w14:textId="51B088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1CD574AC" w14:textId="0FA155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clarify whether differences in the methods used to store bone flaps influence the incidences of SSI and bone flap resorption following cranioplasty.</w:t>
            </w:r>
          </w:p>
        </w:tc>
        <w:tc>
          <w:tcPr>
            <w:tcW w:w="1134" w:type="dxa"/>
          </w:tcPr>
          <w:p w14:paraId="43E9B351" w14:textId="47128FDA" w:rsidR="006E5533" w:rsidRPr="00251EA9" w:rsidRDefault="006E5533" w:rsidP="006E5533">
            <w:pPr>
              <w:spacing w:line="360" w:lineRule="auto"/>
              <w:contextualSpacing/>
              <w:rPr>
                <w:rFonts w:ascii="Arial" w:hAnsi="Arial" w:cs="Arial"/>
                <w:sz w:val="15"/>
                <w:szCs w:val="15"/>
              </w:rPr>
            </w:pPr>
          </w:p>
        </w:tc>
        <w:tc>
          <w:tcPr>
            <w:tcW w:w="992" w:type="dxa"/>
          </w:tcPr>
          <w:p w14:paraId="7790F32E" w14:textId="2F5C47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ECE13DD" w14:textId="462855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Defined by presence of focal erythema, pus-like discharge or wound rupture</w:t>
            </w:r>
          </w:p>
        </w:tc>
        <w:tc>
          <w:tcPr>
            <w:tcW w:w="2693" w:type="dxa"/>
          </w:tcPr>
          <w:p w14:paraId="12DCCB59" w14:textId="1B240960" w:rsidR="006E5533" w:rsidRPr="00251EA9" w:rsidRDefault="006E5533" w:rsidP="006E5533">
            <w:pPr>
              <w:rPr>
                <w:rFonts w:ascii="Arial" w:hAnsi="Arial" w:cs="Arial"/>
                <w:sz w:val="15"/>
                <w:szCs w:val="15"/>
              </w:rPr>
            </w:pPr>
            <w:r w:rsidRPr="00251EA9">
              <w:rPr>
                <w:rFonts w:ascii="Arial" w:hAnsi="Arial" w:cs="Arial"/>
                <w:sz w:val="15"/>
                <w:szCs w:val="15"/>
              </w:rPr>
              <w:t>18.2% in cryopreservation group and 11.1% in subcutaneous pocket group developed SSI.</w:t>
            </w:r>
          </w:p>
        </w:tc>
        <w:tc>
          <w:tcPr>
            <w:tcW w:w="1701" w:type="dxa"/>
          </w:tcPr>
          <w:p w14:paraId="3B71C271" w14:textId="1E3E8E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3217F40" w14:textId="77777777" w:rsidTr="00A77951">
        <w:trPr>
          <w:trHeight w:val="586"/>
        </w:trPr>
        <w:tc>
          <w:tcPr>
            <w:tcW w:w="992" w:type="dxa"/>
          </w:tcPr>
          <w:p w14:paraId="7BC1FD9E" w14:textId="1E4FED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Chiang H.Y. et al., 2011</w:t>
            </w:r>
          </w:p>
        </w:tc>
        <w:tc>
          <w:tcPr>
            <w:tcW w:w="851" w:type="dxa"/>
          </w:tcPr>
          <w:p w14:paraId="24CF5A98" w14:textId="749C8B17" w:rsidR="006E5533" w:rsidRPr="00A77951" w:rsidRDefault="006E5533" w:rsidP="006E5533">
            <w:pPr>
              <w:spacing w:line="360" w:lineRule="auto"/>
              <w:contextualSpacing/>
              <w:rPr>
                <w:rFonts w:ascii="Arial" w:hAnsi="Arial" w:cs="Arial"/>
                <w:sz w:val="15"/>
                <w:szCs w:val="15"/>
              </w:rPr>
            </w:pPr>
            <w:hyperlink r:id="rId79" w:history="1">
              <w:r w:rsidRPr="00A77951">
                <w:rPr>
                  <w:rStyle w:val="Hyperlink"/>
                  <w:rFonts w:ascii="Arial" w:hAnsi="Arial" w:cs="Arial"/>
                  <w:sz w:val="15"/>
                  <w:szCs w:val="15"/>
                </w:rPr>
                <w:t>10.3171/2011.</w:t>
              </w:r>
              <w:proofErr w:type="gramStart"/>
              <w:r w:rsidRPr="00A77951">
                <w:rPr>
                  <w:rStyle w:val="Hyperlink"/>
                  <w:rFonts w:ascii="Arial" w:hAnsi="Arial" w:cs="Arial"/>
                  <w:sz w:val="15"/>
                  <w:szCs w:val="15"/>
                </w:rPr>
                <w:t>1.JNS</w:t>
              </w:r>
              <w:proofErr w:type="gramEnd"/>
              <w:r w:rsidRPr="00A77951">
                <w:rPr>
                  <w:rStyle w:val="Hyperlink"/>
                  <w:rFonts w:ascii="Arial" w:hAnsi="Arial" w:cs="Arial"/>
                  <w:sz w:val="15"/>
                  <w:szCs w:val="15"/>
                </w:rPr>
                <w:t>10782</w:t>
              </w:r>
            </w:hyperlink>
          </w:p>
        </w:tc>
        <w:tc>
          <w:tcPr>
            <w:tcW w:w="851" w:type="dxa"/>
          </w:tcPr>
          <w:p w14:paraId="5C2B99AC" w14:textId="2731AE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FB33E51" w14:textId="39A804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6A6A734E" w14:textId="25A9FE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0D654ED" w14:textId="11B3C9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0984B68F" w14:textId="080A96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identify the prevalence of bone flaps with positive cultures, to assess the risk of SSI after reimplanting bone flaps with positive cultures, and to identify risk factors for SSI following </w:t>
            </w:r>
            <w:r w:rsidRPr="00251EA9">
              <w:rPr>
                <w:rFonts w:ascii="Arial" w:hAnsi="Arial" w:cs="Arial"/>
                <w:sz w:val="15"/>
                <w:szCs w:val="15"/>
              </w:rPr>
              <w:lastRenderedPageBreak/>
              <w:t>the initial craniotomies or craniectomies.</w:t>
            </w:r>
          </w:p>
        </w:tc>
        <w:tc>
          <w:tcPr>
            <w:tcW w:w="1134" w:type="dxa"/>
          </w:tcPr>
          <w:p w14:paraId="435C30B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2C6A39E" w14:textId="7A2247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97FBFE2" w14:textId="261DAB01"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14F138FD" w14:textId="0BE5109C" w:rsidR="006E5533" w:rsidRPr="00251EA9" w:rsidRDefault="006E5533" w:rsidP="006E5533">
            <w:pPr>
              <w:rPr>
                <w:rFonts w:ascii="Arial" w:hAnsi="Arial" w:cs="Arial"/>
                <w:sz w:val="15"/>
                <w:szCs w:val="15"/>
              </w:rPr>
            </w:pPr>
            <w:r w:rsidRPr="00251EA9">
              <w:rPr>
                <w:rFonts w:ascii="Arial" w:hAnsi="Arial" w:cs="Arial"/>
                <w:sz w:val="15"/>
                <w:szCs w:val="15"/>
              </w:rPr>
              <w:t>21 patients acquired 22 SSIs (5.8%) (1 patient acquired an SSI after each of 2 procedures). Twenty patients (5.4% of all 373 patients and 95.2% of those 21 with SSI) acquired SSIs after their index procedures.</w:t>
            </w:r>
          </w:p>
        </w:tc>
        <w:tc>
          <w:tcPr>
            <w:tcW w:w="1701" w:type="dxa"/>
          </w:tcPr>
          <w:p w14:paraId="05240D5E" w14:textId="36ACAD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5252268" w14:textId="77777777" w:rsidTr="00A77951">
        <w:trPr>
          <w:trHeight w:val="586"/>
        </w:trPr>
        <w:tc>
          <w:tcPr>
            <w:tcW w:w="992" w:type="dxa"/>
          </w:tcPr>
          <w:p w14:paraId="463DF4A7" w14:textId="6BBD07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Chiang H.Y. et al. 2014</w:t>
            </w:r>
          </w:p>
        </w:tc>
        <w:tc>
          <w:tcPr>
            <w:tcW w:w="851" w:type="dxa"/>
          </w:tcPr>
          <w:p w14:paraId="5F12C711" w14:textId="3490DC94" w:rsidR="006E5533" w:rsidRPr="00A77951" w:rsidRDefault="006E5533" w:rsidP="006E5533">
            <w:pPr>
              <w:spacing w:line="360" w:lineRule="auto"/>
              <w:contextualSpacing/>
              <w:rPr>
                <w:rFonts w:ascii="Arial" w:hAnsi="Arial" w:cs="Arial"/>
                <w:sz w:val="15"/>
                <w:szCs w:val="15"/>
              </w:rPr>
            </w:pPr>
            <w:hyperlink r:id="rId80" w:history="1">
              <w:r w:rsidRPr="00A77951">
                <w:rPr>
                  <w:rStyle w:val="Hyperlink"/>
                  <w:rFonts w:ascii="Arial" w:hAnsi="Arial" w:cs="Arial"/>
                  <w:sz w:val="15"/>
                  <w:szCs w:val="15"/>
                </w:rPr>
                <w:t>10.3171/2013.</w:t>
              </w:r>
              <w:proofErr w:type="gramStart"/>
              <w:r w:rsidRPr="00A77951">
                <w:rPr>
                  <w:rStyle w:val="Hyperlink"/>
                  <w:rFonts w:ascii="Arial" w:hAnsi="Arial" w:cs="Arial"/>
                  <w:sz w:val="15"/>
                  <w:szCs w:val="15"/>
                </w:rPr>
                <w:t>9.JNS</w:t>
              </w:r>
              <w:proofErr w:type="gramEnd"/>
              <w:r w:rsidRPr="00A77951">
                <w:rPr>
                  <w:rStyle w:val="Hyperlink"/>
                  <w:rFonts w:ascii="Arial" w:hAnsi="Arial" w:cs="Arial"/>
                  <w:sz w:val="15"/>
                  <w:szCs w:val="15"/>
                </w:rPr>
                <w:t>13843</w:t>
              </w:r>
            </w:hyperlink>
          </w:p>
        </w:tc>
        <w:tc>
          <w:tcPr>
            <w:tcW w:w="851" w:type="dxa"/>
          </w:tcPr>
          <w:p w14:paraId="51DF8914" w14:textId="4E5A5F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79A9903" w14:textId="34CF84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50ECCC46" w14:textId="0BC9E4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7657E83" w14:textId="2E2478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 craniectomy)</w:t>
            </w:r>
          </w:p>
        </w:tc>
        <w:tc>
          <w:tcPr>
            <w:tcW w:w="1843" w:type="dxa"/>
          </w:tcPr>
          <w:p w14:paraId="7BB31C56" w14:textId="6516C0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risk factors for SSIs after cranial procedures and to evaluate outcomes attributed to SSIs</w:t>
            </w:r>
          </w:p>
        </w:tc>
        <w:tc>
          <w:tcPr>
            <w:tcW w:w="1134" w:type="dxa"/>
          </w:tcPr>
          <w:p w14:paraId="21530AA7" w14:textId="75DFB69F" w:rsidR="006E5533" w:rsidRPr="00251EA9" w:rsidRDefault="006E5533" w:rsidP="006E5533">
            <w:pPr>
              <w:spacing w:line="360" w:lineRule="auto"/>
              <w:contextualSpacing/>
              <w:rPr>
                <w:rFonts w:ascii="Arial" w:hAnsi="Arial" w:cs="Arial"/>
                <w:sz w:val="15"/>
                <w:szCs w:val="15"/>
              </w:rPr>
            </w:pPr>
          </w:p>
        </w:tc>
        <w:tc>
          <w:tcPr>
            <w:tcW w:w="992" w:type="dxa"/>
          </w:tcPr>
          <w:p w14:paraId="09CC6271" w14:textId="0E70D8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0E93E41" w14:textId="34767A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F05F5BE" w14:textId="2317C710" w:rsidR="006E5533" w:rsidRPr="00251EA9" w:rsidRDefault="006E5533" w:rsidP="006E5533">
            <w:pPr>
              <w:rPr>
                <w:rFonts w:ascii="Arial" w:hAnsi="Arial" w:cs="Arial"/>
                <w:sz w:val="15"/>
                <w:szCs w:val="15"/>
              </w:rPr>
            </w:pPr>
            <w:r w:rsidRPr="00251EA9">
              <w:rPr>
                <w:rFonts w:ascii="Arial" w:hAnsi="Arial" w:cs="Arial"/>
                <w:sz w:val="15"/>
                <w:szCs w:val="15"/>
              </w:rPr>
              <w:t xml:space="preserve">32% of SSIs were caused by Staphylococcus aureus, 88% were deep incisional or organ space infections, and 70% were identified after discharge. </w:t>
            </w:r>
          </w:p>
        </w:tc>
        <w:tc>
          <w:tcPr>
            <w:tcW w:w="1701" w:type="dxa"/>
          </w:tcPr>
          <w:p w14:paraId="72B1415B" w14:textId="41E03C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4FE71CD" w14:textId="77777777" w:rsidTr="00A77951">
        <w:trPr>
          <w:trHeight w:val="586"/>
        </w:trPr>
        <w:tc>
          <w:tcPr>
            <w:tcW w:w="992" w:type="dxa"/>
          </w:tcPr>
          <w:p w14:paraId="09BABF73" w14:textId="755D6DCB"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Chibbaro</w:t>
            </w:r>
            <w:proofErr w:type="spellEnd"/>
            <w:r w:rsidRPr="00251EA9">
              <w:rPr>
                <w:rFonts w:ascii="Arial" w:hAnsi="Arial" w:cs="Arial"/>
                <w:sz w:val="15"/>
                <w:szCs w:val="15"/>
              </w:rPr>
              <w:t xml:space="preserve"> S. et al., 2011</w:t>
            </w:r>
          </w:p>
        </w:tc>
        <w:tc>
          <w:tcPr>
            <w:tcW w:w="851" w:type="dxa"/>
          </w:tcPr>
          <w:p w14:paraId="3458D94A" w14:textId="346AF0E9" w:rsidR="006E5533" w:rsidRPr="00A77951" w:rsidRDefault="006E5533" w:rsidP="006E5533">
            <w:pPr>
              <w:spacing w:line="360" w:lineRule="auto"/>
              <w:contextualSpacing/>
              <w:rPr>
                <w:rFonts w:ascii="Arial" w:hAnsi="Arial" w:cs="Arial"/>
                <w:sz w:val="15"/>
                <w:szCs w:val="15"/>
              </w:rPr>
            </w:pPr>
            <w:hyperlink r:id="rId81" w:history="1">
              <w:r w:rsidRPr="00A77951">
                <w:rPr>
                  <w:rStyle w:val="Hyperlink"/>
                  <w:rFonts w:ascii="Arial" w:hAnsi="Arial" w:cs="Arial"/>
                  <w:sz w:val="15"/>
                  <w:szCs w:val="15"/>
                </w:rPr>
                <w:t>10.1016/j.wneu.2010.10.020</w:t>
              </w:r>
            </w:hyperlink>
          </w:p>
        </w:tc>
        <w:tc>
          <w:tcPr>
            <w:tcW w:w="851" w:type="dxa"/>
          </w:tcPr>
          <w:p w14:paraId="5C4F4A76" w14:textId="10B301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 and USA</w:t>
            </w:r>
          </w:p>
        </w:tc>
        <w:tc>
          <w:tcPr>
            <w:tcW w:w="1134" w:type="dxa"/>
          </w:tcPr>
          <w:p w14:paraId="68E866BC" w14:textId="1D3725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6BA1A48" w14:textId="0AD73D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C8F09C9" w14:textId="01D53C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36771E64" w14:textId="1EDBEF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efficacy of the immediate surgical intervention coupled with early cranial reconstruction to achieve a better survival chance and functional prognosis.</w:t>
            </w:r>
          </w:p>
        </w:tc>
        <w:tc>
          <w:tcPr>
            <w:tcW w:w="1134" w:type="dxa"/>
          </w:tcPr>
          <w:p w14:paraId="12D5A8EA" w14:textId="768AF85D" w:rsidR="006E5533" w:rsidRPr="00251EA9" w:rsidRDefault="006E5533" w:rsidP="006E5533">
            <w:pPr>
              <w:spacing w:line="360" w:lineRule="auto"/>
              <w:contextualSpacing/>
              <w:rPr>
                <w:rFonts w:ascii="Arial" w:hAnsi="Arial" w:cs="Arial"/>
                <w:sz w:val="15"/>
                <w:szCs w:val="15"/>
              </w:rPr>
            </w:pPr>
          </w:p>
        </w:tc>
        <w:tc>
          <w:tcPr>
            <w:tcW w:w="992" w:type="dxa"/>
          </w:tcPr>
          <w:p w14:paraId="29BDD088" w14:textId="25D5BB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1F5BBBB" w14:textId="2A5DFA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B2FFC53" w14:textId="54758C7A" w:rsidR="006E5533" w:rsidRPr="00251EA9" w:rsidRDefault="006E5533" w:rsidP="006E5533">
            <w:pPr>
              <w:rPr>
                <w:rFonts w:ascii="Arial" w:hAnsi="Arial" w:cs="Arial"/>
                <w:sz w:val="15"/>
                <w:szCs w:val="15"/>
              </w:rPr>
            </w:pPr>
            <w:r w:rsidRPr="00251EA9">
              <w:rPr>
                <w:rFonts w:ascii="Arial" w:hAnsi="Arial" w:cs="Arial"/>
                <w:sz w:val="15"/>
                <w:szCs w:val="15"/>
              </w:rPr>
              <w:t>Superficial wound infection occurred in 9 patients (in 3 after craniectomy and in the remaining 6 after cranioplasty). None required surgery and successfully managed by intravenous antibiotics.</w:t>
            </w:r>
          </w:p>
        </w:tc>
        <w:tc>
          <w:tcPr>
            <w:tcW w:w="1701" w:type="dxa"/>
          </w:tcPr>
          <w:p w14:paraId="7AF0050B" w14:textId="2262AD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B18FD92" w14:textId="77777777" w:rsidTr="00A77951">
        <w:trPr>
          <w:trHeight w:val="586"/>
        </w:trPr>
        <w:tc>
          <w:tcPr>
            <w:tcW w:w="992" w:type="dxa"/>
          </w:tcPr>
          <w:p w14:paraId="4F0C50E4" w14:textId="5EA9D0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Cho J. et al., 2003</w:t>
            </w:r>
          </w:p>
        </w:tc>
        <w:tc>
          <w:tcPr>
            <w:tcW w:w="851" w:type="dxa"/>
          </w:tcPr>
          <w:p w14:paraId="1932DEBA" w14:textId="05A8D7A4" w:rsidR="006E5533" w:rsidRPr="00A77951" w:rsidRDefault="006E5533" w:rsidP="006E5533">
            <w:pPr>
              <w:spacing w:line="360" w:lineRule="auto"/>
              <w:contextualSpacing/>
              <w:rPr>
                <w:rFonts w:ascii="Arial" w:hAnsi="Arial" w:cs="Arial"/>
                <w:sz w:val="15"/>
                <w:szCs w:val="15"/>
              </w:rPr>
            </w:pPr>
            <w:hyperlink r:id="rId82" w:history="1">
              <w:r w:rsidRPr="00A77951">
                <w:rPr>
                  <w:rStyle w:val="Hyperlink"/>
                  <w:rFonts w:ascii="Arial" w:hAnsi="Arial" w:cs="Arial"/>
                  <w:sz w:val="15"/>
                  <w:szCs w:val="15"/>
                </w:rPr>
                <w:t>10.1227/01.neu.</w:t>
              </w:r>
              <w:proofErr w:type="gramStart"/>
              <w:r w:rsidRPr="00A77951">
                <w:rPr>
                  <w:rStyle w:val="Hyperlink"/>
                  <w:rFonts w:ascii="Arial" w:hAnsi="Arial" w:cs="Arial"/>
                  <w:sz w:val="15"/>
                  <w:szCs w:val="15"/>
                </w:rPr>
                <w:t>0000054219.35102.b</w:t>
              </w:r>
              <w:proofErr w:type="gramEnd"/>
              <w:r w:rsidRPr="00A77951">
                <w:rPr>
                  <w:rStyle w:val="Hyperlink"/>
                  <w:rFonts w:ascii="Arial" w:hAnsi="Arial" w:cs="Arial"/>
                  <w:sz w:val="15"/>
                  <w:szCs w:val="15"/>
                </w:rPr>
                <w:t>4</w:t>
              </w:r>
            </w:hyperlink>
          </w:p>
        </w:tc>
        <w:tc>
          <w:tcPr>
            <w:tcW w:w="851" w:type="dxa"/>
          </w:tcPr>
          <w:p w14:paraId="26881E2F" w14:textId="022391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EFAC55E" w14:textId="42B3AE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5728E41" w14:textId="532281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6C804B2" w14:textId="2C54B3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6D71BC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review </w:t>
            </w:r>
            <w:r>
              <w:rPr>
                <w:rFonts w:ascii="Arial" w:hAnsi="Arial" w:cs="Arial"/>
                <w:sz w:val="15"/>
                <w:szCs w:val="15"/>
              </w:rPr>
              <w:t>the authors’</w:t>
            </w:r>
            <w:r w:rsidRPr="00251EA9">
              <w:rPr>
                <w:rFonts w:ascii="Arial" w:hAnsi="Arial" w:cs="Arial"/>
                <w:sz w:val="15"/>
                <w:szCs w:val="15"/>
              </w:rPr>
              <w:t xml:space="preserve"> experience with</w:t>
            </w:r>
          </w:p>
          <w:p w14:paraId="4551FC2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computer image guidance, linear or sigmoid incisions after minimal shaving, and liquid wound</w:t>
            </w:r>
          </w:p>
          <w:p w14:paraId="1268D32B" w14:textId="75437A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dressing with 2-octyl cyanoacrylate for tumour</w:t>
            </w:r>
            <w:r>
              <w:rPr>
                <w:rFonts w:ascii="Arial" w:hAnsi="Arial" w:cs="Arial"/>
                <w:sz w:val="15"/>
                <w:szCs w:val="15"/>
              </w:rPr>
              <w:t xml:space="preserve"> </w:t>
            </w:r>
            <w:r w:rsidRPr="00251EA9">
              <w:rPr>
                <w:rFonts w:ascii="Arial" w:hAnsi="Arial" w:cs="Arial"/>
                <w:sz w:val="15"/>
                <w:szCs w:val="15"/>
              </w:rPr>
              <w:t>craniotomy or craniectomy in our attempt to optimi</w:t>
            </w:r>
            <w:r>
              <w:rPr>
                <w:rFonts w:ascii="Arial" w:hAnsi="Arial" w:cs="Arial"/>
                <w:sz w:val="15"/>
                <w:szCs w:val="15"/>
              </w:rPr>
              <w:t>s</w:t>
            </w:r>
            <w:r w:rsidRPr="00251EA9">
              <w:rPr>
                <w:rFonts w:ascii="Arial" w:hAnsi="Arial" w:cs="Arial"/>
                <w:sz w:val="15"/>
                <w:szCs w:val="15"/>
              </w:rPr>
              <w:t>e craniotomy or</w:t>
            </w:r>
            <w:r>
              <w:rPr>
                <w:rFonts w:ascii="Arial" w:hAnsi="Arial" w:cs="Arial"/>
                <w:sz w:val="15"/>
                <w:szCs w:val="15"/>
              </w:rPr>
              <w:t xml:space="preserve"> </w:t>
            </w:r>
            <w:r w:rsidRPr="00251EA9">
              <w:rPr>
                <w:rFonts w:ascii="Arial" w:hAnsi="Arial" w:cs="Arial"/>
                <w:sz w:val="15"/>
                <w:szCs w:val="15"/>
              </w:rPr>
              <w:t>craniectomy for tumour.</w:t>
            </w:r>
          </w:p>
        </w:tc>
        <w:tc>
          <w:tcPr>
            <w:tcW w:w="1134" w:type="dxa"/>
          </w:tcPr>
          <w:p w14:paraId="5A79DC6E" w14:textId="38B89C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Technically enhanced methods vs traditional methods.</w:t>
            </w:r>
          </w:p>
        </w:tc>
        <w:tc>
          <w:tcPr>
            <w:tcW w:w="992" w:type="dxa"/>
          </w:tcPr>
          <w:p w14:paraId="100A5090" w14:textId="3B9014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6C16DAA" w14:textId="225E88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5990C4A" w14:textId="5C47E793" w:rsidR="006E5533" w:rsidRPr="00251EA9" w:rsidRDefault="006E5533" w:rsidP="006E5533">
            <w:pPr>
              <w:rPr>
                <w:rFonts w:ascii="Arial" w:hAnsi="Arial" w:cs="Arial"/>
                <w:sz w:val="15"/>
                <w:szCs w:val="15"/>
              </w:rPr>
            </w:pPr>
            <w:r w:rsidRPr="00251EA9">
              <w:rPr>
                <w:rFonts w:ascii="Arial" w:hAnsi="Arial" w:cs="Arial"/>
                <w:sz w:val="15"/>
                <w:szCs w:val="15"/>
              </w:rPr>
              <w:t>Reported two infections within 2 weeks of initial craniotomy in the study group and 14 wound complications in the control group. Reported eight early wound complications, including six infections and two cases of wound dehiscence, and six late complications, including three wound infections.</w:t>
            </w:r>
          </w:p>
        </w:tc>
        <w:tc>
          <w:tcPr>
            <w:tcW w:w="1701" w:type="dxa"/>
          </w:tcPr>
          <w:p w14:paraId="0B7964B4" w14:textId="079473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0C558F0" w14:textId="77777777" w:rsidTr="00A77951">
        <w:trPr>
          <w:trHeight w:val="586"/>
        </w:trPr>
        <w:tc>
          <w:tcPr>
            <w:tcW w:w="992" w:type="dxa"/>
          </w:tcPr>
          <w:p w14:paraId="0C7B44C7" w14:textId="0906AFE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Choque</w:t>
            </w:r>
            <w:proofErr w:type="spellEnd"/>
            <w:r w:rsidRPr="00251EA9">
              <w:rPr>
                <w:rFonts w:ascii="Arial" w:hAnsi="Arial" w:cs="Arial"/>
                <w:sz w:val="15"/>
                <w:szCs w:val="15"/>
              </w:rPr>
              <w:t>-Velasquez J. et al., 2020</w:t>
            </w:r>
          </w:p>
        </w:tc>
        <w:tc>
          <w:tcPr>
            <w:tcW w:w="851" w:type="dxa"/>
          </w:tcPr>
          <w:p w14:paraId="7979BBC0" w14:textId="39655C83" w:rsidR="006E5533" w:rsidRPr="00A77951" w:rsidRDefault="006E5533" w:rsidP="006E5533">
            <w:pPr>
              <w:spacing w:line="360" w:lineRule="auto"/>
              <w:contextualSpacing/>
              <w:rPr>
                <w:rFonts w:ascii="Arial" w:hAnsi="Arial" w:cs="Arial"/>
                <w:sz w:val="15"/>
                <w:szCs w:val="15"/>
              </w:rPr>
            </w:pPr>
            <w:hyperlink r:id="rId83" w:history="1">
              <w:r w:rsidRPr="00A77951">
                <w:rPr>
                  <w:rStyle w:val="Hyperlink"/>
                  <w:rFonts w:ascii="Arial" w:hAnsi="Arial" w:cs="Arial"/>
                  <w:sz w:val="15"/>
                  <w:szCs w:val="15"/>
                </w:rPr>
                <w:t>10.1016/j.wneu.2020.01.137</w:t>
              </w:r>
            </w:hyperlink>
          </w:p>
        </w:tc>
        <w:tc>
          <w:tcPr>
            <w:tcW w:w="851" w:type="dxa"/>
          </w:tcPr>
          <w:p w14:paraId="700A3139" w14:textId="4DE690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Finland</w:t>
            </w:r>
          </w:p>
        </w:tc>
        <w:tc>
          <w:tcPr>
            <w:tcW w:w="1134" w:type="dxa"/>
          </w:tcPr>
          <w:p w14:paraId="520F5AFB" w14:textId="211780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32223204" w14:textId="0BC2BB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4E58D55" w14:textId="2270390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556BD377" w14:textId="5813A4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establish the better</w:t>
            </w:r>
            <w:r w:rsidRPr="00251EA9">
              <w:rPr>
                <w:rFonts w:ascii="Arial" w:hAnsi="Arial" w:cs="Arial"/>
                <w:sz w:val="15"/>
                <w:szCs w:val="15"/>
              </w:rPr>
              <w:br/>
              <w:t xml:space="preserve">performance of the paramedian </w:t>
            </w:r>
            <w:proofErr w:type="spellStart"/>
            <w:r w:rsidRPr="00251EA9">
              <w:rPr>
                <w:rFonts w:ascii="Arial" w:hAnsi="Arial" w:cs="Arial"/>
                <w:sz w:val="15"/>
                <w:szCs w:val="15"/>
              </w:rPr>
              <w:t>supracerebellar</w:t>
            </w:r>
            <w:proofErr w:type="spellEnd"/>
            <w:r w:rsidRPr="00251EA9">
              <w:rPr>
                <w:rFonts w:ascii="Arial" w:hAnsi="Arial" w:cs="Arial"/>
                <w:sz w:val="15"/>
                <w:szCs w:val="15"/>
              </w:rPr>
              <w:t xml:space="preserve"> infratentorial approach </w:t>
            </w:r>
            <w:r w:rsidRPr="00251EA9">
              <w:rPr>
                <w:rFonts w:ascii="Arial" w:hAnsi="Arial" w:cs="Arial"/>
                <w:sz w:val="15"/>
                <w:szCs w:val="15"/>
              </w:rPr>
              <w:lastRenderedPageBreak/>
              <w:t>in terms of clinical safety in surgically treated pineal cysts and pineal region tumours.</w:t>
            </w:r>
          </w:p>
        </w:tc>
        <w:tc>
          <w:tcPr>
            <w:tcW w:w="1134" w:type="dxa"/>
          </w:tcPr>
          <w:p w14:paraId="249C510D" w14:textId="2CB0216E" w:rsidR="006E5533" w:rsidRPr="00251EA9" w:rsidRDefault="006E5533" w:rsidP="006E5533">
            <w:pPr>
              <w:spacing w:line="360" w:lineRule="auto"/>
              <w:contextualSpacing/>
              <w:rPr>
                <w:rFonts w:ascii="Arial" w:hAnsi="Arial" w:cs="Arial"/>
                <w:sz w:val="15"/>
                <w:szCs w:val="15"/>
              </w:rPr>
            </w:pPr>
          </w:p>
        </w:tc>
        <w:tc>
          <w:tcPr>
            <w:tcW w:w="992" w:type="dxa"/>
          </w:tcPr>
          <w:p w14:paraId="1BDE2AE1" w14:textId="77E107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51FB455" w14:textId="702F28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C55FC5E" w14:textId="7AB2CA98" w:rsidR="006E5533" w:rsidRPr="00251EA9" w:rsidRDefault="006E5533" w:rsidP="006E5533">
            <w:pPr>
              <w:rPr>
                <w:rFonts w:ascii="Arial" w:hAnsi="Arial" w:cs="Arial"/>
                <w:sz w:val="15"/>
                <w:szCs w:val="15"/>
              </w:rPr>
            </w:pPr>
            <w:r w:rsidRPr="00251EA9">
              <w:rPr>
                <w:rFonts w:ascii="Arial" w:hAnsi="Arial" w:cs="Arial"/>
                <w:sz w:val="15"/>
                <w:szCs w:val="15"/>
              </w:rPr>
              <w:t>Wound infections in the midline approach group were more serious with two patients undergoing surgical removal of the bone flap. Two patients with preliminary shunt surgery that underwent a midline approach many days later</w:t>
            </w:r>
            <w:r w:rsidRPr="00251EA9">
              <w:rPr>
                <w:rFonts w:ascii="Arial" w:hAnsi="Arial" w:cs="Arial"/>
                <w:sz w:val="15"/>
                <w:szCs w:val="15"/>
              </w:rPr>
              <w:br/>
            </w:r>
            <w:r w:rsidRPr="00251EA9">
              <w:rPr>
                <w:rFonts w:ascii="Arial" w:hAnsi="Arial" w:cs="Arial"/>
                <w:sz w:val="15"/>
                <w:szCs w:val="15"/>
              </w:rPr>
              <w:lastRenderedPageBreak/>
              <w:t>developed shunt infections after the approach.</w:t>
            </w:r>
          </w:p>
        </w:tc>
        <w:tc>
          <w:tcPr>
            <w:tcW w:w="1701" w:type="dxa"/>
          </w:tcPr>
          <w:p w14:paraId="29BF73AC" w14:textId="4FA223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0CE98F5B" w14:textId="77777777" w:rsidTr="00A77951">
        <w:trPr>
          <w:trHeight w:val="586"/>
        </w:trPr>
        <w:tc>
          <w:tcPr>
            <w:tcW w:w="992" w:type="dxa"/>
          </w:tcPr>
          <w:p w14:paraId="78066ACA" w14:textId="3E8A69C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Chotai</w:t>
            </w:r>
            <w:proofErr w:type="spellEnd"/>
            <w:r w:rsidRPr="00251EA9">
              <w:rPr>
                <w:rFonts w:ascii="Arial" w:hAnsi="Arial" w:cs="Arial"/>
                <w:sz w:val="15"/>
                <w:szCs w:val="15"/>
              </w:rPr>
              <w:t xml:space="preserve"> S. et al., 2023</w:t>
            </w:r>
          </w:p>
        </w:tc>
        <w:tc>
          <w:tcPr>
            <w:tcW w:w="851" w:type="dxa"/>
          </w:tcPr>
          <w:p w14:paraId="6F3F1D68" w14:textId="009ACE55" w:rsidR="006E5533" w:rsidRPr="00A77951" w:rsidRDefault="006E5533" w:rsidP="006E5533">
            <w:pPr>
              <w:spacing w:line="360" w:lineRule="auto"/>
              <w:contextualSpacing/>
              <w:rPr>
                <w:rFonts w:ascii="Arial" w:hAnsi="Arial" w:cs="Arial"/>
                <w:sz w:val="15"/>
                <w:szCs w:val="15"/>
              </w:rPr>
            </w:pPr>
            <w:hyperlink r:id="rId84" w:history="1">
              <w:r w:rsidRPr="00A77951">
                <w:rPr>
                  <w:rStyle w:val="Hyperlink"/>
                  <w:rFonts w:ascii="Arial" w:hAnsi="Arial" w:cs="Arial"/>
                  <w:sz w:val="15"/>
                  <w:szCs w:val="15"/>
                </w:rPr>
                <w:t>10.3171/2022.</w:t>
              </w:r>
              <w:proofErr w:type="gramStart"/>
              <w:r w:rsidRPr="00A77951">
                <w:rPr>
                  <w:rStyle w:val="Hyperlink"/>
                  <w:rFonts w:ascii="Arial" w:hAnsi="Arial" w:cs="Arial"/>
                  <w:sz w:val="15"/>
                  <w:szCs w:val="15"/>
                </w:rPr>
                <w:t>4.JNS</w:t>
              </w:r>
              <w:proofErr w:type="gramEnd"/>
              <w:r w:rsidRPr="00A77951">
                <w:rPr>
                  <w:rStyle w:val="Hyperlink"/>
                  <w:rFonts w:ascii="Arial" w:hAnsi="Arial" w:cs="Arial"/>
                  <w:sz w:val="15"/>
                  <w:szCs w:val="15"/>
                </w:rPr>
                <w:t>22290</w:t>
              </w:r>
            </w:hyperlink>
          </w:p>
        </w:tc>
        <w:tc>
          <w:tcPr>
            <w:tcW w:w="851" w:type="dxa"/>
          </w:tcPr>
          <w:p w14:paraId="293BBD2C" w14:textId="1167C0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3D50923" w14:textId="584D7E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ECC80D8" w14:textId="5CAD6B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677C57F" w14:textId="0140C3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BE0699D" w14:textId="587E0D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outcomes following various dural closure techniques for supratentorial meningiomas</w:t>
            </w:r>
          </w:p>
        </w:tc>
        <w:tc>
          <w:tcPr>
            <w:tcW w:w="1134" w:type="dxa"/>
          </w:tcPr>
          <w:p w14:paraId="3B4062A9" w14:textId="76DC22CC" w:rsidR="006E5533" w:rsidRPr="00251EA9" w:rsidRDefault="006E5533" w:rsidP="006E5533">
            <w:pPr>
              <w:spacing w:line="360" w:lineRule="auto"/>
              <w:contextualSpacing/>
              <w:rPr>
                <w:rFonts w:ascii="Arial" w:hAnsi="Arial" w:cs="Arial"/>
                <w:sz w:val="15"/>
                <w:szCs w:val="15"/>
              </w:rPr>
            </w:pPr>
          </w:p>
        </w:tc>
        <w:tc>
          <w:tcPr>
            <w:tcW w:w="992" w:type="dxa"/>
          </w:tcPr>
          <w:p w14:paraId="3015B0D5" w14:textId="23A9D7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B2DA123" w14:textId="0662F6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08B99AD" w14:textId="66624F49" w:rsidR="006E5533" w:rsidRPr="00251EA9" w:rsidRDefault="006E5533" w:rsidP="006E5533">
            <w:pPr>
              <w:rPr>
                <w:rFonts w:ascii="Arial" w:hAnsi="Arial" w:cs="Arial"/>
                <w:sz w:val="15"/>
                <w:szCs w:val="15"/>
              </w:rPr>
            </w:pPr>
            <w:r w:rsidRPr="00251EA9">
              <w:rPr>
                <w:rFonts w:ascii="Arial" w:hAnsi="Arial" w:cs="Arial"/>
                <w:sz w:val="15"/>
                <w:szCs w:val="15"/>
              </w:rPr>
              <w:t>Reported 11 SSIs in sutured dural repair and 5 in non-sutured repair.</w:t>
            </w:r>
          </w:p>
        </w:tc>
        <w:tc>
          <w:tcPr>
            <w:tcW w:w="1701" w:type="dxa"/>
          </w:tcPr>
          <w:p w14:paraId="76935324" w14:textId="643AF8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99A8D6B" w14:textId="77777777" w:rsidTr="00A77951">
        <w:trPr>
          <w:trHeight w:val="586"/>
        </w:trPr>
        <w:tc>
          <w:tcPr>
            <w:tcW w:w="992" w:type="dxa"/>
          </w:tcPr>
          <w:p w14:paraId="46731A8A" w14:textId="132365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Clark A.J. et al., 2011</w:t>
            </w:r>
          </w:p>
        </w:tc>
        <w:tc>
          <w:tcPr>
            <w:tcW w:w="851" w:type="dxa"/>
          </w:tcPr>
          <w:p w14:paraId="42960A2A" w14:textId="4DEA43F5" w:rsidR="006E5533" w:rsidRPr="00A77951" w:rsidRDefault="006E5533" w:rsidP="006E5533">
            <w:pPr>
              <w:spacing w:line="360" w:lineRule="auto"/>
              <w:contextualSpacing/>
              <w:rPr>
                <w:rFonts w:ascii="Arial" w:hAnsi="Arial" w:cs="Arial"/>
                <w:sz w:val="15"/>
                <w:szCs w:val="15"/>
              </w:rPr>
            </w:pPr>
            <w:hyperlink r:id="rId85" w:history="1">
              <w:r w:rsidRPr="00A77951">
                <w:rPr>
                  <w:rStyle w:val="Hyperlink"/>
                  <w:rFonts w:ascii="Arial" w:hAnsi="Arial" w:cs="Arial"/>
                  <w:sz w:val="15"/>
                  <w:szCs w:val="15"/>
                </w:rPr>
                <w:t>10.3171/2010.</w:t>
              </w:r>
              <w:proofErr w:type="gramStart"/>
              <w:r w:rsidRPr="00A77951">
                <w:rPr>
                  <w:rStyle w:val="Hyperlink"/>
                  <w:rFonts w:ascii="Arial" w:hAnsi="Arial" w:cs="Arial"/>
                  <w:sz w:val="15"/>
                  <w:szCs w:val="15"/>
                </w:rPr>
                <w:t>10.JNS</w:t>
              </w:r>
              <w:proofErr w:type="gramEnd"/>
              <w:r w:rsidRPr="00A77951">
                <w:rPr>
                  <w:rStyle w:val="Hyperlink"/>
                  <w:rFonts w:ascii="Arial" w:hAnsi="Arial" w:cs="Arial"/>
                  <w:sz w:val="15"/>
                  <w:szCs w:val="15"/>
                </w:rPr>
                <w:t>101042</w:t>
              </w:r>
            </w:hyperlink>
          </w:p>
        </w:tc>
        <w:tc>
          <w:tcPr>
            <w:tcW w:w="851" w:type="dxa"/>
          </w:tcPr>
          <w:p w14:paraId="48CDF507" w14:textId="33D720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03DDFAB" w14:textId="1F7692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0BA5999" w14:textId="6F354B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80BF816" w14:textId="06B474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E390BA1" w14:textId="4D1563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if antiangiogenic treatment was associated with increased rate of wound-healing complications.</w:t>
            </w:r>
          </w:p>
        </w:tc>
        <w:tc>
          <w:tcPr>
            <w:tcW w:w="1134" w:type="dxa"/>
          </w:tcPr>
          <w:p w14:paraId="7D800832" w14:textId="25BF29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Use of preoperative bevacizumab vs no bevacizumab used vs postoperative bevacizumab used.</w:t>
            </w:r>
          </w:p>
        </w:tc>
        <w:tc>
          <w:tcPr>
            <w:tcW w:w="992" w:type="dxa"/>
          </w:tcPr>
          <w:p w14:paraId="33C7737B" w14:textId="0CB99F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5A5FF58" w14:textId="00FDBC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C417549" w14:textId="7230968D" w:rsidR="006E5533" w:rsidRPr="00251EA9" w:rsidRDefault="006E5533" w:rsidP="006E5533">
            <w:pPr>
              <w:rPr>
                <w:rFonts w:ascii="Arial" w:hAnsi="Arial" w:cs="Arial"/>
                <w:sz w:val="15"/>
                <w:szCs w:val="15"/>
              </w:rPr>
            </w:pPr>
            <w:r w:rsidRPr="00251EA9">
              <w:rPr>
                <w:rFonts w:ascii="Arial" w:hAnsi="Arial" w:cs="Arial"/>
                <w:sz w:val="15"/>
                <w:szCs w:val="15"/>
              </w:rPr>
              <w:t xml:space="preserve">Wound infection was the most common wound-healing complication (26 cases). </w:t>
            </w:r>
          </w:p>
        </w:tc>
        <w:tc>
          <w:tcPr>
            <w:tcW w:w="1701" w:type="dxa"/>
          </w:tcPr>
          <w:p w14:paraId="063D52B5" w14:textId="73BF4E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1EEB80D" w14:textId="77777777" w:rsidTr="00A77951">
        <w:trPr>
          <w:trHeight w:val="586"/>
        </w:trPr>
        <w:tc>
          <w:tcPr>
            <w:tcW w:w="992" w:type="dxa"/>
          </w:tcPr>
          <w:p w14:paraId="2714A14E" w14:textId="05C206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Clune J.E. et al., 2010 </w:t>
            </w:r>
          </w:p>
        </w:tc>
        <w:tc>
          <w:tcPr>
            <w:tcW w:w="851" w:type="dxa"/>
          </w:tcPr>
          <w:p w14:paraId="4B98FCEB" w14:textId="2F3DE6DF" w:rsidR="006E5533" w:rsidRPr="00A77951" w:rsidRDefault="006E5533" w:rsidP="006E5533">
            <w:pPr>
              <w:spacing w:line="360" w:lineRule="auto"/>
              <w:contextualSpacing/>
              <w:rPr>
                <w:rFonts w:ascii="Arial" w:hAnsi="Arial" w:cs="Arial"/>
                <w:sz w:val="15"/>
                <w:szCs w:val="15"/>
              </w:rPr>
            </w:pPr>
            <w:hyperlink r:id="rId86" w:history="1">
              <w:r w:rsidRPr="00A77951">
                <w:rPr>
                  <w:rStyle w:val="Hyperlink"/>
                  <w:rFonts w:ascii="Arial" w:hAnsi="Arial" w:cs="Arial"/>
                  <w:sz w:val="15"/>
                  <w:szCs w:val="15"/>
                </w:rPr>
                <w:t>10.1097/SCS.0b013e3181cf6103</w:t>
              </w:r>
            </w:hyperlink>
          </w:p>
        </w:tc>
        <w:tc>
          <w:tcPr>
            <w:tcW w:w="851" w:type="dxa"/>
          </w:tcPr>
          <w:p w14:paraId="5D7CF80A" w14:textId="7492AB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E447525" w14:textId="3217DD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34EDA4B" w14:textId="3EB05E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w:t>
            </w:r>
          </w:p>
        </w:tc>
        <w:tc>
          <w:tcPr>
            <w:tcW w:w="1276" w:type="dxa"/>
          </w:tcPr>
          <w:p w14:paraId="43193E85" w14:textId="7F5124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3A8054E6" w14:textId="717D6F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if perioperative corticosteroid shortens hospital stay after </w:t>
            </w:r>
            <w:proofErr w:type="spellStart"/>
            <w:r w:rsidRPr="00251EA9">
              <w:rPr>
                <w:rFonts w:ascii="Arial" w:hAnsi="Arial" w:cs="Arial"/>
                <w:sz w:val="15"/>
                <w:szCs w:val="15"/>
              </w:rPr>
              <w:t>fronto</w:t>
            </w:r>
            <w:proofErr w:type="spellEnd"/>
            <w:r w:rsidRPr="00251EA9">
              <w:rPr>
                <w:rFonts w:ascii="Arial" w:hAnsi="Arial" w:cs="Arial"/>
                <w:sz w:val="15"/>
                <w:szCs w:val="15"/>
              </w:rPr>
              <w:t xml:space="preserve">-orbital advancement. </w:t>
            </w:r>
          </w:p>
        </w:tc>
        <w:tc>
          <w:tcPr>
            <w:tcW w:w="1134" w:type="dxa"/>
          </w:tcPr>
          <w:p w14:paraId="6845DA90" w14:textId="4CB865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Corticosteroid use vs no corticosteroid use.</w:t>
            </w:r>
          </w:p>
        </w:tc>
        <w:tc>
          <w:tcPr>
            <w:tcW w:w="992" w:type="dxa"/>
          </w:tcPr>
          <w:p w14:paraId="5ADEAC70" w14:textId="2DEB63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B8A34A2" w14:textId="342BAC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011EC90" w14:textId="1F0F3869" w:rsidR="006E5533" w:rsidRPr="00251EA9" w:rsidRDefault="006E5533" w:rsidP="006E5533">
            <w:pPr>
              <w:rPr>
                <w:rFonts w:ascii="Arial" w:hAnsi="Arial" w:cs="Arial"/>
                <w:sz w:val="15"/>
                <w:szCs w:val="15"/>
              </w:rPr>
            </w:pPr>
            <w:r w:rsidRPr="00251EA9">
              <w:rPr>
                <w:rFonts w:ascii="Arial" w:hAnsi="Arial" w:cs="Arial"/>
                <w:sz w:val="15"/>
                <w:szCs w:val="15"/>
              </w:rPr>
              <w:t>Infection rates did not differ between groups.</w:t>
            </w:r>
          </w:p>
        </w:tc>
        <w:tc>
          <w:tcPr>
            <w:tcW w:w="1701" w:type="dxa"/>
          </w:tcPr>
          <w:p w14:paraId="7AAD359D" w14:textId="156EA2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D9A4457" w14:textId="77777777" w:rsidTr="00A77951">
        <w:trPr>
          <w:trHeight w:val="586"/>
        </w:trPr>
        <w:tc>
          <w:tcPr>
            <w:tcW w:w="992" w:type="dxa"/>
          </w:tcPr>
          <w:p w14:paraId="7606C116" w14:textId="28BB84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Cohen-Inbar O. et al., 2014</w:t>
            </w:r>
          </w:p>
        </w:tc>
        <w:tc>
          <w:tcPr>
            <w:tcW w:w="851" w:type="dxa"/>
          </w:tcPr>
          <w:p w14:paraId="6EF8D543" w14:textId="74CEC848" w:rsidR="006E5533" w:rsidRPr="00A77951" w:rsidRDefault="006E5533" w:rsidP="006E5533">
            <w:pPr>
              <w:spacing w:line="360" w:lineRule="auto"/>
              <w:contextualSpacing/>
              <w:rPr>
                <w:rFonts w:ascii="Arial" w:hAnsi="Arial" w:cs="Arial"/>
                <w:sz w:val="15"/>
                <w:szCs w:val="15"/>
              </w:rPr>
            </w:pPr>
            <w:hyperlink r:id="rId87" w:history="1">
              <w:r w:rsidRPr="00A77951">
                <w:rPr>
                  <w:rStyle w:val="Hyperlink"/>
                  <w:rFonts w:ascii="Arial" w:hAnsi="Arial" w:cs="Arial"/>
                  <w:sz w:val="15"/>
                  <w:szCs w:val="15"/>
                </w:rPr>
                <w:t>10.1055/s-0034-1371516</w:t>
              </w:r>
            </w:hyperlink>
          </w:p>
        </w:tc>
        <w:tc>
          <w:tcPr>
            <w:tcW w:w="851" w:type="dxa"/>
          </w:tcPr>
          <w:p w14:paraId="7C2A5962" w14:textId="618A8F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Israel</w:t>
            </w:r>
          </w:p>
        </w:tc>
        <w:tc>
          <w:tcPr>
            <w:tcW w:w="1134" w:type="dxa"/>
          </w:tcPr>
          <w:p w14:paraId="7FB3F01F" w14:textId="0E0E3B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350FC847" w14:textId="0C8738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9831EBD" w14:textId="7FC4DF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763F156B" w14:textId="7159B6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effect of laparoscopic implantation of distal peritoneal ventriculoperitoneal shunt catheter will have on complications incidence and patient's prognosis.</w:t>
            </w:r>
          </w:p>
        </w:tc>
        <w:tc>
          <w:tcPr>
            <w:tcW w:w="1134" w:type="dxa"/>
          </w:tcPr>
          <w:p w14:paraId="6D25A520" w14:textId="19A95E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Laparoscopic vs mini laparotomy approach</w:t>
            </w:r>
          </w:p>
        </w:tc>
        <w:tc>
          <w:tcPr>
            <w:tcW w:w="992" w:type="dxa"/>
          </w:tcPr>
          <w:p w14:paraId="583CB52F" w14:textId="27CCB2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BFFAFF5" w14:textId="2DC102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B0E025B" w14:textId="531D9571" w:rsidR="006E5533" w:rsidRPr="00251EA9" w:rsidRDefault="006E5533" w:rsidP="006E5533">
            <w:pPr>
              <w:rPr>
                <w:rFonts w:ascii="Arial" w:hAnsi="Arial" w:cs="Arial"/>
                <w:sz w:val="15"/>
                <w:szCs w:val="15"/>
              </w:rPr>
            </w:pPr>
            <w:r w:rsidRPr="00251EA9">
              <w:rPr>
                <w:rFonts w:ascii="Arial" w:hAnsi="Arial" w:cs="Arial"/>
                <w:sz w:val="15"/>
                <w:szCs w:val="15"/>
              </w:rPr>
              <w:t>The number of shunt operations and revisions has a direct influence on the likelihood of developing a surgical wound infection. In patients who underwent two prior operations, the risk of infection is increased by the factor of 4.61.</w:t>
            </w:r>
          </w:p>
        </w:tc>
        <w:tc>
          <w:tcPr>
            <w:tcW w:w="1701" w:type="dxa"/>
          </w:tcPr>
          <w:p w14:paraId="337D00F3" w14:textId="23C66E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C28E8F0" w14:textId="77777777" w:rsidTr="00A77951">
        <w:trPr>
          <w:trHeight w:val="586"/>
        </w:trPr>
        <w:tc>
          <w:tcPr>
            <w:tcW w:w="992" w:type="dxa"/>
          </w:tcPr>
          <w:p w14:paraId="6261ACDC" w14:textId="3436B7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Colombo F. et al., 2023</w:t>
            </w:r>
          </w:p>
        </w:tc>
        <w:tc>
          <w:tcPr>
            <w:tcW w:w="851" w:type="dxa"/>
          </w:tcPr>
          <w:p w14:paraId="1C804925" w14:textId="3BE6791A" w:rsidR="006E5533" w:rsidRPr="00A77951" w:rsidRDefault="006E5533" w:rsidP="006E5533">
            <w:pPr>
              <w:spacing w:line="360" w:lineRule="auto"/>
              <w:contextualSpacing/>
              <w:rPr>
                <w:rFonts w:ascii="Arial" w:hAnsi="Arial" w:cs="Arial"/>
                <w:sz w:val="15"/>
                <w:szCs w:val="15"/>
              </w:rPr>
            </w:pPr>
            <w:hyperlink r:id="rId88" w:history="1">
              <w:r w:rsidRPr="00A77951">
                <w:rPr>
                  <w:rStyle w:val="Hyperlink"/>
                  <w:rFonts w:ascii="Arial" w:hAnsi="Arial" w:cs="Arial"/>
                  <w:sz w:val="15"/>
                  <w:szCs w:val="15"/>
                </w:rPr>
                <w:t>10.1055/s-0043-1774720</w:t>
              </w:r>
            </w:hyperlink>
          </w:p>
        </w:tc>
        <w:tc>
          <w:tcPr>
            <w:tcW w:w="851" w:type="dxa"/>
          </w:tcPr>
          <w:p w14:paraId="58315B79" w14:textId="7851F8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788F0BD8" w14:textId="7DA344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2C643F9" w14:textId="48BD1C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B2A6D84" w14:textId="7DF0E1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15B8346D" w14:textId="4A2491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clarify which perioperative measures play a role in reducing surgical infection rates further.</w:t>
            </w:r>
          </w:p>
        </w:tc>
        <w:tc>
          <w:tcPr>
            <w:tcW w:w="1134" w:type="dxa"/>
          </w:tcPr>
          <w:p w14:paraId="56BFFA69"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DF66C8E" w14:textId="7878CD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1AF5855" w14:textId="08BEE1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Defined as per Section 3 of the Protocol for Surveillance</w:t>
            </w:r>
            <w:r w:rsidRPr="00251EA9">
              <w:rPr>
                <w:rFonts w:ascii="Arial" w:hAnsi="Arial" w:cs="Arial"/>
                <w:sz w:val="15"/>
                <w:szCs w:val="15"/>
              </w:rPr>
              <w:br/>
              <w:t>of SSI published by Public Health England.</w:t>
            </w:r>
          </w:p>
        </w:tc>
        <w:tc>
          <w:tcPr>
            <w:tcW w:w="2693" w:type="dxa"/>
          </w:tcPr>
          <w:p w14:paraId="0EDC7911" w14:textId="62C771FC" w:rsidR="006E5533" w:rsidRPr="00251EA9" w:rsidRDefault="006E5533" w:rsidP="006E5533">
            <w:pPr>
              <w:rPr>
                <w:rFonts w:ascii="Arial" w:hAnsi="Arial" w:cs="Arial"/>
                <w:sz w:val="15"/>
                <w:szCs w:val="15"/>
              </w:rPr>
            </w:pPr>
            <w:r w:rsidRPr="00251EA9">
              <w:rPr>
                <w:rFonts w:ascii="Arial" w:hAnsi="Arial" w:cs="Arial"/>
                <w:sz w:val="15"/>
                <w:szCs w:val="15"/>
              </w:rPr>
              <w:t>Postoperative infections were observed in 5.2% of cases. No postoperative infections occurred within 4 months in patients receiving perioperative hair wash and intrawound vancomycin powder. Craniotomy size, lack of perioperative</w:t>
            </w:r>
            <w:r w:rsidRPr="00251EA9">
              <w:rPr>
                <w:rFonts w:ascii="Arial" w:hAnsi="Arial" w:cs="Arial"/>
                <w:sz w:val="15"/>
                <w:szCs w:val="15"/>
              </w:rPr>
              <w:br/>
              <w:t xml:space="preserve">hair wash, and vancomycin powder use were predictive of postoperative infection. </w:t>
            </w:r>
          </w:p>
        </w:tc>
        <w:tc>
          <w:tcPr>
            <w:tcW w:w="1701" w:type="dxa"/>
          </w:tcPr>
          <w:p w14:paraId="3B1D3FE4" w14:textId="1D04FB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AEF3435" w14:textId="77777777" w:rsidTr="00A77951">
        <w:trPr>
          <w:trHeight w:val="586"/>
        </w:trPr>
        <w:tc>
          <w:tcPr>
            <w:tcW w:w="992" w:type="dxa"/>
          </w:tcPr>
          <w:p w14:paraId="54C5FCC1" w14:textId="620E69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Cosgrove G.R. et al., 2007</w:t>
            </w:r>
          </w:p>
        </w:tc>
        <w:tc>
          <w:tcPr>
            <w:tcW w:w="851" w:type="dxa"/>
          </w:tcPr>
          <w:p w14:paraId="3440F8EE" w14:textId="13C0B988" w:rsidR="006E5533" w:rsidRPr="00A77951" w:rsidRDefault="006E5533" w:rsidP="006E5533">
            <w:pPr>
              <w:spacing w:line="360" w:lineRule="auto"/>
              <w:contextualSpacing/>
              <w:rPr>
                <w:rFonts w:ascii="Arial" w:hAnsi="Arial" w:cs="Arial"/>
                <w:sz w:val="15"/>
                <w:szCs w:val="15"/>
              </w:rPr>
            </w:pPr>
            <w:hyperlink r:id="rId89" w:history="1">
              <w:r w:rsidRPr="00A77951">
                <w:rPr>
                  <w:rStyle w:val="Hyperlink"/>
                  <w:rFonts w:ascii="Arial" w:hAnsi="Arial" w:cs="Arial"/>
                  <w:sz w:val="15"/>
                  <w:szCs w:val="15"/>
                </w:rPr>
                <w:t>10.3171/jns.2007.106.1.52</w:t>
              </w:r>
            </w:hyperlink>
          </w:p>
        </w:tc>
        <w:tc>
          <w:tcPr>
            <w:tcW w:w="851" w:type="dxa"/>
          </w:tcPr>
          <w:p w14:paraId="4A7E4AAF" w14:textId="29E86D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A03FBDB" w14:textId="7C1E5D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5E1EA0F" w14:textId="4F7BFB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6DD11B3" w14:textId="44B7C5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(Cranial surgery with dural repair)</w:t>
            </w:r>
          </w:p>
        </w:tc>
        <w:tc>
          <w:tcPr>
            <w:tcW w:w="1843" w:type="dxa"/>
          </w:tcPr>
          <w:p w14:paraId="59FCC81B" w14:textId="08A059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safety and efficacy of a novel polyethylene glycol (PEG) hydrogel sealant in patients undergoing elective cranial surgery with documented cerebrospinal fluid (CSF) leakage after sutured</w:t>
            </w:r>
            <w:r w:rsidRPr="00251EA9">
              <w:rPr>
                <w:rFonts w:ascii="Arial" w:hAnsi="Arial" w:cs="Arial"/>
                <w:sz w:val="15"/>
                <w:szCs w:val="15"/>
              </w:rPr>
              <w:br/>
              <w:t>dural repair.</w:t>
            </w:r>
          </w:p>
        </w:tc>
        <w:tc>
          <w:tcPr>
            <w:tcW w:w="1134" w:type="dxa"/>
          </w:tcPr>
          <w:p w14:paraId="5195A9F8" w14:textId="0A9A7810" w:rsidR="006E5533" w:rsidRPr="00251EA9" w:rsidRDefault="006E5533" w:rsidP="006E5533">
            <w:pPr>
              <w:spacing w:line="360" w:lineRule="auto"/>
              <w:contextualSpacing/>
              <w:rPr>
                <w:rFonts w:ascii="Arial" w:hAnsi="Arial" w:cs="Arial"/>
                <w:sz w:val="15"/>
                <w:szCs w:val="15"/>
              </w:rPr>
            </w:pPr>
          </w:p>
        </w:tc>
        <w:tc>
          <w:tcPr>
            <w:tcW w:w="992" w:type="dxa"/>
          </w:tcPr>
          <w:p w14:paraId="75A67A17" w14:textId="12C879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EA6ACE2" w14:textId="426CACB3"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r w:rsidR="006E5533" w:rsidRPr="00251EA9">
              <w:rPr>
                <w:rFonts w:ascii="Arial" w:hAnsi="Arial" w:cs="Arial"/>
                <w:sz w:val="15"/>
                <w:szCs w:val="15"/>
              </w:rPr>
              <w:t xml:space="preserve"> </w:t>
            </w:r>
          </w:p>
        </w:tc>
        <w:tc>
          <w:tcPr>
            <w:tcW w:w="2693" w:type="dxa"/>
          </w:tcPr>
          <w:p w14:paraId="2B431C91" w14:textId="40358BB2" w:rsidR="006E5533" w:rsidRPr="00251EA9" w:rsidRDefault="006E5533" w:rsidP="006E5533">
            <w:pPr>
              <w:rPr>
                <w:rFonts w:ascii="Arial" w:hAnsi="Arial" w:cs="Arial"/>
                <w:sz w:val="15"/>
                <w:szCs w:val="15"/>
              </w:rPr>
            </w:pPr>
            <w:r w:rsidRPr="00251EA9">
              <w:rPr>
                <w:rFonts w:ascii="Arial" w:hAnsi="Arial" w:cs="Arial"/>
                <w:sz w:val="15"/>
                <w:szCs w:val="15"/>
              </w:rPr>
              <w:t>Deep SSIs occurred in 7.2% of cases. The volume</w:t>
            </w:r>
            <w:r w:rsidRPr="00251EA9">
              <w:rPr>
                <w:rFonts w:ascii="Arial" w:hAnsi="Arial" w:cs="Arial"/>
                <w:sz w:val="15"/>
                <w:szCs w:val="15"/>
              </w:rPr>
              <w:br/>
              <w:t xml:space="preserve">of sealant, duration of surgery, length of durotomy, use of intraoperative shunts or drains, and smoking status were associated with deep SSIs. </w:t>
            </w:r>
          </w:p>
        </w:tc>
        <w:tc>
          <w:tcPr>
            <w:tcW w:w="1701" w:type="dxa"/>
          </w:tcPr>
          <w:p w14:paraId="48AB9E92" w14:textId="7A4B97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16AC5B9" w14:textId="77777777" w:rsidTr="00A77951">
        <w:trPr>
          <w:trHeight w:val="586"/>
        </w:trPr>
        <w:tc>
          <w:tcPr>
            <w:tcW w:w="992" w:type="dxa"/>
          </w:tcPr>
          <w:p w14:paraId="5CD2BDBC" w14:textId="35E31D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Cote D. et al., 2016</w:t>
            </w:r>
          </w:p>
        </w:tc>
        <w:tc>
          <w:tcPr>
            <w:tcW w:w="851" w:type="dxa"/>
          </w:tcPr>
          <w:p w14:paraId="35E0EDD8" w14:textId="639A5D23" w:rsidR="006E5533" w:rsidRPr="00A77951" w:rsidRDefault="006E5533" w:rsidP="006E5533">
            <w:pPr>
              <w:spacing w:line="360" w:lineRule="auto"/>
              <w:contextualSpacing/>
              <w:rPr>
                <w:rFonts w:ascii="Arial" w:hAnsi="Arial" w:cs="Arial"/>
                <w:sz w:val="15"/>
                <w:szCs w:val="15"/>
              </w:rPr>
            </w:pPr>
            <w:hyperlink r:id="rId90" w:history="1">
              <w:r w:rsidRPr="00A77951">
                <w:rPr>
                  <w:rStyle w:val="Hyperlink"/>
                  <w:rFonts w:ascii="Arial" w:hAnsi="Arial" w:cs="Arial"/>
                  <w:sz w:val="15"/>
                  <w:szCs w:val="15"/>
                </w:rPr>
                <w:t>10.1055/s-0036-1592306</w:t>
              </w:r>
            </w:hyperlink>
          </w:p>
        </w:tc>
        <w:tc>
          <w:tcPr>
            <w:tcW w:w="851" w:type="dxa"/>
          </w:tcPr>
          <w:p w14:paraId="1BC5B73B" w14:textId="5941AD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B13156C" w14:textId="1E616E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629928B" w14:textId="0DD476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3E7D52F" w14:textId="480F78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FEA3B1F" w14:textId="133D86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Using the National Surgical Quality Improvement Program (NSQIP) registry, patients undergoing craniotomy for brain tumour from 2006 and 2014 were analy</w:t>
            </w:r>
            <w:r>
              <w:rPr>
                <w:rFonts w:ascii="Arial" w:hAnsi="Arial" w:cs="Arial"/>
                <w:sz w:val="15"/>
                <w:szCs w:val="15"/>
              </w:rPr>
              <w:t>s</w:t>
            </w:r>
            <w:r w:rsidRPr="00251EA9">
              <w:rPr>
                <w:rFonts w:ascii="Arial" w:hAnsi="Arial" w:cs="Arial"/>
                <w:sz w:val="15"/>
                <w:szCs w:val="15"/>
              </w:rPr>
              <w:t>ed to identify risk factors for postoperative VTE.</w:t>
            </w:r>
          </w:p>
        </w:tc>
        <w:tc>
          <w:tcPr>
            <w:tcW w:w="1134" w:type="dxa"/>
          </w:tcPr>
          <w:p w14:paraId="37EB064E" w14:textId="3A5917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4E5DA358" w14:textId="26ABE2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9504BF8" w14:textId="58D1CE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87F639B" w14:textId="69ADC053" w:rsidR="006E5533" w:rsidRPr="00251EA9" w:rsidRDefault="006E5533" w:rsidP="006E5533">
            <w:pPr>
              <w:rPr>
                <w:rFonts w:ascii="Arial" w:hAnsi="Arial" w:cs="Arial"/>
                <w:sz w:val="15"/>
                <w:szCs w:val="15"/>
              </w:rPr>
            </w:pPr>
            <w:r w:rsidRPr="00251EA9">
              <w:rPr>
                <w:rFonts w:ascii="Arial" w:hAnsi="Arial" w:cs="Arial"/>
                <w:sz w:val="15"/>
                <w:szCs w:val="15"/>
              </w:rPr>
              <w:t xml:space="preserve">Wound infection occurred in 1% of cases. Superficial SSI occurred in 0.6%, deep SSI in 0.5% and organ SSI in 1% of cases. </w:t>
            </w:r>
          </w:p>
        </w:tc>
        <w:tc>
          <w:tcPr>
            <w:tcW w:w="1701" w:type="dxa"/>
          </w:tcPr>
          <w:p w14:paraId="6A1CE42F" w14:textId="3943AE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0227A17" w14:textId="77777777" w:rsidTr="00A77951">
        <w:trPr>
          <w:trHeight w:val="586"/>
        </w:trPr>
        <w:tc>
          <w:tcPr>
            <w:tcW w:w="992" w:type="dxa"/>
          </w:tcPr>
          <w:p w14:paraId="5370B87B" w14:textId="39AEC5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Cote D.J. et al., 2019</w:t>
            </w:r>
          </w:p>
        </w:tc>
        <w:tc>
          <w:tcPr>
            <w:tcW w:w="851" w:type="dxa"/>
          </w:tcPr>
          <w:p w14:paraId="60383791" w14:textId="33F3F38A" w:rsidR="006E5533" w:rsidRPr="00A77951" w:rsidRDefault="006E5533" w:rsidP="006E5533">
            <w:pPr>
              <w:spacing w:line="360" w:lineRule="auto"/>
              <w:contextualSpacing/>
              <w:rPr>
                <w:rFonts w:ascii="Arial" w:hAnsi="Arial" w:cs="Arial"/>
                <w:sz w:val="15"/>
                <w:szCs w:val="15"/>
              </w:rPr>
            </w:pPr>
            <w:hyperlink r:id="rId91" w:history="1">
              <w:r w:rsidRPr="00A77951">
                <w:rPr>
                  <w:rStyle w:val="Hyperlink"/>
                  <w:rFonts w:ascii="Arial" w:hAnsi="Arial" w:cs="Arial"/>
                  <w:sz w:val="15"/>
                  <w:szCs w:val="15"/>
                </w:rPr>
                <w:t>10.1016/j.wneu.2019.05.022</w:t>
              </w:r>
            </w:hyperlink>
          </w:p>
        </w:tc>
        <w:tc>
          <w:tcPr>
            <w:tcW w:w="851" w:type="dxa"/>
          </w:tcPr>
          <w:p w14:paraId="26621B21" w14:textId="4A4DD5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CB78FAA" w14:textId="4A1AEA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90F3BF5" w14:textId="254A2A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87BFF9E" w14:textId="48C131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780A3387" w14:textId="7B8DF4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incidence and risk factors for adverse events after microvascular decompression.</w:t>
            </w:r>
          </w:p>
        </w:tc>
        <w:tc>
          <w:tcPr>
            <w:tcW w:w="1134" w:type="dxa"/>
          </w:tcPr>
          <w:p w14:paraId="3A67A7CC"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59D0A5D" w14:textId="291291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4A34FAD" w14:textId="7F4599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8347B09" w14:textId="5FF37679" w:rsidR="006E5533" w:rsidRPr="00251EA9" w:rsidRDefault="006E5533" w:rsidP="006E5533">
            <w:pPr>
              <w:rPr>
                <w:rFonts w:ascii="Arial" w:hAnsi="Arial" w:cs="Arial"/>
                <w:sz w:val="15"/>
                <w:szCs w:val="15"/>
              </w:rPr>
            </w:pPr>
            <w:r w:rsidRPr="00251EA9">
              <w:rPr>
                <w:rFonts w:ascii="Arial" w:hAnsi="Arial" w:cs="Arial"/>
                <w:sz w:val="15"/>
                <w:szCs w:val="15"/>
              </w:rPr>
              <w:t>1.7% incidence of SSI reported.</w:t>
            </w:r>
          </w:p>
        </w:tc>
        <w:tc>
          <w:tcPr>
            <w:tcW w:w="1701" w:type="dxa"/>
          </w:tcPr>
          <w:p w14:paraId="4060E448" w14:textId="2EDFC2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AB02C8C" w14:textId="77777777" w:rsidTr="00A77951">
        <w:trPr>
          <w:trHeight w:val="586"/>
        </w:trPr>
        <w:tc>
          <w:tcPr>
            <w:tcW w:w="992" w:type="dxa"/>
          </w:tcPr>
          <w:p w14:paraId="211CFCC5" w14:textId="78E660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Coulter I.C. et al., 2014</w:t>
            </w:r>
          </w:p>
        </w:tc>
        <w:tc>
          <w:tcPr>
            <w:tcW w:w="851" w:type="dxa"/>
          </w:tcPr>
          <w:p w14:paraId="331536B2" w14:textId="30D2B739" w:rsidR="006E5533" w:rsidRPr="00A77951" w:rsidRDefault="006E5533" w:rsidP="006E5533">
            <w:pPr>
              <w:spacing w:line="360" w:lineRule="auto"/>
              <w:contextualSpacing/>
              <w:rPr>
                <w:rFonts w:ascii="Arial" w:hAnsi="Arial" w:cs="Arial"/>
                <w:sz w:val="15"/>
                <w:szCs w:val="15"/>
              </w:rPr>
            </w:pPr>
            <w:hyperlink r:id="rId92" w:history="1">
              <w:r w:rsidRPr="00A77951">
                <w:rPr>
                  <w:rStyle w:val="Hyperlink"/>
                  <w:rFonts w:ascii="Arial" w:hAnsi="Arial" w:cs="Arial"/>
                  <w:sz w:val="15"/>
                  <w:szCs w:val="15"/>
                </w:rPr>
                <w:t>10.1007/s00701-014-2081-1</w:t>
              </w:r>
            </w:hyperlink>
          </w:p>
        </w:tc>
        <w:tc>
          <w:tcPr>
            <w:tcW w:w="851" w:type="dxa"/>
          </w:tcPr>
          <w:p w14:paraId="7019C9FC" w14:textId="69DA6F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2866C022" w14:textId="039217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8E5AE4C" w14:textId="225760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E5C5A32" w14:textId="637FB2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(Cranioplasty)</w:t>
            </w:r>
          </w:p>
        </w:tc>
        <w:tc>
          <w:tcPr>
            <w:tcW w:w="1843" w:type="dxa"/>
          </w:tcPr>
          <w:p w14:paraId="67FD2008" w14:textId="0B4A05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morbidity associated with cranioplasty and investigate its potential effect on outcome.</w:t>
            </w:r>
          </w:p>
        </w:tc>
        <w:tc>
          <w:tcPr>
            <w:tcW w:w="1134" w:type="dxa"/>
          </w:tcPr>
          <w:p w14:paraId="74C2B416" w14:textId="07ED4686" w:rsidR="006E5533" w:rsidRPr="00251EA9" w:rsidRDefault="006E5533" w:rsidP="006E5533">
            <w:pPr>
              <w:spacing w:line="360" w:lineRule="auto"/>
              <w:contextualSpacing/>
              <w:rPr>
                <w:rFonts w:ascii="Arial" w:hAnsi="Arial" w:cs="Arial"/>
                <w:sz w:val="15"/>
                <w:szCs w:val="15"/>
              </w:rPr>
            </w:pPr>
          </w:p>
        </w:tc>
        <w:tc>
          <w:tcPr>
            <w:tcW w:w="992" w:type="dxa"/>
          </w:tcPr>
          <w:p w14:paraId="6C83A062" w14:textId="4C56F3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0ACBB20" w14:textId="4C44C5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Infection was defined by the need for antibiotics and the need to remove an infected implant</w:t>
            </w:r>
            <w:r w:rsidRPr="00251EA9">
              <w:rPr>
                <w:rFonts w:ascii="Arial" w:hAnsi="Arial" w:cs="Arial"/>
                <w:sz w:val="15"/>
                <w:szCs w:val="15"/>
              </w:rPr>
              <w:br/>
              <w:t xml:space="preserve">during the period of follow-up. </w:t>
            </w:r>
          </w:p>
        </w:tc>
        <w:tc>
          <w:tcPr>
            <w:tcW w:w="2693" w:type="dxa"/>
          </w:tcPr>
          <w:p w14:paraId="4D938747" w14:textId="3677BFE8" w:rsidR="006E5533" w:rsidRPr="00251EA9" w:rsidRDefault="006E5533" w:rsidP="006E5533">
            <w:pPr>
              <w:rPr>
                <w:rFonts w:ascii="Arial" w:hAnsi="Arial" w:cs="Arial"/>
                <w:sz w:val="15"/>
                <w:szCs w:val="15"/>
              </w:rPr>
            </w:pPr>
            <w:r w:rsidRPr="00251EA9">
              <w:rPr>
                <w:rFonts w:ascii="Arial" w:hAnsi="Arial" w:cs="Arial"/>
                <w:sz w:val="15"/>
                <w:szCs w:val="15"/>
              </w:rPr>
              <w:t xml:space="preserve"> Thirty-six patients (21.7%) developed infection requiring antibiotics, with</w:t>
            </w:r>
            <w:r w:rsidRPr="00251EA9">
              <w:rPr>
                <w:rFonts w:ascii="Arial" w:hAnsi="Arial" w:cs="Arial"/>
                <w:sz w:val="15"/>
                <w:szCs w:val="15"/>
              </w:rPr>
              <w:br/>
              <w:t>27 (16.3%) requiring removal of the cranioplasty. Nine of 25 patients (36%) with bi-frontal defects developed an infection</w:t>
            </w:r>
            <w:r w:rsidRPr="00251EA9">
              <w:rPr>
                <w:rFonts w:ascii="Arial" w:hAnsi="Arial" w:cs="Arial"/>
                <w:sz w:val="15"/>
                <w:szCs w:val="15"/>
              </w:rPr>
              <w:br/>
              <w:t>whereas 21 of the 153 patients (16.4%) with a defect other than bi-frontal developed an infection.</w:t>
            </w:r>
          </w:p>
        </w:tc>
        <w:tc>
          <w:tcPr>
            <w:tcW w:w="1701" w:type="dxa"/>
          </w:tcPr>
          <w:p w14:paraId="2FB981AA" w14:textId="3B4403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0F950DE" w14:textId="77777777" w:rsidTr="00A77951">
        <w:trPr>
          <w:trHeight w:val="586"/>
        </w:trPr>
        <w:tc>
          <w:tcPr>
            <w:tcW w:w="992" w:type="dxa"/>
          </w:tcPr>
          <w:p w14:paraId="7D551608" w14:textId="6E3702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Covell M.M. et al., 2023</w:t>
            </w:r>
          </w:p>
        </w:tc>
        <w:tc>
          <w:tcPr>
            <w:tcW w:w="851" w:type="dxa"/>
          </w:tcPr>
          <w:p w14:paraId="6601CDBB" w14:textId="1ECBC121" w:rsidR="006E5533" w:rsidRPr="00A77951" w:rsidRDefault="006E5533" w:rsidP="006E5533">
            <w:pPr>
              <w:spacing w:line="360" w:lineRule="auto"/>
              <w:contextualSpacing/>
              <w:rPr>
                <w:rFonts w:ascii="Arial" w:hAnsi="Arial" w:cs="Arial"/>
                <w:sz w:val="15"/>
                <w:szCs w:val="15"/>
              </w:rPr>
            </w:pPr>
            <w:hyperlink r:id="rId93" w:history="1">
              <w:r w:rsidRPr="00A77951">
                <w:rPr>
                  <w:rStyle w:val="Hyperlink"/>
                  <w:rFonts w:ascii="Arial" w:hAnsi="Arial" w:cs="Arial"/>
                  <w:sz w:val="15"/>
                  <w:szCs w:val="15"/>
                </w:rPr>
                <w:t>10.1016/j.ejso.2023.107044</w:t>
              </w:r>
            </w:hyperlink>
          </w:p>
        </w:tc>
        <w:tc>
          <w:tcPr>
            <w:tcW w:w="851" w:type="dxa"/>
          </w:tcPr>
          <w:p w14:paraId="443B28DE" w14:textId="7E5BF2C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C9B9F25" w14:textId="52D8B0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93527C1" w14:textId="5E985C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74304BC" w14:textId="1A0FC4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119702C" w14:textId="27A09F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predictive accuracy of preoperative lab values on postoperative metastatic brain tumour resection outcomes using data queried from a large </w:t>
            </w:r>
            <w:proofErr w:type="gramStart"/>
            <w:r w:rsidRPr="00251EA9">
              <w:rPr>
                <w:rFonts w:ascii="Arial" w:hAnsi="Arial" w:cs="Arial"/>
                <w:sz w:val="15"/>
                <w:szCs w:val="15"/>
              </w:rPr>
              <w:t>prospective</w:t>
            </w:r>
            <w:proofErr w:type="gramEnd"/>
            <w:r w:rsidRPr="00251EA9">
              <w:rPr>
                <w:rFonts w:ascii="Arial" w:hAnsi="Arial" w:cs="Arial"/>
                <w:sz w:val="15"/>
                <w:szCs w:val="15"/>
              </w:rPr>
              <w:t xml:space="preserve"> international surgical registry, representing over 700 hospitals in 11 countries.</w:t>
            </w:r>
          </w:p>
        </w:tc>
        <w:tc>
          <w:tcPr>
            <w:tcW w:w="1134" w:type="dxa"/>
          </w:tcPr>
          <w:p w14:paraId="67F11396" w14:textId="0DF77A41" w:rsidR="006E5533" w:rsidRPr="00251EA9" w:rsidRDefault="006E5533" w:rsidP="006E5533">
            <w:pPr>
              <w:spacing w:line="360" w:lineRule="auto"/>
              <w:contextualSpacing/>
              <w:rPr>
                <w:rFonts w:ascii="Arial" w:hAnsi="Arial" w:cs="Arial"/>
                <w:sz w:val="15"/>
                <w:szCs w:val="15"/>
              </w:rPr>
            </w:pPr>
          </w:p>
        </w:tc>
        <w:tc>
          <w:tcPr>
            <w:tcW w:w="992" w:type="dxa"/>
          </w:tcPr>
          <w:p w14:paraId="268945E6" w14:textId="31832C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B4B4B50" w14:textId="5BD8C3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2953633" w14:textId="53FD7B2D" w:rsidR="006E5533" w:rsidRPr="00251EA9" w:rsidRDefault="006E5533" w:rsidP="006E5533">
            <w:pPr>
              <w:rPr>
                <w:rFonts w:ascii="Arial" w:hAnsi="Arial" w:cs="Arial"/>
                <w:sz w:val="15"/>
                <w:szCs w:val="15"/>
              </w:rPr>
            </w:pPr>
            <w:r w:rsidRPr="00251EA9">
              <w:rPr>
                <w:rFonts w:ascii="Arial" w:hAnsi="Arial" w:cs="Arial"/>
                <w:sz w:val="15"/>
                <w:szCs w:val="15"/>
              </w:rPr>
              <w:t>Reported 20 superficial, 18 deep incisional, and 53 organ space infections.</w:t>
            </w:r>
          </w:p>
        </w:tc>
        <w:tc>
          <w:tcPr>
            <w:tcW w:w="1701" w:type="dxa"/>
          </w:tcPr>
          <w:p w14:paraId="014CF901" w14:textId="36151C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C5ABA6B" w14:textId="77777777" w:rsidTr="00A77951">
        <w:trPr>
          <w:trHeight w:val="586"/>
        </w:trPr>
        <w:tc>
          <w:tcPr>
            <w:tcW w:w="992" w:type="dxa"/>
          </w:tcPr>
          <w:p w14:paraId="71793351" w14:textId="6614B9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Das K.K. et al., 2020</w:t>
            </w:r>
          </w:p>
        </w:tc>
        <w:tc>
          <w:tcPr>
            <w:tcW w:w="851" w:type="dxa"/>
          </w:tcPr>
          <w:p w14:paraId="6AE8BE31" w14:textId="09BCC40B" w:rsidR="006E5533" w:rsidRPr="00A77951" w:rsidRDefault="006E5533" w:rsidP="006E5533">
            <w:pPr>
              <w:spacing w:line="360" w:lineRule="auto"/>
              <w:contextualSpacing/>
              <w:rPr>
                <w:rFonts w:ascii="Arial" w:hAnsi="Arial" w:cs="Arial"/>
                <w:sz w:val="15"/>
                <w:szCs w:val="15"/>
              </w:rPr>
            </w:pPr>
            <w:hyperlink r:id="rId94" w:history="1">
              <w:r w:rsidRPr="00A77951">
                <w:rPr>
                  <w:rStyle w:val="Hyperlink"/>
                  <w:rFonts w:ascii="Arial" w:hAnsi="Arial" w:cs="Arial"/>
                  <w:sz w:val="15"/>
                  <w:szCs w:val="15"/>
                </w:rPr>
                <w:t>10.1016/j.wneu.2020.05.259</w:t>
              </w:r>
            </w:hyperlink>
          </w:p>
        </w:tc>
        <w:tc>
          <w:tcPr>
            <w:tcW w:w="851" w:type="dxa"/>
          </w:tcPr>
          <w:p w14:paraId="51B2931A" w14:textId="0118CA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4AC21CD8" w14:textId="1EB4DF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3D9607D" w14:textId="5C92E7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55762F8" w14:textId="5947E9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47C897A" w14:textId="577C15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better understand the clinical behaviour, radiological features, and surgical outcomes of interhemispheric epidermoid tumours.</w:t>
            </w:r>
          </w:p>
        </w:tc>
        <w:tc>
          <w:tcPr>
            <w:tcW w:w="1134" w:type="dxa"/>
          </w:tcPr>
          <w:p w14:paraId="48B2EECD" w14:textId="4E587F5D" w:rsidR="006E5533" w:rsidRPr="00251EA9" w:rsidRDefault="006E5533" w:rsidP="006E5533">
            <w:pPr>
              <w:spacing w:line="360" w:lineRule="auto"/>
              <w:contextualSpacing/>
              <w:rPr>
                <w:rFonts w:ascii="Arial" w:hAnsi="Arial" w:cs="Arial"/>
                <w:sz w:val="15"/>
                <w:szCs w:val="15"/>
              </w:rPr>
            </w:pPr>
          </w:p>
        </w:tc>
        <w:tc>
          <w:tcPr>
            <w:tcW w:w="992" w:type="dxa"/>
          </w:tcPr>
          <w:p w14:paraId="13801461" w14:textId="09059B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39A81EA" w14:textId="24C29D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976BC15" w14:textId="32C1593E" w:rsidR="006E5533" w:rsidRPr="00251EA9" w:rsidRDefault="006E5533" w:rsidP="006E5533">
            <w:pPr>
              <w:rPr>
                <w:rFonts w:ascii="Arial" w:hAnsi="Arial" w:cs="Arial"/>
                <w:sz w:val="15"/>
                <w:szCs w:val="15"/>
              </w:rPr>
            </w:pPr>
            <w:r w:rsidRPr="00251EA9">
              <w:rPr>
                <w:rFonts w:ascii="Arial" w:hAnsi="Arial" w:cs="Arial"/>
                <w:sz w:val="15"/>
                <w:szCs w:val="15"/>
              </w:rPr>
              <w:t>Reported 1 case of wound infection.</w:t>
            </w:r>
          </w:p>
        </w:tc>
        <w:tc>
          <w:tcPr>
            <w:tcW w:w="1701" w:type="dxa"/>
          </w:tcPr>
          <w:p w14:paraId="6B1A55CE" w14:textId="39FC22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B7AD4F5" w14:textId="77777777" w:rsidTr="00A77951">
        <w:trPr>
          <w:trHeight w:val="586"/>
        </w:trPr>
        <w:tc>
          <w:tcPr>
            <w:tcW w:w="992" w:type="dxa"/>
          </w:tcPr>
          <w:p w14:paraId="095533CD" w14:textId="6FFC00F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Dasenbrock</w:t>
            </w:r>
            <w:proofErr w:type="spellEnd"/>
            <w:r w:rsidRPr="00251EA9">
              <w:rPr>
                <w:rFonts w:ascii="Arial" w:hAnsi="Arial" w:cs="Arial"/>
                <w:sz w:val="15"/>
                <w:szCs w:val="15"/>
              </w:rPr>
              <w:t xml:space="preserve"> H. et al., 2017</w:t>
            </w:r>
          </w:p>
        </w:tc>
        <w:tc>
          <w:tcPr>
            <w:tcW w:w="851" w:type="dxa"/>
          </w:tcPr>
          <w:p w14:paraId="7AE93C1C" w14:textId="29B97E30" w:rsidR="006E5533" w:rsidRPr="00A77951" w:rsidRDefault="006E5533" w:rsidP="006E5533">
            <w:pPr>
              <w:spacing w:line="360" w:lineRule="auto"/>
              <w:contextualSpacing/>
              <w:rPr>
                <w:rFonts w:ascii="Arial" w:hAnsi="Arial" w:cs="Arial"/>
                <w:sz w:val="15"/>
                <w:szCs w:val="15"/>
              </w:rPr>
            </w:pPr>
            <w:hyperlink r:id="rId95" w:history="1">
              <w:r w:rsidRPr="00A77951">
                <w:rPr>
                  <w:rStyle w:val="Hyperlink"/>
                  <w:rFonts w:ascii="Arial" w:hAnsi="Arial" w:cs="Arial"/>
                  <w:sz w:val="15"/>
                  <w:szCs w:val="15"/>
                </w:rPr>
                <w:t>10.3171/2016.</w:t>
              </w:r>
              <w:proofErr w:type="gramStart"/>
              <w:r w:rsidRPr="00A77951">
                <w:rPr>
                  <w:rStyle w:val="Hyperlink"/>
                  <w:rFonts w:ascii="Arial" w:hAnsi="Arial" w:cs="Arial"/>
                  <w:sz w:val="15"/>
                  <w:szCs w:val="15"/>
                </w:rPr>
                <w:t>2.PEDS</w:t>
              </w:r>
              <w:proofErr w:type="gramEnd"/>
              <w:r w:rsidRPr="00A77951">
                <w:rPr>
                  <w:rStyle w:val="Hyperlink"/>
                  <w:rFonts w:ascii="Arial" w:hAnsi="Arial" w:cs="Arial"/>
                  <w:sz w:val="15"/>
                  <w:szCs w:val="15"/>
                </w:rPr>
                <w:t>15604</w:t>
              </w:r>
            </w:hyperlink>
          </w:p>
        </w:tc>
        <w:tc>
          <w:tcPr>
            <w:tcW w:w="851" w:type="dxa"/>
          </w:tcPr>
          <w:p w14:paraId="24B0EDDB" w14:textId="2D33BF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2A1AEBF" w14:textId="159DD3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FB99419" w14:textId="4C985D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D738490" w14:textId="09EB1F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3B136FF" w14:textId="13ACCC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rate of, reasons for, and predictors of unplanned reoperation after craniotomy for tumour in a nationally accrued population.</w:t>
            </w:r>
          </w:p>
        </w:tc>
        <w:tc>
          <w:tcPr>
            <w:tcW w:w="1134" w:type="dxa"/>
          </w:tcPr>
          <w:p w14:paraId="60978E54" w14:textId="673E47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313C2779" w14:textId="2568ED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BC32991" w14:textId="63D0EB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91E8CFF" w14:textId="024C490C" w:rsidR="006E5533" w:rsidRPr="00251EA9" w:rsidRDefault="006E5533" w:rsidP="006E5533">
            <w:pPr>
              <w:rPr>
                <w:rFonts w:ascii="Arial" w:hAnsi="Arial" w:cs="Arial"/>
                <w:sz w:val="15"/>
                <w:szCs w:val="15"/>
              </w:rPr>
            </w:pPr>
            <w:r w:rsidRPr="00251EA9">
              <w:rPr>
                <w:rFonts w:ascii="Arial" w:hAnsi="Arial" w:cs="Arial"/>
                <w:sz w:val="15"/>
                <w:szCs w:val="15"/>
              </w:rPr>
              <w:t xml:space="preserve">The most common reasons for cranial reoperation were intracranial hematoma evacuation (22.5%), superficial or intracranial surgical site infections (11.9%), re- resection of </w:t>
            </w:r>
            <w:proofErr w:type="spellStart"/>
            <w:r w:rsidRPr="00251EA9">
              <w:rPr>
                <w:rFonts w:ascii="Arial" w:hAnsi="Arial" w:cs="Arial"/>
                <w:sz w:val="15"/>
                <w:szCs w:val="15"/>
              </w:rPr>
              <w:t>tumor</w:t>
            </w:r>
            <w:proofErr w:type="spellEnd"/>
            <w:r w:rsidRPr="00251EA9">
              <w:rPr>
                <w:rFonts w:ascii="Arial" w:hAnsi="Arial" w:cs="Arial"/>
                <w:sz w:val="15"/>
                <w:szCs w:val="15"/>
              </w:rPr>
              <w:t xml:space="preserve"> (8.4%), decompressive craniectomy (6.1%), and repair of cerebrospinal fluid leakage (5.6%). Dependent functional status, morbid obesity, </w:t>
            </w:r>
            <w:proofErr w:type="spellStart"/>
            <w:r w:rsidRPr="00251EA9">
              <w:rPr>
                <w:rFonts w:ascii="Arial" w:hAnsi="Arial" w:cs="Arial"/>
                <w:sz w:val="15"/>
                <w:szCs w:val="15"/>
              </w:rPr>
              <w:t>leukocytosis</w:t>
            </w:r>
            <w:proofErr w:type="spellEnd"/>
            <w:r w:rsidRPr="00251EA9">
              <w:rPr>
                <w:rFonts w:ascii="Arial" w:hAnsi="Arial" w:cs="Arial"/>
                <w:sz w:val="15"/>
                <w:szCs w:val="15"/>
              </w:rPr>
              <w:t xml:space="preserve">, and longer operative time were predictors of reoperation for infection. </w:t>
            </w:r>
          </w:p>
        </w:tc>
        <w:tc>
          <w:tcPr>
            <w:tcW w:w="1701" w:type="dxa"/>
          </w:tcPr>
          <w:p w14:paraId="6413ED13" w14:textId="2C29A2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D2D692A" w14:textId="77777777" w:rsidTr="00A77951">
        <w:trPr>
          <w:trHeight w:val="586"/>
        </w:trPr>
        <w:tc>
          <w:tcPr>
            <w:tcW w:w="992" w:type="dxa"/>
          </w:tcPr>
          <w:p w14:paraId="158ABD42" w14:textId="7B68F0F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Dasenbrock</w:t>
            </w:r>
            <w:proofErr w:type="spellEnd"/>
            <w:r w:rsidRPr="00251EA9">
              <w:rPr>
                <w:rFonts w:ascii="Arial" w:hAnsi="Arial" w:cs="Arial"/>
                <w:sz w:val="15"/>
                <w:szCs w:val="15"/>
              </w:rPr>
              <w:t xml:space="preserve"> H. et al., 2017</w:t>
            </w:r>
          </w:p>
        </w:tc>
        <w:tc>
          <w:tcPr>
            <w:tcW w:w="851" w:type="dxa"/>
          </w:tcPr>
          <w:p w14:paraId="74BC7469" w14:textId="4C2AC703" w:rsidR="006E5533" w:rsidRPr="00A77951" w:rsidRDefault="006E5533" w:rsidP="006E5533">
            <w:pPr>
              <w:spacing w:line="360" w:lineRule="auto"/>
              <w:contextualSpacing/>
              <w:rPr>
                <w:rFonts w:ascii="Arial" w:hAnsi="Arial" w:cs="Arial"/>
                <w:sz w:val="15"/>
                <w:szCs w:val="15"/>
              </w:rPr>
            </w:pPr>
            <w:hyperlink r:id="rId96" w:history="1">
              <w:r w:rsidRPr="00A77951">
                <w:rPr>
                  <w:rStyle w:val="Hyperlink"/>
                  <w:rFonts w:ascii="Arial" w:hAnsi="Arial" w:cs="Arial"/>
                  <w:sz w:val="15"/>
                  <w:szCs w:val="15"/>
                </w:rPr>
                <w:t>10.3171/2016.</w:t>
              </w:r>
              <w:proofErr w:type="gramStart"/>
              <w:r w:rsidRPr="00A77951">
                <w:rPr>
                  <w:rStyle w:val="Hyperlink"/>
                  <w:rFonts w:ascii="Arial" w:hAnsi="Arial" w:cs="Arial"/>
                  <w:sz w:val="15"/>
                  <w:szCs w:val="15"/>
                </w:rPr>
                <w:t>2.JNS</w:t>
              </w:r>
              <w:proofErr w:type="gramEnd"/>
              <w:r w:rsidRPr="00A77951">
                <w:rPr>
                  <w:rStyle w:val="Hyperlink"/>
                  <w:rFonts w:ascii="Arial" w:hAnsi="Arial" w:cs="Arial"/>
                  <w:sz w:val="15"/>
                  <w:szCs w:val="15"/>
                </w:rPr>
                <w:t>152345</w:t>
              </w:r>
            </w:hyperlink>
          </w:p>
        </w:tc>
        <w:tc>
          <w:tcPr>
            <w:tcW w:w="851" w:type="dxa"/>
          </w:tcPr>
          <w:p w14:paraId="068B3C7C" w14:textId="3D5E4B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69C1AAB" w14:textId="2EA357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DB7DFBF" w14:textId="34C275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20F831F" w14:textId="3EC5A1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82602D8" w14:textId="785AB2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use a national registry to evaluate the association of body mass index (BMI) and hypoalbuminemia with 30-day outcomes after craniotomy for tumour.</w:t>
            </w:r>
          </w:p>
        </w:tc>
        <w:tc>
          <w:tcPr>
            <w:tcW w:w="1134" w:type="dxa"/>
          </w:tcPr>
          <w:p w14:paraId="7547F65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4C2CB63" w14:textId="56A5BE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0017600" w14:textId="3583B2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3189A17" w14:textId="5F28A4F6" w:rsidR="006E5533" w:rsidRPr="00251EA9" w:rsidRDefault="006E5533" w:rsidP="006E5533">
            <w:pPr>
              <w:rPr>
                <w:rFonts w:ascii="Arial" w:hAnsi="Arial" w:cs="Arial"/>
                <w:sz w:val="15"/>
                <w:szCs w:val="15"/>
              </w:rPr>
            </w:pPr>
            <w:r w:rsidRPr="00251EA9">
              <w:rPr>
                <w:rFonts w:ascii="Arial" w:hAnsi="Arial" w:cs="Arial"/>
                <w:sz w:val="15"/>
                <w:szCs w:val="15"/>
              </w:rPr>
              <w:t>Reported significantly increased odds of SSI in those with Class II or III obesity.</w:t>
            </w:r>
          </w:p>
        </w:tc>
        <w:tc>
          <w:tcPr>
            <w:tcW w:w="1701" w:type="dxa"/>
          </w:tcPr>
          <w:p w14:paraId="11DC581F" w14:textId="74787D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30BC0BA" w14:textId="77777777" w:rsidTr="00A77951">
        <w:trPr>
          <w:trHeight w:val="586"/>
        </w:trPr>
        <w:tc>
          <w:tcPr>
            <w:tcW w:w="992" w:type="dxa"/>
          </w:tcPr>
          <w:p w14:paraId="405E1922" w14:textId="3E7D685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Dasenbrock</w:t>
            </w:r>
            <w:proofErr w:type="spellEnd"/>
            <w:r w:rsidRPr="00251EA9">
              <w:rPr>
                <w:rFonts w:ascii="Arial" w:hAnsi="Arial" w:cs="Arial"/>
                <w:sz w:val="15"/>
                <w:szCs w:val="15"/>
              </w:rPr>
              <w:t xml:space="preserve"> H. et al., 2016</w:t>
            </w:r>
          </w:p>
        </w:tc>
        <w:tc>
          <w:tcPr>
            <w:tcW w:w="851" w:type="dxa"/>
          </w:tcPr>
          <w:p w14:paraId="0E21A740" w14:textId="2021942F" w:rsidR="006E5533" w:rsidRPr="00A77951" w:rsidRDefault="006E5533" w:rsidP="006E5533">
            <w:pPr>
              <w:spacing w:line="360" w:lineRule="auto"/>
              <w:contextualSpacing/>
              <w:rPr>
                <w:rFonts w:ascii="Arial" w:hAnsi="Arial" w:cs="Arial"/>
                <w:sz w:val="15"/>
                <w:szCs w:val="15"/>
              </w:rPr>
            </w:pPr>
            <w:hyperlink r:id="rId97" w:history="1">
              <w:r w:rsidRPr="00A77951">
                <w:rPr>
                  <w:rStyle w:val="Hyperlink"/>
                  <w:rFonts w:ascii="Arial" w:hAnsi="Arial" w:cs="Arial"/>
                  <w:sz w:val="15"/>
                  <w:szCs w:val="15"/>
                </w:rPr>
                <w:t>10.1093/neuros/nyw062</w:t>
              </w:r>
            </w:hyperlink>
          </w:p>
        </w:tc>
        <w:tc>
          <w:tcPr>
            <w:tcW w:w="851" w:type="dxa"/>
          </w:tcPr>
          <w:p w14:paraId="74F71353" w14:textId="617CC5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5AD5F86" w14:textId="153777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73661A3" w14:textId="2550DC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C4C6867" w14:textId="2D8590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A4E2E7B" w14:textId="2D51F5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utilise the prospective National Surgical Quality Improvement Program 2011-2013 registry to evaluate the predictors of unplanned 30-d readmission and post discharge mortality after cranial tumour resection.</w:t>
            </w:r>
          </w:p>
        </w:tc>
        <w:tc>
          <w:tcPr>
            <w:tcW w:w="1134" w:type="dxa"/>
          </w:tcPr>
          <w:p w14:paraId="3459F04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96404EC" w14:textId="4F6C68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D1DBADD" w14:textId="4CE6CC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8965DC4" w14:textId="36FFA2BE" w:rsidR="006E5533" w:rsidRPr="00251EA9" w:rsidRDefault="006E5533" w:rsidP="006E5533">
            <w:pPr>
              <w:rPr>
                <w:rFonts w:ascii="Arial" w:hAnsi="Arial" w:cs="Arial"/>
                <w:sz w:val="15"/>
                <w:szCs w:val="15"/>
              </w:rPr>
            </w:pPr>
            <w:r w:rsidRPr="00251EA9">
              <w:rPr>
                <w:rFonts w:ascii="Arial" w:hAnsi="Arial" w:cs="Arial"/>
                <w:sz w:val="15"/>
                <w:szCs w:val="15"/>
              </w:rPr>
              <w:t>The most common reasons for readmission were SSI (17.0%), infectious complications (11.0%), venous thromboembolism (10.0%), and seizures (9.4%).</w:t>
            </w:r>
          </w:p>
        </w:tc>
        <w:tc>
          <w:tcPr>
            <w:tcW w:w="1701" w:type="dxa"/>
          </w:tcPr>
          <w:p w14:paraId="4B980BDB" w14:textId="62EC29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85472C9" w14:textId="77777777" w:rsidTr="00A77951">
        <w:trPr>
          <w:trHeight w:val="586"/>
        </w:trPr>
        <w:tc>
          <w:tcPr>
            <w:tcW w:w="992" w:type="dxa"/>
          </w:tcPr>
          <w:p w14:paraId="1EBD336B" w14:textId="291D398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Dasenbrock</w:t>
            </w:r>
            <w:proofErr w:type="spellEnd"/>
            <w:r w:rsidRPr="00251EA9">
              <w:rPr>
                <w:rFonts w:ascii="Arial" w:hAnsi="Arial" w:cs="Arial"/>
                <w:sz w:val="15"/>
                <w:szCs w:val="15"/>
              </w:rPr>
              <w:t xml:space="preserve"> H. et al., 2017</w:t>
            </w:r>
          </w:p>
        </w:tc>
        <w:tc>
          <w:tcPr>
            <w:tcW w:w="851" w:type="dxa"/>
          </w:tcPr>
          <w:p w14:paraId="4E6A0A69" w14:textId="433E9D99" w:rsidR="006E5533" w:rsidRPr="00A77951" w:rsidRDefault="006E5533" w:rsidP="006E5533">
            <w:pPr>
              <w:spacing w:line="360" w:lineRule="auto"/>
              <w:contextualSpacing/>
              <w:rPr>
                <w:rFonts w:ascii="Arial" w:hAnsi="Arial" w:cs="Arial"/>
                <w:sz w:val="15"/>
                <w:szCs w:val="15"/>
              </w:rPr>
            </w:pPr>
            <w:hyperlink r:id="rId98" w:history="1">
              <w:r w:rsidRPr="00A77951">
                <w:rPr>
                  <w:rStyle w:val="Hyperlink"/>
                  <w:rFonts w:ascii="Arial" w:hAnsi="Arial" w:cs="Arial"/>
                  <w:sz w:val="15"/>
                  <w:szCs w:val="15"/>
                </w:rPr>
                <w:t>10.1161/STROKEAHA.117.016702</w:t>
              </w:r>
            </w:hyperlink>
          </w:p>
        </w:tc>
        <w:tc>
          <w:tcPr>
            <w:tcW w:w="851" w:type="dxa"/>
          </w:tcPr>
          <w:p w14:paraId="5B6A5507" w14:textId="184FA8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94CE07C" w14:textId="400E89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54CC0F3" w14:textId="3533EA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C930431" w14:textId="5F4107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0F14A472" w14:textId="1E7B634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suitability of readmission as a quality</w:t>
            </w:r>
            <w:r w:rsidRPr="00251EA9">
              <w:rPr>
                <w:rFonts w:ascii="Arial" w:hAnsi="Arial" w:cs="Arial"/>
                <w:sz w:val="15"/>
                <w:szCs w:val="15"/>
              </w:rPr>
              <w:br/>
              <w:t xml:space="preserve">indicator in the aneurysmal subarachnoid </w:t>
            </w:r>
            <w:proofErr w:type="spellStart"/>
            <w:r w:rsidRPr="00251EA9">
              <w:rPr>
                <w:rFonts w:ascii="Arial" w:hAnsi="Arial" w:cs="Arial"/>
                <w:sz w:val="15"/>
                <w:szCs w:val="15"/>
              </w:rPr>
              <w:t>hemorrhage</w:t>
            </w:r>
            <w:proofErr w:type="spellEnd"/>
            <w:r w:rsidRPr="00251EA9">
              <w:rPr>
                <w:rFonts w:ascii="Arial" w:hAnsi="Arial" w:cs="Arial"/>
                <w:sz w:val="15"/>
                <w:szCs w:val="15"/>
              </w:rPr>
              <w:t xml:space="preserve"> (SAH) population.</w:t>
            </w:r>
          </w:p>
        </w:tc>
        <w:tc>
          <w:tcPr>
            <w:tcW w:w="1134" w:type="dxa"/>
          </w:tcPr>
          <w:p w14:paraId="25F55852"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04A1063" w14:textId="4B5157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463948F" w14:textId="389C24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B470FAF" w14:textId="598B6EA9" w:rsidR="006E5533" w:rsidRPr="00251EA9" w:rsidRDefault="006E5533" w:rsidP="006E5533">
            <w:pPr>
              <w:rPr>
                <w:rFonts w:ascii="Arial" w:hAnsi="Arial" w:cs="Arial"/>
                <w:sz w:val="15"/>
                <w:szCs w:val="15"/>
              </w:rPr>
            </w:pPr>
            <w:r w:rsidRPr="00251EA9">
              <w:rPr>
                <w:rFonts w:ascii="Arial" w:hAnsi="Arial" w:cs="Arial"/>
                <w:sz w:val="15"/>
                <w:szCs w:val="15"/>
              </w:rPr>
              <w:t>Reported 5 cases of SSI in clipping and 2 cases of SSI in coiling group.</w:t>
            </w:r>
          </w:p>
        </w:tc>
        <w:tc>
          <w:tcPr>
            <w:tcW w:w="1701" w:type="dxa"/>
          </w:tcPr>
          <w:p w14:paraId="30318F55" w14:textId="72C78C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1CADD05" w14:textId="77777777" w:rsidTr="00A77951">
        <w:trPr>
          <w:trHeight w:val="586"/>
        </w:trPr>
        <w:tc>
          <w:tcPr>
            <w:tcW w:w="992" w:type="dxa"/>
          </w:tcPr>
          <w:p w14:paraId="26697D5C" w14:textId="30E9B04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Dasenbrock</w:t>
            </w:r>
            <w:proofErr w:type="spellEnd"/>
            <w:r w:rsidRPr="00251EA9">
              <w:rPr>
                <w:rFonts w:ascii="Arial" w:hAnsi="Arial" w:cs="Arial"/>
                <w:sz w:val="15"/>
                <w:szCs w:val="15"/>
              </w:rPr>
              <w:t xml:space="preserve"> H. et al., 2017</w:t>
            </w:r>
          </w:p>
        </w:tc>
        <w:tc>
          <w:tcPr>
            <w:tcW w:w="851" w:type="dxa"/>
          </w:tcPr>
          <w:p w14:paraId="02C6D6B0" w14:textId="5430DE35" w:rsidR="006E5533" w:rsidRPr="00A77951" w:rsidRDefault="006E5533" w:rsidP="006E5533">
            <w:pPr>
              <w:spacing w:line="360" w:lineRule="auto"/>
              <w:contextualSpacing/>
              <w:rPr>
                <w:rFonts w:ascii="Arial" w:hAnsi="Arial" w:cs="Arial"/>
                <w:sz w:val="15"/>
                <w:szCs w:val="15"/>
              </w:rPr>
            </w:pPr>
            <w:hyperlink r:id="rId99" w:history="1">
              <w:r w:rsidRPr="00A77951">
                <w:rPr>
                  <w:rStyle w:val="Hyperlink"/>
                  <w:rFonts w:ascii="Arial" w:hAnsi="Arial" w:cs="Arial"/>
                  <w:sz w:val="15"/>
                  <w:szCs w:val="15"/>
                </w:rPr>
                <w:t>10.1093/neuros/nyx089</w:t>
              </w:r>
            </w:hyperlink>
          </w:p>
        </w:tc>
        <w:tc>
          <w:tcPr>
            <w:tcW w:w="851" w:type="dxa"/>
          </w:tcPr>
          <w:p w14:paraId="37FB0418" w14:textId="1F7EC2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3D8E61C" w14:textId="0CCE61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3008E66" w14:textId="408450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763AACE" w14:textId="4310D5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59C932C" w14:textId="1247F2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rate of, reasons for, and predictors of unplanned reoperation after craniotomy for tumour in a nationally accrued population.</w:t>
            </w:r>
          </w:p>
        </w:tc>
        <w:tc>
          <w:tcPr>
            <w:tcW w:w="1134" w:type="dxa"/>
          </w:tcPr>
          <w:p w14:paraId="12C7063C" w14:textId="6D2F81E6" w:rsidR="006E5533" w:rsidRPr="00251EA9" w:rsidRDefault="006E5533" w:rsidP="006E5533">
            <w:pPr>
              <w:spacing w:line="360" w:lineRule="auto"/>
              <w:contextualSpacing/>
              <w:rPr>
                <w:rFonts w:ascii="Arial" w:hAnsi="Arial" w:cs="Arial"/>
                <w:sz w:val="15"/>
                <w:szCs w:val="15"/>
              </w:rPr>
            </w:pPr>
          </w:p>
        </w:tc>
        <w:tc>
          <w:tcPr>
            <w:tcW w:w="992" w:type="dxa"/>
          </w:tcPr>
          <w:p w14:paraId="7846DA06" w14:textId="118494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1271B27" w14:textId="3DE1E3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449947D" w14:textId="7212396B" w:rsidR="006E5533" w:rsidRPr="00251EA9" w:rsidRDefault="006E5533" w:rsidP="006E5533">
            <w:pPr>
              <w:rPr>
                <w:rFonts w:ascii="Arial" w:hAnsi="Arial" w:cs="Arial"/>
                <w:sz w:val="15"/>
                <w:szCs w:val="15"/>
              </w:rPr>
            </w:pPr>
            <w:r w:rsidRPr="00251EA9">
              <w:rPr>
                <w:rFonts w:ascii="Arial" w:hAnsi="Arial" w:cs="Arial"/>
                <w:sz w:val="15"/>
                <w:szCs w:val="15"/>
              </w:rPr>
              <w:t>The second most common cranial reoperation was SSIs (11.9% of cranial reoperations 0.6% of patients, n = 68), of</w:t>
            </w:r>
            <w:r w:rsidRPr="00251EA9">
              <w:rPr>
                <w:rFonts w:ascii="Arial" w:hAnsi="Arial" w:cs="Arial"/>
                <w:sz w:val="15"/>
                <w:szCs w:val="15"/>
              </w:rPr>
              <w:br/>
              <w:t>which the majority (n = 36, 52.9%) were debridement of superficial infections, while the others (n = 30, 44.2%) comprised drainage of an intracranial abscess, and a minority were unspecified (n = 2, 2.9%).</w:t>
            </w:r>
          </w:p>
        </w:tc>
        <w:tc>
          <w:tcPr>
            <w:tcW w:w="1701" w:type="dxa"/>
          </w:tcPr>
          <w:p w14:paraId="75D259C5" w14:textId="4BBAFA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A0D2D9A" w14:textId="77777777" w:rsidTr="00A77951">
        <w:trPr>
          <w:trHeight w:val="586"/>
        </w:trPr>
        <w:tc>
          <w:tcPr>
            <w:tcW w:w="992" w:type="dxa"/>
          </w:tcPr>
          <w:p w14:paraId="4024D7F1" w14:textId="48F577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Davies B.M. et al., 2016</w:t>
            </w:r>
          </w:p>
        </w:tc>
        <w:tc>
          <w:tcPr>
            <w:tcW w:w="851" w:type="dxa"/>
          </w:tcPr>
          <w:p w14:paraId="6B4D8962" w14:textId="71C9791C" w:rsidR="006E5533" w:rsidRPr="00A77951" w:rsidRDefault="006E5533" w:rsidP="006E5533">
            <w:pPr>
              <w:spacing w:line="360" w:lineRule="auto"/>
              <w:contextualSpacing/>
              <w:rPr>
                <w:rFonts w:ascii="Arial" w:hAnsi="Arial" w:cs="Arial"/>
                <w:sz w:val="15"/>
                <w:szCs w:val="15"/>
              </w:rPr>
            </w:pPr>
            <w:hyperlink r:id="rId100" w:history="1">
              <w:r w:rsidRPr="00A77951">
                <w:rPr>
                  <w:rStyle w:val="Hyperlink"/>
                  <w:rFonts w:ascii="Arial" w:hAnsi="Arial" w:cs="Arial"/>
                  <w:sz w:val="15"/>
                  <w:szCs w:val="15"/>
                </w:rPr>
                <w:t>10.1308/rcsann.2016.0143</w:t>
              </w:r>
            </w:hyperlink>
          </w:p>
        </w:tc>
        <w:tc>
          <w:tcPr>
            <w:tcW w:w="851" w:type="dxa"/>
          </w:tcPr>
          <w:p w14:paraId="607D032D" w14:textId="3B2A0C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36EFD241" w14:textId="1BF0AA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961D996" w14:textId="63AE4D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9E51E65" w14:textId="3D75B2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(All neurosurgical cases)</w:t>
            </w:r>
          </w:p>
        </w:tc>
        <w:tc>
          <w:tcPr>
            <w:tcW w:w="1843" w:type="dxa"/>
          </w:tcPr>
          <w:p w14:paraId="55CBC66E" w14:textId="76FB50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whether preoperative skin preparation using a combination of chlorhexidine and povidone-iodine preoperative antisepsis was associated with a lower SSI rate than either agent alone in clean cranial neurosurgery.</w:t>
            </w:r>
          </w:p>
        </w:tc>
        <w:tc>
          <w:tcPr>
            <w:tcW w:w="1134" w:type="dxa"/>
          </w:tcPr>
          <w:p w14:paraId="05885D94" w14:textId="224AE4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Preoperative use of chlorhexidine or povidone-iodine as a single agent, vs a combination of the two agents</w:t>
            </w:r>
          </w:p>
        </w:tc>
        <w:tc>
          <w:tcPr>
            <w:tcW w:w="992" w:type="dxa"/>
          </w:tcPr>
          <w:p w14:paraId="5B7AB4A8" w14:textId="181960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D716C39" w14:textId="502D2D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 Health Protection Agency guidance</w:t>
            </w:r>
          </w:p>
        </w:tc>
        <w:tc>
          <w:tcPr>
            <w:tcW w:w="2693" w:type="dxa"/>
          </w:tcPr>
          <w:p w14:paraId="53517C5B" w14:textId="7FCF6172" w:rsidR="006E5533" w:rsidRPr="00251EA9" w:rsidRDefault="006E5533" w:rsidP="006E5533">
            <w:pPr>
              <w:rPr>
                <w:rFonts w:ascii="Arial" w:hAnsi="Arial" w:cs="Arial"/>
                <w:sz w:val="15"/>
                <w:szCs w:val="15"/>
              </w:rPr>
            </w:pPr>
            <w:r w:rsidRPr="00251EA9">
              <w:rPr>
                <w:rFonts w:ascii="Arial" w:hAnsi="Arial" w:cs="Arial"/>
                <w:sz w:val="15"/>
                <w:szCs w:val="15"/>
              </w:rPr>
              <w:t xml:space="preserve">94 out of 2603 cases (3.6%) were complicated by SSI. </w:t>
            </w:r>
            <w:r w:rsidRPr="00251EA9">
              <w:rPr>
                <w:rFonts w:ascii="Arial" w:hAnsi="Arial" w:cs="Arial"/>
                <w:sz w:val="15"/>
                <w:szCs w:val="15"/>
              </w:rPr>
              <w:br/>
              <w:t>Longer operation times and younger patient age were significantly associated with the occurrence of SSIs.</w:t>
            </w:r>
          </w:p>
        </w:tc>
        <w:tc>
          <w:tcPr>
            <w:tcW w:w="1701" w:type="dxa"/>
          </w:tcPr>
          <w:p w14:paraId="781C8AFE" w14:textId="3CC06A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99A86E7" w14:textId="77777777" w:rsidTr="00A77951">
        <w:trPr>
          <w:trHeight w:val="586"/>
        </w:trPr>
        <w:tc>
          <w:tcPr>
            <w:tcW w:w="992" w:type="dxa"/>
          </w:tcPr>
          <w:p w14:paraId="19664A83" w14:textId="25E1DC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Davies B.M. et al., 2015</w:t>
            </w:r>
          </w:p>
        </w:tc>
        <w:tc>
          <w:tcPr>
            <w:tcW w:w="851" w:type="dxa"/>
          </w:tcPr>
          <w:p w14:paraId="44344047" w14:textId="5938098D" w:rsidR="006E5533" w:rsidRPr="00A77951" w:rsidRDefault="006E5533" w:rsidP="006E5533">
            <w:pPr>
              <w:spacing w:line="360" w:lineRule="auto"/>
              <w:contextualSpacing/>
              <w:rPr>
                <w:rFonts w:ascii="Arial" w:hAnsi="Arial" w:cs="Arial"/>
                <w:sz w:val="15"/>
                <w:szCs w:val="15"/>
              </w:rPr>
            </w:pPr>
            <w:hyperlink r:id="rId101" w:history="1">
              <w:r w:rsidRPr="00A77951">
                <w:rPr>
                  <w:rStyle w:val="Hyperlink"/>
                  <w:rFonts w:ascii="Arial" w:hAnsi="Arial" w:cs="Arial"/>
                  <w:sz w:val="15"/>
                  <w:szCs w:val="15"/>
                </w:rPr>
                <w:t>10.3109/02688697.2015.1071321</w:t>
              </w:r>
            </w:hyperlink>
          </w:p>
        </w:tc>
        <w:tc>
          <w:tcPr>
            <w:tcW w:w="851" w:type="dxa"/>
          </w:tcPr>
          <w:p w14:paraId="044552DE" w14:textId="222C7E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7288C8DD" w14:textId="5EE868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48ECBA9" w14:textId="78BF8A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reported</w:t>
            </w:r>
          </w:p>
        </w:tc>
        <w:tc>
          <w:tcPr>
            <w:tcW w:w="1276" w:type="dxa"/>
          </w:tcPr>
          <w:p w14:paraId="7527D228" w14:textId="34A0E7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(All cranial neurosurgical cases)</w:t>
            </w:r>
          </w:p>
        </w:tc>
        <w:tc>
          <w:tcPr>
            <w:tcW w:w="1843" w:type="dxa"/>
          </w:tcPr>
          <w:p w14:paraId="13B6387A" w14:textId="127EA5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review the findings</w:t>
            </w:r>
            <w:r w:rsidRPr="00251EA9">
              <w:rPr>
                <w:rFonts w:ascii="Arial" w:hAnsi="Arial" w:cs="Arial"/>
                <w:sz w:val="15"/>
                <w:szCs w:val="15"/>
              </w:rPr>
              <w:br/>
              <w:t>following the introduction of the Public Health England methodology for cranial neurosurgery and consider its appropriateness.</w:t>
            </w:r>
          </w:p>
        </w:tc>
        <w:tc>
          <w:tcPr>
            <w:tcW w:w="1134" w:type="dxa"/>
          </w:tcPr>
          <w:p w14:paraId="50A1622E" w14:textId="101A13D4" w:rsidR="006E5533" w:rsidRPr="00251EA9" w:rsidRDefault="006E5533" w:rsidP="006E5533">
            <w:pPr>
              <w:spacing w:line="360" w:lineRule="auto"/>
              <w:contextualSpacing/>
              <w:rPr>
                <w:rFonts w:ascii="Arial" w:hAnsi="Arial" w:cs="Arial"/>
                <w:sz w:val="15"/>
                <w:szCs w:val="15"/>
              </w:rPr>
            </w:pPr>
          </w:p>
        </w:tc>
        <w:tc>
          <w:tcPr>
            <w:tcW w:w="992" w:type="dxa"/>
          </w:tcPr>
          <w:p w14:paraId="5A4071F3" w14:textId="0DEAEE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5605F0D" w14:textId="251264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Public Health England Guidelines</w:t>
            </w:r>
          </w:p>
        </w:tc>
        <w:tc>
          <w:tcPr>
            <w:tcW w:w="2693" w:type="dxa"/>
          </w:tcPr>
          <w:p w14:paraId="0D2B6585" w14:textId="036464C2" w:rsidR="006E5533" w:rsidRPr="00251EA9" w:rsidRDefault="006E5533" w:rsidP="006E5533">
            <w:pPr>
              <w:rPr>
                <w:rFonts w:ascii="Arial" w:hAnsi="Arial" w:cs="Arial"/>
                <w:sz w:val="15"/>
                <w:szCs w:val="15"/>
              </w:rPr>
            </w:pPr>
            <w:r w:rsidRPr="00251EA9">
              <w:rPr>
                <w:rFonts w:ascii="Arial" w:hAnsi="Arial" w:cs="Arial"/>
                <w:sz w:val="15"/>
                <w:szCs w:val="15"/>
              </w:rPr>
              <w:t xml:space="preserve">82 (3.5%) patients had a confirmed SSI. </w:t>
            </w:r>
          </w:p>
        </w:tc>
        <w:tc>
          <w:tcPr>
            <w:tcW w:w="1701" w:type="dxa"/>
          </w:tcPr>
          <w:p w14:paraId="54E25317" w14:textId="122281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142A8E2" w14:textId="77777777" w:rsidTr="00A77951">
        <w:trPr>
          <w:trHeight w:val="586"/>
        </w:trPr>
        <w:tc>
          <w:tcPr>
            <w:tcW w:w="992" w:type="dxa"/>
          </w:tcPr>
          <w:p w14:paraId="43EB4700" w14:textId="19C8087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Dechaene</w:t>
            </w:r>
            <w:proofErr w:type="spellEnd"/>
            <w:r w:rsidRPr="00251EA9">
              <w:rPr>
                <w:rFonts w:ascii="Arial" w:hAnsi="Arial" w:cs="Arial"/>
                <w:sz w:val="15"/>
                <w:szCs w:val="15"/>
              </w:rPr>
              <w:t xml:space="preserve"> V. et al., 2023</w:t>
            </w:r>
          </w:p>
        </w:tc>
        <w:tc>
          <w:tcPr>
            <w:tcW w:w="851" w:type="dxa"/>
          </w:tcPr>
          <w:p w14:paraId="4E25F12C" w14:textId="55D35318" w:rsidR="006E5533" w:rsidRPr="00A77951" w:rsidRDefault="006E5533" w:rsidP="006E5533">
            <w:pPr>
              <w:spacing w:line="360" w:lineRule="auto"/>
              <w:contextualSpacing/>
              <w:rPr>
                <w:rFonts w:ascii="Arial" w:hAnsi="Arial" w:cs="Arial"/>
                <w:sz w:val="15"/>
                <w:szCs w:val="15"/>
              </w:rPr>
            </w:pPr>
            <w:hyperlink r:id="rId102" w:history="1">
              <w:r w:rsidRPr="00A77951">
                <w:rPr>
                  <w:rStyle w:val="Hyperlink"/>
                  <w:rFonts w:ascii="Arial" w:hAnsi="Arial" w:cs="Arial"/>
                  <w:sz w:val="15"/>
                  <w:szCs w:val="15"/>
                </w:rPr>
                <w:t>10.1016/j.ijid.2023.10.008</w:t>
              </w:r>
            </w:hyperlink>
          </w:p>
        </w:tc>
        <w:tc>
          <w:tcPr>
            <w:tcW w:w="851" w:type="dxa"/>
          </w:tcPr>
          <w:p w14:paraId="340FAF54" w14:textId="68BAAF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58C60BAC" w14:textId="4502D1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0BA9D60" w14:textId="183068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2344830" w14:textId="7F0444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3AC22AE3" w14:textId="28A03B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clinical and microbiological features, management, and outcome of bone flap-related osteomyelitis after cranioplasty.</w:t>
            </w:r>
          </w:p>
        </w:tc>
        <w:tc>
          <w:tcPr>
            <w:tcW w:w="1134" w:type="dxa"/>
          </w:tcPr>
          <w:p w14:paraId="45F40AF3" w14:textId="7B56069C" w:rsidR="006E5533" w:rsidRPr="00251EA9" w:rsidRDefault="006E5533" w:rsidP="006E5533">
            <w:pPr>
              <w:spacing w:line="360" w:lineRule="auto"/>
              <w:contextualSpacing/>
              <w:rPr>
                <w:rFonts w:ascii="Arial" w:hAnsi="Arial" w:cs="Arial"/>
                <w:sz w:val="15"/>
                <w:szCs w:val="15"/>
              </w:rPr>
            </w:pPr>
          </w:p>
        </w:tc>
        <w:tc>
          <w:tcPr>
            <w:tcW w:w="992" w:type="dxa"/>
          </w:tcPr>
          <w:p w14:paraId="3E54E6DE" w14:textId="00A415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A299D47" w14:textId="6B86DD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9838357" w14:textId="64AC4DF4" w:rsidR="006E5533" w:rsidRPr="00251EA9" w:rsidRDefault="006E5533" w:rsidP="006E5533">
            <w:pPr>
              <w:rPr>
                <w:rFonts w:ascii="Arial" w:hAnsi="Arial" w:cs="Arial"/>
                <w:sz w:val="15"/>
                <w:szCs w:val="15"/>
              </w:rPr>
            </w:pPr>
            <w:r w:rsidRPr="00251EA9">
              <w:rPr>
                <w:rFonts w:ascii="Arial" w:hAnsi="Arial" w:cs="Arial"/>
                <w:sz w:val="15"/>
                <w:szCs w:val="15"/>
              </w:rPr>
              <w:t xml:space="preserve">Most patients had early surgical site infection (n = 78, 54.2%), mainly presenting as wound abnormalities (n = 115, 79.9%). </w:t>
            </w:r>
          </w:p>
        </w:tc>
        <w:tc>
          <w:tcPr>
            <w:tcW w:w="1701" w:type="dxa"/>
          </w:tcPr>
          <w:p w14:paraId="15524C37" w14:textId="082372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0351D9E" w14:textId="77777777" w:rsidTr="00A77951">
        <w:trPr>
          <w:trHeight w:val="586"/>
        </w:trPr>
        <w:tc>
          <w:tcPr>
            <w:tcW w:w="992" w:type="dxa"/>
          </w:tcPr>
          <w:p w14:paraId="6C8934B3" w14:textId="4A04EE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Delgado-Lopez P.D. et al., 2009</w:t>
            </w:r>
          </w:p>
        </w:tc>
        <w:tc>
          <w:tcPr>
            <w:tcW w:w="851" w:type="dxa"/>
          </w:tcPr>
          <w:p w14:paraId="01A5973C" w14:textId="272796A3" w:rsidR="006E5533" w:rsidRPr="00A77951" w:rsidRDefault="006E5533" w:rsidP="006E5533">
            <w:pPr>
              <w:spacing w:line="360" w:lineRule="auto"/>
              <w:contextualSpacing/>
              <w:rPr>
                <w:rFonts w:ascii="Arial" w:hAnsi="Arial" w:cs="Arial"/>
                <w:sz w:val="15"/>
                <w:szCs w:val="15"/>
              </w:rPr>
            </w:pPr>
            <w:hyperlink r:id="rId103" w:history="1">
              <w:r w:rsidRPr="00A77951">
                <w:rPr>
                  <w:rStyle w:val="Hyperlink"/>
                  <w:rFonts w:ascii="Arial" w:hAnsi="Arial" w:cs="Arial"/>
                  <w:sz w:val="15"/>
                  <w:szCs w:val="15"/>
                </w:rPr>
                <w:t>10.1016/s1130-1473(09)70154-x</w:t>
              </w:r>
            </w:hyperlink>
          </w:p>
        </w:tc>
        <w:tc>
          <w:tcPr>
            <w:tcW w:w="851" w:type="dxa"/>
          </w:tcPr>
          <w:p w14:paraId="66B7A16C" w14:textId="50508E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2DB8A9BE" w14:textId="5D23DE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0549B04" w14:textId="4C21CE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8CBBCBF" w14:textId="1A7693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6B14D27C" w14:textId="22D76C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discuss the effectiveness and safety of </w:t>
            </w:r>
            <w:proofErr w:type="spellStart"/>
            <w:r w:rsidRPr="00251EA9">
              <w:rPr>
                <w:rFonts w:ascii="Arial" w:hAnsi="Arial" w:cs="Arial"/>
                <w:sz w:val="15"/>
                <w:szCs w:val="15"/>
              </w:rPr>
              <w:t>corticotherapy</w:t>
            </w:r>
            <w:proofErr w:type="spellEnd"/>
            <w:r w:rsidRPr="00251EA9">
              <w:rPr>
                <w:rFonts w:ascii="Arial" w:hAnsi="Arial" w:cs="Arial"/>
                <w:sz w:val="15"/>
                <w:szCs w:val="15"/>
              </w:rPr>
              <w:t xml:space="preserve"> in Chronic Subdural Haematology.</w:t>
            </w:r>
          </w:p>
        </w:tc>
        <w:tc>
          <w:tcPr>
            <w:tcW w:w="1134" w:type="dxa"/>
          </w:tcPr>
          <w:p w14:paraId="18DBDCDB" w14:textId="1A07AE65" w:rsidR="006E5533" w:rsidRPr="00251EA9" w:rsidRDefault="006E5533" w:rsidP="006E5533">
            <w:pPr>
              <w:spacing w:line="360" w:lineRule="auto"/>
              <w:contextualSpacing/>
              <w:rPr>
                <w:rFonts w:ascii="Arial" w:hAnsi="Arial" w:cs="Arial"/>
                <w:sz w:val="15"/>
                <w:szCs w:val="15"/>
              </w:rPr>
            </w:pPr>
          </w:p>
        </w:tc>
        <w:tc>
          <w:tcPr>
            <w:tcW w:w="992" w:type="dxa"/>
          </w:tcPr>
          <w:p w14:paraId="45B47023" w14:textId="79A928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63EB97F" w14:textId="0FB67D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F5EFB41" w14:textId="51B1DD39" w:rsidR="006E5533" w:rsidRPr="00251EA9" w:rsidRDefault="006E5533" w:rsidP="006E5533">
            <w:pPr>
              <w:rPr>
                <w:rFonts w:ascii="Arial" w:hAnsi="Arial" w:cs="Arial"/>
                <w:sz w:val="15"/>
                <w:szCs w:val="15"/>
              </w:rPr>
            </w:pPr>
            <w:r w:rsidRPr="00251EA9">
              <w:rPr>
                <w:rFonts w:ascii="Arial" w:hAnsi="Arial" w:cs="Arial"/>
                <w:sz w:val="15"/>
                <w:szCs w:val="15"/>
              </w:rPr>
              <w:t xml:space="preserve">2-7% of patients developed a superficial wound infection. </w:t>
            </w:r>
          </w:p>
        </w:tc>
        <w:tc>
          <w:tcPr>
            <w:tcW w:w="1701" w:type="dxa"/>
          </w:tcPr>
          <w:p w14:paraId="19D9B658" w14:textId="76D682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54274CE" w14:textId="77777777" w:rsidTr="00A77951">
        <w:trPr>
          <w:trHeight w:val="586"/>
        </w:trPr>
        <w:tc>
          <w:tcPr>
            <w:tcW w:w="992" w:type="dxa"/>
          </w:tcPr>
          <w:p w14:paraId="49B0C649" w14:textId="16A490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DeLong MR. et al., 2014</w:t>
            </w:r>
          </w:p>
        </w:tc>
        <w:tc>
          <w:tcPr>
            <w:tcW w:w="851" w:type="dxa"/>
          </w:tcPr>
          <w:p w14:paraId="5D3EDC4D" w14:textId="34CAB9AA" w:rsidR="006E5533" w:rsidRPr="00A77951" w:rsidRDefault="006E5533" w:rsidP="006E5533">
            <w:pPr>
              <w:spacing w:line="360" w:lineRule="auto"/>
              <w:contextualSpacing/>
              <w:rPr>
                <w:rFonts w:ascii="Arial" w:hAnsi="Arial" w:cs="Arial"/>
                <w:sz w:val="15"/>
                <w:szCs w:val="15"/>
              </w:rPr>
            </w:pPr>
            <w:hyperlink r:id="rId104" w:history="1">
              <w:r w:rsidRPr="00A77951">
                <w:rPr>
                  <w:rStyle w:val="Hyperlink"/>
                  <w:rFonts w:ascii="Arial" w:hAnsi="Arial" w:cs="Arial"/>
                  <w:sz w:val="15"/>
                  <w:szCs w:val="15"/>
                </w:rPr>
                <w:t>10.1001/jamaneur</w:t>
              </w:r>
              <w:r w:rsidRPr="00A77951">
                <w:rPr>
                  <w:rStyle w:val="Hyperlink"/>
                  <w:rFonts w:ascii="Arial" w:hAnsi="Arial" w:cs="Arial"/>
                  <w:sz w:val="15"/>
                  <w:szCs w:val="15"/>
                </w:rPr>
                <w:lastRenderedPageBreak/>
                <w:t>ol.2014.1272</w:t>
              </w:r>
            </w:hyperlink>
          </w:p>
        </w:tc>
        <w:tc>
          <w:tcPr>
            <w:tcW w:w="851" w:type="dxa"/>
          </w:tcPr>
          <w:p w14:paraId="1DB3AA0D" w14:textId="381DD4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USA</w:t>
            </w:r>
          </w:p>
        </w:tc>
        <w:tc>
          <w:tcPr>
            <w:tcW w:w="1134" w:type="dxa"/>
          </w:tcPr>
          <w:p w14:paraId="108F6BCC" w14:textId="46A0CC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92737FD" w14:textId="08D90F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09BDEAC" w14:textId="0AEEFA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16BA2655" w14:textId="5D37CC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the risk of adverse outcomes among older patients </w:t>
            </w:r>
            <w:r w:rsidRPr="00251EA9">
              <w:rPr>
                <w:rFonts w:ascii="Arial" w:hAnsi="Arial" w:cs="Arial"/>
                <w:sz w:val="15"/>
                <w:szCs w:val="15"/>
              </w:rPr>
              <w:lastRenderedPageBreak/>
              <w:t>undergoing DBS insertion for Parkinson’s Disease and to assess the postoperative complications.</w:t>
            </w:r>
          </w:p>
        </w:tc>
        <w:tc>
          <w:tcPr>
            <w:tcW w:w="1134" w:type="dxa"/>
          </w:tcPr>
          <w:p w14:paraId="7E5D470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B7B6BBA" w14:textId="093ACB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8E0ACCB" w14:textId="6E5A76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E51A2A4" w14:textId="070681D9" w:rsidR="006E5533" w:rsidRPr="00251EA9" w:rsidRDefault="006E5533" w:rsidP="006E5533">
            <w:pPr>
              <w:rPr>
                <w:rFonts w:ascii="Arial" w:hAnsi="Arial" w:cs="Arial"/>
                <w:sz w:val="15"/>
                <w:szCs w:val="15"/>
              </w:rPr>
            </w:pPr>
            <w:r w:rsidRPr="00251EA9">
              <w:rPr>
                <w:rFonts w:ascii="Arial" w:hAnsi="Arial" w:cs="Arial"/>
                <w:sz w:val="15"/>
                <w:szCs w:val="15"/>
              </w:rPr>
              <w:t>Wound infection was observed in 64 patients (3.6%).</w:t>
            </w:r>
          </w:p>
        </w:tc>
        <w:tc>
          <w:tcPr>
            <w:tcW w:w="1701" w:type="dxa"/>
          </w:tcPr>
          <w:p w14:paraId="2CD93E94" w14:textId="4192E4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A8C084C" w14:textId="77777777" w:rsidTr="00A77951">
        <w:trPr>
          <w:trHeight w:val="586"/>
        </w:trPr>
        <w:tc>
          <w:tcPr>
            <w:tcW w:w="992" w:type="dxa"/>
          </w:tcPr>
          <w:p w14:paraId="34C8918F" w14:textId="286815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Di L. et al., 2023</w:t>
            </w:r>
          </w:p>
        </w:tc>
        <w:tc>
          <w:tcPr>
            <w:tcW w:w="851" w:type="dxa"/>
          </w:tcPr>
          <w:p w14:paraId="57CDCA36" w14:textId="60418F6A" w:rsidR="006E5533" w:rsidRPr="00A77951" w:rsidRDefault="006E5533" w:rsidP="006E5533">
            <w:pPr>
              <w:spacing w:line="360" w:lineRule="auto"/>
              <w:contextualSpacing/>
              <w:rPr>
                <w:rFonts w:ascii="Arial" w:hAnsi="Arial" w:cs="Arial"/>
                <w:sz w:val="15"/>
                <w:szCs w:val="15"/>
              </w:rPr>
            </w:pPr>
            <w:hyperlink r:id="rId105" w:history="1">
              <w:r w:rsidRPr="00A77951">
                <w:rPr>
                  <w:rStyle w:val="Hyperlink"/>
                  <w:rFonts w:ascii="Arial" w:hAnsi="Arial" w:cs="Arial"/>
                  <w:sz w:val="15"/>
                  <w:szCs w:val="15"/>
                </w:rPr>
                <w:t>10.3171/2022.</w:t>
              </w:r>
              <w:proofErr w:type="gramStart"/>
              <w:r w:rsidRPr="00A77951">
                <w:rPr>
                  <w:rStyle w:val="Hyperlink"/>
                  <w:rFonts w:ascii="Arial" w:hAnsi="Arial" w:cs="Arial"/>
                  <w:sz w:val="15"/>
                  <w:szCs w:val="15"/>
                </w:rPr>
                <w:t>3.JNS</w:t>
              </w:r>
              <w:proofErr w:type="gramEnd"/>
              <w:r w:rsidRPr="00A77951">
                <w:rPr>
                  <w:rStyle w:val="Hyperlink"/>
                  <w:rFonts w:ascii="Arial" w:hAnsi="Arial" w:cs="Arial"/>
                  <w:sz w:val="15"/>
                  <w:szCs w:val="15"/>
                </w:rPr>
                <w:t>212399</w:t>
              </w:r>
            </w:hyperlink>
          </w:p>
        </w:tc>
        <w:tc>
          <w:tcPr>
            <w:tcW w:w="851" w:type="dxa"/>
          </w:tcPr>
          <w:p w14:paraId="0D84FDC8" w14:textId="3CCF55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208AB89" w14:textId="73B2D8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1A9845A" w14:textId="5B9CD2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F476BE1" w14:textId="090452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20261E4" w14:textId="706DCD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survival outcomes for patients with left-sided eloquent newly diagnosed glioblastoma undergoing </w:t>
            </w:r>
            <w:proofErr w:type="spellStart"/>
            <w:r w:rsidRPr="00251EA9">
              <w:rPr>
                <w:rFonts w:ascii="Arial" w:hAnsi="Arial" w:cs="Arial"/>
                <w:sz w:val="15"/>
                <w:szCs w:val="15"/>
              </w:rPr>
              <w:t>supramximal</w:t>
            </w:r>
            <w:proofErr w:type="spellEnd"/>
            <w:r w:rsidRPr="00251EA9">
              <w:rPr>
                <w:rFonts w:ascii="Arial" w:hAnsi="Arial" w:cs="Arial"/>
                <w:sz w:val="15"/>
                <w:szCs w:val="15"/>
              </w:rPr>
              <w:t xml:space="preserve"> resection versus gross-total resection.</w:t>
            </w:r>
          </w:p>
        </w:tc>
        <w:tc>
          <w:tcPr>
            <w:tcW w:w="1134" w:type="dxa"/>
          </w:tcPr>
          <w:p w14:paraId="207248CA" w14:textId="3F640505" w:rsidR="006E5533" w:rsidRPr="00251EA9" w:rsidRDefault="006E5533" w:rsidP="006E5533">
            <w:pPr>
              <w:spacing w:line="360" w:lineRule="auto"/>
              <w:contextualSpacing/>
              <w:rPr>
                <w:rFonts w:ascii="Arial" w:hAnsi="Arial" w:cs="Arial"/>
                <w:sz w:val="15"/>
                <w:szCs w:val="15"/>
              </w:rPr>
            </w:pPr>
          </w:p>
        </w:tc>
        <w:tc>
          <w:tcPr>
            <w:tcW w:w="992" w:type="dxa"/>
          </w:tcPr>
          <w:p w14:paraId="5B5F2281" w14:textId="4A4514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BBBA6BF" w14:textId="1F2470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8F8DF35" w14:textId="7416ED89" w:rsidR="006E5533" w:rsidRPr="00251EA9" w:rsidRDefault="006E5533" w:rsidP="006E5533">
            <w:pPr>
              <w:rPr>
                <w:rFonts w:ascii="Arial" w:hAnsi="Arial" w:cs="Arial"/>
                <w:sz w:val="15"/>
                <w:szCs w:val="15"/>
              </w:rPr>
            </w:pPr>
            <w:r w:rsidRPr="00251EA9">
              <w:rPr>
                <w:rFonts w:ascii="Arial" w:hAnsi="Arial" w:cs="Arial"/>
                <w:sz w:val="15"/>
                <w:szCs w:val="15"/>
              </w:rPr>
              <w:t>One patient exhibited a postoperative wound infection.</w:t>
            </w:r>
          </w:p>
        </w:tc>
        <w:tc>
          <w:tcPr>
            <w:tcW w:w="1701" w:type="dxa"/>
          </w:tcPr>
          <w:p w14:paraId="1E97A46F" w14:textId="52D6EB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ADCBA1F" w14:textId="77777777" w:rsidTr="00A77951">
        <w:trPr>
          <w:trHeight w:val="586"/>
        </w:trPr>
        <w:tc>
          <w:tcPr>
            <w:tcW w:w="992" w:type="dxa"/>
          </w:tcPr>
          <w:p w14:paraId="5993587E" w14:textId="2731ED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Dickinson H. et al., 2015</w:t>
            </w:r>
          </w:p>
        </w:tc>
        <w:tc>
          <w:tcPr>
            <w:tcW w:w="851" w:type="dxa"/>
          </w:tcPr>
          <w:p w14:paraId="248B6647" w14:textId="4E27BB7C" w:rsidR="006E5533" w:rsidRPr="00A77951" w:rsidRDefault="006E5533" w:rsidP="006E5533">
            <w:pPr>
              <w:spacing w:line="360" w:lineRule="auto"/>
              <w:contextualSpacing/>
              <w:rPr>
                <w:rFonts w:ascii="Arial" w:hAnsi="Arial" w:cs="Arial"/>
                <w:sz w:val="15"/>
                <w:szCs w:val="15"/>
              </w:rPr>
            </w:pPr>
            <w:hyperlink r:id="rId106"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8.JNS</w:t>
              </w:r>
              <w:proofErr w:type="gramEnd"/>
              <w:r w:rsidRPr="00A77951">
                <w:rPr>
                  <w:rStyle w:val="Hyperlink"/>
                  <w:rFonts w:ascii="Arial" w:hAnsi="Arial" w:cs="Arial"/>
                  <w:sz w:val="15"/>
                  <w:szCs w:val="15"/>
                </w:rPr>
                <w:t>1498</w:t>
              </w:r>
            </w:hyperlink>
          </w:p>
        </w:tc>
        <w:tc>
          <w:tcPr>
            <w:tcW w:w="851" w:type="dxa"/>
          </w:tcPr>
          <w:p w14:paraId="04B6CA9F" w14:textId="4A7052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387D800" w14:textId="7FB318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D767894" w14:textId="5D4485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4FC93EB" w14:textId="63A419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68C36327" w14:textId="5E1BA9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This study 1) delineates reasons for readmission, 2) explores factors associated with readmissions, and 3) describes their impact on the survival of glioblastoma patients.</w:t>
            </w:r>
          </w:p>
        </w:tc>
        <w:tc>
          <w:tcPr>
            <w:tcW w:w="1134" w:type="dxa"/>
          </w:tcPr>
          <w:p w14:paraId="2ABFC5A2" w14:textId="664EF1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1A0D9200" w14:textId="56D293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5A6BBAE" w14:textId="24D8D1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87AC619" w14:textId="02EA736A" w:rsidR="006E5533" w:rsidRPr="00251EA9" w:rsidRDefault="006E5533" w:rsidP="006E5533">
            <w:pPr>
              <w:rPr>
                <w:rFonts w:ascii="Arial" w:hAnsi="Arial" w:cs="Arial"/>
                <w:sz w:val="15"/>
                <w:szCs w:val="15"/>
              </w:rPr>
            </w:pPr>
            <w:r w:rsidRPr="00251EA9">
              <w:rPr>
                <w:rFonts w:ascii="Arial" w:hAnsi="Arial" w:cs="Arial"/>
                <w:sz w:val="15"/>
                <w:szCs w:val="15"/>
              </w:rPr>
              <w:t>Of the 8 patients readmitted for infectious reasons, 3 were readmitted for SSI</w:t>
            </w:r>
          </w:p>
        </w:tc>
        <w:tc>
          <w:tcPr>
            <w:tcW w:w="1701" w:type="dxa"/>
          </w:tcPr>
          <w:p w14:paraId="590E7649" w14:textId="5DABA3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BFD6E78" w14:textId="77777777" w:rsidTr="00A77951">
        <w:trPr>
          <w:trHeight w:val="586"/>
        </w:trPr>
        <w:tc>
          <w:tcPr>
            <w:tcW w:w="992" w:type="dxa"/>
          </w:tcPr>
          <w:p w14:paraId="604014FB" w14:textId="52C7DF4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Dinevski</w:t>
            </w:r>
            <w:proofErr w:type="spellEnd"/>
            <w:r w:rsidRPr="00251EA9">
              <w:rPr>
                <w:rFonts w:ascii="Arial" w:hAnsi="Arial" w:cs="Arial"/>
                <w:sz w:val="15"/>
                <w:szCs w:val="15"/>
              </w:rPr>
              <w:t xml:space="preserve"> N. et al., 2017</w:t>
            </w:r>
          </w:p>
        </w:tc>
        <w:tc>
          <w:tcPr>
            <w:tcW w:w="851" w:type="dxa"/>
          </w:tcPr>
          <w:p w14:paraId="22F16F10" w14:textId="6550660D" w:rsidR="006E5533" w:rsidRPr="00A77951" w:rsidRDefault="006E5533" w:rsidP="006E5533">
            <w:pPr>
              <w:spacing w:line="360" w:lineRule="auto"/>
              <w:contextualSpacing/>
              <w:rPr>
                <w:rFonts w:ascii="Arial" w:hAnsi="Arial" w:cs="Arial"/>
                <w:sz w:val="15"/>
                <w:szCs w:val="15"/>
              </w:rPr>
            </w:pPr>
            <w:hyperlink r:id="rId107" w:history="1">
              <w:r w:rsidRPr="00A77951">
                <w:rPr>
                  <w:rStyle w:val="Hyperlink"/>
                  <w:rFonts w:ascii="Arial" w:hAnsi="Arial" w:cs="Arial"/>
                  <w:sz w:val="15"/>
                  <w:szCs w:val="15"/>
                </w:rPr>
                <w:t>10.1016/j.wneu.2017.03.093</w:t>
              </w:r>
            </w:hyperlink>
          </w:p>
        </w:tc>
        <w:tc>
          <w:tcPr>
            <w:tcW w:w="851" w:type="dxa"/>
          </w:tcPr>
          <w:p w14:paraId="1571BD20" w14:textId="46DB4E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4771233B" w14:textId="14578D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A616786" w14:textId="67AB09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5CD5865" w14:textId="390958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(all neurosurgical procedures)</w:t>
            </w:r>
          </w:p>
        </w:tc>
        <w:tc>
          <w:tcPr>
            <w:tcW w:w="1843" w:type="dxa"/>
          </w:tcPr>
          <w:p w14:paraId="11C4F6EE" w14:textId="4A5719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the rate of SSI in neurosurgical procedures involving </w:t>
            </w:r>
            <w:proofErr w:type="gramStart"/>
            <w:r w:rsidRPr="00251EA9">
              <w:rPr>
                <w:rFonts w:ascii="Arial" w:hAnsi="Arial" w:cs="Arial"/>
                <w:sz w:val="15"/>
                <w:szCs w:val="15"/>
              </w:rPr>
              <w:t>a</w:t>
            </w:r>
            <w:proofErr w:type="gramEnd"/>
            <w:r w:rsidRPr="00251EA9">
              <w:rPr>
                <w:rFonts w:ascii="Arial" w:hAnsi="Arial" w:cs="Arial"/>
                <w:sz w:val="15"/>
                <w:szCs w:val="15"/>
              </w:rPr>
              <w:t xml:space="preserve"> intraoperative MRI scanner.</w:t>
            </w:r>
          </w:p>
        </w:tc>
        <w:tc>
          <w:tcPr>
            <w:tcW w:w="1134" w:type="dxa"/>
          </w:tcPr>
          <w:p w14:paraId="4C41D2F0" w14:textId="2D6C1262" w:rsidR="006E5533" w:rsidRPr="00251EA9" w:rsidRDefault="006E5533" w:rsidP="006E5533">
            <w:pPr>
              <w:spacing w:line="360" w:lineRule="auto"/>
              <w:contextualSpacing/>
              <w:rPr>
                <w:rFonts w:ascii="Arial" w:hAnsi="Arial" w:cs="Arial"/>
                <w:sz w:val="15"/>
                <w:szCs w:val="15"/>
              </w:rPr>
            </w:pPr>
          </w:p>
        </w:tc>
        <w:tc>
          <w:tcPr>
            <w:tcW w:w="992" w:type="dxa"/>
          </w:tcPr>
          <w:p w14:paraId="14463029" w14:textId="25A3AC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3B248BE" w14:textId="0F6F20DB"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r w:rsidR="006E5533" w:rsidRPr="00251EA9">
              <w:rPr>
                <w:rFonts w:ascii="Arial" w:hAnsi="Arial" w:cs="Arial"/>
                <w:sz w:val="15"/>
                <w:szCs w:val="15"/>
              </w:rPr>
              <w:t xml:space="preserve"> – with an altered follow-up period</w:t>
            </w:r>
            <w:r w:rsidR="006E5533" w:rsidRPr="00251EA9">
              <w:rPr>
                <w:rFonts w:ascii="Arial" w:hAnsi="Arial" w:cs="Arial"/>
                <w:sz w:val="15"/>
                <w:szCs w:val="15"/>
              </w:rPr>
              <w:br/>
              <w:t>of 90 days</w:t>
            </w:r>
          </w:p>
        </w:tc>
        <w:tc>
          <w:tcPr>
            <w:tcW w:w="2693" w:type="dxa"/>
          </w:tcPr>
          <w:p w14:paraId="499D9589" w14:textId="1F0A8074" w:rsidR="006E5533" w:rsidRPr="00251EA9" w:rsidRDefault="006E5533" w:rsidP="006E5533">
            <w:pPr>
              <w:rPr>
                <w:rFonts w:ascii="Arial" w:hAnsi="Arial" w:cs="Arial"/>
                <w:sz w:val="15"/>
                <w:szCs w:val="15"/>
              </w:rPr>
            </w:pPr>
            <w:r w:rsidRPr="00251EA9">
              <w:rPr>
                <w:rFonts w:ascii="Arial" w:hAnsi="Arial" w:cs="Arial"/>
                <w:sz w:val="15"/>
                <w:szCs w:val="15"/>
              </w:rPr>
              <w:t>6 out of 109 craniotomy patients developed an SSI (5.5%) with 1 superficial SSI, 2 cases of bone flap osteitis, 1 intracranial abscess and 2 cases of meningitis/ ventriculitis. 2 patients out of the 86 transsphenoidal skull base surgeries developed non-CNS intranasal SSIs (3%) and 4 developed meningitis (5%).</w:t>
            </w:r>
          </w:p>
        </w:tc>
        <w:tc>
          <w:tcPr>
            <w:tcW w:w="1701" w:type="dxa"/>
          </w:tcPr>
          <w:p w14:paraId="3D7E93EB" w14:textId="0B7025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8ADD09D" w14:textId="77777777" w:rsidTr="00A77951">
        <w:trPr>
          <w:trHeight w:val="586"/>
        </w:trPr>
        <w:tc>
          <w:tcPr>
            <w:tcW w:w="992" w:type="dxa"/>
          </w:tcPr>
          <w:p w14:paraId="1215D3BB" w14:textId="36BC65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Donnelly BM et al., 2023</w:t>
            </w:r>
          </w:p>
        </w:tc>
        <w:tc>
          <w:tcPr>
            <w:tcW w:w="851" w:type="dxa"/>
          </w:tcPr>
          <w:p w14:paraId="2FE680DD" w14:textId="5867F10A" w:rsidR="006E5533" w:rsidRPr="00A77951" w:rsidRDefault="006E5533" w:rsidP="006E5533">
            <w:pPr>
              <w:spacing w:line="360" w:lineRule="auto"/>
              <w:contextualSpacing/>
              <w:rPr>
                <w:rFonts w:ascii="Arial" w:hAnsi="Arial" w:cs="Arial"/>
                <w:sz w:val="15"/>
                <w:szCs w:val="15"/>
              </w:rPr>
            </w:pPr>
            <w:hyperlink r:id="rId108" w:history="1">
              <w:r w:rsidRPr="00A77951">
                <w:rPr>
                  <w:rStyle w:val="Hyperlink"/>
                  <w:rFonts w:ascii="Arial" w:hAnsi="Arial" w:cs="Arial"/>
                  <w:sz w:val="15"/>
                  <w:szCs w:val="15"/>
                </w:rPr>
                <w:t>10.1007/s00701-023-05764-7</w:t>
              </w:r>
            </w:hyperlink>
          </w:p>
        </w:tc>
        <w:tc>
          <w:tcPr>
            <w:tcW w:w="851" w:type="dxa"/>
          </w:tcPr>
          <w:p w14:paraId="6A685CCF" w14:textId="17DB8E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0BD7406" w14:textId="0485A0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F18E990" w14:textId="04C902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9C51BEB" w14:textId="3A1567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9CCE1B5" w14:textId="6B35EC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report the outcomes of the contents of the medical </w:t>
            </w:r>
            <w:proofErr w:type="spellStart"/>
            <w:r w:rsidRPr="00251EA9">
              <w:rPr>
                <w:rFonts w:ascii="Arial" w:hAnsi="Arial" w:cs="Arial"/>
                <w:sz w:val="15"/>
                <w:szCs w:val="15"/>
              </w:rPr>
              <w:t>center’s</w:t>
            </w:r>
            <w:proofErr w:type="spellEnd"/>
            <w:r w:rsidRPr="00251EA9">
              <w:rPr>
                <w:rFonts w:ascii="Arial" w:hAnsi="Arial" w:cs="Arial"/>
                <w:sz w:val="15"/>
                <w:szCs w:val="15"/>
              </w:rPr>
              <w:t xml:space="preserve"> bone bank freezer: culture </w:t>
            </w:r>
            <w:r w:rsidRPr="00251EA9">
              <w:rPr>
                <w:rFonts w:ascii="Arial" w:hAnsi="Arial" w:cs="Arial"/>
                <w:sz w:val="15"/>
                <w:szCs w:val="15"/>
              </w:rPr>
              <w:lastRenderedPageBreak/>
              <w:t xml:space="preserve">data, reasons for </w:t>
            </w:r>
            <w:proofErr w:type="spellStart"/>
            <w:r w:rsidRPr="00251EA9">
              <w:rPr>
                <w:rFonts w:ascii="Arial" w:hAnsi="Arial" w:cs="Arial"/>
                <w:sz w:val="15"/>
                <w:szCs w:val="15"/>
              </w:rPr>
              <w:t>discardment</w:t>
            </w:r>
            <w:proofErr w:type="spellEnd"/>
            <w:r w:rsidRPr="00251EA9">
              <w:rPr>
                <w:rFonts w:ascii="Arial" w:hAnsi="Arial" w:cs="Arial"/>
                <w:sz w:val="15"/>
                <w:szCs w:val="15"/>
              </w:rPr>
              <w:t xml:space="preserve"> of flaps, and infection rates after reimplantation.</w:t>
            </w:r>
          </w:p>
        </w:tc>
        <w:tc>
          <w:tcPr>
            <w:tcW w:w="1134" w:type="dxa"/>
          </w:tcPr>
          <w:p w14:paraId="23FBC6B4"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D02BB17" w14:textId="6D0C27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CD010B6" w14:textId="21689B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51DE82B" w14:textId="4E333C2B" w:rsidR="006E5533" w:rsidRPr="00251EA9" w:rsidRDefault="006E5533" w:rsidP="006E5533">
            <w:pPr>
              <w:rPr>
                <w:rFonts w:ascii="Arial" w:hAnsi="Arial" w:cs="Arial"/>
                <w:sz w:val="15"/>
                <w:szCs w:val="15"/>
              </w:rPr>
            </w:pPr>
            <w:proofErr w:type="spellStart"/>
            <w:r w:rsidRPr="00251EA9">
              <w:rPr>
                <w:rFonts w:ascii="Arial" w:hAnsi="Arial" w:cs="Arial"/>
                <w:sz w:val="15"/>
                <w:szCs w:val="15"/>
              </w:rPr>
              <w:t>Postcranioplasty</w:t>
            </w:r>
            <w:proofErr w:type="spellEnd"/>
            <w:r w:rsidRPr="00251EA9">
              <w:rPr>
                <w:rFonts w:ascii="Arial" w:hAnsi="Arial" w:cs="Arial"/>
                <w:sz w:val="15"/>
                <w:szCs w:val="15"/>
              </w:rPr>
              <w:t xml:space="preserve"> infections were seen in 3 (12%) patients who had reimplantation of their flap.</w:t>
            </w:r>
          </w:p>
        </w:tc>
        <w:tc>
          <w:tcPr>
            <w:tcW w:w="1701" w:type="dxa"/>
          </w:tcPr>
          <w:p w14:paraId="37606920" w14:textId="4E721C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EB29C8A" w14:textId="77777777" w:rsidTr="00A77951">
        <w:trPr>
          <w:trHeight w:val="586"/>
        </w:trPr>
        <w:tc>
          <w:tcPr>
            <w:tcW w:w="992" w:type="dxa"/>
          </w:tcPr>
          <w:p w14:paraId="014F9193" w14:textId="44977B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Doshi P., 2011</w:t>
            </w:r>
          </w:p>
        </w:tc>
        <w:tc>
          <w:tcPr>
            <w:tcW w:w="851" w:type="dxa"/>
          </w:tcPr>
          <w:p w14:paraId="1243A103" w14:textId="2696F130" w:rsidR="006E5533" w:rsidRPr="00A77951" w:rsidRDefault="006E5533" w:rsidP="006E5533">
            <w:pPr>
              <w:spacing w:line="360" w:lineRule="auto"/>
              <w:contextualSpacing/>
              <w:rPr>
                <w:rFonts w:ascii="Arial" w:hAnsi="Arial" w:cs="Arial"/>
                <w:sz w:val="15"/>
                <w:szCs w:val="15"/>
              </w:rPr>
            </w:pPr>
            <w:hyperlink r:id="rId109" w:history="1">
              <w:r w:rsidRPr="00A77951">
                <w:rPr>
                  <w:rStyle w:val="Hyperlink"/>
                  <w:rFonts w:ascii="Arial" w:hAnsi="Arial" w:cs="Arial"/>
                  <w:sz w:val="15"/>
                  <w:szCs w:val="15"/>
                </w:rPr>
                <w:t>10.1159/000323372</w:t>
              </w:r>
            </w:hyperlink>
          </w:p>
        </w:tc>
        <w:tc>
          <w:tcPr>
            <w:tcW w:w="851" w:type="dxa"/>
          </w:tcPr>
          <w:p w14:paraId="6490767D" w14:textId="2D6220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151E7B32" w14:textId="504446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D68EDAD" w14:textId="6A2A9A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D72EEBF" w14:textId="7F5E25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4D3DFA9D" w14:textId="00EB01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incidence of surgical and hardware-associated complications of deep brain stimulation (DBS) for a range of movement disorders.</w:t>
            </w:r>
          </w:p>
        </w:tc>
        <w:tc>
          <w:tcPr>
            <w:tcW w:w="1134" w:type="dxa"/>
          </w:tcPr>
          <w:p w14:paraId="5DC44215" w14:textId="52A71141" w:rsidR="006E5533" w:rsidRPr="00251EA9" w:rsidRDefault="006E5533" w:rsidP="006E5533">
            <w:pPr>
              <w:spacing w:line="360" w:lineRule="auto"/>
              <w:contextualSpacing/>
              <w:rPr>
                <w:rFonts w:ascii="Arial" w:hAnsi="Arial" w:cs="Arial"/>
                <w:sz w:val="15"/>
                <w:szCs w:val="15"/>
              </w:rPr>
            </w:pPr>
          </w:p>
        </w:tc>
        <w:tc>
          <w:tcPr>
            <w:tcW w:w="992" w:type="dxa"/>
          </w:tcPr>
          <w:p w14:paraId="4D2812CB" w14:textId="393FAA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565D68E" w14:textId="69BEC9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EE4D322" w14:textId="57DB5781" w:rsidR="006E5533" w:rsidRPr="00251EA9" w:rsidRDefault="006E5533" w:rsidP="006E5533">
            <w:pPr>
              <w:rPr>
                <w:rFonts w:ascii="Arial" w:hAnsi="Arial" w:cs="Arial"/>
                <w:sz w:val="15"/>
                <w:szCs w:val="15"/>
              </w:rPr>
            </w:pPr>
            <w:r w:rsidRPr="00251EA9">
              <w:rPr>
                <w:rFonts w:ascii="Arial" w:hAnsi="Arial" w:cs="Arial"/>
                <w:sz w:val="15"/>
                <w:szCs w:val="15"/>
              </w:rPr>
              <w:t xml:space="preserve">7 patients developed forms of infection or erosion-related complications. 1 patient had a wound breakdown over the connector site leading to infection, necessitating </w:t>
            </w:r>
            <w:proofErr w:type="spellStart"/>
            <w:r w:rsidRPr="00251EA9">
              <w:rPr>
                <w:rFonts w:ascii="Arial" w:hAnsi="Arial" w:cs="Arial"/>
                <w:sz w:val="15"/>
                <w:szCs w:val="15"/>
              </w:rPr>
              <w:t>explantation</w:t>
            </w:r>
            <w:proofErr w:type="spellEnd"/>
            <w:r w:rsidRPr="00251EA9">
              <w:rPr>
                <w:rFonts w:ascii="Arial" w:hAnsi="Arial" w:cs="Arial"/>
                <w:sz w:val="15"/>
                <w:szCs w:val="15"/>
              </w:rPr>
              <w:t xml:space="preserve"> of the system. </w:t>
            </w:r>
          </w:p>
        </w:tc>
        <w:tc>
          <w:tcPr>
            <w:tcW w:w="1701" w:type="dxa"/>
          </w:tcPr>
          <w:p w14:paraId="2B84BF7B" w14:textId="12077A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3F7DD26" w14:textId="77777777" w:rsidTr="00A77951">
        <w:trPr>
          <w:trHeight w:val="586"/>
        </w:trPr>
        <w:tc>
          <w:tcPr>
            <w:tcW w:w="992" w:type="dxa"/>
          </w:tcPr>
          <w:p w14:paraId="2DBA6ACC" w14:textId="7CEA80C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Dowlati</w:t>
            </w:r>
            <w:proofErr w:type="spellEnd"/>
            <w:r w:rsidRPr="00251EA9">
              <w:rPr>
                <w:rFonts w:ascii="Arial" w:hAnsi="Arial" w:cs="Arial"/>
                <w:sz w:val="15"/>
                <w:szCs w:val="15"/>
              </w:rPr>
              <w:t xml:space="preserve"> E et al., 2022</w:t>
            </w:r>
          </w:p>
        </w:tc>
        <w:tc>
          <w:tcPr>
            <w:tcW w:w="851" w:type="dxa"/>
          </w:tcPr>
          <w:p w14:paraId="4838AFB1" w14:textId="07AF8F24" w:rsidR="006E5533" w:rsidRPr="00A77951" w:rsidRDefault="006E5533" w:rsidP="006E5533">
            <w:pPr>
              <w:spacing w:line="360" w:lineRule="auto"/>
              <w:contextualSpacing/>
              <w:rPr>
                <w:rFonts w:ascii="Arial" w:hAnsi="Arial" w:cs="Arial"/>
                <w:sz w:val="15"/>
                <w:szCs w:val="15"/>
              </w:rPr>
            </w:pPr>
            <w:hyperlink r:id="rId110" w:history="1">
              <w:r w:rsidRPr="00A77951">
                <w:rPr>
                  <w:rStyle w:val="Hyperlink"/>
                  <w:rFonts w:ascii="Arial" w:hAnsi="Arial" w:cs="Arial"/>
                  <w:sz w:val="15"/>
                  <w:szCs w:val="15"/>
                </w:rPr>
                <w:t>10.3171/2022.</w:t>
              </w:r>
              <w:proofErr w:type="gramStart"/>
              <w:r w:rsidRPr="00A77951">
                <w:rPr>
                  <w:rStyle w:val="Hyperlink"/>
                  <w:rFonts w:ascii="Arial" w:hAnsi="Arial" w:cs="Arial"/>
                  <w:sz w:val="15"/>
                  <w:szCs w:val="15"/>
                </w:rPr>
                <w:t>3.JNS</w:t>
              </w:r>
              <w:proofErr w:type="gramEnd"/>
              <w:r w:rsidRPr="00A77951">
                <w:rPr>
                  <w:rStyle w:val="Hyperlink"/>
                  <w:rFonts w:ascii="Arial" w:hAnsi="Arial" w:cs="Arial"/>
                  <w:sz w:val="15"/>
                  <w:szCs w:val="15"/>
                </w:rPr>
                <w:t>212637</w:t>
              </w:r>
            </w:hyperlink>
          </w:p>
        </w:tc>
        <w:tc>
          <w:tcPr>
            <w:tcW w:w="851" w:type="dxa"/>
          </w:tcPr>
          <w:p w14:paraId="639FD25F" w14:textId="7B670E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556848C" w14:textId="20CF4E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63278FE7" w14:textId="080683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FC86EBA" w14:textId="606E51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neurosurgical (Craniotomy)</w:t>
            </w:r>
          </w:p>
        </w:tc>
        <w:tc>
          <w:tcPr>
            <w:tcW w:w="1843" w:type="dxa"/>
          </w:tcPr>
          <w:p w14:paraId="474CBF4B" w14:textId="45EF36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in-hospital and surgical site complication rates in patients who had bone flaps preserved in the abdominal subcutaneous tissue (SQ) versus those whose bone flaps were discarded. </w:t>
            </w:r>
          </w:p>
        </w:tc>
        <w:tc>
          <w:tcPr>
            <w:tcW w:w="1134" w:type="dxa"/>
          </w:tcPr>
          <w:p w14:paraId="66538579" w14:textId="050403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Bone flaps implanted in the abdominal wall pocket vs those with their bone flaps discarded</w:t>
            </w:r>
          </w:p>
        </w:tc>
        <w:tc>
          <w:tcPr>
            <w:tcW w:w="992" w:type="dxa"/>
          </w:tcPr>
          <w:p w14:paraId="2D345C02" w14:textId="767290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CBA8587" w14:textId="2FD90A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AA16CDA" w14:textId="5FB8EFAD" w:rsidR="006E5533" w:rsidRPr="00251EA9" w:rsidRDefault="006E5533" w:rsidP="006E5533">
            <w:pPr>
              <w:rPr>
                <w:rFonts w:ascii="Arial" w:hAnsi="Arial" w:cs="Arial"/>
                <w:sz w:val="15"/>
                <w:szCs w:val="15"/>
              </w:rPr>
            </w:pPr>
            <w:r w:rsidRPr="00251EA9">
              <w:rPr>
                <w:rFonts w:ascii="Arial" w:hAnsi="Arial" w:cs="Arial"/>
                <w:sz w:val="15"/>
                <w:szCs w:val="15"/>
              </w:rPr>
              <w:t>12 patients with SSI reported in the SQ group, 8 patients with SSI reported in the discarded group.</w:t>
            </w:r>
          </w:p>
        </w:tc>
        <w:tc>
          <w:tcPr>
            <w:tcW w:w="1701" w:type="dxa"/>
          </w:tcPr>
          <w:p w14:paraId="0DD9B4C0" w14:textId="3BF71E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32E14A7" w14:textId="77777777" w:rsidTr="00A77951">
        <w:trPr>
          <w:trHeight w:val="586"/>
        </w:trPr>
        <w:tc>
          <w:tcPr>
            <w:tcW w:w="992" w:type="dxa"/>
          </w:tcPr>
          <w:p w14:paraId="5002C137" w14:textId="2603B2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Drexler R. et al., 2024</w:t>
            </w:r>
          </w:p>
        </w:tc>
        <w:tc>
          <w:tcPr>
            <w:tcW w:w="851" w:type="dxa"/>
          </w:tcPr>
          <w:p w14:paraId="6D605440" w14:textId="7512FD3D" w:rsidR="006E5533" w:rsidRPr="00A77951" w:rsidRDefault="006E5533" w:rsidP="006E5533">
            <w:pPr>
              <w:spacing w:line="360" w:lineRule="auto"/>
              <w:contextualSpacing/>
              <w:rPr>
                <w:rFonts w:ascii="Arial" w:hAnsi="Arial" w:cs="Arial"/>
                <w:sz w:val="15"/>
                <w:szCs w:val="15"/>
              </w:rPr>
            </w:pPr>
            <w:hyperlink r:id="rId111" w:history="1">
              <w:r w:rsidRPr="00A77951">
                <w:rPr>
                  <w:rStyle w:val="Hyperlink"/>
                  <w:rFonts w:ascii="Arial" w:hAnsi="Arial" w:cs="Arial"/>
                  <w:sz w:val="15"/>
                  <w:szCs w:val="15"/>
                </w:rPr>
                <w:t>10.1227/neu.0000000000002689</w:t>
              </w:r>
            </w:hyperlink>
          </w:p>
        </w:tc>
        <w:tc>
          <w:tcPr>
            <w:tcW w:w="851" w:type="dxa"/>
          </w:tcPr>
          <w:p w14:paraId="14BB3E1D" w14:textId="638BD8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Multiple</w:t>
            </w:r>
          </w:p>
        </w:tc>
        <w:tc>
          <w:tcPr>
            <w:tcW w:w="1134" w:type="dxa"/>
          </w:tcPr>
          <w:p w14:paraId="6E4A9DEC" w14:textId="3C686E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F995A33" w14:textId="4A214D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9262CEB" w14:textId="74AC98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48961DC5" w14:textId="4D779A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define standardised outcome benchmarks in patients who underwent clipping of unruptured intracranial aneurysm.</w:t>
            </w:r>
          </w:p>
        </w:tc>
        <w:tc>
          <w:tcPr>
            <w:tcW w:w="1134" w:type="dxa"/>
          </w:tcPr>
          <w:p w14:paraId="4200E5B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779341C" w14:textId="5CEB23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FD0EA77" w14:textId="4F9BF9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CBFBE55" w14:textId="7EFE6A53" w:rsidR="006E5533" w:rsidRPr="00251EA9" w:rsidRDefault="006E5533" w:rsidP="006E5533">
            <w:pPr>
              <w:rPr>
                <w:rFonts w:ascii="Arial" w:hAnsi="Arial" w:cs="Arial"/>
                <w:sz w:val="15"/>
                <w:szCs w:val="15"/>
              </w:rPr>
            </w:pPr>
            <w:r w:rsidRPr="00251EA9">
              <w:rPr>
                <w:rFonts w:ascii="Arial" w:hAnsi="Arial" w:cs="Arial"/>
                <w:sz w:val="15"/>
                <w:szCs w:val="15"/>
              </w:rPr>
              <w:t>0% rate of SSI amongst low-risk group, and 6.8% rate of SSI among high-risk cohort.</w:t>
            </w:r>
          </w:p>
        </w:tc>
        <w:tc>
          <w:tcPr>
            <w:tcW w:w="1701" w:type="dxa"/>
          </w:tcPr>
          <w:p w14:paraId="72F59A51" w14:textId="58F5CA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4D3949F" w14:textId="77777777" w:rsidTr="00A77951">
        <w:trPr>
          <w:trHeight w:val="586"/>
        </w:trPr>
        <w:tc>
          <w:tcPr>
            <w:tcW w:w="992" w:type="dxa"/>
          </w:tcPr>
          <w:p w14:paraId="2838A3D1" w14:textId="184B6F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Ebel F. et al., 2022</w:t>
            </w:r>
          </w:p>
        </w:tc>
        <w:tc>
          <w:tcPr>
            <w:tcW w:w="851" w:type="dxa"/>
          </w:tcPr>
          <w:p w14:paraId="758B9818" w14:textId="748A10F5" w:rsidR="006E5533" w:rsidRPr="00A77951" w:rsidRDefault="006E5533" w:rsidP="006E5533">
            <w:pPr>
              <w:spacing w:line="360" w:lineRule="auto"/>
              <w:contextualSpacing/>
              <w:rPr>
                <w:rFonts w:ascii="Arial" w:hAnsi="Arial" w:cs="Arial"/>
                <w:sz w:val="15"/>
                <w:szCs w:val="15"/>
              </w:rPr>
            </w:pPr>
            <w:hyperlink r:id="rId112" w:history="1">
              <w:r w:rsidRPr="00A77951">
                <w:rPr>
                  <w:rStyle w:val="Hyperlink"/>
                  <w:rFonts w:ascii="Arial" w:hAnsi="Arial" w:cs="Arial"/>
                  <w:sz w:val="15"/>
                  <w:szCs w:val="15"/>
                </w:rPr>
                <w:t>10.3390/diagnostics12123045</w:t>
              </w:r>
            </w:hyperlink>
          </w:p>
        </w:tc>
        <w:tc>
          <w:tcPr>
            <w:tcW w:w="851" w:type="dxa"/>
          </w:tcPr>
          <w:p w14:paraId="1FF15056" w14:textId="3AAE98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07A3AAB1" w14:textId="75F9A8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CD80BAA" w14:textId="563163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744378B" w14:textId="22EC45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0F13D7F2" w14:textId="4C8372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influence of drainage suction in the surgical treatment of chronic subdural haemorrhage on the recurrence rate.</w:t>
            </w:r>
          </w:p>
        </w:tc>
        <w:tc>
          <w:tcPr>
            <w:tcW w:w="1134" w:type="dxa"/>
          </w:tcPr>
          <w:p w14:paraId="0750098D" w14:textId="69BBE36B" w:rsidR="006E5533" w:rsidRPr="00251EA9" w:rsidRDefault="006E5533" w:rsidP="006E5533">
            <w:pPr>
              <w:spacing w:line="360" w:lineRule="auto"/>
              <w:contextualSpacing/>
              <w:rPr>
                <w:rFonts w:ascii="Arial" w:hAnsi="Arial" w:cs="Arial"/>
                <w:sz w:val="15"/>
                <w:szCs w:val="15"/>
              </w:rPr>
            </w:pPr>
          </w:p>
        </w:tc>
        <w:tc>
          <w:tcPr>
            <w:tcW w:w="992" w:type="dxa"/>
          </w:tcPr>
          <w:p w14:paraId="248B2743" w14:textId="5B16F5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96E024B" w14:textId="1A94A2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C5ABFA0" w14:textId="604000A4" w:rsidR="006E5533" w:rsidRPr="00251EA9" w:rsidRDefault="006E5533" w:rsidP="006E5533">
            <w:pPr>
              <w:rPr>
                <w:rFonts w:ascii="Arial" w:hAnsi="Arial" w:cs="Arial"/>
                <w:sz w:val="15"/>
                <w:szCs w:val="15"/>
              </w:rPr>
            </w:pPr>
            <w:r w:rsidRPr="00251EA9">
              <w:rPr>
                <w:rFonts w:ascii="Arial" w:hAnsi="Arial" w:cs="Arial"/>
                <w:sz w:val="15"/>
                <w:szCs w:val="15"/>
              </w:rPr>
              <w:t>Surgical infections were significantly higher in the passive than in the active drain group.</w:t>
            </w:r>
          </w:p>
        </w:tc>
        <w:tc>
          <w:tcPr>
            <w:tcW w:w="1701" w:type="dxa"/>
          </w:tcPr>
          <w:p w14:paraId="207648CD" w14:textId="580C74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4B86FA6" w14:textId="77777777" w:rsidTr="00A77951">
        <w:trPr>
          <w:trHeight w:val="586"/>
        </w:trPr>
        <w:tc>
          <w:tcPr>
            <w:tcW w:w="992" w:type="dxa"/>
          </w:tcPr>
          <w:p w14:paraId="19E77FE1" w14:textId="5D201AE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Eichberg</w:t>
            </w:r>
            <w:proofErr w:type="spellEnd"/>
            <w:r w:rsidRPr="00251EA9">
              <w:rPr>
                <w:rFonts w:ascii="Arial" w:hAnsi="Arial" w:cs="Arial"/>
                <w:sz w:val="15"/>
                <w:szCs w:val="15"/>
              </w:rPr>
              <w:t xml:space="preserve"> D. et al., 2018</w:t>
            </w:r>
          </w:p>
        </w:tc>
        <w:tc>
          <w:tcPr>
            <w:tcW w:w="851" w:type="dxa"/>
          </w:tcPr>
          <w:p w14:paraId="27606DA8" w14:textId="6FB97452" w:rsidR="006E5533" w:rsidRPr="00A77951" w:rsidRDefault="006E5533" w:rsidP="006E5533">
            <w:pPr>
              <w:spacing w:line="360" w:lineRule="auto"/>
              <w:contextualSpacing/>
              <w:rPr>
                <w:rFonts w:ascii="Arial" w:hAnsi="Arial" w:cs="Arial"/>
                <w:sz w:val="15"/>
                <w:szCs w:val="15"/>
              </w:rPr>
            </w:pPr>
            <w:hyperlink r:id="rId113" w:history="1">
              <w:r w:rsidRPr="00A77951">
                <w:rPr>
                  <w:rStyle w:val="Hyperlink"/>
                  <w:rFonts w:ascii="Arial" w:hAnsi="Arial" w:cs="Arial"/>
                  <w:sz w:val="15"/>
                  <w:szCs w:val="15"/>
                </w:rPr>
                <w:t>10.1080/02688697.2018.1490943</w:t>
              </w:r>
            </w:hyperlink>
          </w:p>
        </w:tc>
        <w:tc>
          <w:tcPr>
            <w:tcW w:w="851" w:type="dxa"/>
          </w:tcPr>
          <w:p w14:paraId="6121946E" w14:textId="087275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0483AEB" w14:textId="2824BD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E0925FB" w14:textId="2908C4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002FB81" w14:textId="5A96E6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(Dural closure)</w:t>
            </w:r>
          </w:p>
        </w:tc>
        <w:tc>
          <w:tcPr>
            <w:tcW w:w="1843" w:type="dxa"/>
          </w:tcPr>
          <w:p w14:paraId="1D775E3B" w14:textId="27E55A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present the institution’s experience using dehydrated amniotic membrane allograft during dural closure in 155 patients.</w:t>
            </w:r>
          </w:p>
        </w:tc>
        <w:tc>
          <w:tcPr>
            <w:tcW w:w="1134" w:type="dxa"/>
          </w:tcPr>
          <w:p w14:paraId="0766B329" w14:textId="24C52F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09F3E871" w14:textId="35C934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D28E188" w14:textId="0B3DBD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4611E3C" w14:textId="3D4566AE" w:rsidR="006E5533" w:rsidRPr="00251EA9" w:rsidRDefault="006E5533" w:rsidP="006E5533">
            <w:pPr>
              <w:rPr>
                <w:rFonts w:ascii="Arial" w:hAnsi="Arial" w:cs="Arial"/>
                <w:sz w:val="15"/>
                <w:szCs w:val="15"/>
              </w:rPr>
            </w:pPr>
            <w:r w:rsidRPr="00251EA9">
              <w:rPr>
                <w:rFonts w:ascii="Arial" w:hAnsi="Arial" w:cs="Arial"/>
                <w:sz w:val="15"/>
                <w:szCs w:val="15"/>
              </w:rPr>
              <w:t xml:space="preserve">Reported 1 case of superficial wound infection requiring washout without craniectomy. </w:t>
            </w:r>
          </w:p>
        </w:tc>
        <w:tc>
          <w:tcPr>
            <w:tcW w:w="1701" w:type="dxa"/>
          </w:tcPr>
          <w:p w14:paraId="2CD1B924" w14:textId="2DAB1B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9FBAFC1" w14:textId="77777777" w:rsidTr="00A77951">
        <w:trPr>
          <w:trHeight w:val="586"/>
        </w:trPr>
        <w:tc>
          <w:tcPr>
            <w:tcW w:w="992" w:type="dxa"/>
          </w:tcPr>
          <w:p w14:paraId="3CAB6232" w14:textId="4038F4F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Ellens</w:t>
            </w:r>
            <w:proofErr w:type="spellEnd"/>
            <w:r w:rsidRPr="00251EA9">
              <w:rPr>
                <w:rFonts w:ascii="Arial" w:hAnsi="Arial" w:cs="Arial"/>
                <w:sz w:val="15"/>
                <w:szCs w:val="15"/>
              </w:rPr>
              <w:t xml:space="preserve"> N.R. et al., 2019</w:t>
            </w:r>
          </w:p>
        </w:tc>
        <w:tc>
          <w:tcPr>
            <w:tcW w:w="851" w:type="dxa"/>
          </w:tcPr>
          <w:p w14:paraId="05AA5DE5" w14:textId="38B06E97" w:rsidR="006E5533" w:rsidRPr="00A77951" w:rsidRDefault="006E5533" w:rsidP="006E5533">
            <w:pPr>
              <w:spacing w:line="360" w:lineRule="auto"/>
              <w:contextualSpacing/>
              <w:rPr>
                <w:rFonts w:ascii="Arial" w:hAnsi="Arial" w:cs="Arial"/>
                <w:sz w:val="15"/>
                <w:szCs w:val="15"/>
              </w:rPr>
            </w:pPr>
            <w:hyperlink r:id="rId114" w:history="1">
              <w:r w:rsidRPr="00A77951">
                <w:rPr>
                  <w:rStyle w:val="Hyperlink"/>
                  <w:rFonts w:ascii="Arial" w:hAnsi="Arial" w:cs="Arial"/>
                  <w:sz w:val="15"/>
                  <w:szCs w:val="15"/>
                </w:rPr>
                <w:t>0.1093/neuros/nyy090</w:t>
              </w:r>
            </w:hyperlink>
          </w:p>
        </w:tc>
        <w:tc>
          <w:tcPr>
            <w:tcW w:w="851" w:type="dxa"/>
          </w:tcPr>
          <w:p w14:paraId="15E2EC03" w14:textId="71898B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D84EC62" w14:textId="225661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F6D3568" w14:textId="32A972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BA6AD67" w14:textId="4F3745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1456FAFF" w14:textId="3125E8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accuracy and complication rates of midlevel practitioners and neurosurgeon EVD placement.</w:t>
            </w:r>
          </w:p>
        </w:tc>
        <w:tc>
          <w:tcPr>
            <w:tcW w:w="1134" w:type="dxa"/>
          </w:tcPr>
          <w:p w14:paraId="67E7D36A" w14:textId="721B3960" w:rsidR="006E5533" w:rsidRPr="00251EA9" w:rsidRDefault="006E5533" w:rsidP="006E5533">
            <w:pPr>
              <w:spacing w:line="360" w:lineRule="auto"/>
              <w:contextualSpacing/>
              <w:rPr>
                <w:rFonts w:ascii="Arial" w:hAnsi="Arial" w:cs="Arial"/>
                <w:sz w:val="15"/>
                <w:szCs w:val="15"/>
              </w:rPr>
            </w:pPr>
          </w:p>
        </w:tc>
        <w:tc>
          <w:tcPr>
            <w:tcW w:w="992" w:type="dxa"/>
          </w:tcPr>
          <w:p w14:paraId="43A66DFD" w14:textId="495CA8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2D64CA3" w14:textId="1FDAD1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Infection defined by positive CSF culture</w:t>
            </w:r>
          </w:p>
        </w:tc>
        <w:tc>
          <w:tcPr>
            <w:tcW w:w="2693" w:type="dxa"/>
          </w:tcPr>
          <w:p w14:paraId="5246FF3A" w14:textId="366F431E" w:rsidR="006E5533" w:rsidRPr="00251EA9" w:rsidRDefault="006E5533" w:rsidP="006E5533">
            <w:pPr>
              <w:rPr>
                <w:rFonts w:ascii="Arial" w:hAnsi="Arial" w:cs="Arial"/>
                <w:sz w:val="15"/>
                <w:szCs w:val="15"/>
              </w:rPr>
            </w:pPr>
            <w:r w:rsidRPr="00251EA9">
              <w:rPr>
                <w:rFonts w:ascii="Arial" w:hAnsi="Arial" w:cs="Arial"/>
                <w:sz w:val="15"/>
                <w:szCs w:val="15"/>
              </w:rPr>
              <w:t>No significant difference in infection rate between midlevel practitioners and neurosurgeon EVD placement.</w:t>
            </w:r>
          </w:p>
        </w:tc>
        <w:tc>
          <w:tcPr>
            <w:tcW w:w="1701" w:type="dxa"/>
          </w:tcPr>
          <w:p w14:paraId="08BA3123" w14:textId="5E7624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2DE566D" w14:textId="77777777" w:rsidTr="00A77951">
        <w:trPr>
          <w:trHeight w:val="586"/>
        </w:trPr>
        <w:tc>
          <w:tcPr>
            <w:tcW w:w="992" w:type="dxa"/>
          </w:tcPr>
          <w:p w14:paraId="2909F785" w14:textId="74BC3C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Elliott R.E. et al., 2013</w:t>
            </w:r>
          </w:p>
        </w:tc>
        <w:tc>
          <w:tcPr>
            <w:tcW w:w="851" w:type="dxa"/>
          </w:tcPr>
          <w:p w14:paraId="1047E16E" w14:textId="638F79FC" w:rsidR="006E5533" w:rsidRPr="00A77951" w:rsidRDefault="006E5533" w:rsidP="006E5533">
            <w:pPr>
              <w:spacing w:line="360" w:lineRule="auto"/>
              <w:contextualSpacing/>
              <w:rPr>
                <w:rFonts w:ascii="Arial" w:hAnsi="Arial" w:cs="Arial"/>
                <w:sz w:val="15"/>
                <w:szCs w:val="15"/>
              </w:rPr>
            </w:pPr>
            <w:hyperlink r:id="rId115" w:history="1">
              <w:r w:rsidRPr="00A77951">
                <w:rPr>
                  <w:rStyle w:val="Hyperlink"/>
                  <w:rFonts w:ascii="Arial" w:hAnsi="Arial" w:cs="Arial"/>
                  <w:sz w:val="15"/>
                  <w:szCs w:val="15"/>
                </w:rPr>
                <w:t>10.3171/2013.</w:t>
              </w:r>
              <w:proofErr w:type="gramStart"/>
              <w:r w:rsidRPr="00A77951">
                <w:rPr>
                  <w:rStyle w:val="Hyperlink"/>
                  <w:rFonts w:ascii="Arial" w:hAnsi="Arial" w:cs="Arial"/>
                  <w:sz w:val="15"/>
                  <w:szCs w:val="15"/>
                </w:rPr>
                <w:t>4.JNS</w:t>
              </w:r>
              <w:proofErr w:type="gramEnd"/>
              <w:r w:rsidRPr="00A77951">
                <w:rPr>
                  <w:rStyle w:val="Hyperlink"/>
                  <w:rFonts w:ascii="Arial" w:hAnsi="Arial" w:cs="Arial"/>
                  <w:sz w:val="15"/>
                  <w:szCs w:val="15"/>
                </w:rPr>
                <w:t>121829</w:t>
              </w:r>
            </w:hyperlink>
          </w:p>
        </w:tc>
        <w:tc>
          <w:tcPr>
            <w:tcW w:w="851" w:type="dxa"/>
          </w:tcPr>
          <w:p w14:paraId="7E696196" w14:textId="0A44EC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BD1A125" w14:textId="2328C5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41FC06A" w14:textId="0B28D3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1257048" w14:textId="771B85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45168D3" w14:textId="069C62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identify preoperative variables that predict long-term seizure freedom among patients with mesial temporal sclerosis after single-stage anterior temporal lobectomy and amygdalohippocampectomy. </w:t>
            </w:r>
          </w:p>
        </w:tc>
        <w:tc>
          <w:tcPr>
            <w:tcW w:w="1134" w:type="dxa"/>
          </w:tcPr>
          <w:p w14:paraId="022F4B6F" w14:textId="066C0F43" w:rsidR="006E5533" w:rsidRPr="00251EA9" w:rsidRDefault="006E5533" w:rsidP="006E5533">
            <w:pPr>
              <w:spacing w:line="360" w:lineRule="auto"/>
              <w:contextualSpacing/>
              <w:rPr>
                <w:rFonts w:ascii="Arial" w:hAnsi="Arial" w:cs="Arial"/>
                <w:sz w:val="15"/>
                <w:szCs w:val="15"/>
              </w:rPr>
            </w:pPr>
          </w:p>
        </w:tc>
        <w:tc>
          <w:tcPr>
            <w:tcW w:w="992" w:type="dxa"/>
          </w:tcPr>
          <w:p w14:paraId="6B6DA090" w14:textId="4742B5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7B599D7" w14:textId="133C87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CDBC2AB" w14:textId="0885F6B3" w:rsidR="006E5533" w:rsidRPr="00251EA9" w:rsidRDefault="006E5533" w:rsidP="006E5533">
            <w:pPr>
              <w:rPr>
                <w:rFonts w:ascii="Arial" w:hAnsi="Arial" w:cs="Arial"/>
                <w:sz w:val="15"/>
                <w:szCs w:val="15"/>
              </w:rPr>
            </w:pPr>
            <w:r w:rsidRPr="00251EA9">
              <w:rPr>
                <w:rFonts w:ascii="Arial" w:hAnsi="Arial" w:cs="Arial"/>
                <w:sz w:val="15"/>
                <w:szCs w:val="15"/>
              </w:rPr>
              <w:t>1 patient had an infection requiring bone flap removal.</w:t>
            </w:r>
          </w:p>
        </w:tc>
        <w:tc>
          <w:tcPr>
            <w:tcW w:w="1701" w:type="dxa"/>
          </w:tcPr>
          <w:p w14:paraId="55C7F3BC" w14:textId="76BC0B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2071091" w14:textId="77777777" w:rsidTr="00A77951">
        <w:trPr>
          <w:trHeight w:val="586"/>
        </w:trPr>
        <w:tc>
          <w:tcPr>
            <w:tcW w:w="992" w:type="dxa"/>
          </w:tcPr>
          <w:p w14:paraId="1F47C176" w14:textId="59AF9B1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Elsamadicy</w:t>
            </w:r>
            <w:proofErr w:type="spellEnd"/>
            <w:r w:rsidRPr="00251EA9">
              <w:rPr>
                <w:rFonts w:ascii="Arial" w:hAnsi="Arial" w:cs="Arial"/>
                <w:sz w:val="15"/>
                <w:szCs w:val="15"/>
              </w:rPr>
              <w:t xml:space="preserve"> A.A. et al., 2018</w:t>
            </w:r>
          </w:p>
        </w:tc>
        <w:tc>
          <w:tcPr>
            <w:tcW w:w="851" w:type="dxa"/>
          </w:tcPr>
          <w:p w14:paraId="0107E455" w14:textId="12479E4D" w:rsidR="006E5533" w:rsidRPr="00A77951" w:rsidRDefault="006E5533" w:rsidP="006E5533">
            <w:pPr>
              <w:spacing w:line="360" w:lineRule="auto"/>
              <w:contextualSpacing/>
              <w:rPr>
                <w:rFonts w:ascii="Arial" w:hAnsi="Arial" w:cs="Arial"/>
                <w:sz w:val="15"/>
                <w:szCs w:val="15"/>
              </w:rPr>
            </w:pPr>
            <w:hyperlink r:id="rId116" w:history="1">
              <w:r w:rsidRPr="00A77951">
                <w:rPr>
                  <w:rStyle w:val="Hyperlink"/>
                  <w:rFonts w:ascii="Arial" w:hAnsi="Arial" w:cs="Arial"/>
                  <w:sz w:val="15"/>
                  <w:szCs w:val="15"/>
                </w:rPr>
                <w:t>10.1016/j.jocn.2017.09.021</w:t>
              </w:r>
            </w:hyperlink>
          </w:p>
        </w:tc>
        <w:tc>
          <w:tcPr>
            <w:tcW w:w="851" w:type="dxa"/>
          </w:tcPr>
          <w:p w14:paraId="1ED57BD3" w14:textId="1C8A60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EFC0AB7" w14:textId="6A8232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634101C" w14:textId="18CA1C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65ABEF1" w14:textId="0E3502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525BE2F0" w14:textId="2CD89A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drivers of 30-day unplanned readmission in consecutive patients undergoing craniotomies and craniectomies.</w:t>
            </w:r>
          </w:p>
        </w:tc>
        <w:tc>
          <w:tcPr>
            <w:tcW w:w="1134" w:type="dxa"/>
          </w:tcPr>
          <w:p w14:paraId="2A1E04A7" w14:textId="4BFECBD2" w:rsidR="006E5533" w:rsidRPr="00251EA9" w:rsidRDefault="006E5533" w:rsidP="006E5533">
            <w:pPr>
              <w:spacing w:line="360" w:lineRule="auto"/>
              <w:contextualSpacing/>
              <w:rPr>
                <w:rFonts w:ascii="Arial" w:hAnsi="Arial" w:cs="Arial"/>
                <w:sz w:val="15"/>
                <w:szCs w:val="15"/>
              </w:rPr>
            </w:pPr>
          </w:p>
        </w:tc>
        <w:tc>
          <w:tcPr>
            <w:tcW w:w="992" w:type="dxa"/>
          </w:tcPr>
          <w:p w14:paraId="5CA550FC" w14:textId="69AE90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D20B6FA" w14:textId="0797F6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B187014" w14:textId="44ACA9C5" w:rsidR="006E5533" w:rsidRPr="00251EA9" w:rsidRDefault="006E5533" w:rsidP="006E5533">
            <w:pPr>
              <w:rPr>
                <w:rFonts w:ascii="Arial" w:hAnsi="Arial" w:cs="Arial"/>
                <w:sz w:val="15"/>
                <w:szCs w:val="15"/>
              </w:rPr>
            </w:pPr>
            <w:r w:rsidRPr="00251EA9">
              <w:rPr>
                <w:rFonts w:ascii="Arial" w:hAnsi="Arial" w:cs="Arial"/>
                <w:sz w:val="15"/>
                <w:szCs w:val="15"/>
              </w:rPr>
              <w:t>4.9% wound infection reported.</w:t>
            </w:r>
          </w:p>
        </w:tc>
        <w:tc>
          <w:tcPr>
            <w:tcW w:w="1701" w:type="dxa"/>
          </w:tcPr>
          <w:p w14:paraId="7390B89B" w14:textId="4118829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059DB6F" w14:textId="77777777" w:rsidTr="00A77951">
        <w:trPr>
          <w:trHeight w:val="586"/>
        </w:trPr>
        <w:tc>
          <w:tcPr>
            <w:tcW w:w="992" w:type="dxa"/>
          </w:tcPr>
          <w:p w14:paraId="5F511DC5" w14:textId="0AC0E2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Elward A. et al., 2015</w:t>
            </w:r>
          </w:p>
        </w:tc>
        <w:tc>
          <w:tcPr>
            <w:tcW w:w="851" w:type="dxa"/>
          </w:tcPr>
          <w:p w14:paraId="762283E3" w14:textId="6090BD12" w:rsidR="006E5533" w:rsidRPr="00A77951" w:rsidRDefault="006E5533" w:rsidP="006E5533">
            <w:pPr>
              <w:spacing w:line="360" w:lineRule="auto"/>
              <w:contextualSpacing/>
              <w:rPr>
                <w:rFonts w:ascii="Arial" w:hAnsi="Arial" w:cs="Arial"/>
                <w:sz w:val="15"/>
                <w:szCs w:val="15"/>
              </w:rPr>
            </w:pPr>
            <w:hyperlink r:id="rId117" w:history="1">
              <w:r w:rsidRPr="00A77951">
                <w:rPr>
                  <w:rStyle w:val="Hyperlink"/>
                  <w:rFonts w:ascii="Arial" w:hAnsi="Arial" w:cs="Arial"/>
                  <w:sz w:val="15"/>
                  <w:szCs w:val="15"/>
                </w:rPr>
                <w:t>10.1097/INF.0000000000000889</w:t>
              </w:r>
            </w:hyperlink>
          </w:p>
        </w:tc>
        <w:tc>
          <w:tcPr>
            <w:tcW w:w="851" w:type="dxa"/>
          </w:tcPr>
          <w:p w14:paraId="45F00315" w14:textId="1D7378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3B30CE1" w14:textId="7A3557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701DBD2" w14:textId="6FD0D2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Paediatrics</w:t>
            </w:r>
          </w:p>
        </w:tc>
        <w:tc>
          <w:tcPr>
            <w:tcW w:w="1276" w:type="dxa"/>
          </w:tcPr>
          <w:p w14:paraId="0D5AD717" w14:textId="2AE440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Paediatrics</w:t>
            </w:r>
          </w:p>
        </w:tc>
        <w:tc>
          <w:tcPr>
            <w:tcW w:w="1843" w:type="dxa"/>
          </w:tcPr>
          <w:p w14:paraId="70FA51FD" w14:textId="665E82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The aim of this study is to determine risk factors for SSI among paediatric patients undergoing craniotomy and spinal fusion.</w:t>
            </w:r>
          </w:p>
        </w:tc>
        <w:tc>
          <w:tcPr>
            <w:tcW w:w="1134" w:type="dxa"/>
          </w:tcPr>
          <w:p w14:paraId="4E283F6F"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9166E25" w14:textId="4630E3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C8C8610" w14:textId="0F745D1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Centers</w:t>
            </w:r>
            <w:proofErr w:type="spellEnd"/>
            <w:r w:rsidRPr="00251EA9">
              <w:rPr>
                <w:rFonts w:ascii="Arial" w:hAnsi="Arial" w:cs="Arial"/>
                <w:sz w:val="15"/>
                <w:szCs w:val="15"/>
              </w:rPr>
              <w:t xml:space="preserve"> for Disease Control and Prevention/ National Healthcare Safety Network Surveillance definitions</w:t>
            </w:r>
          </w:p>
        </w:tc>
        <w:tc>
          <w:tcPr>
            <w:tcW w:w="2693" w:type="dxa"/>
          </w:tcPr>
          <w:p w14:paraId="66000122" w14:textId="3EC2CA46" w:rsidR="006E5533" w:rsidRPr="00251EA9" w:rsidRDefault="006E5533" w:rsidP="006E5533">
            <w:pPr>
              <w:rPr>
                <w:rFonts w:ascii="Arial" w:hAnsi="Arial" w:cs="Arial"/>
                <w:sz w:val="15"/>
                <w:szCs w:val="15"/>
              </w:rPr>
            </w:pPr>
            <w:r w:rsidRPr="00251EA9">
              <w:rPr>
                <w:rFonts w:ascii="Arial" w:hAnsi="Arial" w:cs="Arial"/>
                <w:sz w:val="15"/>
                <w:szCs w:val="15"/>
              </w:rPr>
              <w:t>Previous craniotomy, longer procedure duration, longer interval between antibiotic administration and</w:t>
            </w:r>
            <w:r w:rsidRPr="00251EA9">
              <w:rPr>
                <w:rFonts w:ascii="Arial" w:hAnsi="Arial" w:cs="Arial"/>
                <w:sz w:val="15"/>
                <w:szCs w:val="15"/>
              </w:rPr>
              <w:br/>
              <w:t xml:space="preserve">incision and a longer interval to antibiotic redosing were associated with an increased risk of craniotomy SSI. </w:t>
            </w:r>
          </w:p>
        </w:tc>
        <w:tc>
          <w:tcPr>
            <w:tcW w:w="1701" w:type="dxa"/>
          </w:tcPr>
          <w:p w14:paraId="29384FCB" w14:textId="34BF67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2503CC7" w14:textId="77777777" w:rsidTr="00A77951">
        <w:trPr>
          <w:trHeight w:val="586"/>
        </w:trPr>
        <w:tc>
          <w:tcPr>
            <w:tcW w:w="992" w:type="dxa"/>
          </w:tcPr>
          <w:p w14:paraId="25181440" w14:textId="4AF36A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Engelhardt M. et al., 2005</w:t>
            </w:r>
          </w:p>
        </w:tc>
        <w:tc>
          <w:tcPr>
            <w:tcW w:w="851" w:type="dxa"/>
          </w:tcPr>
          <w:p w14:paraId="6DC11B0E" w14:textId="2BB25839" w:rsidR="006E5533" w:rsidRPr="00A77951" w:rsidRDefault="006E5533" w:rsidP="006E5533">
            <w:pPr>
              <w:spacing w:line="360" w:lineRule="auto"/>
              <w:contextualSpacing/>
              <w:rPr>
                <w:rFonts w:ascii="Arial" w:hAnsi="Arial" w:cs="Arial"/>
                <w:sz w:val="15"/>
                <w:szCs w:val="15"/>
              </w:rPr>
            </w:pPr>
            <w:hyperlink r:id="rId118" w:history="1">
              <w:r w:rsidRPr="00A77951">
                <w:rPr>
                  <w:rStyle w:val="Hyperlink"/>
                  <w:rFonts w:ascii="Arial" w:hAnsi="Arial" w:cs="Arial"/>
                  <w:sz w:val="15"/>
                  <w:szCs w:val="15"/>
                </w:rPr>
                <w:t>10.1055/s-2005-836476</w:t>
              </w:r>
            </w:hyperlink>
          </w:p>
        </w:tc>
        <w:tc>
          <w:tcPr>
            <w:tcW w:w="851" w:type="dxa"/>
          </w:tcPr>
          <w:p w14:paraId="27CDAF06" w14:textId="328533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18C02F81" w14:textId="665754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1FEB35CA" w14:textId="66D108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D7B5CA1" w14:textId="52DD41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209D4297" w14:textId="095E4A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predisposing factors</w:t>
            </w:r>
            <w:r w:rsidRPr="00251EA9">
              <w:rPr>
                <w:rFonts w:ascii="Arial" w:hAnsi="Arial" w:cs="Arial"/>
                <w:sz w:val="15"/>
                <w:szCs w:val="15"/>
              </w:rPr>
              <w:br/>
              <w:t xml:space="preserve">for dural tears during trepanation </w:t>
            </w:r>
            <w:proofErr w:type="gramStart"/>
            <w:r w:rsidRPr="00251EA9">
              <w:rPr>
                <w:rFonts w:ascii="Arial" w:hAnsi="Arial" w:cs="Arial"/>
                <w:sz w:val="15"/>
                <w:szCs w:val="15"/>
              </w:rPr>
              <w:t>in order to</w:t>
            </w:r>
            <w:proofErr w:type="gramEnd"/>
            <w:r w:rsidRPr="00251EA9">
              <w:rPr>
                <w:rFonts w:ascii="Arial" w:hAnsi="Arial" w:cs="Arial"/>
                <w:sz w:val="15"/>
                <w:szCs w:val="15"/>
              </w:rPr>
              <w:t xml:space="preserve"> optimise the design</w:t>
            </w:r>
            <w:r w:rsidRPr="00251EA9">
              <w:rPr>
                <w:rFonts w:ascii="Arial" w:hAnsi="Arial" w:cs="Arial"/>
                <w:sz w:val="15"/>
                <w:szCs w:val="15"/>
              </w:rPr>
              <w:br/>
              <w:t>of a robot-assisted trepanation system.</w:t>
            </w:r>
          </w:p>
        </w:tc>
        <w:tc>
          <w:tcPr>
            <w:tcW w:w="1134" w:type="dxa"/>
          </w:tcPr>
          <w:p w14:paraId="4C1053E0" w14:textId="7CAF2473" w:rsidR="006E5533" w:rsidRPr="00251EA9" w:rsidRDefault="006E5533" w:rsidP="006E5533">
            <w:pPr>
              <w:spacing w:line="360" w:lineRule="auto"/>
              <w:contextualSpacing/>
              <w:rPr>
                <w:rFonts w:ascii="Arial" w:hAnsi="Arial" w:cs="Arial"/>
                <w:sz w:val="15"/>
                <w:szCs w:val="15"/>
              </w:rPr>
            </w:pPr>
          </w:p>
        </w:tc>
        <w:tc>
          <w:tcPr>
            <w:tcW w:w="992" w:type="dxa"/>
          </w:tcPr>
          <w:p w14:paraId="296E9AFB" w14:textId="4A8090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33C6A86" w14:textId="289CC5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FCF5A45" w14:textId="55AAEFCA" w:rsidR="006E5533" w:rsidRPr="00251EA9" w:rsidRDefault="006E5533" w:rsidP="006E5533">
            <w:pPr>
              <w:rPr>
                <w:rFonts w:ascii="Arial" w:hAnsi="Arial" w:cs="Arial"/>
                <w:sz w:val="15"/>
                <w:szCs w:val="15"/>
              </w:rPr>
            </w:pPr>
            <w:r w:rsidRPr="00251EA9">
              <w:rPr>
                <w:rFonts w:ascii="Arial" w:hAnsi="Arial" w:cs="Arial"/>
                <w:sz w:val="15"/>
                <w:szCs w:val="15"/>
              </w:rPr>
              <w:t>Postoperative cerebral fluid leakage was seen</w:t>
            </w:r>
            <w:r w:rsidRPr="00251EA9">
              <w:rPr>
                <w:rFonts w:ascii="Arial" w:hAnsi="Arial" w:cs="Arial"/>
                <w:sz w:val="15"/>
                <w:szCs w:val="15"/>
              </w:rPr>
              <w:br/>
              <w:t>in two patients, wound infections occurred in three patients.</w:t>
            </w:r>
          </w:p>
        </w:tc>
        <w:tc>
          <w:tcPr>
            <w:tcW w:w="1701" w:type="dxa"/>
          </w:tcPr>
          <w:p w14:paraId="20C6B666" w14:textId="292D0D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155B3E5" w14:textId="77777777" w:rsidTr="00A77951">
        <w:trPr>
          <w:trHeight w:val="586"/>
        </w:trPr>
        <w:tc>
          <w:tcPr>
            <w:tcW w:w="992" w:type="dxa"/>
          </w:tcPr>
          <w:p w14:paraId="407ABAD1" w14:textId="46C172F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Englot</w:t>
            </w:r>
            <w:proofErr w:type="spellEnd"/>
            <w:r w:rsidRPr="00251EA9">
              <w:rPr>
                <w:rFonts w:ascii="Arial" w:hAnsi="Arial" w:cs="Arial"/>
                <w:sz w:val="15"/>
                <w:szCs w:val="15"/>
              </w:rPr>
              <w:t xml:space="preserve"> D.J. et al., 2014</w:t>
            </w:r>
          </w:p>
        </w:tc>
        <w:tc>
          <w:tcPr>
            <w:tcW w:w="851" w:type="dxa"/>
          </w:tcPr>
          <w:p w14:paraId="0E13E503" w14:textId="73EF3FC5" w:rsidR="006E5533" w:rsidRPr="00A77951" w:rsidRDefault="006E5533" w:rsidP="006E5533">
            <w:pPr>
              <w:spacing w:line="360" w:lineRule="auto"/>
              <w:contextualSpacing/>
              <w:rPr>
                <w:rFonts w:ascii="Arial" w:hAnsi="Arial" w:cs="Arial"/>
                <w:sz w:val="15"/>
                <w:szCs w:val="15"/>
              </w:rPr>
            </w:pPr>
            <w:hyperlink r:id="rId119"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7.PEDS</w:t>
              </w:r>
              <w:proofErr w:type="gramEnd"/>
              <w:r w:rsidRPr="00A77951">
                <w:rPr>
                  <w:rStyle w:val="Hyperlink"/>
                  <w:rFonts w:ascii="Arial" w:hAnsi="Arial" w:cs="Arial"/>
                  <w:sz w:val="15"/>
                  <w:szCs w:val="15"/>
                </w:rPr>
                <w:t>13658</w:t>
              </w:r>
            </w:hyperlink>
          </w:p>
        </w:tc>
        <w:tc>
          <w:tcPr>
            <w:tcW w:w="851" w:type="dxa"/>
          </w:tcPr>
          <w:p w14:paraId="3F5DC927" w14:textId="09A2F5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BFAC639" w14:textId="60ED80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E931F26" w14:textId="689601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5D1EAF3F" w14:textId="54979A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7D35F7CC" w14:textId="16720E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factors associated with persistent seizures after surgery to better understand the reasons for surgical failures in this population, and to help guide treatment strategies going forward.</w:t>
            </w:r>
          </w:p>
        </w:tc>
        <w:tc>
          <w:tcPr>
            <w:tcW w:w="1134" w:type="dxa"/>
          </w:tcPr>
          <w:p w14:paraId="1A704D3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14FE803" w14:textId="5659D3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184A689" w14:textId="217E42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8F5C1BD" w14:textId="5B24FCDF" w:rsidR="006E5533" w:rsidRPr="00251EA9" w:rsidRDefault="006E5533" w:rsidP="006E5533">
            <w:pPr>
              <w:rPr>
                <w:rFonts w:ascii="Arial" w:hAnsi="Arial" w:cs="Arial"/>
                <w:sz w:val="15"/>
                <w:szCs w:val="15"/>
              </w:rPr>
            </w:pPr>
            <w:r w:rsidRPr="00251EA9">
              <w:rPr>
                <w:rFonts w:ascii="Arial" w:hAnsi="Arial" w:cs="Arial"/>
                <w:sz w:val="15"/>
                <w:szCs w:val="15"/>
              </w:rPr>
              <w:t>2 wound infections occurred out of 115 surgeries.</w:t>
            </w:r>
          </w:p>
        </w:tc>
        <w:tc>
          <w:tcPr>
            <w:tcW w:w="1701" w:type="dxa"/>
          </w:tcPr>
          <w:p w14:paraId="3716660C" w14:textId="3D8891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D35435D" w14:textId="77777777" w:rsidTr="00A77951">
        <w:trPr>
          <w:trHeight w:val="586"/>
        </w:trPr>
        <w:tc>
          <w:tcPr>
            <w:tcW w:w="992" w:type="dxa"/>
          </w:tcPr>
          <w:p w14:paraId="6BFE3642" w14:textId="3230D63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Ening</w:t>
            </w:r>
            <w:proofErr w:type="spellEnd"/>
            <w:r w:rsidRPr="00251EA9">
              <w:rPr>
                <w:rFonts w:ascii="Arial" w:hAnsi="Arial" w:cs="Arial"/>
                <w:sz w:val="15"/>
                <w:szCs w:val="15"/>
              </w:rPr>
              <w:t xml:space="preserve"> G. et al., 2015</w:t>
            </w:r>
          </w:p>
        </w:tc>
        <w:tc>
          <w:tcPr>
            <w:tcW w:w="851" w:type="dxa"/>
          </w:tcPr>
          <w:p w14:paraId="7C7C38FD" w14:textId="3C6E6A31" w:rsidR="006E5533" w:rsidRPr="00A77951" w:rsidRDefault="006E5533" w:rsidP="006E5533">
            <w:pPr>
              <w:spacing w:line="360" w:lineRule="auto"/>
              <w:contextualSpacing/>
              <w:rPr>
                <w:rFonts w:ascii="Arial" w:hAnsi="Arial" w:cs="Arial"/>
                <w:sz w:val="15"/>
                <w:szCs w:val="15"/>
              </w:rPr>
            </w:pPr>
            <w:hyperlink r:id="rId120" w:history="1">
              <w:r w:rsidRPr="00A77951">
                <w:rPr>
                  <w:rStyle w:val="Hyperlink"/>
                  <w:rFonts w:ascii="Arial" w:hAnsi="Arial" w:cs="Arial"/>
                  <w:sz w:val="15"/>
                  <w:szCs w:val="15"/>
                </w:rPr>
                <w:t>10.1016/j.clineuro.2015.01.006</w:t>
              </w:r>
            </w:hyperlink>
          </w:p>
        </w:tc>
        <w:tc>
          <w:tcPr>
            <w:tcW w:w="851" w:type="dxa"/>
          </w:tcPr>
          <w:p w14:paraId="1274663C" w14:textId="7E08BA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1682C0C6" w14:textId="33938C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12A2F84" w14:textId="1055EF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A6DAEA6" w14:textId="483FF6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CD1EC06" w14:textId="4F20D7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treatment associated complications, evaluating the impact on survival and defining risk factors.</w:t>
            </w:r>
          </w:p>
        </w:tc>
        <w:tc>
          <w:tcPr>
            <w:tcW w:w="1134" w:type="dxa"/>
          </w:tcPr>
          <w:p w14:paraId="3C58743A" w14:textId="66165479" w:rsidR="006E5533" w:rsidRPr="00251EA9" w:rsidRDefault="006E5533" w:rsidP="006E5533">
            <w:pPr>
              <w:spacing w:line="360" w:lineRule="auto"/>
              <w:contextualSpacing/>
              <w:rPr>
                <w:rFonts w:ascii="Arial" w:hAnsi="Arial" w:cs="Arial"/>
                <w:sz w:val="15"/>
                <w:szCs w:val="15"/>
              </w:rPr>
            </w:pPr>
          </w:p>
        </w:tc>
        <w:tc>
          <w:tcPr>
            <w:tcW w:w="992" w:type="dxa"/>
          </w:tcPr>
          <w:p w14:paraId="286FAAF1" w14:textId="42FA33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EFD992B" w14:textId="355E52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1E9FA9C" w14:textId="5893FD7A" w:rsidR="006E5533" w:rsidRPr="00251EA9" w:rsidRDefault="006E5533" w:rsidP="006E5533">
            <w:pPr>
              <w:rPr>
                <w:rFonts w:ascii="Arial" w:hAnsi="Arial" w:cs="Arial"/>
                <w:sz w:val="15"/>
                <w:szCs w:val="15"/>
              </w:rPr>
            </w:pPr>
            <w:r w:rsidRPr="00251EA9">
              <w:rPr>
                <w:rFonts w:ascii="Arial" w:hAnsi="Arial" w:cs="Arial"/>
                <w:sz w:val="15"/>
                <w:szCs w:val="15"/>
              </w:rPr>
              <w:t>Reported 10 wound infections in total.</w:t>
            </w:r>
          </w:p>
        </w:tc>
        <w:tc>
          <w:tcPr>
            <w:tcW w:w="1701" w:type="dxa"/>
          </w:tcPr>
          <w:p w14:paraId="48401367" w14:textId="29E6C1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01195F1" w14:textId="77777777" w:rsidTr="00A77951">
        <w:trPr>
          <w:trHeight w:val="586"/>
        </w:trPr>
        <w:tc>
          <w:tcPr>
            <w:tcW w:w="992" w:type="dxa"/>
          </w:tcPr>
          <w:p w14:paraId="415A238E" w14:textId="514015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Estes E.M. et al., 2023</w:t>
            </w:r>
          </w:p>
        </w:tc>
        <w:tc>
          <w:tcPr>
            <w:tcW w:w="851" w:type="dxa"/>
          </w:tcPr>
          <w:p w14:paraId="468AFFF0" w14:textId="72ECBCEE" w:rsidR="006E5533" w:rsidRPr="00A77951" w:rsidRDefault="006E5533" w:rsidP="006E5533">
            <w:pPr>
              <w:spacing w:line="360" w:lineRule="auto"/>
              <w:contextualSpacing/>
              <w:rPr>
                <w:rFonts w:ascii="Arial" w:hAnsi="Arial" w:cs="Arial"/>
                <w:sz w:val="15"/>
                <w:szCs w:val="15"/>
              </w:rPr>
            </w:pPr>
            <w:hyperlink r:id="rId121" w:history="1">
              <w:r w:rsidRPr="00A77951">
                <w:rPr>
                  <w:rStyle w:val="Hyperlink"/>
                  <w:rFonts w:ascii="Arial" w:hAnsi="Arial" w:cs="Arial"/>
                  <w:sz w:val="15"/>
                  <w:szCs w:val="15"/>
                </w:rPr>
                <w:t>10.1016/j.clineuro.2023.107864</w:t>
              </w:r>
            </w:hyperlink>
          </w:p>
        </w:tc>
        <w:tc>
          <w:tcPr>
            <w:tcW w:w="851" w:type="dxa"/>
          </w:tcPr>
          <w:p w14:paraId="3A12E709" w14:textId="671DCC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236260E" w14:textId="6BEEF0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25E9C22" w14:textId="2496AF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298B546" w14:textId="2245A82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276EFEA5" w14:textId="69F057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use a large national registry to evaluate the effect of frailty on postoperative outcomes of patients undergoing epilepsy surgery.</w:t>
            </w:r>
          </w:p>
        </w:tc>
        <w:tc>
          <w:tcPr>
            <w:tcW w:w="1134" w:type="dxa"/>
          </w:tcPr>
          <w:p w14:paraId="682BCCF7" w14:textId="01B39A2D" w:rsidR="006E5533" w:rsidRPr="00251EA9" w:rsidRDefault="006E5533" w:rsidP="006E5533">
            <w:pPr>
              <w:spacing w:line="360" w:lineRule="auto"/>
              <w:contextualSpacing/>
              <w:rPr>
                <w:rFonts w:ascii="Arial" w:hAnsi="Arial" w:cs="Arial"/>
                <w:sz w:val="15"/>
                <w:szCs w:val="15"/>
              </w:rPr>
            </w:pPr>
          </w:p>
        </w:tc>
        <w:tc>
          <w:tcPr>
            <w:tcW w:w="992" w:type="dxa"/>
          </w:tcPr>
          <w:p w14:paraId="73631571" w14:textId="782E97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B3A779A" w14:textId="1936E2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D0B29FC" w14:textId="33F6F0A9" w:rsidR="006E5533" w:rsidRPr="00251EA9" w:rsidRDefault="006E5533" w:rsidP="006E5533">
            <w:pPr>
              <w:rPr>
                <w:rFonts w:ascii="Arial" w:hAnsi="Arial" w:cs="Arial"/>
                <w:sz w:val="15"/>
                <w:szCs w:val="15"/>
              </w:rPr>
            </w:pPr>
            <w:r w:rsidRPr="00251EA9">
              <w:rPr>
                <w:rFonts w:ascii="Arial" w:hAnsi="Arial" w:cs="Arial"/>
                <w:sz w:val="15"/>
                <w:szCs w:val="15"/>
              </w:rPr>
              <w:t xml:space="preserve">18 cases of SSI observed. </w:t>
            </w:r>
          </w:p>
        </w:tc>
        <w:tc>
          <w:tcPr>
            <w:tcW w:w="1701" w:type="dxa"/>
          </w:tcPr>
          <w:p w14:paraId="4056769F" w14:textId="4C3395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2BA52B4" w14:textId="77777777" w:rsidTr="00A77951">
        <w:trPr>
          <w:trHeight w:val="586"/>
        </w:trPr>
        <w:tc>
          <w:tcPr>
            <w:tcW w:w="992" w:type="dxa"/>
          </w:tcPr>
          <w:p w14:paraId="238F57A5" w14:textId="3BD5306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Falowski</w:t>
            </w:r>
            <w:proofErr w:type="spellEnd"/>
            <w:r w:rsidRPr="00251EA9">
              <w:rPr>
                <w:rFonts w:ascii="Arial" w:hAnsi="Arial" w:cs="Arial"/>
                <w:sz w:val="15"/>
                <w:szCs w:val="15"/>
              </w:rPr>
              <w:t xml:space="preserve"> S. et al., 2012</w:t>
            </w:r>
          </w:p>
        </w:tc>
        <w:tc>
          <w:tcPr>
            <w:tcW w:w="851" w:type="dxa"/>
          </w:tcPr>
          <w:p w14:paraId="7FC184DB" w14:textId="7F18DC36" w:rsidR="006E5533" w:rsidRPr="00A77951" w:rsidRDefault="006E5533" w:rsidP="006E5533">
            <w:pPr>
              <w:spacing w:line="360" w:lineRule="auto"/>
              <w:contextualSpacing/>
              <w:rPr>
                <w:rFonts w:ascii="Arial" w:hAnsi="Arial" w:cs="Arial"/>
                <w:sz w:val="15"/>
                <w:szCs w:val="15"/>
              </w:rPr>
            </w:pPr>
            <w:hyperlink r:id="rId122" w:history="1">
              <w:r w:rsidRPr="00A77951">
                <w:rPr>
                  <w:rStyle w:val="Hyperlink"/>
                  <w:rFonts w:ascii="Arial" w:hAnsi="Arial" w:cs="Arial"/>
                  <w:sz w:val="15"/>
                  <w:szCs w:val="15"/>
                </w:rPr>
                <w:t>10.1159/000338254</w:t>
              </w:r>
            </w:hyperlink>
          </w:p>
        </w:tc>
        <w:tc>
          <w:tcPr>
            <w:tcW w:w="851" w:type="dxa"/>
          </w:tcPr>
          <w:p w14:paraId="4D221F92" w14:textId="316710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121FA95" w14:textId="58BFED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F96F819" w14:textId="2F7905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B8CC58" w14:textId="17399F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15843027" w14:textId="342D18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hardware complications based on patient diagnosis and lead location.</w:t>
            </w:r>
          </w:p>
        </w:tc>
        <w:tc>
          <w:tcPr>
            <w:tcW w:w="1134" w:type="dxa"/>
          </w:tcPr>
          <w:p w14:paraId="0B37F607" w14:textId="41060B0F" w:rsidR="006E5533" w:rsidRPr="00251EA9" w:rsidRDefault="006E5533" w:rsidP="006E5533">
            <w:pPr>
              <w:spacing w:line="360" w:lineRule="auto"/>
              <w:contextualSpacing/>
              <w:rPr>
                <w:rFonts w:ascii="Arial" w:hAnsi="Arial" w:cs="Arial"/>
                <w:sz w:val="15"/>
                <w:szCs w:val="15"/>
              </w:rPr>
            </w:pPr>
          </w:p>
        </w:tc>
        <w:tc>
          <w:tcPr>
            <w:tcW w:w="992" w:type="dxa"/>
          </w:tcPr>
          <w:p w14:paraId="7CE6244F" w14:textId="64FF8D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40BECA0" w14:textId="09E040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8818EC3" w14:textId="5396DE26" w:rsidR="006E5533" w:rsidRPr="00251EA9" w:rsidRDefault="006E5533" w:rsidP="006E5533">
            <w:pPr>
              <w:rPr>
                <w:rFonts w:ascii="Arial" w:hAnsi="Arial" w:cs="Arial"/>
                <w:sz w:val="15"/>
                <w:szCs w:val="15"/>
              </w:rPr>
            </w:pPr>
            <w:r w:rsidRPr="00251EA9">
              <w:rPr>
                <w:rFonts w:ascii="Arial" w:hAnsi="Arial" w:cs="Arial"/>
                <w:sz w:val="15"/>
                <w:szCs w:val="15"/>
              </w:rPr>
              <w:t>1.9% infection rate reported.</w:t>
            </w:r>
          </w:p>
        </w:tc>
        <w:tc>
          <w:tcPr>
            <w:tcW w:w="1701" w:type="dxa"/>
          </w:tcPr>
          <w:p w14:paraId="1D4ECA79" w14:textId="57C44E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7CAF8A6" w14:textId="77777777" w:rsidTr="00A77951">
        <w:trPr>
          <w:trHeight w:val="586"/>
        </w:trPr>
        <w:tc>
          <w:tcPr>
            <w:tcW w:w="992" w:type="dxa"/>
          </w:tcPr>
          <w:p w14:paraId="20E24510" w14:textId="62209F3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Falowski</w:t>
            </w:r>
            <w:proofErr w:type="spellEnd"/>
            <w:r w:rsidRPr="00251EA9">
              <w:rPr>
                <w:rFonts w:ascii="Arial" w:hAnsi="Arial" w:cs="Arial"/>
                <w:sz w:val="15"/>
                <w:szCs w:val="15"/>
              </w:rPr>
              <w:t xml:space="preserve"> S.M. et al., 2015</w:t>
            </w:r>
          </w:p>
        </w:tc>
        <w:tc>
          <w:tcPr>
            <w:tcW w:w="851" w:type="dxa"/>
          </w:tcPr>
          <w:p w14:paraId="6EF215C3" w14:textId="77C4F73A" w:rsidR="006E5533" w:rsidRPr="00A77951" w:rsidRDefault="006E5533" w:rsidP="006E5533">
            <w:pPr>
              <w:spacing w:line="360" w:lineRule="auto"/>
              <w:contextualSpacing/>
              <w:rPr>
                <w:rFonts w:ascii="Arial" w:hAnsi="Arial" w:cs="Arial"/>
                <w:sz w:val="15"/>
                <w:szCs w:val="15"/>
              </w:rPr>
            </w:pPr>
            <w:hyperlink r:id="rId123" w:history="1">
              <w:r w:rsidRPr="00A77951">
                <w:rPr>
                  <w:rStyle w:val="Hyperlink"/>
                  <w:rFonts w:ascii="Arial" w:hAnsi="Arial" w:cs="Arial"/>
                  <w:sz w:val="15"/>
                  <w:szCs w:val="15"/>
                </w:rPr>
                <w:t>10.1016/j.wneu.2015.01.018</w:t>
              </w:r>
            </w:hyperlink>
          </w:p>
        </w:tc>
        <w:tc>
          <w:tcPr>
            <w:tcW w:w="851" w:type="dxa"/>
          </w:tcPr>
          <w:p w14:paraId="23803ED2" w14:textId="68F82C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9F6C71F" w14:textId="0F4AFF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B41B904" w14:textId="0B2534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363B69C" w14:textId="6438704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(electrode placement in epilepsy)</w:t>
            </w:r>
          </w:p>
        </w:tc>
        <w:tc>
          <w:tcPr>
            <w:tcW w:w="1843" w:type="dxa"/>
          </w:tcPr>
          <w:p w14:paraId="23611E38" w14:textId="56D758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potential contribution of specific aspects of surgical technique to the reduction of complication rates.</w:t>
            </w:r>
          </w:p>
        </w:tc>
        <w:tc>
          <w:tcPr>
            <w:tcW w:w="1134" w:type="dxa"/>
          </w:tcPr>
          <w:p w14:paraId="5FD10FE0" w14:textId="1E6E10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725AF3CA" w14:textId="700FAC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6479069" w14:textId="35154E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27BC1B8" w14:textId="0B2DCA76" w:rsidR="006E5533" w:rsidRPr="00251EA9" w:rsidRDefault="006E5533" w:rsidP="006E5533">
            <w:pPr>
              <w:rPr>
                <w:rFonts w:ascii="Arial" w:hAnsi="Arial" w:cs="Arial"/>
                <w:sz w:val="15"/>
                <w:szCs w:val="15"/>
              </w:rPr>
            </w:pPr>
            <w:r w:rsidRPr="00251EA9">
              <w:rPr>
                <w:rFonts w:ascii="Arial" w:hAnsi="Arial" w:cs="Arial"/>
                <w:sz w:val="15"/>
                <w:szCs w:val="15"/>
              </w:rPr>
              <w:t xml:space="preserve">Reported one case of infection (0.8%).  The infection rate was lower than rates reported for neurologic tissue infections (0% vs. 2.3%) and for superficial infections (0.8% vs. 3.0%) in the meta-analysis. </w:t>
            </w:r>
          </w:p>
        </w:tc>
        <w:tc>
          <w:tcPr>
            <w:tcW w:w="1701" w:type="dxa"/>
          </w:tcPr>
          <w:p w14:paraId="00C384D1" w14:textId="41A2E2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04E20BC" w14:textId="77777777" w:rsidTr="00A77951">
        <w:trPr>
          <w:trHeight w:val="586"/>
        </w:trPr>
        <w:tc>
          <w:tcPr>
            <w:tcW w:w="992" w:type="dxa"/>
          </w:tcPr>
          <w:p w14:paraId="7F88E864" w14:textId="731224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Fan M.C. et al., 2018</w:t>
            </w:r>
          </w:p>
        </w:tc>
        <w:tc>
          <w:tcPr>
            <w:tcW w:w="851" w:type="dxa"/>
          </w:tcPr>
          <w:p w14:paraId="3D40D766" w14:textId="5A4D76C3" w:rsidR="006E5533" w:rsidRPr="00A77951" w:rsidRDefault="006E5533" w:rsidP="006E5533">
            <w:pPr>
              <w:spacing w:line="360" w:lineRule="auto"/>
              <w:contextualSpacing/>
              <w:rPr>
                <w:rFonts w:ascii="Arial" w:hAnsi="Arial" w:cs="Arial"/>
                <w:sz w:val="15"/>
                <w:szCs w:val="15"/>
              </w:rPr>
            </w:pPr>
            <w:hyperlink r:id="rId124" w:history="1">
              <w:r w:rsidRPr="00A77951">
                <w:rPr>
                  <w:rStyle w:val="Hyperlink"/>
                  <w:rFonts w:ascii="Arial" w:hAnsi="Arial" w:cs="Arial"/>
                  <w:sz w:val="15"/>
                  <w:szCs w:val="15"/>
                </w:rPr>
                <w:t>10.1016/j.wneu.2017.10.112</w:t>
              </w:r>
            </w:hyperlink>
          </w:p>
        </w:tc>
        <w:tc>
          <w:tcPr>
            <w:tcW w:w="851" w:type="dxa"/>
          </w:tcPr>
          <w:p w14:paraId="4248402F" w14:textId="48B10C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68D32EA7" w14:textId="291245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8B1A5DF" w14:textId="473A7A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2351064" w14:textId="2BFE74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68C27E87" w14:textId="74B1B3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clarify the clinical outcomes of cranioplasty with cryopreserved bone flaps and identify risk factors related to bone flap infection and resorption after cranioplasty with cryopreserved bone flaps.</w:t>
            </w:r>
          </w:p>
        </w:tc>
        <w:tc>
          <w:tcPr>
            <w:tcW w:w="1134" w:type="dxa"/>
          </w:tcPr>
          <w:p w14:paraId="087CF5B6" w14:textId="60401688" w:rsidR="006E5533" w:rsidRPr="00251EA9" w:rsidRDefault="006E5533" w:rsidP="006E5533">
            <w:pPr>
              <w:spacing w:line="360" w:lineRule="auto"/>
              <w:contextualSpacing/>
              <w:rPr>
                <w:rFonts w:ascii="Arial" w:hAnsi="Arial" w:cs="Arial"/>
                <w:sz w:val="15"/>
                <w:szCs w:val="15"/>
              </w:rPr>
            </w:pPr>
          </w:p>
        </w:tc>
        <w:tc>
          <w:tcPr>
            <w:tcW w:w="992" w:type="dxa"/>
          </w:tcPr>
          <w:p w14:paraId="3CEAF37A" w14:textId="32C768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8C9E95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Any case in which infection was </w:t>
            </w:r>
            <w:proofErr w:type="gramStart"/>
            <w:r w:rsidRPr="00251EA9">
              <w:rPr>
                <w:rFonts w:ascii="Arial" w:hAnsi="Arial" w:cs="Arial"/>
                <w:sz w:val="15"/>
                <w:szCs w:val="15"/>
              </w:rPr>
              <w:t>suspected</w:t>
            </w:r>
            <w:proofErr w:type="gramEnd"/>
            <w:r w:rsidRPr="00251EA9">
              <w:rPr>
                <w:rFonts w:ascii="Arial" w:hAnsi="Arial" w:cs="Arial"/>
                <w:sz w:val="15"/>
                <w:szCs w:val="15"/>
              </w:rPr>
              <w:t xml:space="preserve"> and antibiotics therapy was administered</w:t>
            </w:r>
          </w:p>
          <w:p w14:paraId="1C8B572E" w14:textId="3509FA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Requirement of reoperation to remove graft.</w:t>
            </w:r>
          </w:p>
        </w:tc>
        <w:tc>
          <w:tcPr>
            <w:tcW w:w="2693" w:type="dxa"/>
          </w:tcPr>
          <w:p w14:paraId="289C3A9B" w14:textId="3F62E151" w:rsidR="006E5533" w:rsidRPr="00251EA9" w:rsidRDefault="006E5533" w:rsidP="006E5533">
            <w:pPr>
              <w:rPr>
                <w:rFonts w:ascii="Arial" w:hAnsi="Arial" w:cs="Arial"/>
                <w:sz w:val="15"/>
                <w:szCs w:val="15"/>
              </w:rPr>
            </w:pPr>
            <w:r w:rsidRPr="00251EA9">
              <w:rPr>
                <w:rFonts w:ascii="Arial" w:hAnsi="Arial" w:cs="Arial"/>
                <w:sz w:val="15"/>
                <w:szCs w:val="15"/>
              </w:rPr>
              <w:t>The bone graft infection rate was greater in emergency craniectomy cases (8.81% vs. 2.59%) and in patients with diabetes (10.53% vs. 3.07%).</w:t>
            </w:r>
          </w:p>
        </w:tc>
        <w:tc>
          <w:tcPr>
            <w:tcW w:w="1701" w:type="dxa"/>
          </w:tcPr>
          <w:p w14:paraId="0C811D4F" w14:textId="4A480D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9485D22" w14:textId="77777777" w:rsidTr="00A77951">
        <w:trPr>
          <w:trHeight w:val="586"/>
        </w:trPr>
        <w:tc>
          <w:tcPr>
            <w:tcW w:w="992" w:type="dxa"/>
          </w:tcPr>
          <w:p w14:paraId="0834DF41" w14:textId="26A3AC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Farber S.H. et al., 2011</w:t>
            </w:r>
          </w:p>
        </w:tc>
        <w:tc>
          <w:tcPr>
            <w:tcW w:w="851" w:type="dxa"/>
          </w:tcPr>
          <w:p w14:paraId="7EF8044D" w14:textId="68D1F912" w:rsidR="006E5533" w:rsidRPr="00A77951" w:rsidRDefault="006E5533" w:rsidP="006E5533">
            <w:pPr>
              <w:spacing w:line="360" w:lineRule="auto"/>
              <w:contextualSpacing/>
              <w:rPr>
                <w:rFonts w:ascii="Arial" w:hAnsi="Arial" w:cs="Arial"/>
                <w:sz w:val="15"/>
                <w:szCs w:val="15"/>
              </w:rPr>
            </w:pPr>
            <w:hyperlink r:id="rId125" w:history="1">
              <w:r w:rsidRPr="00A77951">
                <w:rPr>
                  <w:rStyle w:val="Hyperlink"/>
                  <w:rFonts w:ascii="Arial" w:hAnsi="Arial" w:cs="Arial"/>
                  <w:sz w:val="15"/>
                  <w:szCs w:val="15"/>
                </w:rPr>
                <w:t>10.1227/NEU.0b013e31821bc435</w:t>
              </w:r>
            </w:hyperlink>
          </w:p>
        </w:tc>
        <w:tc>
          <w:tcPr>
            <w:tcW w:w="851" w:type="dxa"/>
          </w:tcPr>
          <w:p w14:paraId="6F6570B7" w14:textId="77B2E7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1A20DD9" w14:textId="7C475F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0FA10ED" w14:textId="263BB9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4683ECB" w14:textId="37DFBA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CSF dynamics </w:t>
            </w:r>
          </w:p>
        </w:tc>
        <w:tc>
          <w:tcPr>
            <w:tcW w:w="1843" w:type="dxa"/>
          </w:tcPr>
          <w:p w14:paraId="5E3DE4C2" w14:textId="25DA89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a categorical conversion to antibiotic impregnated shunt (AIS) shunt systems reduced the incidence of shunt infection in a series of entirely adult patients</w:t>
            </w:r>
          </w:p>
        </w:tc>
        <w:tc>
          <w:tcPr>
            <w:tcW w:w="1134" w:type="dxa"/>
          </w:tcPr>
          <w:p w14:paraId="077DDFCA" w14:textId="6693C9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AIS catheters vs non-AIS catheters</w:t>
            </w:r>
          </w:p>
        </w:tc>
        <w:tc>
          <w:tcPr>
            <w:tcW w:w="992" w:type="dxa"/>
          </w:tcPr>
          <w:p w14:paraId="02FEFEC9" w14:textId="01EE60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B81138E" w14:textId="63B540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Clinical suspicion of shunt infection (fever, change in mental status, increased white blood cell count, signs of </w:t>
            </w:r>
            <w:proofErr w:type="spellStart"/>
            <w:r w:rsidRPr="00251EA9">
              <w:rPr>
                <w:rFonts w:ascii="Arial" w:hAnsi="Arial" w:cs="Arial"/>
                <w:sz w:val="15"/>
                <w:szCs w:val="15"/>
              </w:rPr>
              <w:t>meningismus</w:t>
            </w:r>
            <w:proofErr w:type="spellEnd"/>
            <w:r w:rsidRPr="00251EA9">
              <w:rPr>
                <w:rFonts w:ascii="Arial" w:hAnsi="Arial" w:cs="Arial"/>
                <w:sz w:val="15"/>
                <w:szCs w:val="15"/>
              </w:rPr>
              <w:t>), the presence of a CSF profile (</w:t>
            </w:r>
            <w:proofErr w:type="spellStart"/>
            <w:r w:rsidRPr="00251EA9">
              <w:rPr>
                <w:rFonts w:ascii="Arial" w:hAnsi="Arial" w:cs="Arial"/>
                <w:sz w:val="15"/>
                <w:szCs w:val="15"/>
              </w:rPr>
              <w:t>leukocytosis</w:t>
            </w:r>
            <w:proofErr w:type="spellEnd"/>
            <w:r w:rsidRPr="00251EA9">
              <w:rPr>
                <w:rFonts w:ascii="Arial" w:hAnsi="Arial" w:cs="Arial"/>
                <w:sz w:val="15"/>
                <w:szCs w:val="15"/>
              </w:rPr>
              <w:t xml:space="preserve">, positive CSF bacterial cultures) </w:t>
            </w:r>
          </w:p>
        </w:tc>
        <w:tc>
          <w:tcPr>
            <w:tcW w:w="2693" w:type="dxa"/>
          </w:tcPr>
          <w:p w14:paraId="71D7DA58" w14:textId="182A2AD2" w:rsidR="006E5533" w:rsidRPr="00251EA9" w:rsidRDefault="006E5533" w:rsidP="006E5533">
            <w:pPr>
              <w:rPr>
                <w:rFonts w:ascii="Arial" w:hAnsi="Arial" w:cs="Arial"/>
                <w:sz w:val="15"/>
                <w:szCs w:val="15"/>
              </w:rPr>
            </w:pPr>
            <w:r w:rsidRPr="00251EA9">
              <w:rPr>
                <w:rFonts w:ascii="Arial" w:hAnsi="Arial" w:cs="Arial"/>
                <w:sz w:val="15"/>
                <w:szCs w:val="15"/>
              </w:rPr>
              <w:t>Overall, 13 patients</w:t>
            </w:r>
            <w:r w:rsidRPr="00251EA9">
              <w:rPr>
                <w:rFonts w:ascii="Arial" w:hAnsi="Arial" w:cs="Arial"/>
                <w:sz w:val="15"/>
                <w:szCs w:val="15"/>
              </w:rPr>
              <w:br/>
              <w:t xml:space="preserve">(2.6%) experienced CSF shunt infection. </w:t>
            </w:r>
          </w:p>
        </w:tc>
        <w:tc>
          <w:tcPr>
            <w:tcW w:w="1701" w:type="dxa"/>
          </w:tcPr>
          <w:p w14:paraId="00E055CD" w14:textId="7BA5E7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1C594B4" w14:textId="77777777" w:rsidTr="00A77951">
        <w:trPr>
          <w:trHeight w:val="586"/>
        </w:trPr>
        <w:tc>
          <w:tcPr>
            <w:tcW w:w="992" w:type="dxa"/>
          </w:tcPr>
          <w:p w14:paraId="58001B3B" w14:textId="34B952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Farber S.H. et al., 2010</w:t>
            </w:r>
          </w:p>
        </w:tc>
        <w:tc>
          <w:tcPr>
            <w:tcW w:w="851" w:type="dxa"/>
          </w:tcPr>
          <w:p w14:paraId="60D802B2" w14:textId="5A4D0666" w:rsidR="006E5533" w:rsidRPr="00A77951" w:rsidRDefault="006E5533" w:rsidP="006E5533">
            <w:pPr>
              <w:spacing w:line="360" w:lineRule="auto"/>
              <w:contextualSpacing/>
              <w:rPr>
                <w:rFonts w:ascii="Arial" w:hAnsi="Arial" w:cs="Arial"/>
                <w:sz w:val="15"/>
                <w:szCs w:val="15"/>
              </w:rPr>
            </w:pPr>
            <w:hyperlink r:id="rId126" w:history="1">
              <w:r w:rsidRPr="00A77951">
                <w:rPr>
                  <w:rStyle w:val="Hyperlink"/>
                  <w:rFonts w:ascii="Arial" w:hAnsi="Arial" w:cs="Arial"/>
                  <w:sz w:val="15"/>
                  <w:szCs w:val="15"/>
                </w:rPr>
                <w:t>10.1016/j.wneu.2010.07.014</w:t>
              </w:r>
            </w:hyperlink>
          </w:p>
        </w:tc>
        <w:tc>
          <w:tcPr>
            <w:tcW w:w="851" w:type="dxa"/>
          </w:tcPr>
          <w:p w14:paraId="17219B8D" w14:textId="743395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F592006" w14:textId="6FC966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192E820A" w14:textId="11412F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83F76DA" w14:textId="111DBA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25BF4C09" w14:textId="4D2936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if use of antibiotic-impregnated shunt (AIS) systems to reduce cerebrospinal fluid (CSF) shunt infections in adult </w:t>
            </w:r>
            <w:r w:rsidRPr="00251EA9">
              <w:rPr>
                <w:rFonts w:ascii="Arial" w:hAnsi="Arial" w:cs="Arial"/>
                <w:sz w:val="15"/>
                <w:szCs w:val="15"/>
              </w:rPr>
              <w:lastRenderedPageBreak/>
              <w:t>patients with hydrocephalus has been cost-effective at one institution.</w:t>
            </w:r>
          </w:p>
        </w:tc>
        <w:tc>
          <w:tcPr>
            <w:tcW w:w="1134" w:type="dxa"/>
          </w:tcPr>
          <w:p w14:paraId="36D4A9A5" w14:textId="4110939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AIS catheters vs non-AIS catheters</w:t>
            </w:r>
          </w:p>
        </w:tc>
        <w:tc>
          <w:tcPr>
            <w:tcW w:w="992" w:type="dxa"/>
          </w:tcPr>
          <w:p w14:paraId="177CF782" w14:textId="6A5E56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0300487" w14:textId="6BD6F1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D2A81C4" w14:textId="2373539E" w:rsidR="006E5533" w:rsidRPr="00251EA9" w:rsidRDefault="006E5533" w:rsidP="006E5533">
            <w:pPr>
              <w:rPr>
                <w:rFonts w:ascii="Arial" w:hAnsi="Arial" w:cs="Arial"/>
                <w:sz w:val="15"/>
                <w:szCs w:val="15"/>
              </w:rPr>
            </w:pPr>
            <w:r w:rsidRPr="00251EA9">
              <w:rPr>
                <w:rFonts w:ascii="Arial" w:hAnsi="Arial" w:cs="Arial"/>
                <w:sz w:val="15"/>
                <w:szCs w:val="15"/>
              </w:rPr>
              <w:t>The incidence of shunt infection was decreased in the AIS (1.2%) vs non-AIS (4.0%) cohorts.</w:t>
            </w:r>
          </w:p>
        </w:tc>
        <w:tc>
          <w:tcPr>
            <w:tcW w:w="1701" w:type="dxa"/>
          </w:tcPr>
          <w:p w14:paraId="22C10410" w14:textId="486F20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F65A116" w14:textId="77777777" w:rsidTr="00A77951">
        <w:trPr>
          <w:trHeight w:val="586"/>
        </w:trPr>
        <w:tc>
          <w:tcPr>
            <w:tcW w:w="992" w:type="dxa"/>
          </w:tcPr>
          <w:p w14:paraId="00D65CE2" w14:textId="6CF6B9A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Farrokhi</w:t>
            </w:r>
            <w:proofErr w:type="spellEnd"/>
            <w:r w:rsidRPr="00251EA9">
              <w:rPr>
                <w:rFonts w:ascii="Arial" w:hAnsi="Arial" w:cs="Arial"/>
                <w:sz w:val="15"/>
                <w:szCs w:val="15"/>
              </w:rPr>
              <w:t xml:space="preserve"> F.R. et al., 2019</w:t>
            </w:r>
          </w:p>
        </w:tc>
        <w:tc>
          <w:tcPr>
            <w:tcW w:w="851" w:type="dxa"/>
          </w:tcPr>
          <w:p w14:paraId="57C6C2C9" w14:textId="57FB4F3F" w:rsidR="006E5533" w:rsidRPr="00A77951" w:rsidRDefault="006E5533" w:rsidP="006E5533">
            <w:pPr>
              <w:spacing w:line="360" w:lineRule="auto"/>
              <w:contextualSpacing/>
              <w:rPr>
                <w:rFonts w:ascii="Arial" w:hAnsi="Arial" w:cs="Arial"/>
                <w:sz w:val="15"/>
                <w:szCs w:val="15"/>
              </w:rPr>
            </w:pPr>
            <w:hyperlink r:id="rId127" w:history="1">
              <w:r w:rsidRPr="00A77951">
                <w:rPr>
                  <w:rStyle w:val="Hyperlink"/>
                  <w:rFonts w:ascii="Arial" w:hAnsi="Arial" w:cs="Arial"/>
                  <w:sz w:val="15"/>
                  <w:szCs w:val="15"/>
                </w:rPr>
                <w:t>10.1016/j.jocn.2019.08.026</w:t>
              </w:r>
            </w:hyperlink>
          </w:p>
        </w:tc>
        <w:tc>
          <w:tcPr>
            <w:tcW w:w="851" w:type="dxa"/>
          </w:tcPr>
          <w:p w14:paraId="3AB5F556" w14:textId="65F87A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191B6A9" w14:textId="0B2381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E197591" w14:textId="12FDE4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1C02567" w14:textId="763480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33679F49" w14:textId="2BDEC8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explore possible associations between common preoperative clinical risk factors and complications, including</w:t>
            </w:r>
            <w:r w:rsidRPr="00251EA9">
              <w:rPr>
                <w:rFonts w:ascii="Arial" w:hAnsi="Arial" w:cs="Arial"/>
                <w:sz w:val="15"/>
                <w:szCs w:val="15"/>
              </w:rPr>
              <w:br/>
              <w:t>unplanned return to the operating room.</w:t>
            </w:r>
          </w:p>
        </w:tc>
        <w:tc>
          <w:tcPr>
            <w:tcW w:w="1134" w:type="dxa"/>
          </w:tcPr>
          <w:p w14:paraId="2956763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5019C0D" w14:textId="795095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94B1513"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Requiring surgical removal of DBS hardware</w:t>
            </w:r>
          </w:p>
          <w:p w14:paraId="59CCA5E4" w14:textId="5074620D"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2) Requiring medical treatment for infection</w:t>
            </w:r>
          </w:p>
        </w:tc>
        <w:tc>
          <w:tcPr>
            <w:tcW w:w="2693" w:type="dxa"/>
          </w:tcPr>
          <w:p w14:paraId="1B050FBF" w14:textId="5A4E53E9" w:rsidR="006E5533" w:rsidRPr="00251EA9" w:rsidRDefault="006E5533" w:rsidP="006E5533">
            <w:pPr>
              <w:rPr>
                <w:rFonts w:ascii="Arial" w:hAnsi="Arial" w:cs="Arial"/>
                <w:sz w:val="15"/>
                <w:szCs w:val="15"/>
              </w:rPr>
            </w:pPr>
            <w:r w:rsidRPr="00251EA9">
              <w:rPr>
                <w:rFonts w:ascii="Arial" w:hAnsi="Arial" w:cs="Arial"/>
                <w:sz w:val="15"/>
                <w:szCs w:val="15"/>
              </w:rPr>
              <w:t>Patients who developed a</w:t>
            </w:r>
            <w:r w:rsidRPr="00251EA9">
              <w:rPr>
                <w:rFonts w:ascii="Arial" w:hAnsi="Arial" w:cs="Arial"/>
                <w:sz w:val="15"/>
                <w:szCs w:val="15"/>
              </w:rPr>
              <w:br/>
              <w:t xml:space="preserve">surgical site infection were more likely to report history of smoking before DBS surgery (16% vs 5%). </w:t>
            </w:r>
          </w:p>
        </w:tc>
        <w:tc>
          <w:tcPr>
            <w:tcW w:w="1701" w:type="dxa"/>
          </w:tcPr>
          <w:p w14:paraId="2C39C5CA" w14:textId="3C576E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3E10176" w14:textId="77777777" w:rsidTr="00A77951">
        <w:trPr>
          <w:trHeight w:val="586"/>
        </w:trPr>
        <w:tc>
          <w:tcPr>
            <w:tcW w:w="992" w:type="dxa"/>
          </w:tcPr>
          <w:p w14:paraId="3B7B111B" w14:textId="382E5C5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Fattahi</w:t>
            </w:r>
            <w:proofErr w:type="spellEnd"/>
            <w:r w:rsidRPr="00251EA9">
              <w:rPr>
                <w:rFonts w:ascii="Arial" w:hAnsi="Arial" w:cs="Arial"/>
                <w:sz w:val="15"/>
                <w:szCs w:val="15"/>
              </w:rPr>
              <w:t xml:space="preserve"> A. et al., 2018</w:t>
            </w:r>
          </w:p>
        </w:tc>
        <w:tc>
          <w:tcPr>
            <w:tcW w:w="851" w:type="dxa"/>
          </w:tcPr>
          <w:p w14:paraId="40275C00" w14:textId="5F1BF5B5" w:rsidR="006E5533" w:rsidRPr="00A77951" w:rsidRDefault="006E5533" w:rsidP="006E5533">
            <w:pPr>
              <w:spacing w:line="360" w:lineRule="auto"/>
              <w:contextualSpacing/>
              <w:rPr>
                <w:rFonts w:ascii="Arial" w:hAnsi="Arial" w:cs="Arial"/>
                <w:sz w:val="15"/>
                <w:szCs w:val="15"/>
              </w:rPr>
            </w:pPr>
            <w:hyperlink r:id="rId128" w:history="1">
              <w:r w:rsidRPr="00A77951">
                <w:rPr>
                  <w:rStyle w:val="Hyperlink"/>
                  <w:rFonts w:ascii="Arial" w:hAnsi="Arial" w:cs="Arial"/>
                  <w:sz w:val="15"/>
                  <w:szCs w:val="15"/>
                </w:rPr>
                <w:t>10.1080/02688697.2018.1476673</w:t>
              </w:r>
            </w:hyperlink>
          </w:p>
        </w:tc>
        <w:tc>
          <w:tcPr>
            <w:tcW w:w="851" w:type="dxa"/>
          </w:tcPr>
          <w:p w14:paraId="7B4C163E" w14:textId="5A3779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Iran</w:t>
            </w:r>
          </w:p>
        </w:tc>
        <w:tc>
          <w:tcPr>
            <w:tcW w:w="1134" w:type="dxa"/>
          </w:tcPr>
          <w:p w14:paraId="30FE35C5" w14:textId="105897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3619A1D" w14:textId="41C348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2621250" w14:textId="4B4CD4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376587B7" w14:textId="177912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introduce our routine protocol of</w:t>
            </w:r>
            <w:r w:rsidRPr="00251EA9">
              <w:rPr>
                <w:rFonts w:ascii="Arial" w:hAnsi="Arial" w:cs="Arial"/>
                <w:sz w:val="15"/>
                <w:szCs w:val="15"/>
              </w:rPr>
              <w:br/>
              <w:t>surgical site infection (SSI) prophylaxis.</w:t>
            </w:r>
          </w:p>
        </w:tc>
        <w:tc>
          <w:tcPr>
            <w:tcW w:w="1134" w:type="dxa"/>
          </w:tcPr>
          <w:p w14:paraId="4D144CAC"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ECE507B" w14:textId="03C405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BF24B08" w14:textId="02463E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93575A1" w14:textId="0C57B667" w:rsidR="006E5533" w:rsidRPr="00251EA9" w:rsidRDefault="006E5533" w:rsidP="006E5533">
            <w:pPr>
              <w:rPr>
                <w:rFonts w:ascii="Arial" w:hAnsi="Arial" w:cs="Arial"/>
                <w:sz w:val="15"/>
                <w:szCs w:val="15"/>
              </w:rPr>
            </w:pPr>
            <w:r w:rsidRPr="00251EA9">
              <w:rPr>
                <w:rFonts w:ascii="Arial" w:hAnsi="Arial" w:cs="Arial"/>
                <w:sz w:val="15"/>
                <w:szCs w:val="15"/>
              </w:rPr>
              <w:t>There were no reports of SSI.</w:t>
            </w:r>
          </w:p>
        </w:tc>
        <w:tc>
          <w:tcPr>
            <w:tcW w:w="1701" w:type="dxa"/>
          </w:tcPr>
          <w:p w14:paraId="22EE87EB" w14:textId="5D61C6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4903B31" w14:textId="77777777" w:rsidTr="00A77951">
        <w:trPr>
          <w:trHeight w:val="586"/>
        </w:trPr>
        <w:tc>
          <w:tcPr>
            <w:tcW w:w="992" w:type="dxa"/>
          </w:tcPr>
          <w:p w14:paraId="3E3A8B3D" w14:textId="41A426F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Fenoy</w:t>
            </w:r>
            <w:proofErr w:type="spellEnd"/>
            <w:r w:rsidRPr="00251EA9">
              <w:rPr>
                <w:rFonts w:ascii="Arial" w:hAnsi="Arial" w:cs="Arial"/>
                <w:sz w:val="15"/>
                <w:szCs w:val="15"/>
              </w:rPr>
              <w:t xml:space="preserve"> A.J. et al., 2012</w:t>
            </w:r>
          </w:p>
        </w:tc>
        <w:tc>
          <w:tcPr>
            <w:tcW w:w="851" w:type="dxa"/>
          </w:tcPr>
          <w:p w14:paraId="68B8DC96" w14:textId="4EAE0814" w:rsidR="006E5533" w:rsidRPr="00A77951" w:rsidRDefault="006E5533" w:rsidP="006E5533">
            <w:pPr>
              <w:spacing w:line="360" w:lineRule="auto"/>
              <w:contextualSpacing/>
              <w:rPr>
                <w:rFonts w:ascii="Arial" w:hAnsi="Arial" w:cs="Arial"/>
                <w:sz w:val="15"/>
                <w:szCs w:val="15"/>
              </w:rPr>
            </w:pPr>
            <w:hyperlink r:id="rId129" w:history="1">
              <w:r w:rsidRPr="00A77951">
                <w:rPr>
                  <w:rStyle w:val="Hyperlink"/>
                  <w:rFonts w:ascii="Arial" w:hAnsi="Arial" w:cs="Arial"/>
                  <w:sz w:val="15"/>
                  <w:szCs w:val="15"/>
                </w:rPr>
                <w:t> 10.3171/2012.</w:t>
              </w:r>
              <w:proofErr w:type="gramStart"/>
              <w:r w:rsidRPr="00A77951">
                <w:rPr>
                  <w:rStyle w:val="Hyperlink"/>
                  <w:rFonts w:ascii="Arial" w:hAnsi="Arial" w:cs="Arial"/>
                  <w:sz w:val="15"/>
                  <w:szCs w:val="15"/>
                </w:rPr>
                <w:t>1.JNS</w:t>
              </w:r>
              <w:proofErr w:type="gramEnd"/>
              <w:r w:rsidRPr="00A77951">
                <w:rPr>
                  <w:rStyle w:val="Hyperlink"/>
                  <w:rFonts w:ascii="Arial" w:hAnsi="Arial" w:cs="Arial"/>
                  <w:sz w:val="15"/>
                  <w:szCs w:val="15"/>
                </w:rPr>
                <w:t>111798</w:t>
              </w:r>
            </w:hyperlink>
          </w:p>
        </w:tc>
        <w:tc>
          <w:tcPr>
            <w:tcW w:w="851" w:type="dxa"/>
          </w:tcPr>
          <w:p w14:paraId="66FC69D1" w14:textId="1C84F2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C745BC7" w14:textId="605626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6F1CDDE" w14:textId="0195EE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Both</w:t>
            </w:r>
          </w:p>
        </w:tc>
        <w:tc>
          <w:tcPr>
            <w:tcW w:w="1276" w:type="dxa"/>
          </w:tcPr>
          <w:p w14:paraId="557378C4" w14:textId="61B76B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49ECDD1B" w14:textId="16711B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review the incidence and management of all hardware-related wound </w:t>
            </w:r>
            <w:proofErr w:type="spellStart"/>
            <w:r w:rsidRPr="00251EA9">
              <w:rPr>
                <w:rFonts w:ascii="Arial" w:hAnsi="Arial" w:cs="Arial"/>
                <w:sz w:val="15"/>
                <w:szCs w:val="15"/>
              </w:rPr>
              <w:t>dehiscences</w:t>
            </w:r>
            <w:proofErr w:type="spellEnd"/>
            <w:r w:rsidRPr="00251EA9">
              <w:rPr>
                <w:rFonts w:ascii="Arial" w:hAnsi="Arial" w:cs="Arial"/>
                <w:sz w:val="15"/>
                <w:szCs w:val="15"/>
              </w:rPr>
              <w:t xml:space="preserve"> and infections in a large patient series.</w:t>
            </w:r>
          </w:p>
        </w:tc>
        <w:tc>
          <w:tcPr>
            <w:tcW w:w="1134" w:type="dxa"/>
          </w:tcPr>
          <w:p w14:paraId="1EEB2FD9" w14:textId="0C45C0E1" w:rsidR="006E5533" w:rsidRPr="00251EA9" w:rsidRDefault="006E5533" w:rsidP="006E5533">
            <w:pPr>
              <w:spacing w:line="360" w:lineRule="auto"/>
              <w:contextualSpacing/>
              <w:rPr>
                <w:rFonts w:ascii="Arial" w:hAnsi="Arial" w:cs="Arial"/>
                <w:sz w:val="15"/>
                <w:szCs w:val="15"/>
              </w:rPr>
            </w:pPr>
          </w:p>
        </w:tc>
        <w:tc>
          <w:tcPr>
            <w:tcW w:w="992" w:type="dxa"/>
          </w:tcPr>
          <w:p w14:paraId="3F9765E8" w14:textId="4099CB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53D2035"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Within 12 months of</w:t>
            </w:r>
            <w:r w:rsidRPr="00251EA9">
              <w:rPr>
                <w:rFonts w:ascii="Arial" w:hAnsi="Arial" w:cs="Arial"/>
                <w:sz w:val="15"/>
                <w:szCs w:val="15"/>
              </w:rPr>
              <w:br/>
              <w:t>an original implantation</w:t>
            </w:r>
          </w:p>
          <w:p w14:paraId="45097AF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2. Superficial wound infections:  induration, redness, persistent crusting over a hardware component, cellulitis, </w:t>
            </w:r>
            <w:r w:rsidRPr="00251EA9">
              <w:rPr>
                <w:rFonts w:ascii="Arial" w:hAnsi="Arial" w:cs="Arial"/>
                <w:sz w:val="15"/>
                <w:szCs w:val="15"/>
              </w:rPr>
              <w:br/>
              <w:t>purulent drainage.</w:t>
            </w:r>
          </w:p>
          <w:p w14:paraId="17BFAE0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 requiring surgical revision </w:t>
            </w:r>
          </w:p>
          <w:p w14:paraId="2E2D5976" w14:textId="2F84EB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4. cultures from hardware or from fluid in contact</w:t>
            </w:r>
            <w:r w:rsidRPr="00251EA9">
              <w:rPr>
                <w:rFonts w:ascii="Arial" w:hAnsi="Arial" w:cs="Arial"/>
                <w:sz w:val="15"/>
                <w:szCs w:val="15"/>
              </w:rPr>
              <w:br/>
              <w:t>with hardware.</w:t>
            </w:r>
          </w:p>
        </w:tc>
        <w:tc>
          <w:tcPr>
            <w:tcW w:w="2693" w:type="dxa"/>
          </w:tcPr>
          <w:p w14:paraId="1CCDD817" w14:textId="769A0FB8" w:rsidR="006E5533" w:rsidRPr="00251EA9" w:rsidRDefault="006E5533" w:rsidP="006E5533">
            <w:pPr>
              <w:rPr>
                <w:rFonts w:ascii="Arial" w:hAnsi="Arial" w:cs="Arial"/>
                <w:sz w:val="15"/>
                <w:szCs w:val="15"/>
              </w:rPr>
            </w:pPr>
            <w:r w:rsidRPr="00251EA9">
              <w:rPr>
                <w:rFonts w:ascii="Arial" w:hAnsi="Arial" w:cs="Arial"/>
                <w:sz w:val="15"/>
                <w:szCs w:val="15"/>
              </w:rPr>
              <w:t>The rate presentation of infection or erosion occurring under 12 months from DBS implantation, requiring additional surgery, was 1.24% (9/728) per patient. The only variables that were significantly different between self-limited infections and those requiring reoperation were the time after implantation to clinical presentation, initial antibiotic choice.</w:t>
            </w:r>
          </w:p>
        </w:tc>
        <w:tc>
          <w:tcPr>
            <w:tcW w:w="1701" w:type="dxa"/>
          </w:tcPr>
          <w:p w14:paraId="09CF6152"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However, interpretation of these rates is difficult because the definition of infection is variable and is sometimes</w:t>
            </w:r>
          </w:p>
          <w:p w14:paraId="73D5321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inclusive and/or exclusive of erosions and/or </w:t>
            </w:r>
            <w:proofErr w:type="spellStart"/>
            <w:r w:rsidRPr="00251EA9">
              <w:rPr>
                <w:rFonts w:ascii="Arial" w:hAnsi="Arial" w:cs="Arial"/>
                <w:sz w:val="15"/>
                <w:szCs w:val="15"/>
              </w:rPr>
              <w:t>dehiscences</w:t>
            </w:r>
            <w:proofErr w:type="spellEnd"/>
          </w:p>
          <w:p w14:paraId="1FE7A421" w14:textId="54EFC278" w:rsidR="006E5533" w:rsidRPr="00251EA9" w:rsidRDefault="006E5533" w:rsidP="006E5533">
            <w:pPr>
              <w:spacing w:line="360" w:lineRule="auto"/>
              <w:contextualSpacing/>
              <w:rPr>
                <w:rFonts w:ascii="Arial" w:hAnsi="Arial" w:cs="Arial"/>
                <w:sz w:val="15"/>
                <w:szCs w:val="15"/>
                <w:u w:val="single"/>
              </w:rPr>
            </w:pPr>
            <w:r w:rsidRPr="00251EA9">
              <w:rPr>
                <w:rFonts w:ascii="Arial" w:hAnsi="Arial" w:cs="Arial"/>
                <w:sz w:val="15"/>
                <w:szCs w:val="15"/>
              </w:rPr>
              <w:t>without infection or infections that are self-limited.</w:t>
            </w:r>
          </w:p>
        </w:tc>
      </w:tr>
      <w:tr w:rsidR="006E5533" w:rsidRPr="00251EA9" w14:paraId="4698F431" w14:textId="77777777" w:rsidTr="00A77951">
        <w:trPr>
          <w:trHeight w:val="586"/>
        </w:trPr>
        <w:tc>
          <w:tcPr>
            <w:tcW w:w="992" w:type="dxa"/>
          </w:tcPr>
          <w:p w14:paraId="49824F5A" w14:textId="72C2227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Fenoy</w:t>
            </w:r>
            <w:proofErr w:type="spellEnd"/>
            <w:r w:rsidRPr="00251EA9">
              <w:rPr>
                <w:rFonts w:ascii="Arial" w:hAnsi="Arial" w:cs="Arial"/>
                <w:sz w:val="15"/>
                <w:szCs w:val="15"/>
              </w:rPr>
              <w:t xml:space="preserve"> A.J. et al., 2014</w:t>
            </w:r>
          </w:p>
        </w:tc>
        <w:tc>
          <w:tcPr>
            <w:tcW w:w="851" w:type="dxa"/>
          </w:tcPr>
          <w:p w14:paraId="0FCC2DF7" w14:textId="0578D39E" w:rsidR="006E5533" w:rsidRPr="00A77951" w:rsidRDefault="006E5533" w:rsidP="006E5533">
            <w:pPr>
              <w:spacing w:line="360" w:lineRule="auto"/>
              <w:contextualSpacing/>
              <w:rPr>
                <w:rFonts w:ascii="Arial" w:hAnsi="Arial" w:cs="Arial"/>
                <w:sz w:val="15"/>
                <w:szCs w:val="15"/>
              </w:rPr>
            </w:pPr>
            <w:hyperlink r:id="rId130" w:history="1">
              <w:r w:rsidRPr="00A77951">
                <w:rPr>
                  <w:rStyle w:val="Hyperlink"/>
                  <w:rFonts w:ascii="Arial" w:hAnsi="Arial" w:cs="Arial"/>
                  <w:sz w:val="15"/>
                  <w:szCs w:val="15"/>
                </w:rPr>
                <w:t>10.3171/2013.</w:t>
              </w:r>
              <w:proofErr w:type="gramStart"/>
              <w:r w:rsidRPr="00A77951">
                <w:rPr>
                  <w:rStyle w:val="Hyperlink"/>
                  <w:rFonts w:ascii="Arial" w:hAnsi="Arial" w:cs="Arial"/>
                  <w:sz w:val="15"/>
                  <w:szCs w:val="15"/>
                </w:rPr>
                <w:t>10.</w:t>
              </w:r>
              <w:r w:rsidRPr="00A77951">
                <w:rPr>
                  <w:rStyle w:val="Hyperlink"/>
                  <w:rFonts w:ascii="Arial" w:hAnsi="Arial" w:cs="Arial"/>
                  <w:sz w:val="15"/>
                  <w:szCs w:val="15"/>
                </w:rPr>
                <w:lastRenderedPageBreak/>
                <w:t>JNS</w:t>
              </w:r>
              <w:proofErr w:type="gramEnd"/>
              <w:r w:rsidRPr="00A77951">
                <w:rPr>
                  <w:rStyle w:val="Hyperlink"/>
                  <w:rFonts w:ascii="Arial" w:hAnsi="Arial" w:cs="Arial"/>
                  <w:sz w:val="15"/>
                  <w:szCs w:val="15"/>
                </w:rPr>
                <w:t>131225</w:t>
              </w:r>
            </w:hyperlink>
          </w:p>
        </w:tc>
        <w:tc>
          <w:tcPr>
            <w:tcW w:w="851" w:type="dxa"/>
          </w:tcPr>
          <w:p w14:paraId="272AFFF3" w14:textId="7D6D38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USA</w:t>
            </w:r>
          </w:p>
        </w:tc>
        <w:tc>
          <w:tcPr>
            <w:tcW w:w="1134" w:type="dxa"/>
          </w:tcPr>
          <w:p w14:paraId="37A9C600" w14:textId="3E86A9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71DB4BC" w14:textId="6E68FD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9AB55C2" w14:textId="3CDA9C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5D05B590" w14:textId="6CDCB8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incidence of various surgical </w:t>
            </w:r>
            <w:r w:rsidRPr="00251EA9">
              <w:rPr>
                <w:rFonts w:ascii="Arial" w:hAnsi="Arial" w:cs="Arial"/>
                <w:sz w:val="15"/>
                <w:szCs w:val="15"/>
              </w:rPr>
              <w:lastRenderedPageBreak/>
              <w:t xml:space="preserve">complications occurring both during and after DBS device implantation for movement disorders </w:t>
            </w:r>
            <w:proofErr w:type="gramStart"/>
            <w:r w:rsidRPr="00251EA9">
              <w:rPr>
                <w:rFonts w:ascii="Arial" w:hAnsi="Arial" w:cs="Arial"/>
                <w:sz w:val="15"/>
                <w:szCs w:val="15"/>
              </w:rPr>
              <w:t>in an effort to</w:t>
            </w:r>
            <w:proofErr w:type="gramEnd"/>
            <w:r w:rsidRPr="00251EA9">
              <w:rPr>
                <w:rFonts w:ascii="Arial" w:hAnsi="Arial" w:cs="Arial"/>
                <w:sz w:val="15"/>
                <w:szCs w:val="15"/>
              </w:rPr>
              <w:t xml:space="preserve"> better quantify patient risk, define management plans, and develop methods for risk avoidance. To corroborate the low procedural complication risk of DBS reported by others.</w:t>
            </w:r>
          </w:p>
        </w:tc>
        <w:tc>
          <w:tcPr>
            <w:tcW w:w="1134" w:type="dxa"/>
          </w:tcPr>
          <w:p w14:paraId="3F133718" w14:textId="6A9461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w:t>
            </w:r>
          </w:p>
        </w:tc>
        <w:tc>
          <w:tcPr>
            <w:tcW w:w="992" w:type="dxa"/>
          </w:tcPr>
          <w:p w14:paraId="5F356F21" w14:textId="3AF95E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FF535E8" w14:textId="02F4D1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D21D4DC" w14:textId="1130BE12" w:rsidR="006E5533" w:rsidRPr="00251EA9" w:rsidRDefault="006E5533" w:rsidP="006E5533">
            <w:pPr>
              <w:rPr>
                <w:rFonts w:ascii="Arial" w:hAnsi="Arial" w:cs="Arial"/>
                <w:sz w:val="15"/>
                <w:szCs w:val="15"/>
              </w:rPr>
            </w:pPr>
            <w:r w:rsidRPr="00251EA9">
              <w:rPr>
                <w:rFonts w:ascii="Arial" w:hAnsi="Arial" w:cs="Arial"/>
                <w:sz w:val="15"/>
                <w:szCs w:val="15"/>
              </w:rPr>
              <w:t>Among wound complications,</w:t>
            </w:r>
            <w:r w:rsidRPr="00251EA9">
              <w:rPr>
                <w:rFonts w:ascii="Arial" w:hAnsi="Arial" w:cs="Arial"/>
                <w:sz w:val="15"/>
                <w:szCs w:val="15"/>
              </w:rPr>
              <w:br/>
              <w:t xml:space="preserve">infection was the most common, occurring in a total of 23 cases </w:t>
            </w:r>
            <w:r w:rsidRPr="00251EA9">
              <w:rPr>
                <w:rFonts w:ascii="Arial" w:hAnsi="Arial" w:cs="Arial"/>
                <w:sz w:val="15"/>
                <w:szCs w:val="15"/>
              </w:rPr>
              <w:lastRenderedPageBreak/>
              <w:t xml:space="preserve">(3.1%), 10 (1.4%) of which were self-limited and 13 (1.7%) of which required a return to surgery for debridement and/or device removal. </w:t>
            </w:r>
          </w:p>
        </w:tc>
        <w:tc>
          <w:tcPr>
            <w:tcW w:w="1701" w:type="dxa"/>
          </w:tcPr>
          <w:p w14:paraId="775F9F1F"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Yes: The risk of infectious </w:t>
            </w:r>
            <w:r w:rsidRPr="00251EA9">
              <w:rPr>
                <w:rFonts w:ascii="Arial" w:hAnsi="Arial" w:cs="Arial"/>
                <w:sz w:val="15"/>
                <w:szCs w:val="15"/>
              </w:rPr>
              <w:lastRenderedPageBreak/>
              <w:t>complications has been reported</w:t>
            </w:r>
          </w:p>
          <w:p w14:paraId="2A68569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range from 0% to 15% in various studies a rate unfortunately marred by the lack</w:t>
            </w:r>
          </w:p>
          <w:p w14:paraId="35EFABA7" w14:textId="7FCEDDDB" w:rsidR="006E5533" w:rsidRPr="00251EA9" w:rsidRDefault="006E5533" w:rsidP="006E5533">
            <w:pPr>
              <w:spacing w:line="360" w:lineRule="auto"/>
              <w:contextualSpacing/>
              <w:rPr>
                <w:rFonts w:ascii="Arial" w:hAnsi="Arial" w:cs="Arial"/>
                <w:b/>
                <w:bCs/>
                <w:sz w:val="15"/>
                <w:szCs w:val="15"/>
              </w:rPr>
            </w:pPr>
            <w:r w:rsidRPr="00251EA9">
              <w:rPr>
                <w:rFonts w:ascii="Arial" w:hAnsi="Arial" w:cs="Arial"/>
                <w:sz w:val="15"/>
                <w:szCs w:val="15"/>
              </w:rPr>
              <w:t>of standardised definition.</w:t>
            </w:r>
          </w:p>
        </w:tc>
      </w:tr>
      <w:tr w:rsidR="006E5533" w:rsidRPr="00251EA9" w14:paraId="6AA20934" w14:textId="77777777" w:rsidTr="00A77951">
        <w:trPr>
          <w:trHeight w:val="586"/>
        </w:trPr>
        <w:tc>
          <w:tcPr>
            <w:tcW w:w="992" w:type="dxa"/>
          </w:tcPr>
          <w:p w14:paraId="10FD2835" w14:textId="518189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Fernandez C.S. et al., 2022</w:t>
            </w:r>
          </w:p>
        </w:tc>
        <w:tc>
          <w:tcPr>
            <w:tcW w:w="851" w:type="dxa"/>
          </w:tcPr>
          <w:p w14:paraId="145DD85C" w14:textId="075AFA8A" w:rsidR="006E5533" w:rsidRPr="00A77951" w:rsidRDefault="006E5533" w:rsidP="006E5533">
            <w:pPr>
              <w:spacing w:line="360" w:lineRule="auto"/>
              <w:contextualSpacing/>
              <w:rPr>
                <w:rFonts w:ascii="Arial" w:hAnsi="Arial" w:cs="Arial"/>
                <w:sz w:val="15"/>
                <w:szCs w:val="15"/>
              </w:rPr>
            </w:pPr>
            <w:hyperlink r:id="rId131" w:history="1">
              <w:r w:rsidRPr="00A77951">
                <w:rPr>
                  <w:rStyle w:val="Hyperlink"/>
                  <w:rFonts w:ascii="Arial" w:hAnsi="Arial" w:cs="Arial"/>
                  <w:sz w:val="15"/>
                  <w:szCs w:val="15"/>
                </w:rPr>
                <w:t>10.5603/PJNNS.a2022.0030</w:t>
              </w:r>
            </w:hyperlink>
          </w:p>
        </w:tc>
        <w:tc>
          <w:tcPr>
            <w:tcW w:w="851" w:type="dxa"/>
          </w:tcPr>
          <w:p w14:paraId="5AFC4528" w14:textId="3CBA24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1AF5E973" w14:textId="77D6D0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709930D" w14:textId="6F03AC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55B555A" w14:textId="28EBD8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4BE652A8" w14:textId="6A33F4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analyse the association between the number of burr-holes and the clinical outcome of patients. To discuss the main complications related to surgical site infections, recurrences and acute </w:t>
            </w:r>
            <w:proofErr w:type="spellStart"/>
            <w:r w:rsidRPr="00251EA9">
              <w:rPr>
                <w:rFonts w:ascii="Arial" w:hAnsi="Arial" w:cs="Arial"/>
                <w:sz w:val="15"/>
                <w:szCs w:val="15"/>
              </w:rPr>
              <w:t>rebleedings</w:t>
            </w:r>
            <w:proofErr w:type="spellEnd"/>
            <w:r w:rsidRPr="00251EA9">
              <w:rPr>
                <w:rFonts w:ascii="Arial" w:hAnsi="Arial" w:cs="Arial"/>
                <w:sz w:val="15"/>
                <w:szCs w:val="15"/>
              </w:rPr>
              <w:t xml:space="preserve"> that require reintervention.</w:t>
            </w:r>
          </w:p>
        </w:tc>
        <w:tc>
          <w:tcPr>
            <w:tcW w:w="1134" w:type="dxa"/>
          </w:tcPr>
          <w:p w14:paraId="5DFDE5B3"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061E8BA" w14:textId="6C7DCA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72A2C91" w14:textId="2226C3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7FCA067" w14:textId="6EBF8745" w:rsidR="006E5533" w:rsidRPr="00251EA9" w:rsidRDefault="006E5533" w:rsidP="006E5533">
            <w:pPr>
              <w:rPr>
                <w:rFonts w:ascii="Arial" w:hAnsi="Arial" w:cs="Arial"/>
                <w:sz w:val="15"/>
                <w:szCs w:val="15"/>
              </w:rPr>
            </w:pPr>
            <w:r w:rsidRPr="00251EA9">
              <w:rPr>
                <w:rFonts w:ascii="Arial" w:hAnsi="Arial" w:cs="Arial"/>
                <w:sz w:val="15"/>
                <w:szCs w:val="15"/>
              </w:rPr>
              <w:t>SSI occurred in 1.73% of surgeries with 1 burr hole, and in 6.25% of surgeries with 2 burr holes.</w:t>
            </w:r>
          </w:p>
        </w:tc>
        <w:tc>
          <w:tcPr>
            <w:tcW w:w="1701" w:type="dxa"/>
          </w:tcPr>
          <w:p w14:paraId="21A24E49" w14:textId="78AB1A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C73F0E9" w14:textId="77777777" w:rsidTr="00A77951">
        <w:trPr>
          <w:trHeight w:val="586"/>
        </w:trPr>
        <w:tc>
          <w:tcPr>
            <w:tcW w:w="992" w:type="dxa"/>
          </w:tcPr>
          <w:p w14:paraId="0ACC235A" w14:textId="3BC87B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Ferreira de Andrade A. et al., 2020</w:t>
            </w:r>
          </w:p>
        </w:tc>
        <w:tc>
          <w:tcPr>
            <w:tcW w:w="851" w:type="dxa"/>
          </w:tcPr>
          <w:p w14:paraId="533CCC1E" w14:textId="484A451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PMCID: PMC7364413</w:t>
            </w:r>
          </w:p>
        </w:tc>
        <w:tc>
          <w:tcPr>
            <w:tcW w:w="851" w:type="dxa"/>
          </w:tcPr>
          <w:p w14:paraId="5474DB55" w14:textId="65D63B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Brazil</w:t>
            </w:r>
          </w:p>
        </w:tc>
        <w:tc>
          <w:tcPr>
            <w:tcW w:w="1134" w:type="dxa"/>
          </w:tcPr>
          <w:p w14:paraId="220F2918" w14:textId="722FF2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AA82FB2" w14:textId="338C3B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13A9F6C" w14:textId="36DDBA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102D152" w14:textId="4C3089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a series of patients underwent to surgical treatment for acute subdural hematoma (ASDH).</w:t>
            </w:r>
          </w:p>
        </w:tc>
        <w:tc>
          <w:tcPr>
            <w:tcW w:w="1134" w:type="dxa"/>
          </w:tcPr>
          <w:p w14:paraId="0424FD8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A1EC324" w14:textId="64C3BF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930FE2B" w14:textId="03B793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793730A" w14:textId="65480BCE" w:rsidR="006E5533" w:rsidRPr="00251EA9" w:rsidRDefault="006E5533" w:rsidP="006E5533">
            <w:pPr>
              <w:rPr>
                <w:rFonts w:ascii="Arial" w:hAnsi="Arial" w:cs="Arial"/>
                <w:sz w:val="15"/>
                <w:szCs w:val="15"/>
              </w:rPr>
            </w:pPr>
            <w:r w:rsidRPr="00251EA9">
              <w:rPr>
                <w:rFonts w:ascii="Arial" w:hAnsi="Arial" w:cs="Arial"/>
                <w:sz w:val="15"/>
                <w:szCs w:val="15"/>
              </w:rPr>
              <w:t>Reported complications in 5 patients: 2 surgical site infections (with removal of bone flap).</w:t>
            </w:r>
          </w:p>
        </w:tc>
        <w:tc>
          <w:tcPr>
            <w:tcW w:w="1701" w:type="dxa"/>
          </w:tcPr>
          <w:p w14:paraId="4EB1220B" w14:textId="629233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6ED37E9" w14:textId="77777777" w:rsidTr="00A77951">
        <w:trPr>
          <w:trHeight w:val="586"/>
        </w:trPr>
        <w:tc>
          <w:tcPr>
            <w:tcW w:w="992" w:type="dxa"/>
          </w:tcPr>
          <w:p w14:paraId="70C86E10" w14:textId="17A0863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Fialkov</w:t>
            </w:r>
            <w:proofErr w:type="spellEnd"/>
            <w:r w:rsidRPr="00251EA9">
              <w:rPr>
                <w:rFonts w:ascii="Arial" w:hAnsi="Arial" w:cs="Arial"/>
                <w:sz w:val="15"/>
                <w:szCs w:val="15"/>
              </w:rPr>
              <w:t xml:space="preserve"> J.A. et al., 2001</w:t>
            </w:r>
          </w:p>
        </w:tc>
        <w:tc>
          <w:tcPr>
            <w:tcW w:w="851" w:type="dxa"/>
          </w:tcPr>
          <w:p w14:paraId="77B2A7BD" w14:textId="64487B35" w:rsidR="006E5533" w:rsidRPr="00A77951" w:rsidRDefault="006E5533" w:rsidP="006E5533">
            <w:pPr>
              <w:spacing w:line="360" w:lineRule="auto"/>
              <w:contextualSpacing/>
              <w:rPr>
                <w:rFonts w:ascii="Arial" w:hAnsi="Arial" w:cs="Arial"/>
                <w:sz w:val="15"/>
                <w:szCs w:val="15"/>
              </w:rPr>
            </w:pPr>
            <w:hyperlink r:id="rId132" w:history="1">
              <w:r w:rsidRPr="00A77951">
                <w:rPr>
                  <w:rStyle w:val="Hyperlink"/>
                  <w:rFonts w:ascii="Arial" w:hAnsi="Arial" w:cs="Arial"/>
                  <w:sz w:val="15"/>
                  <w:szCs w:val="15"/>
                </w:rPr>
                <w:t>10.1097/00001665-</w:t>
              </w:r>
              <w:r w:rsidRPr="00A77951">
                <w:rPr>
                  <w:rStyle w:val="Hyperlink"/>
                  <w:rFonts w:ascii="Arial" w:hAnsi="Arial" w:cs="Arial"/>
                  <w:sz w:val="15"/>
                  <w:szCs w:val="15"/>
                </w:rPr>
                <w:lastRenderedPageBreak/>
                <w:t>200107000-00009</w:t>
              </w:r>
            </w:hyperlink>
          </w:p>
        </w:tc>
        <w:tc>
          <w:tcPr>
            <w:tcW w:w="851" w:type="dxa"/>
          </w:tcPr>
          <w:p w14:paraId="54334084" w14:textId="037303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Canada</w:t>
            </w:r>
          </w:p>
        </w:tc>
        <w:tc>
          <w:tcPr>
            <w:tcW w:w="1134" w:type="dxa"/>
          </w:tcPr>
          <w:p w14:paraId="4D3EE696" w14:textId="4A3097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cross-sectional</w:t>
            </w:r>
          </w:p>
        </w:tc>
        <w:tc>
          <w:tcPr>
            <w:tcW w:w="992" w:type="dxa"/>
          </w:tcPr>
          <w:p w14:paraId="0120F225" w14:textId="7F90CD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7F62D43" w14:textId="1319B3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Craniofacial surgery</w:t>
            </w:r>
          </w:p>
        </w:tc>
        <w:tc>
          <w:tcPr>
            <w:tcW w:w="1843" w:type="dxa"/>
          </w:tcPr>
          <w:p w14:paraId="6A33498A" w14:textId="70A475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rate of, and possible risk factors </w:t>
            </w:r>
            <w:r w:rsidRPr="00251EA9">
              <w:rPr>
                <w:rFonts w:ascii="Arial" w:hAnsi="Arial" w:cs="Arial"/>
                <w:sz w:val="15"/>
                <w:szCs w:val="15"/>
              </w:rPr>
              <w:lastRenderedPageBreak/>
              <w:t>for, postoperative craniofacial infection.</w:t>
            </w:r>
          </w:p>
        </w:tc>
        <w:tc>
          <w:tcPr>
            <w:tcW w:w="1134" w:type="dxa"/>
          </w:tcPr>
          <w:p w14:paraId="4C993582" w14:textId="0B34A99A" w:rsidR="006E5533" w:rsidRPr="00251EA9" w:rsidRDefault="006E5533" w:rsidP="006E5533">
            <w:pPr>
              <w:spacing w:line="360" w:lineRule="auto"/>
              <w:contextualSpacing/>
              <w:rPr>
                <w:rFonts w:ascii="Arial" w:hAnsi="Arial" w:cs="Arial"/>
                <w:sz w:val="15"/>
                <w:szCs w:val="15"/>
              </w:rPr>
            </w:pPr>
          </w:p>
        </w:tc>
        <w:tc>
          <w:tcPr>
            <w:tcW w:w="992" w:type="dxa"/>
          </w:tcPr>
          <w:p w14:paraId="2CA6982A" w14:textId="65A0CA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E28583B" w14:textId="7C8D62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Clinical diagnosis (two or more signs of local infection: redness, </w:t>
            </w:r>
            <w:r w:rsidRPr="00251EA9">
              <w:rPr>
                <w:rFonts w:ascii="Arial" w:hAnsi="Arial" w:cs="Arial"/>
                <w:sz w:val="15"/>
                <w:szCs w:val="15"/>
              </w:rPr>
              <w:lastRenderedPageBreak/>
              <w:t>swelling, purulent discharge) plus one or more of</w:t>
            </w:r>
            <w:r w:rsidRPr="00251EA9">
              <w:rPr>
                <w:rFonts w:ascii="Arial" w:hAnsi="Arial" w:cs="Arial"/>
                <w:sz w:val="15"/>
                <w:szCs w:val="15"/>
              </w:rPr>
              <w:br/>
              <w:t>the following:</w:t>
            </w:r>
            <w:r w:rsidRPr="00251EA9">
              <w:rPr>
                <w:rFonts w:ascii="Arial" w:hAnsi="Arial" w:cs="Arial"/>
                <w:sz w:val="15"/>
                <w:szCs w:val="15"/>
              </w:rPr>
              <w:br/>
              <w:t>1. Hospital admission for treatment of infection.</w:t>
            </w:r>
            <w:r w:rsidRPr="00251EA9">
              <w:rPr>
                <w:rFonts w:ascii="Arial" w:hAnsi="Arial" w:cs="Arial"/>
                <w:sz w:val="15"/>
                <w:szCs w:val="15"/>
              </w:rPr>
              <w:br/>
              <w:t>2. Intravenous or oral antibiotic treatment.</w:t>
            </w:r>
            <w:r w:rsidRPr="00251EA9">
              <w:rPr>
                <w:rFonts w:ascii="Arial" w:hAnsi="Arial" w:cs="Arial"/>
                <w:sz w:val="15"/>
                <w:szCs w:val="15"/>
              </w:rPr>
              <w:br/>
              <w:t>3. Surgical intervention for drainage, irrigation,</w:t>
            </w:r>
            <w:r w:rsidRPr="00251EA9">
              <w:rPr>
                <w:rFonts w:ascii="Arial" w:hAnsi="Arial" w:cs="Arial"/>
                <w:sz w:val="15"/>
                <w:szCs w:val="15"/>
              </w:rPr>
              <w:br/>
              <w:t>and/or debridement.</w:t>
            </w:r>
            <w:r w:rsidRPr="00251EA9">
              <w:rPr>
                <w:rFonts w:ascii="Arial" w:hAnsi="Arial" w:cs="Arial"/>
                <w:sz w:val="15"/>
                <w:szCs w:val="15"/>
              </w:rPr>
              <w:br/>
              <w:t xml:space="preserve">4. Microbiological confirmation (pathogenic organism present in 10&gt;5 </w:t>
            </w:r>
            <w:proofErr w:type="spellStart"/>
            <w:r w:rsidRPr="00251EA9">
              <w:rPr>
                <w:rFonts w:ascii="Arial" w:hAnsi="Arial" w:cs="Arial"/>
                <w:sz w:val="15"/>
                <w:szCs w:val="15"/>
              </w:rPr>
              <w:t>cfu</w:t>
            </w:r>
            <w:proofErr w:type="spellEnd"/>
            <w:r w:rsidRPr="00251EA9">
              <w:rPr>
                <w:rFonts w:ascii="Arial" w:hAnsi="Arial" w:cs="Arial"/>
                <w:sz w:val="15"/>
                <w:szCs w:val="15"/>
              </w:rPr>
              <w:t>/ml).</w:t>
            </w:r>
          </w:p>
        </w:tc>
        <w:tc>
          <w:tcPr>
            <w:tcW w:w="2693" w:type="dxa"/>
          </w:tcPr>
          <w:p w14:paraId="3CCD8229" w14:textId="116BC004" w:rsidR="006E5533" w:rsidRPr="00251EA9" w:rsidRDefault="006E5533" w:rsidP="006E5533">
            <w:pPr>
              <w:rPr>
                <w:rFonts w:ascii="Arial" w:hAnsi="Arial" w:cs="Arial"/>
                <w:sz w:val="15"/>
                <w:szCs w:val="15"/>
              </w:rPr>
            </w:pPr>
            <w:r w:rsidRPr="00251EA9">
              <w:rPr>
                <w:rFonts w:ascii="Arial" w:hAnsi="Arial" w:cs="Arial"/>
                <w:sz w:val="15"/>
                <w:szCs w:val="15"/>
              </w:rPr>
              <w:lastRenderedPageBreak/>
              <w:t>Reported 23 out of 280 total cases of postoperative infection (8.2%). The most common site for postoperative infection was the mandible (infection rate = 16.7%).</w:t>
            </w:r>
          </w:p>
        </w:tc>
        <w:tc>
          <w:tcPr>
            <w:tcW w:w="1701" w:type="dxa"/>
          </w:tcPr>
          <w:p w14:paraId="3307379C" w14:textId="622B3D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66033F3" w14:textId="77777777" w:rsidTr="00A77951">
        <w:trPr>
          <w:trHeight w:val="586"/>
        </w:trPr>
        <w:tc>
          <w:tcPr>
            <w:tcW w:w="992" w:type="dxa"/>
          </w:tcPr>
          <w:p w14:paraId="20F0094D" w14:textId="46CDFB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Filho N.O. et al., 2016</w:t>
            </w:r>
          </w:p>
        </w:tc>
        <w:tc>
          <w:tcPr>
            <w:tcW w:w="851" w:type="dxa"/>
          </w:tcPr>
          <w:p w14:paraId="14741E77" w14:textId="4BAB9EE2" w:rsidR="006E5533" w:rsidRPr="00A77951" w:rsidRDefault="006E5533" w:rsidP="006E5533">
            <w:pPr>
              <w:spacing w:line="360" w:lineRule="auto"/>
              <w:contextualSpacing/>
              <w:rPr>
                <w:rFonts w:ascii="Arial" w:hAnsi="Arial" w:cs="Arial"/>
                <w:sz w:val="15"/>
                <w:szCs w:val="15"/>
              </w:rPr>
            </w:pPr>
            <w:hyperlink r:id="rId133" w:history="1">
              <w:r w:rsidRPr="00A77951">
                <w:rPr>
                  <w:rStyle w:val="Hyperlink"/>
                  <w:rFonts w:ascii="Arial" w:hAnsi="Arial" w:cs="Arial"/>
                  <w:sz w:val="15"/>
                  <w:szCs w:val="15"/>
                </w:rPr>
                <w:t>10.3171/2015.</w:t>
              </w:r>
              <w:proofErr w:type="gramStart"/>
              <w:r w:rsidRPr="00A77951">
                <w:rPr>
                  <w:rStyle w:val="Hyperlink"/>
                  <w:rFonts w:ascii="Arial" w:hAnsi="Arial" w:cs="Arial"/>
                  <w:sz w:val="15"/>
                  <w:szCs w:val="15"/>
                </w:rPr>
                <w:t>9.PEDS</w:t>
              </w:r>
              <w:proofErr w:type="gramEnd"/>
              <w:r w:rsidRPr="00A77951">
                <w:rPr>
                  <w:rStyle w:val="Hyperlink"/>
                  <w:rFonts w:ascii="Arial" w:hAnsi="Arial" w:cs="Arial"/>
                  <w:sz w:val="15"/>
                  <w:szCs w:val="15"/>
                </w:rPr>
                <w:t>1559</w:t>
              </w:r>
            </w:hyperlink>
          </w:p>
        </w:tc>
        <w:tc>
          <w:tcPr>
            <w:tcW w:w="851" w:type="dxa"/>
          </w:tcPr>
          <w:p w14:paraId="33A19867" w14:textId="571CD3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El Salvador</w:t>
            </w:r>
          </w:p>
        </w:tc>
        <w:tc>
          <w:tcPr>
            <w:tcW w:w="1134" w:type="dxa"/>
          </w:tcPr>
          <w:p w14:paraId="5960818E" w14:textId="3E93C8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6571221" w14:textId="0D4CE6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55F6B42" w14:textId="799A49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8A292B4" w14:textId="4C7DDF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whether the occurrence of </w:t>
            </w:r>
            <w:proofErr w:type="spellStart"/>
            <w:r w:rsidRPr="00251EA9">
              <w:rPr>
                <w:rFonts w:ascii="Arial" w:hAnsi="Arial" w:cs="Arial"/>
                <w:sz w:val="15"/>
                <w:szCs w:val="15"/>
              </w:rPr>
              <w:t>hyperglycemia</w:t>
            </w:r>
            <w:proofErr w:type="spellEnd"/>
            <w:r w:rsidRPr="00251EA9">
              <w:rPr>
                <w:rFonts w:ascii="Arial" w:hAnsi="Arial" w:cs="Arial"/>
                <w:sz w:val="15"/>
                <w:szCs w:val="15"/>
              </w:rPr>
              <w:t xml:space="preserve"> during the perioperative period of elective neurosurgery for the resection of tumours of the CNS in children is associated with increased morbidity.</w:t>
            </w:r>
          </w:p>
        </w:tc>
        <w:tc>
          <w:tcPr>
            <w:tcW w:w="1134" w:type="dxa"/>
          </w:tcPr>
          <w:p w14:paraId="7FE2C10E" w14:textId="518D87E3" w:rsidR="006E5533" w:rsidRPr="00251EA9" w:rsidRDefault="006E5533" w:rsidP="006E5533">
            <w:pPr>
              <w:spacing w:line="360" w:lineRule="auto"/>
              <w:contextualSpacing/>
              <w:rPr>
                <w:rFonts w:ascii="Arial" w:hAnsi="Arial" w:cs="Arial"/>
                <w:sz w:val="15"/>
                <w:szCs w:val="15"/>
              </w:rPr>
            </w:pPr>
          </w:p>
        </w:tc>
        <w:tc>
          <w:tcPr>
            <w:tcW w:w="992" w:type="dxa"/>
          </w:tcPr>
          <w:p w14:paraId="391522BC" w14:textId="7B5396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AE24875" w14:textId="4781E6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6029941" w14:textId="6A699950" w:rsidR="006E5533" w:rsidRPr="00251EA9" w:rsidRDefault="006E5533" w:rsidP="006E5533">
            <w:pPr>
              <w:rPr>
                <w:rFonts w:ascii="Arial" w:hAnsi="Arial" w:cs="Arial"/>
                <w:sz w:val="15"/>
                <w:szCs w:val="15"/>
              </w:rPr>
            </w:pPr>
            <w:r w:rsidRPr="00251EA9">
              <w:rPr>
                <w:rFonts w:ascii="Arial" w:hAnsi="Arial" w:cs="Arial"/>
                <w:sz w:val="15"/>
                <w:szCs w:val="15"/>
              </w:rPr>
              <w:t>Main complication observed was infection, which occurred in 16 patients</w:t>
            </w:r>
            <w:r w:rsidRPr="00251EA9">
              <w:rPr>
                <w:rFonts w:ascii="Arial" w:hAnsi="Arial" w:cs="Arial"/>
                <w:sz w:val="15"/>
                <w:szCs w:val="15"/>
              </w:rPr>
              <w:br/>
              <w:t>(15.2%).</w:t>
            </w:r>
          </w:p>
        </w:tc>
        <w:tc>
          <w:tcPr>
            <w:tcW w:w="1701" w:type="dxa"/>
          </w:tcPr>
          <w:p w14:paraId="3CBE2A0E" w14:textId="4F5292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17CD548" w14:textId="77777777" w:rsidTr="00A77951">
        <w:trPr>
          <w:trHeight w:val="586"/>
        </w:trPr>
        <w:tc>
          <w:tcPr>
            <w:tcW w:w="992" w:type="dxa"/>
          </w:tcPr>
          <w:p w14:paraId="0BE57939" w14:textId="2A6897C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Findlay M.C. et al., 2023</w:t>
            </w:r>
          </w:p>
        </w:tc>
        <w:tc>
          <w:tcPr>
            <w:tcW w:w="851" w:type="dxa"/>
          </w:tcPr>
          <w:p w14:paraId="2CAC1A4B" w14:textId="11FB1CE5" w:rsidR="006E5533" w:rsidRPr="00A77951" w:rsidRDefault="006E5533" w:rsidP="006E5533">
            <w:pPr>
              <w:spacing w:line="360" w:lineRule="auto"/>
              <w:contextualSpacing/>
              <w:rPr>
                <w:rFonts w:ascii="Arial" w:hAnsi="Arial" w:cs="Arial"/>
                <w:sz w:val="15"/>
                <w:szCs w:val="15"/>
              </w:rPr>
            </w:pPr>
            <w:hyperlink r:id="rId134" w:history="1">
              <w:r w:rsidRPr="00A77951">
                <w:rPr>
                  <w:rStyle w:val="Hyperlink"/>
                  <w:rFonts w:ascii="Arial" w:hAnsi="Arial" w:cs="Arial"/>
                  <w:sz w:val="15"/>
                  <w:szCs w:val="15"/>
                </w:rPr>
                <w:t>10.1227/neu.0000000000002397</w:t>
              </w:r>
            </w:hyperlink>
          </w:p>
        </w:tc>
        <w:tc>
          <w:tcPr>
            <w:tcW w:w="851" w:type="dxa"/>
          </w:tcPr>
          <w:p w14:paraId="7D683940" w14:textId="0F9BEB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2693946" w14:textId="1A6290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9C6F0FF" w14:textId="7B3ADB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01833D1" w14:textId="7A5F5E8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5B888FD9" w14:textId="060BCA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race predicts worse outcomes after anterior cranial fossa surgery.</w:t>
            </w:r>
          </w:p>
        </w:tc>
        <w:tc>
          <w:tcPr>
            <w:tcW w:w="1134" w:type="dxa"/>
          </w:tcPr>
          <w:p w14:paraId="21035725" w14:textId="235A11F2" w:rsidR="006E5533" w:rsidRPr="00251EA9" w:rsidRDefault="006E5533" w:rsidP="006E5533">
            <w:pPr>
              <w:spacing w:line="360" w:lineRule="auto"/>
              <w:contextualSpacing/>
              <w:rPr>
                <w:rFonts w:ascii="Arial" w:hAnsi="Arial" w:cs="Arial"/>
                <w:sz w:val="15"/>
                <w:szCs w:val="15"/>
              </w:rPr>
            </w:pPr>
          </w:p>
        </w:tc>
        <w:tc>
          <w:tcPr>
            <w:tcW w:w="992" w:type="dxa"/>
          </w:tcPr>
          <w:p w14:paraId="1832DBB8" w14:textId="43E70B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223DAF0" w14:textId="160D5F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49312C2" w14:textId="07D70CE4" w:rsidR="006E5533" w:rsidRPr="00251EA9" w:rsidRDefault="006E5533" w:rsidP="006E5533">
            <w:pPr>
              <w:rPr>
                <w:rFonts w:ascii="Arial" w:hAnsi="Arial" w:cs="Arial"/>
                <w:sz w:val="15"/>
                <w:szCs w:val="15"/>
              </w:rPr>
            </w:pPr>
            <w:r w:rsidRPr="00251EA9">
              <w:rPr>
                <w:rFonts w:ascii="Arial" w:hAnsi="Arial" w:cs="Arial"/>
                <w:sz w:val="15"/>
                <w:szCs w:val="15"/>
              </w:rPr>
              <w:t>Reported 5 cases of infection in white people vs 7 cases in minority groups.</w:t>
            </w:r>
          </w:p>
        </w:tc>
        <w:tc>
          <w:tcPr>
            <w:tcW w:w="1701" w:type="dxa"/>
          </w:tcPr>
          <w:p w14:paraId="79439A21" w14:textId="4E7D02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36BB596" w14:textId="77777777" w:rsidTr="00A77951">
        <w:trPr>
          <w:trHeight w:val="586"/>
        </w:trPr>
        <w:tc>
          <w:tcPr>
            <w:tcW w:w="992" w:type="dxa"/>
          </w:tcPr>
          <w:p w14:paraId="692F67F6" w14:textId="51425D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Flanagan L.S. et al., 2022</w:t>
            </w:r>
          </w:p>
        </w:tc>
        <w:tc>
          <w:tcPr>
            <w:tcW w:w="851" w:type="dxa"/>
          </w:tcPr>
          <w:p w14:paraId="0BAA23E7" w14:textId="69903A08" w:rsidR="006E5533" w:rsidRPr="00A77951" w:rsidRDefault="006E5533" w:rsidP="006E5533">
            <w:pPr>
              <w:spacing w:line="360" w:lineRule="auto"/>
              <w:contextualSpacing/>
              <w:rPr>
                <w:rFonts w:ascii="Arial" w:hAnsi="Arial" w:cs="Arial"/>
                <w:sz w:val="15"/>
                <w:szCs w:val="15"/>
              </w:rPr>
            </w:pPr>
            <w:hyperlink r:id="rId135" w:history="1">
              <w:r w:rsidRPr="00A77951">
                <w:rPr>
                  <w:rStyle w:val="Hyperlink"/>
                  <w:rFonts w:ascii="Arial" w:hAnsi="Arial" w:cs="Arial"/>
                  <w:sz w:val="15"/>
                  <w:szCs w:val="15"/>
                </w:rPr>
                <w:t>10.1002/lary.29893</w:t>
              </w:r>
            </w:hyperlink>
          </w:p>
        </w:tc>
        <w:tc>
          <w:tcPr>
            <w:tcW w:w="851" w:type="dxa"/>
          </w:tcPr>
          <w:p w14:paraId="5AB42C9F" w14:textId="4F2B47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D20AAF3" w14:textId="0DD528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94B0849" w14:textId="04B659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Both</w:t>
            </w:r>
          </w:p>
        </w:tc>
        <w:tc>
          <w:tcPr>
            <w:tcW w:w="1276" w:type="dxa"/>
          </w:tcPr>
          <w:p w14:paraId="4E89DAD2" w14:textId="49B4421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199C7F56" w14:textId="0C13E3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impact of preoperative </w:t>
            </w:r>
            <w:proofErr w:type="spellStart"/>
            <w:r w:rsidRPr="00251EA9">
              <w:rPr>
                <w:rFonts w:ascii="Arial" w:hAnsi="Arial" w:cs="Arial"/>
                <w:sz w:val="15"/>
                <w:szCs w:val="15"/>
              </w:rPr>
              <w:t>hematocrit</w:t>
            </w:r>
            <w:proofErr w:type="spellEnd"/>
            <w:r w:rsidRPr="00251EA9">
              <w:rPr>
                <w:rFonts w:ascii="Arial" w:hAnsi="Arial" w:cs="Arial"/>
                <w:sz w:val="15"/>
                <w:szCs w:val="15"/>
              </w:rPr>
              <w:t xml:space="preserve"> on complications following ventral skull base surgery.</w:t>
            </w:r>
          </w:p>
        </w:tc>
        <w:tc>
          <w:tcPr>
            <w:tcW w:w="1134" w:type="dxa"/>
          </w:tcPr>
          <w:p w14:paraId="23CDBFF0"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7492EC9" w14:textId="29BAD2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D948B45" w14:textId="393FD2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6AF9D07" w14:textId="16A6BB9B" w:rsidR="006E5533" w:rsidRPr="00251EA9" w:rsidRDefault="006E5533" w:rsidP="006E5533">
            <w:pPr>
              <w:rPr>
                <w:rFonts w:ascii="Arial" w:hAnsi="Arial" w:cs="Arial"/>
                <w:sz w:val="15"/>
                <w:szCs w:val="15"/>
              </w:rPr>
            </w:pPr>
            <w:r w:rsidRPr="00251EA9">
              <w:rPr>
                <w:rFonts w:ascii="Arial" w:hAnsi="Arial" w:cs="Arial"/>
                <w:sz w:val="15"/>
                <w:szCs w:val="15"/>
              </w:rPr>
              <w:t>8.1% infections in non-anaemic patients and 16.7% in anaemic patients.</w:t>
            </w:r>
          </w:p>
        </w:tc>
        <w:tc>
          <w:tcPr>
            <w:tcW w:w="1701" w:type="dxa"/>
          </w:tcPr>
          <w:p w14:paraId="1A27C98C" w14:textId="36576E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B672DE7" w14:textId="77777777" w:rsidTr="00A77951">
        <w:trPr>
          <w:trHeight w:val="586"/>
        </w:trPr>
        <w:tc>
          <w:tcPr>
            <w:tcW w:w="992" w:type="dxa"/>
          </w:tcPr>
          <w:p w14:paraId="1059C611" w14:textId="0DD730C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Forcadas-Berdusan</w:t>
            </w:r>
            <w:proofErr w:type="spellEnd"/>
            <w:r w:rsidRPr="00251EA9">
              <w:rPr>
                <w:rFonts w:ascii="Arial" w:hAnsi="Arial" w:cs="Arial"/>
                <w:sz w:val="15"/>
                <w:szCs w:val="15"/>
              </w:rPr>
              <w:t xml:space="preserve"> M et al. 2011</w:t>
            </w:r>
          </w:p>
        </w:tc>
        <w:tc>
          <w:tcPr>
            <w:tcW w:w="851" w:type="dxa"/>
          </w:tcPr>
          <w:p w14:paraId="662B94EB" w14:textId="5D0F31A0" w:rsidR="006E5533" w:rsidRPr="00A77951" w:rsidRDefault="006E5533" w:rsidP="006E5533">
            <w:pPr>
              <w:spacing w:line="360" w:lineRule="auto"/>
              <w:contextualSpacing/>
              <w:rPr>
                <w:rFonts w:ascii="Arial" w:hAnsi="Arial" w:cs="Arial"/>
                <w:sz w:val="15"/>
                <w:szCs w:val="15"/>
              </w:rPr>
            </w:pPr>
            <w:hyperlink r:id="rId136" w:history="1">
              <w:r w:rsidRPr="00A77951">
                <w:rPr>
                  <w:rStyle w:val="Hyperlink"/>
                  <w:rFonts w:ascii="Arial" w:hAnsi="Arial" w:cs="Arial"/>
                  <w:sz w:val="15"/>
                  <w:szCs w:val="15"/>
                </w:rPr>
                <w:t>10.1684/epd.2011.0413</w:t>
              </w:r>
            </w:hyperlink>
          </w:p>
        </w:tc>
        <w:tc>
          <w:tcPr>
            <w:tcW w:w="851" w:type="dxa"/>
          </w:tcPr>
          <w:p w14:paraId="5F1032BF" w14:textId="5B337B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0B77A88D" w14:textId="7A7D7B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889D090" w14:textId="7B146F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A12E5A7" w14:textId="2D56A5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(temporal lobe resection for epilepsy)</w:t>
            </w:r>
          </w:p>
        </w:tc>
        <w:tc>
          <w:tcPr>
            <w:tcW w:w="1843" w:type="dxa"/>
          </w:tcPr>
          <w:p w14:paraId="3200FA21" w14:textId="68B6B4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outcome of temporal lobe epilepsy surgery and identify the variables which predict a good prognosis with respect to seizures in postoperative follow-up after two and four years.</w:t>
            </w:r>
          </w:p>
        </w:tc>
        <w:tc>
          <w:tcPr>
            <w:tcW w:w="1134" w:type="dxa"/>
          </w:tcPr>
          <w:p w14:paraId="6A88A23F" w14:textId="44456AF6" w:rsidR="006E5533" w:rsidRPr="00251EA9" w:rsidRDefault="006E5533" w:rsidP="006E5533">
            <w:pPr>
              <w:spacing w:line="360" w:lineRule="auto"/>
              <w:contextualSpacing/>
              <w:rPr>
                <w:rFonts w:ascii="Arial" w:hAnsi="Arial" w:cs="Arial"/>
                <w:sz w:val="15"/>
                <w:szCs w:val="15"/>
              </w:rPr>
            </w:pPr>
          </w:p>
        </w:tc>
        <w:tc>
          <w:tcPr>
            <w:tcW w:w="992" w:type="dxa"/>
          </w:tcPr>
          <w:p w14:paraId="16C5380F" w14:textId="4BA368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70463E1" w14:textId="796BF7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E786CB4" w14:textId="401FA5F4" w:rsidR="006E5533" w:rsidRPr="00251EA9" w:rsidRDefault="006E5533" w:rsidP="006E5533">
            <w:pPr>
              <w:rPr>
                <w:rFonts w:ascii="Arial" w:hAnsi="Arial" w:cs="Arial"/>
                <w:sz w:val="15"/>
                <w:szCs w:val="15"/>
              </w:rPr>
            </w:pPr>
            <w:r w:rsidRPr="00251EA9">
              <w:rPr>
                <w:rFonts w:ascii="Arial" w:hAnsi="Arial" w:cs="Arial"/>
                <w:sz w:val="15"/>
                <w:szCs w:val="15"/>
              </w:rPr>
              <w:t>Reported 15 cases (13%) of CNS infection post-operatively and 1 case of infection following craniectomy.</w:t>
            </w:r>
          </w:p>
        </w:tc>
        <w:tc>
          <w:tcPr>
            <w:tcW w:w="1701" w:type="dxa"/>
          </w:tcPr>
          <w:p w14:paraId="1CEF178D" w14:textId="225E70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F4261BC" w14:textId="77777777" w:rsidTr="00A77951">
        <w:trPr>
          <w:trHeight w:val="586"/>
        </w:trPr>
        <w:tc>
          <w:tcPr>
            <w:tcW w:w="992" w:type="dxa"/>
          </w:tcPr>
          <w:p w14:paraId="2BF8F253" w14:textId="07551D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Foster K.A. et al., 2017</w:t>
            </w:r>
          </w:p>
        </w:tc>
        <w:tc>
          <w:tcPr>
            <w:tcW w:w="851" w:type="dxa"/>
          </w:tcPr>
          <w:p w14:paraId="6FD6DB6A" w14:textId="2AEFB678" w:rsidR="006E5533" w:rsidRPr="00A77951" w:rsidRDefault="006E5533" w:rsidP="006E5533">
            <w:pPr>
              <w:spacing w:line="360" w:lineRule="auto"/>
              <w:contextualSpacing/>
              <w:rPr>
                <w:rFonts w:ascii="Arial" w:hAnsi="Arial" w:cs="Arial"/>
                <w:sz w:val="15"/>
                <w:szCs w:val="15"/>
              </w:rPr>
            </w:pPr>
            <w:hyperlink r:id="rId137" w:history="1">
              <w:r w:rsidRPr="00A77951">
                <w:rPr>
                  <w:rStyle w:val="Hyperlink"/>
                  <w:rFonts w:ascii="Arial" w:hAnsi="Arial" w:cs="Arial"/>
                  <w:sz w:val="15"/>
                  <w:szCs w:val="15"/>
                </w:rPr>
                <w:t>10.1016/j.wneu.2016.02.071</w:t>
              </w:r>
            </w:hyperlink>
          </w:p>
        </w:tc>
        <w:tc>
          <w:tcPr>
            <w:tcW w:w="851" w:type="dxa"/>
          </w:tcPr>
          <w:p w14:paraId="0875181F" w14:textId="183F4B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F2B190F" w14:textId="15769F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36D05FB" w14:textId="05EB8F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88B2423" w14:textId="2AE0EE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CF5FDCC" w14:textId="38A37C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complication rates of calcium phosphate (</w:t>
            </w:r>
            <w:proofErr w:type="spellStart"/>
            <w:r w:rsidRPr="00251EA9">
              <w:rPr>
                <w:rFonts w:ascii="Arial" w:hAnsi="Arial" w:cs="Arial"/>
                <w:sz w:val="15"/>
                <w:szCs w:val="15"/>
              </w:rPr>
              <w:t>CaP</w:t>
            </w:r>
            <w:proofErr w:type="spellEnd"/>
            <w:r w:rsidRPr="00251EA9">
              <w:rPr>
                <w:rFonts w:ascii="Arial" w:hAnsi="Arial" w:cs="Arial"/>
                <w:sz w:val="15"/>
                <w:szCs w:val="15"/>
              </w:rPr>
              <w:t xml:space="preserve">) cement and titanium mesh cranioplasty in patients undergoing </w:t>
            </w:r>
            <w:proofErr w:type="spellStart"/>
            <w:r w:rsidRPr="00251EA9">
              <w:rPr>
                <w:rFonts w:ascii="Arial" w:hAnsi="Arial" w:cs="Arial"/>
                <w:sz w:val="15"/>
                <w:szCs w:val="15"/>
              </w:rPr>
              <w:t>retromastoid</w:t>
            </w:r>
            <w:proofErr w:type="spellEnd"/>
            <w:r w:rsidRPr="00251EA9">
              <w:rPr>
                <w:rFonts w:ascii="Arial" w:hAnsi="Arial" w:cs="Arial"/>
                <w:sz w:val="15"/>
                <w:szCs w:val="15"/>
              </w:rPr>
              <w:t xml:space="preserve"> craniectomy.</w:t>
            </w:r>
          </w:p>
        </w:tc>
        <w:tc>
          <w:tcPr>
            <w:tcW w:w="1134" w:type="dxa"/>
          </w:tcPr>
          <w:p w14:paraId="641665F5" w14:textId="72ECC89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CaP</w:t>
            </w:r>
            <w:proofErr w:type="spellEnd"/>
            <w:r w:rsidRPr="00251EA9">
              <w:rPr>
                <w:rFonts w:ascii="Arial" w:hAnsi="Arial" w:cs="Arial"/>
                <w:sz w:val="15"/>
                <w:szCs w:val="15"/>
              </w:rPr>
              <w:t xml:space="preserve"> cement vs titanium mesh cranioplasty.</w:t>
            </w:r>
          </w:p>
        </w:tc>
        <w:tc>
          <w:tcPr>
            <w:tcW w:w="992" w:type="dxa"/>
          </w:tcPr>
          <w:p w14:paraId="4A524298" w14:textId="25E4F5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0D18BD9" w14:textId="194818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1EEDA61" w14:textId="7EDA9684" w:rsidR="006E5533" w:rsidRPr="00251EA9" w:rsidRDefault="006E5533" w:rsidP="006E5533">
            <w:pPr>
              <w:rPr>
                <w:rFonts w:ascii="Arial" w:hAnsi="Arial" w:cs="Arial"/>
                <w:sz w:val="15"/>
                <w:szCs w:val="15"/>
              </w:rPr>
            </w:pPr>
            <w:r w:rsidRPr="00251EA9">
              <w:rPr>
                <w:rFonts w:ascii="Arial" w:hAnsi="Arial" w:cs="Arial"/>
                <w:sz w:val="15"/>
                <w:szCs w:val="15"/>
              </w:rPr>
              <w:t>Reported 0.6% experienced wound infection.</w:t>
            </w:r>
          </w:p>
        </w:tc>
        <w:tc>
          <w:tcPr>
            <w:tcW w:w="1701" w:type="dxa"/>
          </w:tcPr>
          <w:p w14:paraId="133C66DA" w14:textId="351DDF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D748170" w14:textId="77777777" w:rsidTr="00A77951">
        <w:trPr>
          <w:trHeight w:val="586"/>
        </w:trPr>
        <w:tc>
          <w:tcPr>
            <w:tcW w:w="992" w:type="dxa"/>
          </w:tcPr>
          <w:p w14:paraId="7991DD77" w14:textId="59486F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Foster M. et al., 2021</w:t>
            </w:r>
          </w:p>
        </w:tc>
        <w:tc>
          <w:tcPr>
            <w:tcW w:w="851" w:type="dxa"/>
          </w:tcPr>
          <w:p w14:paraId="10799CFA" w14:textId="4937F049" w:rsidR="006E5533" w:rsidRPr="00A77951" w:rsidRDefault="006E5533" w:rsidP="006E5533">
            <w:pPr>
              <w:spacing w:line="360" w:lineRule="auto"/>
              <w:contextualSpacing/>
              <w:rPr>
                <w:rFonts w:ascii="Arial" w:hAnsi="Arial" w:cs="Arial"/>
                <w:sz w:val="15"/>
                <w:szCs w:val="15"/>
              </w:rPr>
            </w:pPr>
            <w:hyperlink r:id="rId138" w:history="1">
              <w:r w:rsidRPr="00A77951">
                <w:rPr>
                  <w:rStyle w:val="Hyperlink"/>
                  <w:rFonts w:ascii="Arial" w:hAnsi="Arial" w:cs="Arial"/>
                  <w:sz w:val="15"/>
                  <w:szCs w:val="15"/>
                </w:rPr>
                <w:t>10.3171/2020.</w:t>
              </w:r>
              <w:proofErr w:type="gramStart"/>
              <w:r w:rsidRPr="00A77951">
                <w:rPr>
                  <w:rStyle w:val="Hyperlink"/>
                  <w:rFonts w:ascii="Arial" w:hAnsi="Arial" w:cs="Arial"/>
                  <w:sz w:val="15"/>
                  <w:szCs w:val="15"/>
                </w:rPr>
                <w:t>9.PEDS</w:t>
              </w:r>
              <w:proofErr w:type="gramEnd"/>
              <w:r w:rsidRPr="00A77951">
                <w:rPr>
                  <w:rStyle w:val="Hyperlink"/>
                  <w:rFonts w:ascii="Arial" w:hAnsi="Arial" w:cs="Arial"/>
                  <w:sz w:val="15"/>
                  <w:szCs w:val="15"/>
                </w:rPr>
                <w:t>20556</w:t>
              </w:r>
            </w:hyperlink>
          </w:p>
        </w:tc>
        <w:tc>
          <w:tcPr>
            <w:tcW w:w="851" w:type="dxa"/>
          </w:tcPr>
          <w:p w14:paraId="6BEA2300" w14:textId="2ABBCF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104DB21C" w14:textId="2AE02B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 control</w:t>
            </w:r>
          </w:p>
        </w:tc>
        <w:tc>
          <w:tcPr>
            <w:tcW w:w="992" w:type="dxa"/>
          </w:tcPr>
          <w:p w14:paraId="0FB6A06F" w14:textId="48967D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6C358801" w14:textId="034B8C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neuro-oncology</w:t>
            </w:r>
          </w:p>
        </w:tc>
        <w:tc>
          <w:tcPr>
            <w:tcW w:w="1843" w:type="dxa"/>
          </w:tcPr>
          <w:p w14:paraId="5CAF8BB8" w14:textId="6FD677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quantify surgical morbidity after paediatric brain tumour surgery using existing morbidity and outcome measures.</w:t>
            </w:r>
          </w:p>
        </w:tc>
        <w:tc>
          <w:tcPr>
            <w:tcW w:w="1134" w:type="dxa"/>
          </w:tcPr>
          <w:p w14:paraId="558FE75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CAAB1C0" w14:textId="216856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B71CE9F" w14:textId="32F377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8106242" w14:textId="6622D5CF" w:rsidR="006E5533" w:rsidRPr="00251EA9" w:rsidRDefault="006E5533" w:rsidP="006E5533">
            <w:pPr>
              <w:rPr>
                <w:rFonts w:ascii="Arial" w:hAnsi="Arial" w:cs="Arial"/>
                <w:sz w:val="15"/>
                <w:szCs w:val="15"/>
              </w:rPr>
            </w:pPr>
            <w:r w:rsidRPr="00251EA9">
              <w:rPr>
                <w:rFonts w:ascii="Arial" w:hAnsi="Arial" w:cs="Arial"/>
                <w:sz w:val="15"/>
                <w:szCs w:val="15"/>
              </w:rPr>
              <w:t>Reported 9 cases (2%) of wound infection. 7 cases of shunt infection.</w:t>
            </w:r>
          </w:p>
        </w:tc>
        <w:tc>
          <w:tcPr>
            <w:tcW w:w="1701" w:type="dxa"/>
          </w:tcPr>
          <w:p w14:paraId="1796562C" w14:textId="532814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C84EA1F" w14:textId="77777777" w:rsidTr="00A77951">
        <w:trPr>
          <w:trHeight w:val="586"/>
        </w:trPr>
        <w:tc>
          <w:tcPr>
            <w:tcW w:w="992" w:type="dxa"/>
          </w:tcPr>
          <w:p w14:paraId="0FE3C044" w14:textId="33E24B3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Frizon</w:t>
            </w:r>
            <w:proofErr w:type="spellEnd"/>
            <w:r w:rsidRPr="00251EA9">
              <w:rPr>
                <w:rFonts w:ascii="Arial" w:hAnsi="Arial" w:cs="Arial"/>
                <w:sz w:val="15"/>
                <w:szCs w:val="15"/>
              </w:rPr>
              <w:t xml:space="preserve"> L.A. et al., 2017</w:t>
            </w:r>
          </w:p>
        </w:tc>
        <w:tc>
          <w:tcPr>
            <w:tcW w:w="851" w:type="dxa"/>
          </w:tcPr>
          <w:p w14:paraId="0AA50E3E" w14:textId="020A006F" w:rsidR="006E5533" w:rsidRPr="00A77951" w:rsidRDefault="006E5533" w:rsidP="006E5533">
            <w:pPr>
              <w:spacing w:line="360" w:lineRule="auto"/>
              <w:contextualSpacing/>
              <w:rPr>
                <w:rFonts w:ascii="Arial" w:hAnsi="Arial" w:cs="Arial"/>
                <w:sz w:val="15"/>
                <w:szCs w:val="15"/>
              </w:rPr>
            </w:pPr>
            <w:hyperlink r:id="rId139" w:history="1">
              <w:r w:rsidRPr="00A77951">
                <w:rPr>
                  <w:rStyle w:val="Hyperlink"/>
                  <w:rFonts w:ascii="Arial" w:hAnsi="Arial" w:cs="Arial"/>
                  <w:sz w:val="15"/>
                  <w:szCs w:val="15"/>
                </w:rPr>
                <w:t>10.1111/ner.12605</w:t>
              </w:r>
            </w:hyperlink>
          </w:p>
        </w:tc>
        <w:tc>
          <w:tcPr>
            <w:tcW w:w="851" w:type="dxa"/>
          </w:tcPr>
          <w:p w14:paraId="2F53BD22" w14:textId="49F1E8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A8B7F51" w14:textId="3E82D2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4A02896" w14:textId="206672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F41B405" w14:textId="2F6675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76A40020" w14:textId="5D1883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establish the infection rate at the initial surgery and for each subsequent replacement of DBS. </w:t>
            </w:r>
          </w:p>
        </w:tc>
        <w:tc>
          <w:tcPr>
            <w:tcW w:w="1134" w:type="dxa"/>
          </w:tcPr>
          <w:p w14:paraId="0CA5C370" w14:textId="0532F433" w:rsidR="006E5533" w:rsidRPr="00251EA9" w:rsidRDefault="006E5533" w:rsidP="006E5533">
            <w:pPr>
              <w:spacing w:line="360" w:lineRule="auto"/>
              <w:contextualSpacing/>
              <w:rPr>
                <w:rFonts w:ascii="Arial" w:hAnsi="Arial" w:cs="Arial"/>
                <w:sz w:val="15"/>
                <w:szCs w:val="15"/>
              </w:rPr>
            </w:pPr>
          </w:p>
        </w:tc>
        <w:tc>
          <w:tcPr>
            <w:tcW w:w="992" w:type="dxa"/>
          </w:tcPr>
          <w:p w14:paraId="4E47643F" w14:textId="5DCF75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F6C6DE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Wound tenderness or purulent discharge</w:t>
            </w:r>
          </w:p>
          <w:p w14:paraId="0DC19A54"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Elevated temperature or inflammatory markers</w:t>
            </w:r>
          </w:p>
          <w:p w14:paraId="23DDA672" w14:textId="574A46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3. Evidence of hardware exposure at the pulse generator site (i.e., erosion)</w:t>
            </w:r>
          </w:p>
        </w:tc>
        <w:tc>
          <w:tcPr>
            <w:tcW w:w="2693" w:type="dxa"/>
          </w:tcPr>
          <w:p w14:paraId="094729ED" w14:textId="7F3F53AA" w:rsidR="006E5533" w:rsidRPr="00251EA9" w:rsidRDefault="006E5533" w:rsidP="006E5533">
            <w:pPr>
              <w:rPr>
                <w:rFonts w:ascii="Arial" w:hAnsi="Arial" w:cs="Arial"/>
                <w:sz w:val="15"/>
                <w:szCs w:val="15"/>
              </w:rPr>
            </w:pPr>
            <w:r w:rsidRPr="00251EA9">
              <w:rPr>
                <w:rFonts w:ascii="Arial" w:hAnsi="Arial" w:cs="Arial"/>
                <w:sz w:val="15"/>
                <w:szCs w:val="15"/>
              </w:rPr>
              <w:lastRenderedPageBreak/>
              <w:t xml:space="preserve">For all 697 patients, the infection rate at the first surgery was 2.01%; at the second surgery, it was 0.44%; and at the third surgery, it was 1.83%. When considering only patients that underwent at least three replacement surgeries the infection rate did not change in a significant manner with </w:t>
            </w:r>
            <w:r w:rsidRPr="00251EA9">
              <w:rPr>
                <w:rFonts w:ascii="Arial" w:hAnsi="Arial" w:cs="Arial"/>
                <w:sz w:val="15"/>
                <w:szCs w:val="15"/>
              </w:rPr>
              <w:lastRenderedPageBreak/>
              <w:t xml:space="preserve">subsequent interventions compared to the first replacement. </w:t>
            </w:r>
          </w:p>
        </w:tc>
        <w:tc>
          <w:tcPr>
            <w:tcW w:w="1701" w:type="dxa"/>
          </w:tcPr>
          <w:p w14:paraId="0A2019A8" w14:textId="44AAC8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1EBA9810" w14:textId="77777777" w:rsidTr="00A77951">
        <w:trPr>
          <w:trHeight w:val="586"/>
        </w:trPr>
        <w:tc>
          <w:tcPr>
            <w:tcW w:w="992" w:type="dxa"/>
          </w:tcPr>
          <w:p w14:paraId="2A5E5412" w14:textId="66710D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Fuentes A.M. et al., 2021</w:t>
            </w:r>
          </w:p>
        </w:tc>
        <w:tc>
          <w:tcPr>
            <w:tcW w:w="851" w:type="dxa"/>
          </w:tcPr>
          <w:p w14:paraId="5D8402FE" w14:textId="54BF429E" w:rsidR="006E5533" w:rsidRPr="00A77951" w:rsidRDefault="006E5533" w:rsidP="006E5533">
            <w:pPr>
              <w:spacing w:line="360" w:lineRule="auto"/>
              <w:contextualSpacing/>
              <w:rPr>
                <w:rFonts w:ascii="Arial" w:hAnsi="Arial" w:cs="Arial"/>
                <w:sz w:val="15"/>
                <w:szCs w:val="15"/>
              </w:rPr>
            </w:pPr>
            <w:hyperlink r:id="rId140" w:history="1">
              <w:r w:rsidRPr="00A77951">
                <w:rPr>
                  <w:rStyle w:val="Hyperlink"/>
                  <w:rFonts w:ascii="Arial" w:hAnsi="Arial" w:cs="Arial"/>
                  <w:sz w:val="15"/>
                  <w:szCs w:val="15"/>
                </w:rPr>
                <w:t>10.1016/j.clineuro.2021.106757</w:t>
              </w:r>
            </w:hyperlink>
          </w:p>
        </w:tc>
        <w:tc>
          <w:tcPr>
            <w:tcW w:w="851" w:type="dxa"/>
          </w:tcPr>
          <w:p w14:paraId="7FCC0283" w14:textId="44A504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08962D6" w14:textId="362C03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1A18056" w14:textId="329B78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BC53FDA" w14:textId="2AB9396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092F7B85" w14:textId="04BC91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differences in inpatient complications and hospitalisation data among patients treated with the surgical techniques reported.</w:t>
            </w:r>
          </w:p>
        </w:tc>
        <w:tc>
          <w:tcPr>
            <w:tcW w:w="1134" w:type="dxa"/>
          </w:tcPr>
          <w:p w14:paraId="7DA25163" w14:textId="7376DA50" w:rsidR="006E5533" w:rsidRPr="00251EA9" w:rsidRDefault="006E5533" w:rsidP="006E5533">
            <w:pPr>
              <w:spacing w:line="360" w:lineRule="auto"/>
              <w:contextualSpacing/>
              <w:rPr>
                <w:rFonts w:ascii="Arial" w:hAnsi="Arial" w:cs="Arial"/>
                <w:sz w:val="15"/>
                <w:szCs w:val="15"/>
              </w:rPr>
            </w:pPr>
          </w:p>
        </w:tc>
        <w:tc>
          <w:tcPr>
            <w:tcW w:w="992" w:type="dxa"/>
          </w:tcPr>
          <w:p w14:paraId="57194C62" w14:textId="43C64C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0942A8A" w14:textId="746CB8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F30A8EE" w14:textId="7F06D776" w:rsidR="006E5533" w:rsidRPr="00251EA9" w:rsidRDefault="006E5533" w:rsidP="006E5533">
            <w:pPr>
              <w:rPr>
                <w:rFonts w:ascii="Arial" w:hAnsi="Arial" w:cs="Arial"/>
                <w:sz w:val="15"/>
                <w:szCs w:val="15"/>
              </w:rPr>
            </w:pPr>
            <w:r w:rsidRPr="00251EA9">
              <w:rPr>
                <w:rFonts w:ascii="Arial" w:hAnsi="Arial" w:cs="Arial"/>
                <w:sz w:val="15"/>
                <w:szCs w:val="15"/>
              </w:rPr>
              <w:t xml:space="preserve">Reported 2 patients had an infection after posterior fossa decompression, no infections when this was paired with a </w:t>
            </w:r>
            <w:proofErr w:type="spellStart"/>
            <w:r w:rsidRPr="00251EA9">
              <w:rPr>
                <w:rFonts w:ascii="Arial" w:hAnsi="Arial" w:cs="Arial"/>
                <w:sz w:val="15"/>
                <w:szCs w:val="15"/>
              </w:rPr>
              <w:t>duraplasty</w:t>
            </w:r>
            <w:proofErr w:type="spellEnd"/>
            <w:r w:rsidRPr="00251EA9">
              <w:rPr>
                <w:rFonts w:ascii="Arial" w:hAnsi="Arial" w:cs="Arial"/>
                <w:sz w:val="15"/>
                <w:szCs w:val="15"/>
              </w:rPr>
              <w:t>.</w:t>
            </w:r>
          </w:p>
        </w:tc>
        <w:tc>
          <w:tcPr>
            <w:tcW w:w="1701" w:type="dxa"/>
          </w:tcPr>
          <w:p w14:paraId="18CD802A" w14:textId="33631C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8CD51A1" w14:textId="77777777" w:rsidTr="00A77951">
        <w:trPr>
          <w:trHeight w:val="586"/>
        </w:trPr>
        <w:tc>
          <w:tcPr>
            <w:tcW w:w="992" w:type="dxa"/>
          </w:tcPr>
          <w:p w14:paraId="3D065253" w14:textId="20DF81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Fujimoto Y. et al., 2008</w:t>
            </w:r>
          </w:p>
        </w:tc>
        <w:tc>
          <w:tcPr>
            <w:tcW w:w="851" w:type="dxa"/>
          </w:tcPr>
          <w:p w14:paraId="6BBC3A95" w14:textId="486B8C41" w:rsidR="006E5533" w:rsidRPr="00A77951" w:rsidRDefault="006E5533" w:rsidP="006E5533">
            <w:pPr>
              <w:spacing w:line="360" w:lineRule="auto"/>
              <w:contextualSpacing/>
              <w:rPr>
                <w:rFonts w:ascii="Arial" w:hAnsi="Arial" w:cs="Arial"/>
                <w:sz w:val="15"/>
                <w:szCs w:val="15"/>
              </w:rPr>
            </w:pPr>
            <w:hyperlink r:id="rId141" w:history="1">
              <w:r w:rsidRPr="00A77951">
                <w:rPr>
                  <w:rStyle w:val="Hyperlink"/>
                  <w:rFonts w:ascii="Arial" w:hAnsi="Arial" w:cs="Arial"/>
                  <w:sz w:val="15"/>
                  <w:szCs w:val="15"/>
                </w:rPr>
                <w:t>10.1016/j.surneu.2007.06.091</w:t>
              </w:r>
            </w:hyperlink>
          </w:p>
        </w:tc>
        <w:tc>
          <w:tcPr>
            <w:tcW w:w="851" w:type="dxa"/>
          </w:tcPr>
          <w:p w14:paraId="3690FDBD" w14:textId="7EA51F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73630F5A" w14:textId="7CAEA3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A50EBC7" w14:textId="389361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D720357" w14:textId="0CDC98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29F6F67A" w14:textId="67D46E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a hydrocolloid dressing for neurosurgical wounds according to the modern concept of wound healing.</w:t>
            </w:r>
          </w:p>
        </w:tc>
        <w:tc>
          <w:tcPr>
            <w:tcW w:w="1134" w:type="dxa"/>
          </w:tcPr>
          <w:p w14:paraId="025A5FF2" w14:textId="51D88804" w:rsidR="006E5533" w:rsidRPr="00251EA9" w:rsidRDefault="006E5533" w:rsidP="006E5533">
            <w:pPr>
              <w:spacing w:line="360" w:lineRule="auto"/>
              <w:contextualSpacing/>
              <w:rPr>
                <w:rFonts w:ascii="Arial" w:hAnsi="Arial" w:cs="Arial"/>
                <w:sz w:val="15"/>
                <w:szCs w:val="15"/>
              </w:rPr>
            </w:pPr>
          </w:p>
        </w:tc>
        <w:tc>
          <w:tcPr>
            <w:tcW w:w="992" w:type="dxa"/>
          </w:tcPr>
          <w:p w14:paraId="601F6E2D" w14:textId="33ACCE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0D29515" w14:textId="099E30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9AE2438" w14:textId="64018FDC" w:rsidR="006E5533" w:rsidRPr="00251EA9" w:rsidRDefault="006E5533" w:rsidP="006E5533">
            <w:pPr>
              <w:rPr>
                <w:rFonts w:ascii="Arial" w:hAnsi="Arial" w:cs="Arial"/>
                <w:sz w:val="15"/>
                <w:szCs w:val="15"/>
              </w:rPr>
            </w:pPr>
            <w:r w:rsidRPr="00251EA9">
              <w:rPr>
                <w:rFonts w:ascii="Arial" w:hAnsi="Arial" w:cs="Arial"/>
                <w:sz w:val="15"/>
                <w:szCs w:val="15"/>
              </w:rPr>
              <w:t xml:space="preserve">No SSI case reported. </w:t>
            </w:r>
          </w:p>
        </w:tc>
        <w:tc>
          <w:tcPr>
            <w:tcW w:w="1701" w:type="dxa"/>
          </w:tcPr>
          <w:p w14:paraId="48B026CD" w14:textId="24E91B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597F0B1" w14:textId="77777777" w:rsidTr="00A77951">
        <w:trPr>
          <w:trHeight w:val="586"/>
        </w:trPr>
        <w:tc>
          <w:tcPr>
            <w:tcW w:w="992" w:type="dxa"/>
          </w:tcPr>
          <w:p w14:paraId="778939CD" w14:textId="039260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Gadgil N. et al., 2018</w:t>
            </w:r>
          </w:p>
        </w:tc>
        <w:tc>
          <w:tcPr>
            <w:tcW w:w="851" w:type="dxa"/>
          </w:tcPr>
          <w:p w14:paraId="08E5DDEC" w14:textId="60F076D3" w:rsidR="006E5533" w:rsidRPr="00A77951" w:rsidRDefault="006E5533" w:rsidP="006E5533">
            <w:pPr>
              <w:spacing w:line="360" w:lineRule="auto"/>
              <w:contextualSpacing/>
              <w:rPr>
                <w:rFonts w:ascii="Arial" w:hAnsi="Arial" w:cs="Arial"/>
                <w:sz w:val="15"/>
                <w:szCs w:val="15"/>
              </w:rPr>
            </w:pPr>
            <w:hyperlink r:id="rId142" w:history="1">
              <w:r w:rsidRPr="00A77951">
                <w:rPr>
                  <w:rStyle w:val="Hyperlink"/>
                  <w:rFonts w:ascii="Arial" w:hAnsi="Arial" w:cs="Arial"/>
                  <w:sz w:val="15"/>
                  <w:szCs w:val="15"/>
                </w:rPr>
                <w:t>10.1097/SCS.0000000000004654</w:t>
              </w:r>
            </w:hyperlink>
          </w:p>
        </w:tc>
        <w:tc>
          <w:tcPr>
            <w:tcW w:w="851" w:type="dxa"/>
          </w:tcPr>
          <w:p w14:paraId="667B6881" w14:textId="29EE40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7650098" w14:textId="27AFDA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8D497FD" w14:textId="161861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ED7BDC5" w14:textId="508227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w:t>
            </w:r>
            <w:proofErr w:type="spellStart"/>
            <w:r w:rsidRPr="00251EA9">
              <w:rPr>
                <w:rFonts w:ascii="Arial" w:hAnsi="Arial" w:cs="Arial"/>
                <w:sz w:val="15"/>
                <w:szCs w:val="15"/>
              </w:rPr>
              <w:t>Skullbase</w:t>
            </w:r>
            <w:proofErr w:type="spellEnd"/>
          </w:p>
        </w:tc>
        <w:tc>
          <w:tcPr>
            <w:tcW w:w="1843" w:type="dxa"/>
          </w:tcPr>
          <w:p w14:paraId="759807E1" w14:textId="32F6BD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predictions from the risk calculator compared to authors’ single institution experience in craniosynostosis surgery.</w:t>
            </w:r>
          </w:p>
        </w:tc>
        <w:tc>
          <w:tcPr>
            <w:tcW w:w="1134" w:type="dxa"/>
          </w:tcPr>
          <w:p w14:paraId="6473305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213095F" w14:textId="351EC8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F5B5416" w14:textId="6748B2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DB589EA" w14:textId="59C18699" w:rsidR="006E5533" w:rsidRPr="00251EA9" w:rsidRDefault="006E5533" w:rsidP="006E5533">
            <w:pPr>
              <w:rPr>
                <w:rFonts w:ascii="Arial" w:hAnsi="Arial" w:cs="Arial"/>
                <w:sz w:val="15"/>
                <w:szCs w:val="15"/>
              </w:rPr>
            </w:pPr>
            <w:r w:rsidRPr="00251EA9">
              <w:rPr>
                <w:rFonts w:ascii="Arial" w:hAnsi="Arial" w:cs="Arial"/>
                <w:sz w:val="15"/>
                <w:szCs w:val="15"/>
              </w:rPr>
              <w:t>3 SSIs were observed</w:t>
            </w:r>
          </w:p>
        </w:tc>
        <w:tc>
          <w:tcPr>
            <w:tcW w:w="1701" w:type="dxa"/>
          </w:tcPr>
          <w:p w14:paraId="08789926" w14:textId="1B8BEA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88D149B" w14:textId="77777777" w:rsidTr="00A77951">
        <w:trPr>
          <w:trHeight w:val="586"/>
        </w:trPr>
        <w:tc>
          <w:tcPr>
            <w:tcW w:w="992" w:type="dxa"/>
          </w:tcPr>
          <w:p w14:paraId="0CDDD377" w14:textId="65AB72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Garzon-</w:t>
            </w:r>
            <w:proofErr w:type="spellStart"/>
            <w:r w:rsidRPr="00251EA9">
              <w:rPr>
                <w:rFonts w:ascii="Arial" w:hAnsi="Arial" w:cs="Arial"/>
                <w:sz w:val="15"/>
                <w:szCs w:val="15"/>
              </w:rPr>
              <w:t>Muvdi</w:t>
            </w:r>
            <w:proofErr w:type="spellEnd"/>
            <w:r w:rsidRPr="00251EA9">
              <w:rPr>
                <w:rFonts w:ascii="Arial" w:hAnsi="Arial" w:cs="Arial"/>
                <w:sz w:val="15"/>
                <w:szCs w:val="15"/>
              </w:rPr>
              <w:t xml:space="preserve"> T et al. 2015</w:t>
            </w:r>
          </w:p>
        </w:tc>
        <w:tc>
          <w:tcPr>
            <w:tcW w:w="851" w:type="dxa"/>
          </w:tcPr>
          <w:p w14:paraId="331BEB20" w14:textId="040B54FF" w:rsidR="006E5533" w:rsidRPr="00A77951" w:rsidRDefault="006E5533" w:rsidP="006E5533">
            <w:pPr>
              <w:spacing w:line="360" w:lineRule="auto"/>
              <w:contextualSpacing/>
              <w:rPr>
                <w:rFonts w:ascii="Arial" w:hAnsi="Arial" w:cs="Arial"/>
                <w:sz w:val="15"/>
                <w:szCs w:val="15"/>
              </w:rPr>
            </w:pPr>
            <w:hyperlink r:id="rId143" w:history="1">
              <w:r w:rsidRPr="00A77951">
                <w:rPr>
                  <w:rStyle w:val="Hyperlink"/>
                  <w:rFonts w:ascii="Arial" w:hAnsi="Arial" w:cs="Arial"/>
                  <w:sz w:val="15"/>
                  <w:szCs w:val="15"/>
                </w:rPr>
                <w:t>10.1227/NEU.0000000000000625</w:t>
              </w:r>
            </w:hyperlink>
          </w:p>
        </w:tc>
        <w:tc>
          <w:tcPr>
            <w:tcW w:w="851" w:type="dxa"/>
          </w:tcPr>
          <w:p w14:paraId="35063FE4" w14:textId="75470A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BCDE87E" w14:textId="489CA5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55CFB5F" w14:textId="3847A9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B243DEF" w14:textId="4180C1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(Suboccipital craniectomy)</w:t>
            </w:r>
          </w:p>
        </w:tc>
        <w:tc>
          <w:tcPr>
            <w:tcW w:w="1843" w:type="dxa"/>
          </w:tcPr>
          <w:p w14:paraId="4868CC2C" w14:textId="77E396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the greater occipital nerve plays an important role in the development of postoperative headaches.</w:t>
            </w:r>
          </w:p>
        </w:tc>
        <w:tc>
          <w:tcPr>
            <w:tcW w:w="1134" w:type="dxa"/>
          </w:tcPr>
          <w:p w14:paraId="776D7F5C" w14:textId="71050121" w:rsidR="006E5533" w:rsidRPr="00251EA9" w:rsidRDefault="006E5533" w:rsidP="006E5533">
            <w:pPr>
              <w:spacing w:line="360" w:lineRule="auto"/>
              <w:contextualSpacing/>
              <w:rPr>
                <w:rFonts w:ascii="Arial" w:hAnsi="Arial" w:cs="Arial"/>
                <w:sz w:val="15"/>
                <w:szCs w:val="15"/>
              </w:rPr>
            </w:pPr>
          </w:p>
        </w:tc>
        <w:tc>
          <w:tcPr>
            <w:tcW w:w="992" w:type="dxa"/>
          </w:tcPr>
          <w:p w14:paraId="3EBBE249" w14:textId="46BFED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8E4D9B8" w14:textId="7DBB5F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E814176" w14:textId="1BEFA4B7" w:rsidR="006E5533" w:rsidRPr="00251EA9" w:rsidRDefault="006E5533" w:rsidP="006E5533">
            <w:pPr>
              <w:rPr>
                <w:rFonts w:ascii="Arial" w:hAnsi="Arial" w:cs="Arial"/>
                <w:sz w:val="15"/>
                <w:szCs w:val="15"/>
              </w:rPr>
            </w:pPr>
            <w:r w:rsidRPr="00251EA9">
              <w:rPr>
                <w:rFonts w:ascii="Arial" w:hAnsi="Arial" w:cs="Arial"/>
                <w:sz w:val="15"/>
                <w:szCs w:val="15"/>
              </w:rPr>
              <w:t>By multivariate analysis, wound infection had statistically significant associations with the development of debilitating postoperative headaches.</w:t>
            </w:r>
          </w:p>
        </w:tc>
        <w:tc>
          <w:tcPr>
            <w:tcW w:w="1701" w:type="dxa"/>
          </w:tcPr>
          <w:p w14:paraId="0FB908A3" w14:textId="26E215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DAFDF80" w14:textId="77777777" w:rsidTr="00A77951">
        <w:trPr>
          <w:trHeight w:val="586"/>
        </w:trPr>
        <w:tc>
          <w:tcPr>
            <w:tcW w:w="992" w:type="dxa"/>
          </w:tcPr>
          <w:p w14:paraId="2E14CCD9" w14:textId="1CBDFCD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Gazzeri</w:t>
            </w:r>
            <w:proofErr w:type="spellEnd"/>
            <w:r w:rsidRPr="00251EA9">
              <w:rPr>
                <w:rFonts w:ascii="Arial" w:hAnsi="Arial" w:cs="Arial"/>
                <w:sz w:val="15"/>
                <w:szCs w:val="15"/>
              </w:rPr>
              <w:t xml:space="preserve"> R. et al., 2020</w:t>
            </w:r>
          </w:p>
        </w:tc>
        <w:tc>
          <w:tcPr>
            <w:tcW w:w="851" w:type="dxa"/>
          </w:tcPr>
          <w:p w14:paraId="1EEC37E0" w14:textId="41C87408" w:rsidR="006E5533" w:rsidRPr="00A77951" w:rsidRDefault="006E5533" w:rsidP="006E5533">
            <w:pPr>
              <w:spacing w:line="360" w:lineRule="auto"/>
              <w:contextualSpacing/>
              <w:rPr>
                <w:rFonts w:ascii="Arial" w:hAnsi="Arial" w:cs="Arial"/>
                <w:sz w:val="15"/>
                <w:szCs w:val="15"/>
              </w:rPr>
            </w:pPr>
            <w:hyperlink r:id="rId144" w:history="1">
              <w:r w:rsidRPr="00A77951">
                <w:rPr>
                  <w:rStyle w:val="Hyperlink"/>
                  <w:rFonts w:ascii="Arial" w:hAnsi="Arial" w:cs="Arial"/>
                  <w:sz w:val="15"/>
                  <w:szCs w:val="15"/>
                </w:rPr>
                <w:t>10.1016/j.clineuro.</w:t>
              </w:r>
              <w:r w:rsidRPr="00A77951">
                <w:rPr>
                  <w:rStyle w:val="Hyperlink"/>
                  <w:rFonts w:ascii="Arial" w:hAnsi="Arial" w:cs="Arial"/>
                  <w:sz w:val="15"/>
                  <w:szCs w:val="15"/>
                </w:rPr>
                <w:lastRenderedPageBreak/>
                <w:t>2020.105705</w:t>
              </w:r>
            </w:hyperlink>
          </w:p>
        </w:tc>
        <w:tc>
          <w:tcPr>
            <w:tcW w:w="851" w:type="dxa"/>
          </w:tcPr>
          <w:p w14:paraId="6F037EA4" w14:textId="6100C0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Italy</w:t>
            </w:r>
          </w:p>
        </w:tc>
        <w:tc>
          <w:tcPr>
            <w:tcW w:w="1134" w:type="dxa"/>
          </w:tcPr>
          <w:p w14:paraId="741E434D" w14:textId="733D88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4808C633" w14:textId="7B1E8A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3A87BA8" w14:textId="56CA89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419C8970" w14:textId="704A0A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postoperative complications of the </w:t>
            </w:r>
            <w:r w:rsidRPr="00251EA9">
              <w:rPr>
                <w:rFonts w:ascii="Arial" w:hAnsi="Arial" w:cs="Arial"/>
                <w:sz w:val="15"/>
                <w:szCs w:val="15"/>
              </w:rPr>
              <w:lastRenderedPageBreak/>
              <w:t>various surgical techniques of Chronic Subdural Haemorrhage.</w:t>
            </w:r>
          </w:p>
        </w:tc>
        <w:tc>
          <w:tcPr>
            <w:tcW w:w="1134" w:type="dxa"/>
          </w:tcPr>
          <w:p w14:paraId="2D516A60" w14:textId="637F6E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Single burr hole with subdural </w:t>
            </w:r>
            <w:r w:rsidRPr="00251EA9">
              <w:rPr>
                <w:rFonts w:ascii="Arial" w:hAnsi="Arial" w:cs="Arial"/>
                <w:sz w:val="15"/>
                <w:szCs w:val="15"/>
              </w:rPr>
              <w:lastRenderedPageBreak/>
              <w:t xml:space="preserve">drainage (Group </w:t>
            </w:r>
            <w:proofErr w:type="spellStart"/>
            <w:r w:rsidRPr="00251EA9">
              <w:rPr>
                <w:rFonts w:ascii="Arial" w:hAnsi="Arial" w:cs="Arial"/>
                <w:sz w:val="15"/>
                <w:szCs w:val="15"/>
              </w:rPr>
              <w:t>Ia</w:t>
            </w:r>
            <w:proofErr w:type="spellEnd"/>
            <w:r w:rsidRPr="00251EA9">
              <w:rPr>
                <w:rFonts w:ascii="Arial" w:hAnsi="Arial" w:cs="Arial"/>
                <w:sz w:val="15"/>
                <w:szCs w:val="15"/>
              </w:rPr>
              <w:t xml:space="preserve">), single burr hole with </w:t>
            </w:r>
            <w:proofErr w:type="spellStart"/>
            <w:r w:rsidRPr="00251EA9">
              <w:rPr>
                <w:rFonts w:ascii="Arial" w:hAnsi="Arial" w:cs="Arial"/>
                <w:sz w:val="15"/>
                <w:szCs w:val="15"/>
              </w:rPr>
              <w:t>subgaleal</w:t>
            </w:r>
            <w:proofErr w:type="spellEnd"/>
            <w:r w:rsidRPr="00251EA9">
              <w:rPr>
                <w:rFonts w:ascii="Arial" w:hAnsi="Arial" w:cs="Arial"/>
                <w:sz w:val="15"/>
                <w:szCs w:val="15"/>
              </w:rPr>
              <w:t xml:space="preserve"> drainage (Group </w:t>
            </w:r>
            <w:proofErr w:type="spellStart"/>
            <w:r w:rsidRPr="00251EA9">
              <w:rPr>
                <w:rFonts w:ascii="Arial" w:hAnsi="Arial" w:cs="Arial"/>
                <w:sz w:val="15"/>
                <w:szCs w:val="15"/>
              </w:rPr>
              <w:t>Ib</w:t>
            </w:r>
            <w:proofErr w:type="spellEnd"/>
            <w:r w:rsidRPr="00251EA9">
              <w:rPr>
                <w:rFonts w:ascii="Arial" w:hAnsi="Arial" w:cs="Arial"/>
                <w:sz w:val="15"/>
                <w:szCs w:val="15"/>
              </w:rPr>
              <w:t xml:space="preserve">), craniotomy with subdural drainage (Group </w:t>
            </w:r>
            <w:proofErr w:type="spellStart"/>
            <w:r w:rsidRPr="00251EA9">
              <w:rPr>
                <w:rFonts w:ascii="Arial" w:hAnsi="Arial" w:cs="Arial"/>
                <w:sz w:val="15"/>
                <w:szCs w:val="15"/>
              </w:rPr>
              <w:t>IIa</w:t>
            </w:r>
            <w:proofErr w:type="spellEnd"/>
            <w:r w:rsidRPr="00251EA9">
              <w:rPr>
                <w:rFonts w:ascii="Arial" w:hAnsi="Arial" w:cs="Arial"/>
                <w:sz w:val="15"/>
                <w:szCs w:val="15"/>
              </w:rPr>
              <w:t xml:space="preserve">), and craniotomy with </w:t>
            </w:r>
            <w:proofErr w:type="spellStart"/>
            <w:r w:rsidRPr="00251EA9">
              <w:rPr>
                <w:rFonts w:ascii="Arial" w:hAnsi="Arial" w:cs="Arial"/>
                <w:sz w:val="15"/>
                <w:szCs w:val="15"/>
              </w:rPr>
              <w:t>subgaleal</w:t>
            </w:r>
            <w:proofErr w:type="spellEnd"/>
            <w:r w:rsidRPr="00251EA9">
              <w:rPr>
                <w:rFonts w:ascii="Arial" w:hAnsi="Arial" w:cs="Arial"/>
                <w:sz w:val="15"/>
                <w:szCs w:val="15"/>
              </w:rPr>
              <w:t xml:space="preserve"> drainage (Group IIb).</w:t>
            </w:r>
          </w:p>
        </w:tc>
        <w:tc>
          <w:tcPr>
            <w:tcW w:w="992" w:type="dxa"/>
          </w:tcPr>
          <w:p w14:paraId="276AB2CD" w14:textId="1D466A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Yes</w:t>
            </w:r>
          </w:p>
        </w:tc>
        <w:tc>
          <w:tcPr>
            <w:tcW w:w="1701" w:type="dxa"/>
          </w:tcPr>
          <w:p w14:paraId="435A38B7" w14:textId="78222A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73EA0F0" w14:textId="45377F89" w:rsidR="006E5533" w:rsidRPr="00251EA9" w:rsidRDefault="006E5533" w:rsidP="006E5533">
            <w:pPr>
              <w:rPr>
                <w:rFonts w:ascii="Arial" w:hAnsi="Arial" w:cs="Arial"/>
                <w:sz w:val="15"/>
                <w:szCs w:val="15"/>
              </w:rPr>
            </w:pPr>
            <w:r w:rsidRPr="00251EA9">
              <w:rPr>
                <w:rFonts w:ascii="Arial" w:hAnsi="Arial" w:cs="Arial"/>
                <w:sz w:val="15"/>
                <w:szCs w:val="15"/>
              </w:rPr>
              <w:t>2.9% SSI rate reported.</w:t>
            </w:r>
          </w:p>
        </w:tc>
        <w:tc>
          <w:tcPr>
            <w:tcW w:w="1701" w:type="dxa"/>
          </w:tcPr>
          <w:p w14:paraId="38B11CEF" w14:textId="7F3C2C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4D7D64" w14:textId="77777777" w:rsidTr="00A77951">
        <w:trPr>
          <w:trHeight w:val="586"/>
        </w:trPr>
        <w:tc>
          <w:tcPr>
            <w:tcW w:w="992" w:type="dxa"/>
          </w:tcPr>
          <w:p w14:paraId="490F2F2E" w14:textId="19C21B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George B. et al., 2017</w:t>
            </w:r>
          </w:p>
        </w:tc>
        <w:tc>
          <w:tcPr>
            <w:tcW w:w="851" w:type="dxa"/>
          </w:tcPr>
          <w:p w14:paraId="0E711C82" w14:textId="421835FE" w:rsidR="006E5533" w:rsidRPr="00A77951" w:rsidRDefault="006E5533" w:rsidP="006E5533">
            <w:pPr>
              <w:spacing w:line="360" w:lineRule="auto"/>
              <w:contextualSpacing/>
              <w:rPr>
                <w:rFonts w:ascii="Arial" w:hAnsi="Arial" w:cs="Arial"/>
                <w:sz w:val="15"/>
                <w:szCs w:val="15"/>
              </w:rPr>
            </w:pPr>
            <w:hyperlink r:id="rId145" w:history="1">
              <w:r w:rsidRPr="00A77951">
                <w:rPr>
                  <w:rStyle w:val="Hyperlink"/>
                  <w:rFonts w:ascii="Arial" w:hAnsi="Arial" w:cs="Arial"/>
                  <w:sz w:val="15"/>
                  <w:szCs w:val="15"/>
                </w:rPr>
                <w:t>10.1093/neuros/nyx024</w:t>
              </w:r>
            </w:hyperlink>
          </w:p>
        </w:tc>
        <w:tc>
          <w:tcPr>
            <w:tcW w:w="851" w:type="dxa"/>
          </w:tcPr>
          <w:p w14:paraId="6691E4A8" w14:textId="7C66EA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05FDDEEC" w14:textId="00A605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control</w:t>
            </w:r>
          </w:p>
        </w:tc>
        <w:tc>
          <w:tcPr>
            <w:tcW w:w="992" w:type="dxa"/>
          </w:tcPr>
          <w:p w14:paraId="775DA7B2" w14:textId="5511B8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EF75F0F" w14:textId="0321A07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5306A4FB" w14:textId="4B7109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the efficacy and safety of adjunctive </w:t>
            </w:r>
            <w:proofErr w:type="spellStart"/>
            <w:r w:rsidRPr="00251EA9">
              <w:rPr>
                <w:rFonts w:ascii="Arial" w:hAnsi="Arial" w:cs="Arial"/>
                <w:sz w:val="15"/>
                <w:szCs w:val="15"/>
              </w:rPr>
              <w:t>TachoSil</w:t>
            </w:r>
            <w:proofErr w:type="spellEnd"/>
            <w:r w:rsidRPr="00251EA9">
              <w:rPr>
                <w:rFonts w:ascii="Arial" w:hAnsi="Arial" w:cs="Arial"/>
                <w:sz w:val="15"/>
                <w:szCs w:val="15"/>
              </w:rPr>
              <w:t xml:space="preserve"> with current practice for the prevention of postoperative CSF leaks in</w:t>
            </w:r>
            <w:r w:rsidRPr="00251EA9">
              <w:rPr>
                <w:rFonts w:ascii="Arial" w:hAnsi="Arial" w:cs="Arial"/>
                <w:sz w:val="15"/>
                <w:szCs w:val="15"/>
              </w:rPr>
              <w:br/>
              <w:t>patients undergoing elective skull base surgery involving dura mater closure.</w:t>
            </w:r>
          </w:p>
        </w:tc>
        <w:tc>
          <w:tcPr>
            <w:tcW w:w="1134" w:type="dxa"/>
          </w:tcPr>
          <w:p w14:paraId="40F4058E" w14:textId="4A8F7206" w:rsidR="006E5533" w:rsidRPr="00251EA9" w:rsidRDefault="006E5533" w:rsidP="006E5533">
            <w:pPr>
              <w:spacing w:line="360" w:lineRule="auto"/>
              <w:contextualSpacing/>
              <w:rPr>
                <w:rFonts w:ascii="Arial" w:hAnsi="Arial" w:cs="Arial"/>
                <w:sz w:val="15"/>
                <w:szCs w:val="15"/>
              </w:rPr>
            </w:pPr>
          </w:p>
        </w:tc>
        <w:tc>
          <w:tcPr>
            <w:tcW w:w="992" w:type="dxa"/>
          </w:tcPr>
          <w:p w14:paraId="6C85E04A" w14:textId="79AD0F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6FA7090" w14:textId="54805B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0BD43EB" w14:textId="4367A897" w:rsidR="006E5533" w:rsidRPr="00251EA9" w:rsidRDefault="006E5533" w:rsidP="006E5533">
            <w:pPr>
              <w:rPr>
                <w:rFonts w:ascii="Arial" w:hAnsi="Arial" w:cs="Arial"/>
                <w:sz w:val="15"/>
                <w:szCs w:val="15"/>
              </w:rPr>
            </w:pPr>
            <w:r w:rsidRPr="00251EA9">
              <w:rPr>
                <w:rFonts w:ascii="Arial" w:hAnsi="Arial" w:cs="Arial"/>
                <w:sz w:val="15"/>
                <w:szCs w:val="15"/>
              </w:rPr>
              <w:t xml:space="preserve">Reported 7 SSIs in the </w:t>
            </w:r>
            <w:proofErr w:type="spellStart"/>
            <w:r w:rsidRPr="00251EA9">
              <w:rPr>
                <w:rFonts w:ascii="Arial" w:hAnsi="Arial" w:cs="Arial"/>
                <w:sz w:val="15"/>
                <w:szCs w:val="15"/>
              </w:rPr>
              <w:t>TachoSil</w:t>
            </w:r>
            <w:proofErr w:type="spellEnd"/>
            <w:r w:rsidRPr="00251EA9">
              <w:rPr>
                <w:rFonts w:ascii="Arial" w:hAnsi="Arial" w:cs="Arial"/>
                <w:sz w:val="15"/>
                <w:szCs w:val="15"/>
              </w:rPr>
              <w:t xml:space="preserve"> group compared to 9 in current practice.</w:t>
            </w:r>
          </w:p>
        </w:tc>
        <w:tc>
          <w:tcPr>
            <w:tcW w:w="1701" w:type="dxa"/>
          </w:tcPr>
          <w:p w14:paraId="67E34EA8" w14:textId="03FC96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D8335A8" w14:textId="77777777" w:rsidTr="00A77951">
        <w:trPr>
          <w:trHeight w:val="586"/>
        </w:trPr>
        <w:tc>
          <w:tcPr>
            <w:tcW w:w="992" w:type="dxa"/>
          </w:tcPr>
          <w:p w14:paraId="1331E9B1" w14:textId="623AF6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Gil Z. et al., 2003</w:t>
            </w:r>
          </w:p>
        </w:tc>
        <w:tc>
          <w:tcPr>
            <w:tcW w:w="851" w:type="dxa"/>
          </w:tcPr>
          <w:p w14:paraId="7A46F020" w14:textId="35DC1802" w:rsidR="006E5533" w:rsidRPr="00A77951" w:rsidRDefault="006E5533" w:rsidP="006E5533">
            <w:pPr>
              <w:spacing w:line="360" w:lineRule="auto"/>
              <w:contextualSpacing/>
              <w:rPr>
                <w:rFonts w:ascii="Arial" w:hAnsi="Arial" w:cs="Arial"/>
                <w:sz w:val="15"/>
                <w:szCs w:val="15"/>
              </w:rPr>
            </w:pPr>
            <w:hyperlink r:id="rId146" w:history="1">
              <w:r w:rsidRPr="00A77951">
                <w:rPr>
                  <w:rStyle w:val="Hyperlink"/>
                  <w:rFonts w:ascii="Arial" w:hAnsi="Arial" w:cs="Arial"/>
                  <w:sz w:val="15"/>
                  <w:szCs w:val="15"/>
                </w:rPr>
                <w:t>10.1067/mhn.2003.14</w:t>
              </w:r>
            </w:hyperlink>
          </w:p>
        </w:tc>
        <w:tc>
          <w:tcPr>
            <w:tcW w:w="851" w:type="dxa"/>
          </w:tcPr>
          <w:p w14:paraId="7CDEE2D2" w14:textId="5417CA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Israel</w:t>
            </w:r>
          </w:p>
        </w:tc>
        <w:tc>
          <w:tcPr>
            <w:tcW w:w="1134" w:type="dxa"/>
          </w:tcPr>
          <w:p w14:paraId="0DB082FC" w14:textId="2C0A8F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Retrospective </w:t>
            </w:r>
          </w:p>
        </w:tc>
        <w:tc>
          <w:tcPr>
            <w:tcW w:w="992" w:type="dxa"/>
          </w:tcPr>
          <w:p w14:paraId="479DB837" w14:textId="339177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8B0F871" w14:textId="7EF320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Skull base</w:t>
            </w:r>
          </w:p>
        </w:tc>
        <w:tc>
          <w:tcPr>
            <w:tcW w:w="1843" w:type="dxa"/>
          </w:tcPr>
          <w:p w14:paraId="0837AE18" w14:textId="4BD03E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surgical wound infection rates in patients undergoing skull base surgery without hair removal.</w:t>
            </w:r>
          </w:p>
        </w:tc>
        <w:tc>
          <w:tcPr>
            <w:tcW w:w="1134" w:type="dxa"/>
          </w:tcPr>
          <w:p w14:paraId="5B1E742E" w14:textId="66E53A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3A5C0205" w14:textId="291CBE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6C65693" w14:textId="434FD1CC"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31F440A9" w14:textId="3BA42BCB" w:rsidR="006E5533" w:rsidRPr="00251EA9" w:rsidRDefault="006E5533" w:rsidP="006E5533">
            <w:pPr>
              <w:rPr>
                <w:rFonts w:ascii="Arial" w:hAnsi="Arial" w:cs="Arial"/>
                <w:sz w:val="15"/>
                <w:szCs w:val="15"/>
              </w:rPr>
            </w:pPr>
            <w:r w:rsidRPr="00251EA9">
              <w:rPr>
                <w:rFonts w:ascii="Arial" w:hAnsi="Arial" w:cs="Arial"/>
                <w:sz w:val="15"/>
                <w:szCs w:val="15"/>
              </w:rPr>
              <w:t xml:space="preserve">Surgical wound infection rate was 1.1% (2 cases of 175): 1 case for anterior and 1 case for lateral or posterior procedures. It was similar for clean operations (lateral and posterior) and clean-contaminated (anterior) procedures and was less than or </w:t>
            </w:r>
            <w:proofErr w:type="gramStart"/>
            <w:r w:rsidRPr="00251EA9">
              <w:rPr>
                <w:rFonts w:ascii="Arial" w:hAnsi="Arial" w:cs="Arial"/>
                <w:sz w:val="15"/>
                <w:szCs w:val="15"/>
              </w:rPr>
              <w:t>similar to</w:t>
            </w:r>
            <w:proofErr w:type="gramEnd"/>
            <w:r w:rsidRPr="00251EA9">
              <w:rPr>
                <w:rFonts w:ascii="Arial" w:hAnsi="Arial" w:cs="Arial"/>
                <w:sz w:val="15"/>
                <w:szCs w:val="15"/>
              </w:rPr>
              <w:t xml:space="preserve"> the rates reported for skull base procedures with hair removal. </w:t>
            </w:r>
          </w:p>
        </w:tc>
        <w:tc>
          <w:tcPr>
            <w:tcW w:w="1701" w:type="dxa"/>
          </w:tcPr>
          <w:p w14:paraId="02616598" w14:textId="02DADE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442AB42" w14:textId="77777777" w:rsidTr="00A77951">
        <w:trPr>
          <w:trHeight w:val="586"/>
        </w:trPr>
        <w:tc>
          <w:tcPr>
            <w:tcW w:w="992" w:type="dxa"/>
          </w:tcPr>
          <w:p w14:paraId="6B289C25" w14:textId="79F79A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Giovanni S. et al., 2014</w:t>
            </w:r>
          </w:p>
        </w:tc>
        <w:tc>
          <w:tcPr>
            <w:tcW w:w="851" w:type="dxa"/>
          </w:tcPr>
          <w:p w14:paraId="0711F579" w14:textId="5791CA2F" w:rsidR="006E5533" w:rsidRPr="00A77951" w:rsidRDefault="006E5533" w:rsidP="006E5533">
            <w:pPr>
              <w:spacing w:line="360" w:lineRule="auto"/>
              <w:contextualSpacing/>
              <w:rPr>
                <w:rFonts w:ascii="Arial" w:hAnsi="Arial" w:cs="Arial"/>
                <w:sz w:val="15"/>
                <w:szCs w:val="15"/>
              </w:rPr>
            </w:pPr>
            <w:hyperlink r:id="rId147" w:history="1">
              <w:r w:rsidRPr="00A77951">
                <w:rPr>
                  <w:rStyle w:val="Hyperlink"/>
                  <w:rFonts w:ascii="Arial" w:hAnsi="Arial" w:cs="Arial"/>
                  <w:sz w:val="15"/>
                  <w:szCs w:val="15"/>
                </w:rPr>
                <w:t>10.1016/j.clineuro.2014.05.005</w:t>
              </w:r>
            </w:hyperlink>
          </w:p>
        </w:tc>
        <w:tc>
          <w:tcPr>
            <w:tcW w:w="851" w:type="dxa"/>
          </w:tcPr>
          <w:p w14:paraId="0FFB27FD" w14:textId="4E5404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3139C1CB" w14:textId="11E2D1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FCC5B05" w14:textId="1C9E27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DCC933A" w14:textId="43E13A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C38EBB1" w14:textId="25FC8B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postoperative CSF-leak complication in patients undergoing </w:t>
            </w:r>
            <w:proofErr w:type="spellStart"/>
            <w:r w:rsidRPr="00251EA9">
              <w:rPr>
                <w:rFonts w:ascii="Arial" w:hAnsi="Arial" w:cs="Arial"/>
                <w:sz w:val="15"/>
                <w:szCs w:val="15"/>
              </w:rPr>
              <w:t>duraplasty</w:t>
            </w:r>
            <w:proofErr w:type="spellEnd"/>
            <w:r w:rsidRPr="00251EA9">
              <w:rPr>
                <w:rFonts w:ascii="Arial" w:hAnsi="Arial" w:cs="Arial"/>
                <w:sz w:val="15"/>
                <w:szCs w:val="15"/>
              </w:rPr>
              <w:t xml:space="preserve"> with galea-pericranium with sealants, galea-pericranium without sealants and synthetic patch </w:t>
            </w:r>
            <w:proofErr w:type="spellStart"/>
            <w:r w:rsidRPr="00251EA9">
              <w:rPr>
                <w:rFonts w:ascii="Arial" w:hAnsi="Arial" w:cs="Arial"/>
                <w:sz w:val="15"/>
                <w:szCs w:val="15"/>
              </w:rPr>
              <w:t>duraplasty</w:t>
            </w:r>
            <w:proofErr w:type="spellEnd"/>
            <w:r w:rsidRPr="00251EA9">
              <w:rPr>
                <w:rFonts w:ascii="Arial" w:hAnsi="Arial" w:cs="Arial"/>
                <w:sz w:val="15"/>
                <w:szCs w:val="15"/>
              </w:rPr>
              <w:t xml:space="preserve"> with sealants. </w:t>
            </w:r>
          </w:p>
        </w:tc>
        <w:tc>
          <w:tcPr>
            <w:tcW w:w="1134" w:type="dxa"/>
          </w:tcPr>
          <w:p w14:paraId="4EB6B40D" w14:textId="647F3D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Galea-pericranium graft without sealant Vs Galea-pericranium graft with sealant Vs dural patch with sealant.</w:t>
            </w:r>
          </w:p>
        </w:tc>
        <w:tc>
          <w:tcPr>
            <w:tcW w:w="992" w:type="dxa"/>
          </w:tcPr>
          <w:p w14:paraId="52262CE4" w14:textId="51E3E0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D94FC53" w14:textId="42E2E0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7A0B94A" w14:textId="782211B5" w:rsidR="006E5533" w:rsidRPr="00251EA9" w:rsidRDefault="006E5533" w:rsidP="006E5533">
            <w:pPr>
              <w:rPr>
                <w:rFonts w:ascii="Arial" w:hAnsi="Arial" w:cs="Arial"/>
                <w:sz w:val="15"/>
                <w:szCs w:val="15"/>
              </w:rPr>
            </w:pPr>
            <w:r w:rsidRPr="00251EA9">
              <w:rPr>
                <w:rFonts w:ascii="Arial" w:hAnsi="Arial" w:cs="Arial"/>
                <w:sz w:val="15"/>
                <w:szCs w:val="15"/>
              </w:rPr>
              <w:t>Wound infection rate: galea-pericranium only group 0%, galea-pericranium + sealant group: 0% (0 of 92 patients), synthetic patch with sealant group 1.08% (1 of 92 patients).</w:t>
            </w:r>
          </w:p>
        </w:tc>
        <w:tc>
          <w:tcPr>
            <w:tcW w:w="1701" w:type="dxa"/>
          </w:tcPr>
          <w:p w14:paraId="6BF1547A" w14:textId="157D26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E145EC" w14:textId="77777777" w:rsidTr="00A77951">
        <w:trPr>
          <w:trHeight w:val="586"/>
        </w:trPr>
        <w:tc>
          <w:tcPr>
            <w:tcW w:w="992" w:type="dxa"/>
          </w:tcPr>
          <w:p w14:paraId="277F777A" w14:textId="1EBEC6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Girgis F. et al., 2015</w:t>
            </w:r>
          </w:p>
        </w:tc>
        <w:tc>
          <w:tcPr>
            <w:tcW w:w="851" w:type="dxa"/>
          </w:tcPr>
          <w:p w14:paraId="20CFAA2F" w14:textId="0F065587" w:rsidR="006E5533" w:rsidRPr="00A77951" w:rsidRDefault="006E5533" w:rsidP="006E5533">
            <w:pPr>
              <w:spacing w:line="360" w:lineRule="auto"/>
              <w:contextualSpacing/>
              <w:rPr>
                <w:rFonts w:ascii="Arial" w:hAnsi="Arial" w:cs="Arial"/>
                <w:sz w:val="15"/>
                <w:szCs w:val="15"/>
              </w:rPr>
            </w:pPr>
            <w:hyperlink r:id="rId148" w:history="1">
              <w:r w:rsidRPr="00A77951">
                <w:rPr>
                  <w:rStyle w:val="Hyperlink"/>
                  <w:rFonts w:ascii="Arial" w:hAnsi="Arial" w:cs="Arial"/>
                  <w:sz w:val="15"/>
                  <w:szCs w:val="15"/>
                </w:rPr>
                <w:t>10.1017/cjn.2015.46</w:t>
              </w:r>
            </w:hyperlink>
          </w:p>
        </w:tc>
        <w:tc>
          <w:tcPr>
            <w:tcW w:w="851" w:type="dxa"/>
          </w:tcPr>
          <w:p w14:paraId="60174A0D" w14:textId="2C048B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880C08B" w14:textId="24E2A8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E677CF1" w14:textId="2FC25A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33131D8" w14:textId="7F18C1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715214E4" w14:textId="3736C2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if fever or </w:t>
            </w:r>
            <w:proofErr w:type="spellStart"/>
            <w:r w:rsidRPr="00251EA9">
              <w:rPr>
                <w:rFonts w:ascii="Arial" w:hAnsi="Arial" w:cs="Arial"/>
                <w:sz w:val="15"/>
                <w:szCs w:val="15"/>
              </w:rPr>
              <w:t>leukocytosis</w:t>
            </w:r>
            <w:proofErr w:type="spellEnd"/>
            <w:r w:rsidRPr="00251EA9">
              <w:rPr>
                <w:rFonts w:ascii="Arial" w:hAnsi="Arial" w:cs="Arial"/>
                <w:sz w:val="15"/>
                <w:szCs w:val="15"/>
              </w:rPr>
              <w:t xml:space="preserve"> at presentation were indicative of infection, as well as to identify any factors that may limit its applicability.</w:t>
            </w:r>
          </w:p>
        </w:tc>
        <w:tc>
          <w:tcPr>
            <w:tcW w:w="1134" w:type="dxa"/>
          </w:tcPr>
          <w:p w14:paraId="74F85E78" w14:textId="62CD7754" w:rsidR="006E5533" w:rsidRPr="00251EA9" w:rsidRDefault="006E5533" w:rsidP="006E5533">
            <w:pPr>
              <w:spacing w:line="360" w:lineRule="auto"/>
              <w:contextualSpacing/>
              <w:rPr>
                <w:rFonts w:ascii="Arial" w:hAnsi="Arial" w:cs="Arial"/>
                <w:sz w:val="15"/>
                <w:szCs w:val="15"/>
              </w:rPr>
            </w:pPr>
          </w:p>
        </w:tc>
        <w:tc>
          <w:tcPr>
            <w:tcW w:w="992" w:type="dxa"/>
          </w:tcPr>
          <w:p w14:paraId="774D144E" w14:textId="51E4964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18E56E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Evidence of frank purulence as described in</w:t>
            </w:r>
            <w:r w:rsidRPr="00251EA9">
              <w:rPr>
                <w:rFonts w:ascii="Arial" w:hAnsi="Arial" w:cs="Arial"/>
                <w:sz w:val="15"/>
                <w:szCs w:val="15"/>
              </w:rPr>
              <w:br/>
              <w:t xml:space="preserve">operative records </w:t>
            </w:r>
          </w:p>
          <w:p w14:paraId="6310F822" w14:textId="2CA9C0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the presence of positive intra-operative</w:t>
            </w:r>
            <w:r w:rsidRPr="00251EA9">
              <w:rPr>
                <w:rFonts w:ascii="Arial" w:hAnsi="Arial" w:cs="Arial"/>
                <w:sz w:val="15"/>
                <w:szCs w:val="15"/>
              </w:rPr>
              <w:br/>
              <w:t>cultures from a non-superficial source (e.g. subcutaneous tissue,</w:t>
            </w:r>
            <w:r w:rsidRPr="00251EA9">
              <w:rPr>
                <w:rFonts w:ascii="Arial" w:hAnsi="Arial" w:cs="Arial"/>
                <w:sz w:val="15"/>
                <w:szCs w:val="15"/>
              </w:rPr>
              <w:br/>
              <w:t>bone, epidural, subdural, intracranial collections.)</w:t>
            </w:r>
          </w:p>
        </w:tc>
        <w:tc>
          <w:tcPr>
            <w:tcW w:w="2693" w:type="dxa"/>
          </w:tcPr>
          <w:p w14:paraId="1D0C1DAD" w14:textId="24505F65" w:rsidR="006E5533" w:rsidRPr="00251EA9" w:rsidRDefault="006E5533" w:rsidP="006E5533">
            <w:pPr>
              <w:rPr>
                <w:rFonts w:ascii="Arial" w:hAnsi="Arial" w:cs="Arial"/>
                <w:sz w:val="15"/>
                <w:szCs w:val="15"/>
              </w:rPr>
            </w:pPr>
            <w:r w:rsidRPr="00251EA9">
              <w:rPr>
                <w:rFonts w:ascii="Arial" w:hAnsi="Arial" w:cs="Arial"/>
                <w:sz w:val="15"/>
                <w:szCs w:val="15"/>
              </w:rPr>
              <w:t>In 27 total cases of surgical site infection, only two had a fever and four had</w:t>
            </w:r>
            <w:r w:rsidRPr="00251EA9">
              <w:rPr>
                <w:rFonts w:ascii="Arial" w:hAnsi="Arial" w:cs="Arial"/>
                <w:sz w:val="15"/>
                <w:szCs w:val="15"/>
              </w:rPr>
              <w:br/>
            </w:r>
            <w:proofErr w:type="spellStart"/>
            <w:r w:rsidRPr="00251EA9">
              <w:rPr>
                <w:rFonts w:ascii="Arial" w:hAnsi="Arial" w:cs="Arial"/>
                <w:sz w:val="15"/>
                <w:szCs w:val="15"/>
              </w:rPr>
              <w:t>leukocytosis</w:t>
            </w:r>
            <w:proofErr w:type="spellEnd"/>
            <w:r w:rsidRPr="00251EA9">
              <w:rPr>
                <w:rFonts w:ascii="Arial" w:hAnsi="Arial" w:cs="Arial"/>
                <w:sz w:val="15"/>
                <w:szCs w:val="15"/>
              </w:rPr>
              <w:t xml:space="preserve"> at presentation. This yielded a false-negative rate for fever of 92.6% and for </w:t>
            </w:r>
            <w:proofErr w:type="spellStart"/>
            <w:r w:rsidRPr="00251EA9">
              <w:rPr>
                <w:rFonts w:ascii="Arial" w:hAnsi="Arial" w:cs="Arial"/>
                <w:sz w:val="15"/>
                <w:szCs w:val="15"/>
              </w:rPr>
              <w:t>leukocytosis</w:t>
            </w:r>
            <w:proofErr w:type="spellEnd"/>
            <w:r w:rsidRPr="00251EA9">
              <w:rPr>
                <w:rFonts w:ascii="Arial" w:hAnsi="Arial" w:cs="Arial"/>
                <w:sz w:val="15"/>
                <w:szCs w:val="15"/>
              </w:rPr>
              <w:t xml:space="preserve"> of 85.2%. 22 (81.5%) cases generated positive intra-operative cultures. Median interval to infection was 99 days from initial cranioplasty to time of infectious presentation.</w:t>
            </w:r>
          </w:p>
        </w:tc>
        <w:tc>
          <w:tcPr>
            <w:tcW w:w="1701" w:type="dxa"/>
          </w:tcPr>
          <w:p w14:paraId="74DB29D8" w14:textId="52A15C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1E07FEF" w14:textId="77777777" w:rsidTr="00A77951">
        <w:trPr>
          <w:trHeight w:val="586"/>
        </w:trPr>
        <w:tc>
          <w:tcPr>
            <w:tcW w:w="992" w:type="dxa"/>
          </w:tcPr>
          <w:p w14:paraId="4C56557A" w14:textId="264204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Goel N.J. et al., 2018</w:t>
            </w:r>
          </w:p>
        </w:tc>
        <w:tc>
          <w:tcPr>
            <w:tcW w:w="851" w:type="dxa"/>
          </w:tcPr>
          <w:p w14:paraId="49808DDA" w14:textId="010BD777" w:rsidR="006E5533" w:rsidRPr="00A77951" w:rsidRDefault="006E5533" w:rsidP="006E5533">
            <w:pPr>
              <w:spacing w:line="360" w:lineRule="auto"/>
              <w:contextualSpacing/>
              <w:rPr>
                <w:rFonts w:ascii="Arial" w:hAnsi="Arial" w:cs="Arial"/>
                <w:sz w:val="15"/>
                <w:szCs w:val="15"/>
              </w:rPr>
            </w:pPr>
            <w:hyperlink r:id="rId149" w:history="1">
              <w:r w:rsidRPr="00A77951">
                <w:rPr>
                  <w:rStyle w:val="Hyperlink"/>
                  <w:rFonts w:ascii="Arial" w:hAnsi="Arial" w:cs="Arial"/>
                  <w:sz w:val="15"/>
                  <w:szCs w:val="15"/>
                </w:rPr>
                <w:t>10.1016/j.wneu.2018.06.153</w:t>
              </w:r>
            </w:hyperlink>
          </w:p>
        </w:tc>
        <w:tc>
          <w:tcPr>
            <w:tcW w:w="851" w:type="dxa"/>
          </w:tcPr>
          <w:p w14:paraId="271A069C" w14:textId="4E018D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C7C479E" w14:textId="765ACC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6D45409" w14:textId="70CD57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AA8BCBB" w14:textId="31F98D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65D1526" w14:textId="6D1FE7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independent effect of complications on 30-day mortality in patients undergoing elective craniotomy.</w:t>
            </w:r>
          </w:p>
        </w:tc>
        <w:tc>
          <w:tcPr>
            <w:tcW w:w="1134" w:type="dxa"/>
          </w:tcPr>
          <w:p w14:paraId="3C0103A9" w14:textId="5B884D79" w:rsidR="006E5533" w:rsidRPr="00251EA9" w:rsidRDefault="006E5533" w:rsidP="006E5533">
            <w:pPr>
              <w:spacing w:line="360" w:lineRule="auto"/>
              <w:contextualSpacing/>
              <w:rPr>
                <w:rFonts w:ascii="Arial" w:hAnsi="Arial" w:cs="Arial"/>
                <w:sz w:val="15"/>
                <w:szCs w:val="15"/>
              </w:rPr>
            </w:pPr>
          </w:p>
        </w:tc>
        <w:tc>
          <w:tcPr>
            <w:tcW w:w="992" w:type="dxa"/>
          </w:tcPr>
          <w:p w14:paraId="0DF62E5C" w14:textId="476B66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85D293C" w14:textId="42407F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903A3E8" w14:textId="42EC68F3" w:rsidR="006E5533" w:rsidRPr="00251EA9" w:rsidRDefault="006E5533" w:rsidP="006E5533">
            <w:pPr>
              <w:rPr>
                <w:rFonts w:ascii="Arial" w:hAnsi="Arial" w:cs="Arial"/>
                <w:sz w:val="15"/>
                <w:szCs w:val="15"/>
              </w:rPr>
            </w:pPr>
            <w:r w:rsidRPr="00251EA9">
              <w:rPr>
                <w:rFonts w:ascii="Arial" w:hAnsi="Arial" w:cs="Arial"/>
                <w:sz w:val="15"/>
                <w:szCs w:val="15"/>
              </w:rPr>
              <w:t>Reported 2% SSI rate.</w:t>
            </w:r>
          </w:p>
        </w:tc>
        <w:tc>
          <w:tcPr>
            <w:tcW w:w="1701" w:type="dxa"/>
          </w:tcPr>
          <w:p w14:paraId="4BB3F590" w14:textId="796061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89A4D7B" w14:textId="77777777" w:rsidTr="00A77951">
        <w:trPr>
          <w:trHeight w:val="586"/>
        </w:trPr>
        <w:tc>
          <w:tcPr>
            <w:tcW w:w="992" w:type="dxa"/>
          </w:tcPr>
          <w:p w14:paraId="524414E9" w14:textId="456C9F3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Goldschlager</w:t>
            </w:r>
            <w:proofErr w:type="spellEnd"/>
            <w:r w:rsidRPr="00251EA9">
              <w:rPr>
                <w:rFonts w:ascii="Arial" w:hAnsi="Arial" w:cs="Arial"/>
                <w:sz w:val="15"/>
                <w:szCs w:val="15"/>
              </w:rPr>
              <w:t xml:space="preserve"> T. et al., 2007</w:t>
            </w:r>
          </w:p>
        </w:tc>
        <w:tc>
          <w:tcPr>
            <w:tcW w:w="851" w:type="dxa"/>
          </w:tcPr>
          <w:p w14:paraId="0C351E44" w14:textId="3E55A548" w:rsidR="006E5533" w:rsidRPr="00A77951" w:rsidRDefault="006E5533" w:rsidP="006E5533">
            <w:pPr>
              <w:spacing w:line="360" w:lineRule="auto"/>
              <w:contextualSpacing/>
              <w:rPr>
                <w:rFonts w:ascii="Arial" w:hAnsi="Arial" w:cs="Arial"/>
                <w:sz w:val="15"/>
                <w:szCs w:val="15"/>
              </w:rPr>
            </w:pPr>
            <w:hyperlink r:id="rId150" w:history="1">
              <w:r w:rsidRPr="00A77951">
                <w:rPr>
                  <w:rStyle w:val="Hyperlink"/>
                  <w:rFonts w:ascii="Arial" w:hAnsi="Arial" w:cs="Arial"/>
                  <w:sz w:val="15"/>
                  <w:szCs w:val="15"/>
                </w:rPr>
                <w:t>10.1016/j.jocn.2006.12.002</w:t>
              </w:r>
            </w:hyperlink>
          </w:p>
        </w:tc>
        <w:tc>
          <w:tcPr>
            <w:tcW w:w="851" w:type="dxa"/>
          </w:tcPr>
          <w:p w14:paraId="18E31E37" w14:textId="375FAF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Australia</w:t>
            </w:r>
          </w:p>
        </w:tc>
        <w:tc>
          <w:tcPr>
            <w:tcW w:w="1134" w:type="dxa"/>
          </w:tcPr>
          <w:p w14:paraId="5C0AE936" w14:textId="372AAB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29A1B687" w14:textId="426A61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BE420D3" w14:textId="0D8774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39CC18F1" w14:textId="52CB85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review the results of a junior general neurosurgeon performing aneurysm </w:t>
            </w:r>
            <w:r w:rsidRPr="00251EA9">
              <w:rPr>
                <w:rFonts w:ascii="Arial" w:hAnsi="Arial" w:cs="Arial"/>
                <w:sz w:val="15"/>
                <w:szCs w:val="15"/>
              </w:rPr>
              <w:lastRenderedPageBreak/>
              <w:t>surgery and compare these to the remainder of his low-volume unit.</w:t>
            </w:r>
          </w:p>
        </w:tc>
        <w:tc>
          <w:tcPr>
            <w:tcW w:w="1134" w:type="dxa"/>
          </w:tcPr>
          <w:p w14:paraId="65E5AAAB" w14:textId="2BCC9A4C" w:rsidR="006E5533" w:rsidRPr="00251EA9" w:rsidRDefault="006E5533" w:rsidP="006E5533">
            <w:pPr>
              <w:spacing w:line="360" w:lineRule="auto"/>
              <w:contextualSpacing/>
              <w:rPr>
                <w:rFonts w:ascii="Arial" w:hAnsi="Arial" w:cs="Arial"/>
                <w:sz w:val="15"/>
                <w:szCs w:val="15"/>
              </w:rPr>
            </w:pPr>
          </w:p>
        </w:tc>
        <w:tc>
          <w:tcPr>
            <w:tcW w:w="992" w:type="dxa"/>
          </w:tcPr>
          <w:p w14:paraId="36D14926" w14:textId="343F33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5F00748" w14:textId="697535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4540BC8" w14:textId="68E4BB02" w:rsidR="006E5533" w:rsidRPr="00251EA9" w:rsidRDefault="006E5533" w:rsidP="006E5533">
            <w:pPr>
              <w:rPr>
                <w:rFonts w:ascii="Arial" w:hAnsi="Arial" w:cs="Arial"/>
                <w:sz w:val="15"/>
                <w:szCs w:val="15"/>
              </w:rPr>
            </w:pPr>
            <w:r w:rsidRPr="00251EA9">
              <w:rPr>
                <w:rFonts w:ascii="Arial" w:hAnsi="Arial" w:cs="Arial"/>
                <w:sz w:val="15"/>
                <w:szCs w:val="15"/>
              </w:rPr>
              <w:t>Reported 3 patients had infection, with 1 having a positive CSF culture</w:t>
            </w:r>
          </w:p>
        </w:tc>
        <w:tc>
          <w:tcPr>
            <w:tcW w:w="1701" w:type="dxa"/>
          </w:tcPr>
          <w:p w14:paraId="1754BB18" w14:textId="2446C9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9758F05" w14:textId="77777777" w:rsidTr="00A77951">
        <w:trPr>
          <w:trHeight w:val="586"/>
        </w:trPr>
        <w:tc>
          <w:tcPr>
            <w:tcW w:w="992" w:type="dxa"/>
          </w:tcPr>
          <w:p w14:paraId="3298D51F" w14:textId="029C288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Golebiowski</w:t>
            </w:r>
            <w:proofErr w:type="spellEnd"/>
            <w:r w:rsidRPr="00251EA9">
              <w:rPr>
                <w:rFonts w:ascii="Arial" w:hAnsi="Arial" w:cs="Arial"/>
                <w:sz w:val="15"/>
                <w:szCs w:val="15"/>
              </w:rPr>
              <w:t xml:space="preserve"> A. et al., 2015</w:t>
            </w:r>
          </w:p>
        </w:tc>
        <w:tc>
          <w:tcPr>
            <w:tcW w:w="851" w:type="dxa"/>
          </w:tcPr>
          <w:p w14:paraId="0764B4E5" w14:textId="76B285B5" w:rsidR="006E5533" w:rsidRPr="00A77951" w:rsidRDefault="006E5533" w:rsidP="006E5533">
            <w:pPr>
              <w:spacing w:line="360" w:lineRule="auto"/>
              <w:contextualSpacing/>
              <w:rPr>
                <w:rFonts w:ascii="Arial" w:hAnsi="Arial" w:cs="Arial"/>
                <w:sz w:val="15"/>
                <w:szCs w:val="15"/>
              </w:rPr>
            </w:pPr>
            <w:hyperlink r:id="rId151" w:history="1">
              <w:r w:rsidRPr="00A77951">
                <w:rPr>
                  <w:rStyle w:val="Hyperlink"/>
                  <w:rFonts w:ascii="Arial" w:hAnsi="Arial" w:cs="Arial"/>
                  <w:sz w:val="15"/>
                  <w:szCs w:val="15"/>
                </w:rPr>
                <w:t>10.1007/s00701-014-2286-3</w:t>
              </w:r>
            </w:hyperlink>
          </w:p>
        </w:tc>
        <w:tc>
          <w:tcPr>
            <w:tcW w:w="851" w:type="dxa"/>
          </w:tcPr>
          <w:p w14:paraId="2C34CBCC" w14:textId="4ABAC6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Norway</w:t>
            </w:r>
          </w:p>
        </w:tc>
        <w:tc>
          <w:tcPr>
            <w:tcW w:w="1134" w:type="dxa"/>
          </w:tcPr>
          <w:p w14:paraId="007B1A2B" w14:textId="532304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DA79AEC" w14:textId="71D3C6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1EF0528" w14:textId="1CFDDA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79A5C86D" w14:textId="31BB4A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explore possible associations between duration of surgery and extracranial complications. To assess the risk of surgical site infections (SSIs) (cranial and intracranial infections) in relation to duration of surgery.</w:t>
            </w:r>
          </w:p>
        </w:tc>
        <w:tc>
          <w:tcPr>
            <w:tcW w:w="1134" w:type="dxa"/>
          </w:tcPr>
          <w:p w14:paraId="6806ED9D" w14:textId="7C13CAFE" w:rsidR="006E5533" w:rsidRPr="00251EA9" w:rsidRDefault="006E5533" w:rsidP="006E5533">
            <w:pPr>
              <w:spacing w:line="360" w:lineRule="auto"/>
              <w:contextualSpacing/>
              <w:rPr>
                <w:rFonts w:ascii="Arial" w:hAnsi="Arial" w:cs="Arial"/>
                <w:sz w:val="15"/>
                <w:szCs w:val="15"/>
              </w:rPr>
            </w:pPr>
          </w:p>
        </w:tc>
        <w:tc>
          <w:tcPr>
            <w:tcW w:w="992" w:type="dxa"/>
          </w:tcPr>
          <w:p w14:paraId="6CD68F27" w14:textId="0C8802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E3EB351" w14:textId="5DD69F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67216D9" w14:textId="1E25E116" w:rsidR="006E5533" w:rsidRPr="00251EA9" w:rsidRDefault="006E5533" w:rsidP="006E5533">
            <w:pPr>
              <w:rPr>
                <w:rFonts w:ascii="Arial" w:hAnsi="Arial" w:cs="Arial"/>
                <w:sz w:val="15"/>
                <w:szCs w:val="15"/>
              </w:rPr>
            </w:pPr>
            <w:r w:rsidRPr="00251EA9">
              <w:rPr>
                <w:rFonts w:ascii="Arial" w:hAnsi="Arial" w:cs="Arial"/>
                <w:sz w:val="15"/>
                <w:szCs w:val="15"/>
              </w:rPr>
              <w:t xml:space="preserve">Both extracranial complications and SSIs were significantly more common following longer lasting procedures. </w:t>
            </w:r>
          </w:p>
        </w:tc>
        <w:tc>
          <w:tcPr>
            <w:tcW w:w="1701" w:type="dxa"/>
          </w:tcPr>
          <w:p w14:paraId="21E35661" w14:textId="522193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4548EDA" w14:textId="77777777" w:rsidTr="00A77951">
        <w:trPr>
          <w:trHeight w:val="586"/>
        </w:trPr>
        <w:tc>
          <w:tcPr>
            <w:tcW w:w="992" w:type="dxa"/>
          </w:tcPr>
          <w:p w14:paraId="05E11F08" w14:textId="338723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Gonzalez-Vargas P.M. et al., 2020</w:t>
            </w:r>
          </w:p>
        </w:tc>
        <w:tc>
          <w:tcPr>
            <w:tcW w:w="851" w:type="dxa"/>
          </w:tcPr>
          <w:p w14:paraId="694C73D7" w14:textId="39C07228" w:rsidR="006E5533" w:rsidRPr="00A77951" w:rsidRDefault="006E5533" w:rsidP="006E5533">
            <w:pPr>
              <w:spacing w:line="360" w:lineRule="auto"/>
              <w:contextualSpacing/>
              <w:rPr>
                <w:rFonts w:ascii="Arial" w:hAnsi="Arial" w:cs="Arial"/>
                <w:sz w:val="15"/>
                <w:szCs w:val="15"/>
              </w:rPr>
            </w:pPr>
            <w:hyperlink r:id="rId152" w:tooltip="Persistent link using digital object identifier" w:history="1">
              <w:r w:rsidRPr="00A77951">
                <w:rPr>
                  <w:rStyle w:val="Hyperlink"/>
                  <w:rFonts w:ascii="Arial" w:hAnsi="Arial" w:cs="Arial"/>
                  <w:sz w:val="15"/>
                  <w:szCs w:val="15"/>
                </w:rPr>
                <w:t>10.1016/j.inat.2019.100606</w:t>
              </w:r>
            </w:hyperlink>
          </w:p>
        </w:tc>
        <w:tc>
          <w:tcPr>
            <w:tcW w:w="851" w:type="dxa"/>
          </w:tcPr>
          <w:p w14:paraId="28701860" w14:textId="188C72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6F63E3A1" w14:textId="556E0F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6207FA3" w14:textId="017263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7CD7CA4" w14:textId="44A8C03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71334CAF" w14:textId="2B21AE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different factors that are associated with lower Glasgow Outcome Scale (GOS) values and to establish with statistical significance several elements that influence the GOS at 12 months of follow-up in subdural haematoma treatment.</w:t>
            </w:r>
          </w:p>
        </w:tc>
        <w:tc>
          <w:tcPr>
            <w:tcW w:w="1134" w:type="dxa"/>
          </w:tcPr>
          <w:p w14:paraId="5811BCC0" w14:textId="463D4B3E" w:rsidR="006E5533" w:rsidRPr="00251EA9" w:rsidRDefault="006E5533" w:rsidP="006E5533">
            <w:pPr>
              <w:spacing w:line="360" w:lineRule="auto"/>
              <w:contextualSpacing/>
              <w:rPr>
                <w:rFonts w:ascii="Arial" w:hAnsi="Arial" w:cs="Arial"/>
                <w:sz w:val="15"/>
                <w:szCs w:val="15"/>
              </w:rPr>
            </w:pPr>
          </w:p>
        </w:tc>
        <w:tc>
          <w:tcPr>
            <w:tcW w:w="992" w:type="dxa"/>
          </w:tcPr>
          <w:p w14:paraId="3B82F03C" w14:textId="15B7E7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9470983" w14:textId="6B336D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544A6A8" w14:textId="328EB5D3" w:rsidR="006E5533" w:rsidRPr="00251EA9" w:rsidRDefault="006E5533" w:rsidP="006E5533">
            <w:pPr>
              <w:rPr>
                <w:rFonts w:ascii="Arial" w:hAnsi="Arial" w:cs="Arial"/>
                <w:sz w:val="15"/>
                <w:szCs w:val="15"/>
              </w:rPr>
            </w:pPr>
            <w:r w:rsidRPr="00251EA9">
              <w:rPr>
                <w:rFonts w:ascii="Arial" w:hAnsi="Arial" w:cs="Arial"/>
                <w:sz w:val="15"/>
                <w:szCs w:val="15"/>
              </w:rPr>
              <w:t>Reported 0.7% patients experienced SSI.</w:t>
            </w:r>
          </w:p>
        </w:tc>
        <w:tc>
          <w:tcPr>
            <w:tcW w:w="1701" w:type="dxa"/>
          </w:tcPr>
          <w:p w14:paraId="55BA3A1F" w14:textId="2CEF86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5D56F40" w14:textId="77777777" w:rsidTr="00A77951">
        <w:trPr>
          <w:trHeight w:val="586"/>
        </w:trPr>
        <w:tc>
          <w:tcPr>
            <w:tcW w:w="992" w:type="dxa"/>
          </w:tcPr>
          <w:p w14:paraId="3B749969" w14:textId="582AC68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Gorgulho</w:t>
            </w:r>
            <w:proofErr w:type="spellEnd"/>
            <w:r w:rsidRPr="00251EA9">
              <w:rPr>
                <w:rFonts w:ascii="Arial" w:hAnsi="Arial" w:cs="Arial"/>
                <w:sz w:val="15"/>
                <w:szCs w:val="15"/>
              </w:rPr>
              <w:t xml:space="preserve"> A. et al., 2009</w:t>
            </w:r>
          </w:p>
        </w:tc>
        <w:tc>
          <w:tcPr>
            <w:tcW w:w="851" w:type="dxa"/>
          </w:tcPr>
          <w:p w14:paraId="1C084845" w14:textId="26E836AF" w:rsidR="006E5533" w:rsidRPr="00A77951" w:rsidRDefault="006E5533" w:rsidP="006E5533">
            <w:pPr>
              <w:spacing w:line="360" w:lineRule="auto"/>
              <w:contextualSpacing/>
              <w:rPr>
                <w:rFonts w:ascii="Arial" w:hAnsi="Arial" w:cs="Arial"/>
                <w:sz w:val="15"/>
                <w:szCs w:val="15"/>
              </w:rPr>
            </w:pPr>
            <w:hyperlink r:id="rId153" w:history="1">
              <w:r w:rsidRPr="00A77951">
                <w:rPr>
                  <w:rStyle w:val="Hyperlink"/>
                  <w:rFonts w:ascii="Arial" w:hAnsi="Arial" w:cs="Arial"/>
                  <w:sz w:val="15"/>
                  <w:szCs w:val="15"/>
                </w:rPr>
                <w:t>10.3171/2008.6.17603</w:t>
              </w:r>
            </w:hyperlink>
          </w:p>
        </w:tc>
        <w:tc>
          <w:tcPr>
            <w:tcW w:w="851" w:type="dxa"/>
          </w:tcPr>
          <w:p w14:paraId="032E24FE" w14:textId="56D57E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C4DE191" w14:textId="3BA882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72D3417B" w14:textId="457438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D83F94E" w14:textId="00E875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3AFFF549" w14:textId="5380CD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the incidence of infection in patients undergoing surgery in the conventional versus MR imaging–equipped theatre. </w:t>
            </w:r>
          </w:p>
        </w:tc>
        <w:tc>
          <w:tcPr>
            <w:tcW w:w="1134" w:type="dxa"/>
          </w:tcPr>
          <w:p w14:paraId="0871C418" w14:textId="0F4EB8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Conventional vs MR imaging equipped theatre</w:t>
            </w:r>
          </w:p>
        </w:tc>
        <w:tc>
          <w:tcPr>
            <w:tcW w:w="992" w:type="dxa"/>
          </w:tcPr>
          <w:p w14:paraId="0F7C86A4" w14:textId="5496D8C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74604B7" w14:textId="17E060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Guideline for Prevention of Surgical Site Infection</w:t>
            </w:r>
          </w:p>
        </w:tc>
        <w:tc>
          <w:tcPr>
            <w:tcW w:w="2693" w:type="dxa"/>
          </w:tcPr>
          <w:p w14:paraId="142FB0BB" w14:textId="06B1ADA1" w:rsidR="006E5533" w:rsidRPr="00251EA9" w:rsidRDefault="006E5533" w:rsidP="006E5533">
            <w:pPr>
              <w:rPr>
                <w:rFonts w:ascii="Arial" w:hAnsi="Arial" w:cs="Arial"/>
                <w:sz w:val="15"/>
                <w:szCs w:val="15"/>
              </w:rPr>
            </w:pPr>
            <w:r w:rsidRPr="00251EA9">
              <w:rPr>
                <w:rFonts w:ascii="Arial" w:hAnsi="Arial" w:cs="Arial"/>
                <w:sz w:val="15"/>
                <w:szCs w:val="15"/>
              </w:rPr>
              <w:t>Reported 20 cases of infection. The difference in infection risk was also not statistically significant between the two groups.</w:t>
            </w:r>
          </w:p>
        </w:tc>
        <w:tc>
          <w:tcPr>
            <w:tcW w:w="1701" w:type="dxa"/>
          </w:tcPr>
          <w:p w14:paraId="049BBE05" w14:textId="6D808F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5BE483B" w14:textId="77777777" w:rsidTr="00A77951">
        <w:trPr>
          <w:trHeight w:val="586"/>
        </w:trPr>
        <w:tc>
          <w:tcPr>
            <w:tcW w:w="992" w:type="dxa"/>
          </w:tcPr>
          <w:p w14:paraId="0232BAE8" w14:textId="67F3FE0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Goshtasbi</w:t>
            </w:r>
            <w:proofErr w:type="spellEnd"/>
            <w:r w:rsidRPr="00251EA9">
              <w:rPr>
                <w:rFonts w:ascii="Arial" w:hAnsi="Arial" w:cs="Arial"/>
                <w:sz w:val="15"/>
                <w:szCs w:val="15"/>
              </w:rPr>
              <w:t xml:space="preserve"> K. et al., 2020</w:t>
            </w:r>
          </w:p>
        </w:tc>
        <w:tc>
          <w:tcPr>
            <w:tcW w:w="851" w:type="dxa"/>
          </w:tcPr>
          <w:p w14:paraId="38007503" w14:textId="35869C5C" w:rsidR="006E5533" w:rsidRPr="00A77951" w:rsidRDefault="006E5533" w:rsidP="006E5533">
            <w:pPr>
              <w:spacing w:line="360" w:lineRule="auto"/>
              <w:contextualSpacing/>
              <w:rPr>
                <w:rFonts w:ascii="Arial" w:hAnsi="Arial" w:cs="Arial"/>
                <w:sz w:val="15"/>
                <w:szCs w:val="15"/>
              </w:rPr>
            </w:pPr>
            <w:hyperlink r:id="rId154" w:history="1">
              <w:r w:rsidRPr="00A77951">
                <w:rPr>
                  <w:rStyle w:val="Hyperlink"/>
                  <w:rFonts w:ascii="Arial" w:hAnsi="Arial" w:cs="Arial"/>
                  <w:sz w:val="15"/>
                  <w:szCs w:val="15"/>
                </w:rPr>
                <w:t>10.1016/j.clineuro.2020.106192</w:t>
              </w:r>
            </w:hyperlink>
          </w:p>
        </w:tc>
        <w:tc>
          <w:tcPr>
            <w:tcW w:w="851" w:type="dxa"/>
          </w:tcPr>
          <w:p w14:paraId="6F390E1A" w14:textId="7F4795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ADEE1A6" w14:textId="52D974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38384EE" w14:textId="60E5CD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78F8064" w14:textId="2E3480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w:t>
            </w:r>
            <w:proofErr w:type="spellStart"/>
            <w:r w:rsidRPr="00251EA9">
              <w:rPr>
                <w:rFonts w:ascii="Arial" w:hAnsi="Arial" w:cs="Arial"/>
                <w:sz w:val="15"/>
                <w:szCs w:val="15"/>
              </w:rPr>
              <w:t>onc</w:t>
            </w:r>
            <w:proofErr w:type="spellEnd"/>
            <w:r w:rsidRPr="00251EA9">
              <w:rPr>
                <w:rFonts w:ascii="Arial" w:hAnsi="Arial" w:cs="Arial"/>
                <w:sz w:val="15"/>
                <w:szCs w:val="15"/>
              </w:rPr>
              <w:t xml:space="preserve"> ology</w:t>
            </w:r>
          </w:p>
        </w:tc>
        <w:tc>
          <w:tcPr>
            <w:tcW w:w="1843" w:type="dxa"/>
          </w:tcPr>
          <w:p w14:paraId="573D65AD" w14:textId="136E85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whether increased body mass index (BMI), age, or frailty influence vestibular schwannoma short-term surgical morbidity. </w:t>
            </w:r>
          </w:p>
        </w:tc>
        <w:tc>
          <w:tcPr>
            <w:tcW w:w="1134" w:type="dxa"/>
          </w:tcPr>
          <w:p w14:paraId="697286AC" w14:textId="11FB0946" w:rsidR="006E5533" w:rsidRPr="00251EA9" w:rsidRDefault="006E5533" w:rsidP="006E5533">
            <w:pPr>
              <w:spacing w:line="360" w:lineRule="auto"/>
              <w:contextualSpacing/>
              <w:rPr>
                <w:rFonts w:ascii="Arial" w:hAnsi="Arial" w:cs="Arial"/>
                <w:sz w:val="15"/>
                <w:szCs w:val="15"/>
              </w:rPr>
            </w:pPr>
          </w:p>
        </w:tc>
        <w:tc>
          <w:tcPr>
            <w:tcW w:w="992" w:type="dxa"/>
          </w:tcPr>
          <w:p w14:paraId="69A552BE" w14:textId="1077E0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6643033" w14:textId="41633D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C99BA97" w14:textId="13F6BF3B" w:rsidR="006E5533" w:rsidRPr="00251EA9" w:rsidRDefault="006E5533" w:rsidP="006E5533">
            <w:pPr>
              <w:rPr>
                <w:rFonts w:ascii="Arial" w:hAnsi="Arial" w:cs="Arial"/>
                <w:sz w:val="15"/>
                <w:szCs w:val="15"/>
              </w:rPr>
            </w:pPr>
            <w:r w:rsidRPr="00251EA9">
              <w:rPr>
                <w:rFonts w:ascii="Arial" w:hAnsi="Arial" w:cs="Arial"/>
                <w:sz w:val="15"/>
                <w:szCs w:val="15"/>
              </w:rPr>
              <w:t>Reported 15 cases of wound infection in obese patients compared to 9 cases in non-obese patients.</w:t>
            </w:r>
          </w:p>
        </w:tc>
        <w:tc>
          <w:tcPr>
            <w:tcW w:w="1701" w:type="dxa"/>
          </w:tcPr>
          <w:p w14:paraId="4098172F" w14:textId="7C3E00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B52E244" w14:textId="77777777" w:rsidTr="00A77951">
        <w:trPr>
          <w:trHeight w:val="586"/>
        </w:trPr>
        <w:tc>
          <w:tcPr>
            <w:tcW w:w="992" w:type="dxa"/>
          </w:tcPr>
          <w:p w14:paraId="4C855346" w14:textId="21223C5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Gottsche</w:t>
            </w:r>
            <w:proofErr w:type="spellEnd"/>
            <w:r w:rsidRPr="00251EA9">
              <w:rPr>
                <w:rFonts w:ascii="Arial" w:hAnsi="Arial" w:cs="Arial"/>
                <w:sz w:val="15"/>
                <w:szCs w:val="15"/>
              </w:rPr>
              <w:t xml:space="preserve"> J. et al., 2019</w:t>
            </w:r>
          </w:p>
        </w:tc>
        <w:tc>
          <w:tcPr>
            <w:tcW w:w="851" w:type="dxa"/>
          </w:tcPr>
          <w:p w14:paraId="7EC29AE4" w14:textId="08294586" w:rsidR="006E5533" w:rsidRPr="00A77951" w:rsidRDefault="006E5533" w:rsidP="006E5533">
            <w:pPr>
              <w:spacing w:line="360" w:lineRule="auto"/>
              <w:contextualSpacing/>
              <w:rPr>
                <w:rFonts w:ascii="Arial" w:hAnsi="Arial" w:cs="Arial"/>
                <w:sz w:val="15"/>
                <w:szCs w:val="15"/>
              </w:rPr>
            </w:pPr>
            <w:hyperlink r:id="rId155" w:history="1">
              <w:r w:rsidRPr="00A77951">
                <w:rPr>
                  <w:rStyle w:val="Hyperlink"/>
                  <w:rFonts w:ascii="Arial" w:hAnsi="Arial" w:cs="Arial"/>
                  <w:sz w:val="15"/>
                  <w:szCs w:val="15"/>
                </w:rPr>
                <w:t>10.1055/s-0039-1698391</w:t>
              </w:r>
            </w:hyperlink>
          </w:p>
        </w:tc>
        <w:tc>
          <w:tcPr>
            <w:tcW w:w="851" w:type="dxa"/>
          </w:tcPr>
          <w:p w14:paraId="31D88709" w14:textId="69EFE7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5AC13F9B" w14:textId="44FFA9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2B20742" w14:textId="5E48E4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2CD42AC" w14:textId="208271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57839634" w14:textId="2743CA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frequency and time of occurrence of complications following </w:t>
            </w:r>
            <w:proofErr w:type="spellStart"/>
            <w:r w:rsidRPr="00251EA9">
              <w:rPr>
                <w:rFonts w:ascii="Arial" w:hAnsi="Arial" w:cs="Arial"/>
                <w:sz w:val="15"/>
                <w:szCs w:val="15"/>
              </w:rPr>
              <w:t>cranioplastic</w:t>
            </w:r>
            <w:proofErr w:type="spellEnd"/>
            <w:r w:rsidRPr="00251EA9">
              <w:rPr>
                <w:rFonts w:ascii="Arial" w:hAnsi="Arial" w:cs="Arial"/>
                <w:sz w:val="15"/>
                <w:szCs w:val="15"/>
              </w:rPr>
              <w:t xml:space="preserve"> procedures in children and adults.</w:t>
            </w:r>
          </w:p>
        </w:tc>
        <w:tc>
          <w:tcPr>
            <w:tcW w:w="1134" w:type="dxa"/>
          </w:tcPr>
          <w:p w14:paraId="6E261AEF" w14:textId="6ECF0E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46E43F0E" w14:textId="2653B6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D53DC38" w14:textId="00DD94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5342BE8" w14:textId="5E5BE7FC" w:rsidR="006E5533" w:rsidRPr="00251EA9" w:rsidRDefault="006E5533" w:rsidP="006E5533">
            <w:pPr>
              <w:rPr>
                <w:rFonts w:ascii="Arial" w:hAnsi="Arial" w:cs="Arial"/>
                <w:sz w:val="15"/>
                <w:szCs w:val="15"/>
              </w:rPr>
            </w:pPr>
            <w:r w:rsidRPr="00251EA9">
              <w:rPr>
                <w:rFonts w:ascii="Arial" w:hAnsi="Arial" w:cs="Arial"/>
                <w:sz w:val="15"/>
                <w:szCs w:val="15"/>
              </w:rPr>
              <w:t xml:space="preserve">Postsurgical complications after cranioplasty including surgical site infection and postoperative bleeding leading to further surgery occurred in 61.1% of the paediatric cases and in 17.8% of the adult population. Reported 1 case (5.6%) of SSI in children group and 3 cases (2.5%) in adult group. </w:t>
            </w:r>
          </w:p>
        </w:tc>
        <w:tc>
          <w:tcPr>
            <w:tcW w:w="1701" w:type="dxa"/>
          </w:tcPr>
          <w:p w14:paraId="4D853BC5" w14:textId="4A7159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68FB52A" w14:textId="77777777" w:rsidTr="00A77951">
        <w:trPr>
          <w:trHeight w:val="586"/>
        </w:trPr>
        <w:tc>
          <w:tcPr>
            <w:tcW w:w="992" w:type="dxa"/>
          </w:tcPr>
          <w:p w14:paraId="6DE1AF23" w14:textId="54A1B0EB"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Govindaswamy</w:t>
            </w:r>
            <w:proofErr w:type="spellEnd"/>
            <w:r w:rsidRPr="00251EA9">
              <w:rPr>
                <w:rFonts w:ascii="Arial" w:hAnsi="Arial" w:cs="Arial"/>
                <w:sz w:val="15"/>
                <w:szCs w:val="15"/>
              </w:rPr>
              <w:t xml:space="preserve"> A. et al., 2022</w:t>
            </w:r>
          </w:p>
        </w:tc>
        <w:tc>
          <w:tcPr>
            <w:tcW w:w="851" w:type="dxa"/>
          </w:tcPr>
          <w:p w14:paraId="161AB61E" w14:textId="325CDFD3" w:rsidR="006E5533" w:rsidRPr="00A77951" w:rsidRDefault="006E5533" w:rsidP="006E5533">
            <w:pPr>
              <w:spacing w:line="360" w:lineRule="auto"/>
              <w:contextualSpacing/>
              <w:rPr>
                <w:rFonts w:ascii="Arial" w:hAnsi="Arial" w:cs="Arial"/>
                <w:sz w:val="15"/>
                <w:szCs w:val="15"/>
              </w:rPr>
            </w:pPr>
            <w:hyperlink r:id="rId156" w:history="1">
              <w:r w:rsidRPr="00A77951">
                <w:rPr>
                  <w:rStyle w:val="Hyperlink"/>
                  <w:rFonts w:ascii="Arial" w:hAnsi="Arial" w:cs="Arial"/>
                  <w:sz w:val="15"/>
                  <w:szCs w:val="15"/>
                </w:rPr>
                <w:t>10.4103/ajns.AJNS_268_18</w:t>
              </w:r>
            </w:hyperlink>
          </w:p>
        </w:tc>
        <w:tc>
          <w:tcPr>
            <w:tcW w:w="851" w:type="dxa"/>
          </w:tcPr>
          <w:p w14:paraId="0608D1D9" w14:textId="634370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1B671653" w14:textId="25DE03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CD0333C" w14:textId="2EC116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A4A70C5" w14:textId="77AF26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4D50597" w14:textId="700393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prevalence of Postoperative central</w:t>
            </w:r>
            <w:r w:rsidRPr="00251EA9">
              <w:rPr>
                <w:rFonts w:ascii="Arial" w:hAnsi="Arial" w:cs="Arial"/>
                <w:sz w:val="15"/>
                <w:szCs w:val="15"/>
              </w:rPr>
              <w:br/>
              <w:t>nervous system infections (PCNSIs) and antibiotic resistance profiles of causative organisms in trauma</w:t>
            </w:r>
            <w:r w:rsidRPr="00251EA9">
              <w:rPr>
                <w:rFonts w:ascii="Arial" w:hAnsi="Arial" w:cs="Arial"/>
                <w:sz w:val="15"/>
                <w:szCs w:val="15"/>
              </w:rPr>
              <w:br/>
              <w:t>patients following neuroinvasive procedures.</w:t>
            </w:r>
          </w:p>
        </w:tc>
        <w:tc>
          <w:tcPr>
            <w:tcW w:w="1134" w:type="dxa"/>
          </w:tcPr>
          <w:p w14:paraId="0B444B66" w14:textId="77777777" w:rsidR="006E5533" w:rsidRPr="00251EA9" w:rsidRDefault="006E5533" w:rsidP="006E5533">
            <w:pPr>
              <w:spacing w:line="360" w:lineRule="auto"/>
              <w:contextualSpacing/>
              <w:rPr>
                <w:rFonts w:ascii="Arial" w:hAnsi="Arial" w:cs="Arial"/>
                <w:i/>
                <w:iCs/>
                <w:sz w:val="15"/>
                <w:szCs w:val="15"/>
              </w:rPr>
            </w:pPr>
          </w:p>
        </w:tc>
        <w:tc>
          <w:tcPr>
            <w:tcW w:w="992" w:type="dxa"/>
          </w:tcPr>
          <w:p w14:paraId="560D3DDA" w14:textId="3C1758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50ABE11" w14:textId="22A30A83"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182A8545" w14:textId="2456EBC0" w:rsidR="006E5533" w:rsidRPr="00251EA9" w:rsidRDefault="006E5533" w:rsidP="006E5533">
            <w:pPr>
              <w:rPr>
                <w:rFonts w:ascii="Arial" w:hAnsi="Arial" w:cs="Arial"/>
                <w:sz w:val="15"/>
                <w:szCs w:val="15"/>
              </w:rPr>
            </w:pPr>
            <w:r w:rsidRPr="00251EA9">
              <w:rPr>
                <w:rFonts w:ascii="Arial" w:hAnsi="Arial" w:cs="Arial"/>
                <w:sz w:val="15"/>
                <w:szCs w:val="15"/>
              </w:rPr>
              <w:t>961 patients were screened for PCNSIs. The estimated prevalence of PCNSIs which is a type of organ/space SSI was 7.2% (6.3–8.3). Males were predominantly affected (85.0%).</w:t>
            </w:r>
          </w:p>
        </w:tc>
        <w:tc>
          <w:tcPr>
            <w:tcW w:w="1701" w:type="dxa"/>
          </w:tcPr>
          <w:p w14:paraId="32475B8B" w14:textId="2E3D30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55B46C5" w14:textId="77777777" w:rsidTr="00A77951">
        <w:trPr>
          <w:trHeight w:val="586"/>
        </w:trPr>
        <w:tc>
          <w:tcPr>
            <w:tcW w:w="992" w:type="dxa"/>
          </w:tcPr>
          <w:p w14:paraId="42EA5578" w14:textId="4307E2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Goyal-</w:t>
            </w:r>
            <w:proofErr w:type="spellStart"/>
            <w:r w:rsidRPr="00251EA9">
              <w:rPr>
                <w:rFonts w:ascii="Arial" w:hAnsi="Arial" w:cs="Arial"/>
                <w:sz w:val="15"/>
                <w:szCs w:val="15"/>
              </w:rPr>
              <w:t>Honavar</w:t>
            </w:r>
            <w:proofErr w:type="spellEnd"/>
            <w:r w:rsidRPr="00251EA9">
              <w:rPr>
                <w:rFonts w:ascii="Arial" w:hAnsi="Arial" w:cs="Arial"/>
                <w:sz w:val="15"/>
                <w:szCs w:val="15"/>
              </w:rPr>
              <w:t xml:space="preserve"> A. et al., 2022</w:t>
            </w:r>
          </w:p>
        </w:tc>
        <w:tc>
          <w:tcPr>
            <w:tcW w:w="851" w:type="dxa"/>
          </w:tcPr>
          <w:p w14:paraId="5EAC7B8D" w14:textId="300379B2" w:rsidR="006E5533" w:rsidRPr="00A77951" w:rsidRDefault="006E5533" w:rsidP="006E5533">
            <w:pPr>
              <w:spacing w:line="360" w:lineRule="auto"/>
              <w:contextualSpacing/>
              <w:rPr>
                <w:rFonts w:ascii="Arial" w:hAnsi="Arial" w:cs="Arial"/>
                <w:sz w:val="15"/>
                <w:szCs w:val="15"/>
              </w:rPr>
            </w:pPr>
            <w:hyperlink r:id="rId157" w:history="1">
              <w:r w:rsidRPr="00A77951">
                <w:rPr>
                  <w:rStyle w:val="Hyperlink"/>
                  <w:rFonts w:ascii="Arial" w:hAnsi="Arial" w:cs="Arial"/>
                  <w:sz w:val="15"/>
                  <w:szCs w:val="15"/>
                </w:rPr>
                <w:t>10.1016/j.jocn.2022.06.024</w:t>
              </w:r>
            </w:hyperlink>
          </w:p>
        </w:tc>
        <w:tc>
          <w:tcPr>
            <w:tcW w:w="851" w:type="dxa"/>
          </w:tcPr>
          <w:p w14:paraId="32DDBC47" w14:textId="6F4FCA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7F8CC7E8" w14:textId="5D5F90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56DE007F" w14:textId="6AEA9B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DC5F3A9" w14:textId="3584C4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745FE6D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the incidence, causes and outcomes of postoperative fever in neurosurgical patients. </w:t>
            </w:r>
          </w:p>
          <w:p w14:paraId="4E2166F9" w14:textId="1E287A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a protocol for management of postoperative fever.</w:t>
            </w:r>
          </w:p>
        </w:tc>
        <w:tc>
          <w:tcPr>
            <w:tcW w:w="1134" w:type="dxa"/>
          </w:tcPr>
          <w:p w14:paraId="72782A5B" w14:textId="77777777" w:rsidR="006E5533" w:rsidRPr="00251EA9" w:rsidRDefault="006E5533" w:rsidP="006E5533">
            <w:pPr>
              <w:spacing w:line="360" w:lineRule="auto"/>
              <w:contextualSpacing/>
              <w:rPr>
                <w:rFonts w:ascii="Arial" w:hAnsi="Arial" w:cs="Arial"/>
                <w:i/>
                <w:iCs/>
                <w:sz w:val="15"/>
                <w:szCs w:val="15"/>
              </w:rPr>
            </w:pPr>
          </w:p>
        </w:tc>
        <w:tc>
          <w:tcPr>
            <w:tcW w:w="992" w:type="dxa"/>
          </w:tcPr>
          <w:p w14:paraId="06FDE557" w14:textId="5BE95E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553ECE2" w14:textId="5DFE48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3D1C96E" w14:textId="77777777" w:rsidR="006E5533" w:rsidRPr="00251EA9" w:rsidRDefault="006E5533" w:rsidP="006E5533">
            <w:pPr>
              <w:rPr>
                <w:rFonts w:ascii="Arial" w:hAnsi="Arial" w:cs="Arial"/>
                <w:sz w:val="15"/>
                <w:szCs w:val="15"/>
              </w:rPr>
            </w:pPr>
            <w:r w:rsidRPr="00251EA9">
              <w:rPr>
                <w:rFonts w:ascii="Arial" w:hAnsi="Arial" w:cs="Arial"/>
                <w:sz w:val="15"/>
                <w:szCs w:val="15"/>
              </w:rPr>
              <w:t>The most common causes of fever were urinary tract infections (13.7%), followed</w:t>
            </w:r>
            <w:r w:rsidRPr="00251EA9">
              <w:rPr>
                <w:rFonts w:ascii="Arial" w:hAnsi="Arial" w:cs="Arial"/>
                <w:sz w:val="15"/>
                <w:szCs w:val="15"/>
              </w:rPr>
              <w:br/>
              <w:t>by aseptic meningitis (10.8%), wound infections (7.8%), pneumonia (5.8%), bacterial meningitis (3.9%).</w:t>
            </w:r>
          </w:p>
          <w:p w14:paraId="0FB36F60" w14:textId="12295B1A" w:rsidR="006E5533" w:rsidRPr="00251EA9" w:rsidRDefault="006E5533" w:rsidP="006E5533">
            <w:pPr>
              <w:rPr>
                <w:rFonts w:ascii="Arial" w:hAnsi="Arial" w:cs="Arial"/>
                <w:sz w:val="15"/>
                <w:szCs w:val="15"/>
              </w:rPr>
            </w:pPr>
            <w:r w:rsidRPr="00251EA9">
              <w:rPr>
                <w:rFonts w:ascii="Arial" w:hAnsi="Arial" w:cs="Arial"/>
                <w:sz w:val="15"/>
                <w:szCs w:val="15"/>
              </w:rPr>
              <w:t>In the late postoperative period, wound infections (6 cases) were the most common cause of fever. Wound infections accounted for fever among</w:t>
            </w:r>
            <w:r w:rsidRPr="00251EA9">
              <w:rPr>
                <w:rFonts w:ascii="Arial" w:hAnsi="Arial" w:cs="Arial"/>
                <w:sz w:val="15"/>
                <w:szCs w:val="15"/>
              </w:rPr>
              <w:br/>
              <w:t xml:space="preserve">55.4% of patients with a wound drain in-situ for 3 days or longer, compared to 9.5% of patients that had drains removed earlier. </w:t>
            </w:r>
          </w:p>
        </w:tc>
        <w:tc>
          <w:tcPr>
            <w:tcW w:w="1701" w:type="dxa"/>
          </w:tcPr>
          <w:p w14:paraId="71C45E1C" w14:textId="1962D8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AD60C04" w14:textId="77777777" w:rsidTr="00A77951">
        <w:trPr>
          <w:trHeight w:val="586"/>
        </w:trPr>
        <w:tc>
          <w:tcPr>
            <w:tcW w:w="992" w:type="dxa"/>
          </w:tcPr>
          <w:p w14:paraId="54125C67" w14:textId="509049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Grau S. et al., 2018</w:t>
            </w:r>
          </w:p>
        </w:tc>
        <w:tc>
          <w:tcPr>
            <w:tcW w:w="851" w:type="dxa"/>
          </w:tcPr>
          <w:p w14:paraId="72861DC0" w14:textId="1060658D" w:rsidR="006E5533" w:rsidRPr="00A77951" w:rsidRDefault="006E5533" w:rsidP="006E5533">
            <w:pPr>
              <w:spacing w:line="360" w:lineRule="auto"/>
              <w:contextualSpacing/>
              <w:rPr>
                <w:rFonts w:ascii="Arial" w:hAnsi="Arial" w:cs="Arial"/>
                <w:sz w:val="15"/>
                <w:szCs w:val="15"/>
              </w:rPr>
            </w:pPr>
            <w:hyperlink r:id="rId158" w:history="1">
              <w:r w:rsidRPr="00A77951">
                <w:rPr>
                  <w:rStyle w:val="Hyperlink"/>
                  <w:rFonts w:ascii="Arial" w:hAnsi="Arial" w:cs="Arial"/>
                  <w:sz w:val="15"/>
                  <w:szCs w:val="15"/>
                </w:rPr>
                <w:t>10.4103/joacp.JOACP_373_16</w:t>
              </w:r>
            </w:hyperlink>
          </w:p>
        </w:tc>
        <w:tc>
          <w:tcPr>
            <w:tcW w:w="851" w:type="dxa"/>
          </w:tcPr>
          <w:p w14:paraId="5F6FABF7" w14:textId="2A4348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5A2506AF" w14:textId="007784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97E4D40" w14:textId="6A7496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667CBF" w14:textId="5DADFF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3FCC85D3" w14:textId="61E559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brain swelling, intraoperative conditions, surgical course, and postoperative complication rates of propofol</w:t>
            </w:r>
            <w:r w:rsidRPr="00251EA9">
              <w:rPr>
                <w:rFonts w:ascii="Arial" w:hAnsi="Arial" w:cs="Arial"/>
                <w:sz w:val="15"/>
                <w:szCs w:val="15"/>
              </w:rPr>
              <w:noBreakHyphen/>
              <w:t>based</w:t>
            </w:r>
            <w:r w:rsidRPr="00251EA9">
              <w:rPr>
                <w:rFonts w:ascii="Arial" w:hAnsi="Arial" w:cs="Arial"/>
                <w:sz w:val="15"/>
                <w:szCs w:val="15"/>
              </w:rPr>
              <w:br/>
              <w:t>vs. volatile</w:t>
            </w:r>
            <w:r w:rsidRPr="00251EA9">
              <w:rPr>
                <w:rFonts w:ascii="Arial" w:hAnsi="Arial" w:cs="Arial"/>
                <w:sz w:val="15"/>
                <w:szCs w:val="15"/>
              </w:rPr>
              <w:noBreakHyphen/>
              <w:t>based anaesthesia.</w:t>
            </w:r>
          </w:p>
        </w:tc>
        <w:tc>
          <w:tcPr>
            <w:tcW w:w="1134" w:type="dxa"/>
          </w:tcPr>
          <w:p w14:paraId="2436D2B6" w14:textId="0148B724" w:rsidR="006E5533" w:rsidRPr="00251EA9" w:rsidRDefault="006E5533" w:rsidP="006E5533">
            <w:pPr>
              <w:spacing w:line="360" w:lineRule="auto"/>
              <w:contextualSpacing/>
              <w:rPr>
                <w:rFonts w:ascii="Arial" w:hAnsi="Arial" w:cs="Arial"/>
                <w:i/>
                <w:iCs/>
                <w:sz w:val="15"/>
                <w:szCs w:val="15"/>
              </w:rPr>
            </w:pPr>
          </w:p>
        </w:tc>
        <w:tc>
          <w:tcPr>
            <w:tcW w:w="992" w:type="dxa"/>
          </w:tcPr>
          <w:p w14:paraId="663E4889" w14:textId="217DAA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E71A75A" w14:textId="7C73CA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92E2400" w14:textId="1B68DD2D" w:rsidR="006E5533" w:rsidRPr="00251EA9" w:rsidRDefault="006E5533" w:rsidP="006E5533">
            <w:pPr>
              <w:rPr>
                <w:rFonts w:ascii="Arial" w:hAnsi="Arial" w:cs="Arial"/>
                <w:sz w:val="15"/>
                <w:szCs w:val="15"/>
              </w:rPr>
            </w:pPr>
            <w:r w:rsidRPr="00251EA9">
              <w:rPr>
                <w:rFonts w:ascii="Arial" w:hAnsi="Arial" w:cs="Arial"/>
                <w:sz w:val="15"/>
                <w:szCs w:val="15"/>
              </w:rPr>
              <w:t>Most common surgical complication was</w:t>
            </w:r>
            <w:r w:rsidRPr="00251EA9">
              <w:rPr>
                <w:rFonts w:ascii="Arial" w:hAnsi="Arial" w:cs="Arial"/>
                <w:sz w:val="15"/>
                <w:szCs w:val="15"/>
              </w:rPr>
              <w:br/>
              <w:t>postoperative wound and bone flap infection.</w:t>
            </w:r>
          </w:p>
        </w:tc>
        <w:tc>
          <w:tcPr>
            <w:tcW w:w="1701" w:type="dxa"/>
          </w:tcPr>
          <w:p w14:paraId="2A27FB07" w14:textId="2B0A85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182C808" w14:textId="77777777" w:rsidTr="00A77951">
        <w:trPr>
          <w:trHeight w:val="586"/>
        </w:trPr>
        <w:tc>
          <w:tcPr>
            <w:tcW w:w="992" w:type="dxa"/>
          </w:tcPr>
          <w:p w14:paraId="6D3F8150" w14:textId="4E7158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Greenberg J.K. et al., 2016</w:t>
            </w:r>
          </w:p>
        </w:tc>
        <w:tc>
          <w:tcPr>
            <w:tcW w:w="851" w:type="dxa"/>
          </w:tcPr>
          <w:p w14:paraId="3BA2B739" w14:textId="5D249B6D" w:rsidR="006E5533" w:rsidRPr="00A77951" w:rsidRDefault="006E5533" w:rsidP="006E5533">
            <w:pPr>
              <w:spacing w:line="360" w:lineRule="auto"/>
              <w:contextualSpacing/>
              <w:rPr>
                <w:rFonts w:ascii="Arial" w:hAnsi="Arial" w:cs="Arial"/>
                <w:sz w:val="15"/>
                <w:szCs w:val="15"/>
              </w:rPr>
            </w:pPr>
            <w:hyperlink r:id="rId159" w:history="1">
              <w:r w:rsidRPr="00A77951">
                <w:rPr>
                  <w:rStyle w:val="Hyperlink"/>
                  <w:rFonts w:ascii="Arial" w:hAnsi="Arial" w:cs="Arial"/>
                  <w:sz w:val="15"/>
                  <w:szCs w:val="15"/>
                </w:rPr>
                <w:t>10.3171/2015.</w:t>
              </w:r>
              <w:proofErr w:type="gramStart"/>
              <w:r w:rsidRPr="00A77951">
                <w:rPr>
                  <w:rStyle w:val="Hyperlink"/>
                  <w:rFonts w:ascii="Arial" w:hAnsi="Arial" w:cs="Arial"/>
                  <w:sz w:val="15"/>
                  <w:szCs w:val="15"/>
                </w:rPr>
                <w:t>10.PEDS</w:t>
              </w:r>
              <w:proofErr w:type="gramEnd"/>
              <w:r w:rsidRPr="00A77951">
                <w:rPr>
                  <w:rStyle w:val="Hyperlink"/>
                  <w:rFonts w:ascii="Arial" w:hAnsi="Arial" w:cs="Arial"/>
                  <w:sz w:val="15"/>
                  <w:szCs w:val="15"/>
                </w:rPr>
                <w:t>15369</w:t>
              </w:r>
            </w:hyperlink>
          </w:p>
        </w:tc>
        <w:tc>
          <w:tcPr>
            <w:tcW w:w="851" w:type="dxa"/>
          </w:tcPr>
          <w:p w14:paraId="3850BB52" w14:textId="230AE7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C2F09F1" w14:textId="6771C4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39D0B2A" w14:textId="3E77A4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AC20EF8" w14:textId="11F4AB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w:t>
            </w:r>
            <w:proofErr w:type="spellStart"/>
            <w:r w:rsidRPr="00251EA9">
              <w:rPr>
                <w:rFonts w:ascii="Arial" w:hAnsi="Arial" w:cs="Arial"/>
                <w:sz w:val="15"/>
                <w:szCs w:val="15"/>
              </w:rPr>
              <w:t>Skullbase</w:t>
            </w:r>
            <w:proofErr w:type="spellEnd"/>
          </w:p>
        </w:tc>
        <w:tc>
          <w:tcPr>
            <w:tcW w:w="1843" w:type="dxa"/>
          </w:tcPr>
          <w:p w14:paraId="41C50939" w14:textId="1D5313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CM-I surgical outcomes using population-level administrative billing data.</w:t>
            </w:r>
          </w:p>
        </w:tc>
        <w:tc>
          <w:tcPr>
            <w:tcW w:w="1134" w:type="dxa"/>
          </w:tcPr>
          <w:p w14:paraId="3EFFB45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2B61EE8" w14:textId="4E0141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FCC980D" w14:textId="754EF3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6F2089B" w14:textId="56EED68C" w:rsidR="006E5533" w:rsidRPr="00251EA9" w:rsidRDefault="006E5533" w:rsidP="006E5533">
            <w:pPr>
              <w:rPr>
                <w:rFonts w:ascii="Arial" w:hAnsi="Arial" w:cs="Arial"/>
                <w:sz w:val="15"/>
                <w:szCs w:val="15"/>
              </w:rPr>
            </w:pPr>
            <w:r w:rsidRPr="00251EA9">
              <w:rPr>
                <w:rFonts w:ascii="Arial" w:hAnsi="Arial" w:cs="Arial"/>
                <w:sz w:val="15"/>
                <w:szCs w:val="15"/>
              </w:rPr>
              <w:t>Reported 15 cases of wound infection (1.6%).</w:t>
            </w:r>
          </w:p>
        </w:tc>
        <w:tc>
          <w:tcPr>
            <w:tcW w:w="1701" w:type="dxa"/>
          </w:tcPr>
          <w:p w14:paraId="3E411300" w14:textId="3E1410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19812F2" w14:textId="77777777" w:rsidTr="00A77951">
        <w:trPr>
          <w:trHeight w:val="586"/>
        </w:trPr>
        <w:tc>
          <w:tcPr>
            <w:tcW w:w="992" w:type="dxa"/>
          </w:tcPr>
          <w:p w14:paraId="184FE48F" w14:textId="582805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Grossman R. et al., 2013</w:t>
            </w:r>
          </w:p>
        </w:tc>
        <w:tc>
          <w:tcPr>
            <w:tcW w:w="851" w:type="dxa"/>
          </w:tcPr>
          <w:p w14:paraId="19AA85E8" w14:textId="606B9031" w:rsidR="006E5533" w:rsidRPr="00A77951" w:rsidRDefault="006E5533" w:rsidP="006E5533">
            <w:pPr>
              <w:spacing w:line="360" w:lineRule="auto"/>
              <w:contextualSpacing/>
              <w:rPr>
                <w:rFonts w:ascii="Arial" w:hAnsi="Arial" w:cs="Arial"/>
                <w:sz w:val="15"/>
                <w:szCs w:val="15"/>
              </w:rPr>
            </w:pPr>
            <w:hyperlink r:id="rId160" w:history="1">
              <w:r w:rsidRPr="00A77951">
                <w:rPr>
                  <w:rStyle w:val="Hyperlink"/>
                  <w:rFonts w:ascii="Arial" w:hAnsi="Arial" w:cs="Arial"/>
                  <w:sz w:val="15"/>
                  <w:szCs w:val="15"/>
                </w:rPr>
                <w:t>10.1245/s10434-012-2748-x</w:t>
              </w:r>
            </w:hyperlink>
          </w:p>
        </w:tc>
        <w:tc>
          <w:tcPr>
            <w:tcW w:w="851" w:type="dxa"/>
          </w:tcPr>
          <w:p w14:paraId="4C0010C6" w14:textId="5AFBE0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Israel</w:t>
            </w:r>
          </w:p>
        </w:tc>
        <w:tc>
          <w:tcPr>
            <w:tcW w:w="1134" w:type="dxa"/>
          </w:tcPr>
          <w:p w14:paraId="39905911" w14:textId="5003E6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1B5B28C" w14:textId="5211DC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28F88BD" w14:textId="0496BE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77D9972" w14:textId="126D17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surgical outcome of elderly patients undergoing </w:t>
            </w:r>
            <w:proofErr w:type="gramStart"/>
            <w:r w:rsidRPr="00251EA9">
              <w:rPr>
                <w:rFonts w:ascii="Arial" w:hAnsi="Arial" w:cs="Arial"/>
                <w:sz w:val="15"/>
                <w:szCs w:val="15"/>
              </w:rPr>
              <w:t>awake-craniotomy</w:t>
            </w:r>
            <w:proofErr w:type="gramEnd"/>
            <w:r w:rsidRPr="00251EA9">
              <w:rPr>
                <w:rFonts w:ascii="Arial" w:hAnsi="Arial" w:cs="Arial"/>
                <w:sz w:val="15"/>
                <w:szCs w:val="15"/>
              </w:rPr>
              <w:t xml:space="preserve"> to that of younger patients.</w:t>
            </w:r>
          </w:p>
        </w:tc>
        <w:tc>
          <w:tcPr>
            <w:tcW w:w="1134" w:type="dxa"/>
          </w:tcPr>
          <w:p w14:paraId="68747BA2" w14:textId="3D0A6E9B" w:rsidR="006E5533" w:rsidRPr="00251EA9" w:rsidRDefault="006E5533" w:rsidP="006E5533">
            <w:pPr>
              <w:spacing w:line="360" w:lineRule="auto"/>
              <w:contextualSpacing/>
              <w:rPr>
                <w:rFonts w:ascii="Arial" w:hAnsi="Arial" w:cs="Arial"/>
                <w:sz w:val="15"/>
                <w:szCs w:val="15"/>
              </w:rPr>
            </w:pPr>
          </w:p>
        </w:tc>
        <w:tc>
          <w:tcPr>
            <w:tcW w:w="992" w:type="dxa"/>
          </w:tcPr>
          <w:p w14:paraId="57B7F228" w14:textId="109A7F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6D1CF7C" w14:textId="515C90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A11918C" w14:textId="049BE5A2" w:rsidR="006E5533" w:rsidRPr="00251EA9" w:rsidRDefault="006E5533" w:rsidP="006E5533">
            <w:pPr>
              <w:rPr>
                <w:rFonts w:ascii="Arial" w:hAnsi="Arial" w:cs="Arial"/>
                <w:sz w:val="15"/>
                <w:szCs w:val="15"/>
              </w:rPr>
            </w:pPr>
            <w:r w:rsidRPr="00251EA9">
              <w:rPr>
                <w:rFonts w:ascii="Arial" w:hAnsi="Arial" w:cs="Arial"/>
                <w:sz w:val="15"/>
                <w:szCs w:val="15"/>
              </w:rPr>
              <w:t>The rate of SSI was</w:t>
            </w:r>
            <w:r w:rsidRPr="00251EA9">
              <w:rPr>
                <w:rFonts w:ascii="Arial" w:hAnsi="Arial" w:cs="Arial"/>
                <w:sz w:val="15"/>
                <w:szCs w:val="15"/>
              </w:rPr>
              <w:br/>
              <w:t>slightly decreased in the older population compared to the younger group</w:t>
            </w:r>
            <w:r w:rsidRPr="00251EA9">
              <w:rPr>
                <w:rFonts w:ascii="Arial" w:hAnsi="Arial" w:cs="Arial"/>
                <w:sz w:val="15"/>
                <w:szCs w:val="15"/>
              </w:rPr>
              <w:br/>
              <w:t>(1.1 % vs. 2.1 %, respectively).</w:t>
            </w:r>
          </w:p>
        </w:tc>
        <w:tc>
          <w:tcPr>
            <w:tcW w:w="1701" w:type="dxa"/>
          </w:tcPr>
          <w:p w14:paraId="0F09AF55" w14:textId="08E4E7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8210868" w14:textId="77777777" w:rsidTr="00A77951">
        <w:trPr>
          <w:trHeight w:val="586"/>
        </w:trPr>
        <w:tc>
          <w:tcPr>
            <w:tcW w:w="992" w:type="dxa"/>
          </w:tcPr>
          <w:p w14:paraId="7EADF583" w14:textId="3C48960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Gruenbaum</w:t>
            </w:r>
            <w:proofErr w:type="spellEnd"/>
            <w:r w:rsidRPr="00251EA9">
              <w:rPr>
                <w:rFonts w:ascii="Arial" w:hAnsi="Arial" w:cs="Arial"/>
                <w:sz w:val="15"/>
                <w:szCs w:val="15"/>
              </w:rPr>
              <w:t xml:space="preserve"> S. et al., 2017</w:t>
            </w:r>
          </w:p>
        </w:tc>
        <w:tc>
          <w:tcPr>
            <w:tcW w:w="851" w:type="dxa"/>
          </w:tcPr>
          <w:p w14:paraId="5072A620" w14:textId="1987A1B6" w:rsidR="006E5533" w:rsidRPr="00A77951" w:rsidRDefault="006E5533" w:rsidP="006E5533">
            <w:pPr>
              <w:spacing w:line="360" w:lineRule="auto"/>
              <w:contextualSpacing/>
              <w:rPr>
                <w:rFonts w:ascii="Arial" w:hAnsi="Arial" w:cs="Arial"/>
                <w:sz w:val="15"/>
                <w:szCs w:val="15"/>
              </w:rPr>
            </w:pPr>
            <w:hyperlink r:id="rId161" w:history="1">
              <w:r w:rsidRPr="00A77951">
                <w:rPr>
                  <w:rStyle w:val="Hyperlink"/>
                  <w:rFonts w:ascii="Arial" w:hAnsi="Arial" w:cs="Arial"/>
                  <w:sz w:val="15"/>
                  <w:szCs w:val="15"/>
                </w:rPr>
                <w:t>10.1213/ANE.0000000000001946</w:t>
              </w:r>
            </w:hyperlink>
          </w:p>
        </w:tc>
        <w:tc>
          <w:tcPr>
            <w:tcW w:w="851" w:type="dxa"/>
          </w:tcPr>
          <w:p w14:paraId="72B09DC5" w14:textId="531026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CA18014" w14:textId="5F7832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5ABB86A9" w14:textId="6F77B2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729E3EC" w14:textId="41C7CC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D19CF77" w14:textId="2786DC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association of severe intraoperative </w:t>
            </w:r>
            <w:proofErr w:type="spellStart"/>
            <w:r w:rsidRPr="00251EA9">
              <w:rPr>
                <w:rFonts w:ascii="Arial" w:hAnsi="Arial" w:cs="Arial"/>
                <w:sz w:val="15"/>
                <w:szCs w:val="15"/>
              </w:rPr>
              <w:t>hyperglycemia</w:t>
            </w:r>
            <w:proofErr w:type="spellEnd"/>
            <w:r w:rsidRPr="00251EA9">
              <w:rPr>
                <w:rFonts w:ascii="Arial" w:hAnsi="Arial" w:cs="Arial"/>
                <w:sz w:val="15"/>
                <w:szCs w:val="15"/>
              </w:rPr>
              <w:t xml:space="preserve"> (SIH) with the occurrence of composite infections after craniotomy. </w:t>
            </w:r>
          </w:p>
        </w:tc>
        <w:tc>
          <w:tcPr>
            <w:tcW w:w="1134" w:type="dxa"/>
          </w:tcPr>
          <w:p w14:paraId="7238F64C" w14:textId="7BB35C84" w:rsidR="006E5533" w:rsidRPr="00251EA9" w:rsidRDefault="006E5533" w:rsidP="006E5533">
            <w:pPr>
              <w:spacing w:line="360" w:lineRule="auto"/>
              <w:contextualSpacing/>
              <w:rPr>
                <w:rFonts w:ascii="Arial" w:hAnsi="Arial" w:cs="Arial"/>
                <w:sz w:val="15"/>
                <w:szCs w:val="15"/>
              </w:rPr>
            </w:pPr>
          </w:p>
        </w:tc>
        <w:tc>
          <w:tcPr>
            <w:tcW w:w="992" w:type="dxa"/>
          </w:tcPr>
          <w:p w14:paraId="0E4DBB4C" w14:textId="02CC6F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717057C" w14:textId="49A8AF26"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293A4CB3" w14:textId="03CED086" w:rsidR="006E5533" w:rsidRPr="00251EA9" w:rsidRDefault="006E5533" w:rsidP="006E5533">
            <w:pPr>
              <w:rPr>
                <w:rFonts w:ascii="Arial" w:hAnsi="Arial" w:cs="Arial"/>
                <w:sz w:val="15"/>
                <w:szCs w:val="15"/>
              </w:rPr>
            </w:pPr>
            <w:r w:rsidRPr="00251EA9">
              <w:rPr>
                <w:rFonts w:ascii="Arial" w:hAnsi="Arial" w:cs="Arial"/>
                <w:sz w:val="15"/>
                <w:szCs w:val="15"/>
              </w:rPr>
              <w:t xml:space="preserve">Reported 10 of 38 (26.3%) </w:t>
            </w:r>
            <w:proofErr w:type="spellStart"/>
            <w:r w:rsidRPr="00251EA9">
              <w:rPr>
                <w:rFonts w:ascii="Arial" w:hAnsi="Arial" w:cs="Arial"/>
                <w:sz w:val="15"/>
                <w:szCs w:val="15"/>
              </w:rPr>
              <w:t>hyperglycemic</w:t>
            </w:r>
            <w:proofErr w:type="spellEnd"/>
            <w:r w:rsidRPr="00251EA9">
              <w:rPr>
                <w:rFonts w:ascii="Arial" w:hAnsi="Arial" w:cs="Arial"/>
                <w:sz w:val="15"/>
                <w:szCs w:val="15"/>
              </w:rPr>
              <w:t xml:space="preserve"> patients developed an infection compared with 12 of 186 (6.5%) normoglycemic patients.</w:t>
            </w:r>
          </w:p>
        </w:tc>
        <w:tc>
          <w:tcPr>
            <w:tcW w:w="1701" w:type="dxa"/>
          </w:tcPr>
          <w:p w14:paraId="3C9D4306" w14:textId="327FB2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830BCA7" w14:textId="77777777" w:rsidTr="00A77951">
        <w:trPr>
          <w:trHeight w:val="586"/>
        </w:trPr>
        <w:tc>
          <w:tcPr>
            <w:tcW w:w="992" w:type="dxa"/>
          </w:tcPr>
          <w:p w14:paraId="6E1536AA" w14:textId="71A9CB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Grundy T et al. 2019</w:t>
            </w:r>
          </w:p>
        </w:tc>
        <w:tc>
          <w:tcPr>
            <w:tcW w:w="851" w:type="dxa"/>
          </w:tcPr>
          <w:p w14:paraId="39EDD301" w14:textId="03538AE7" w:rsidR="006E5533" w:rsidRPr="00A77951" w:rsidRDefault="006E5533" w:rsidP="006E5533">
            <w:pPr>
              <w:spacing w:line="360" w:lineRule="auto"/>
              <w:contextualSpacing/>
              <w:rPr>
                <w:rFonts w:ascii="Arial" w:hAnsi="Arial" w:cs="Arial"/>
                <w:sz w:val="15"/>
                <w:szCs w:val="15"/>
              </w:rPr>
            </w:pPr>
            <w:hyperlink r:id="rId162" w:history="1">
              <w:r w:rsidRPr="00A77951">
                <w:rPr>
                  <w:rStyle w:val="Hyperlink"/>
                  <w:rFonts w:ascii="Arial" w:hAnsi="Arial" w:cs="Arial"/>
                  <w:sz w:val="15"/>
                  <w:szCs w:val="15"/>
                </w:rPr>
                <w:t>10.1080/02688697.2019.1645298</w:t>
              </w:r>
            </w:hyperlink>
          </w:p>
        </w:tc>
        <w:tc>
          <w:tcPr>
            <w:tcW w:w="851" w:type="dxa"/>
          </w:tcPr>
          <w:p w14:paraId="3EDF15DD" w14:textId="4EC4D6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0F568DBD" w14:textId="3C30DA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068845F5" w14:textId="2444FB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4F0879E" w14:textId="71C9F0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0A8F9A69" w14:textId="197DEC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identify the best </w:t>
            </w:r>
            <w:proofErr w:type="gramStart"/>
            <w:r w:rsidRPr="00251EA9">
              <w:rPr>
                <w:rFonts w:ascii="Arial" w:hAnsi="Arial" w:cs="Arial"/>
                <w:sz w:val="15"/>
                <w:szCs w:val="15"/>
              </w:rPr>
              <w:t>time</w:t>
            </w:r>
            <w:proofErr w:type="gramEnd"/>
            <w:r w:rsidRPr="00251EA9">
              <w:rPr>
                <w:rFonts w:ascii="Arial" w:hAnsi="Arial" w:cs="Arial"/>
                <w:sz w:val="15"/>
                <w:szCs w:val="15"/>
              </w:rPr>
              <w:t xml:space="preserve"> point at which SSI should be measured in patients undergoing a neurosurgical procedure to guide SSI surveillance practice.</w:t>
            </w:r>
          </w:p>
        </w:tc>
        <w:tc>
          <w:tcPr>
            <w:tcW w:w="1134" w:type="dxa"/>
          </w:tcPr>
          <w:p w14:paraId="422351BC" w14:textId="0EDFE4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60037DD9" w14:textId="14881F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0FFE4E6" w14:textId="20C3D624"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73FCF0B7" w14:textId="318AB99F" w:rsidR="006E5533" w:rsidRPr="00251EA9" w:rsidRDefault="006E5533" w:rsidP="006E5533">
            <w:pPr>
              <w:rPr>
                <w:rFonts w:ascii="Arial" w:hAnsi="Arial" w:cs="Arial"/>
                <w:sz w:val="15"/>
                <w:szCs w:val="15"/>
              </w:rPr>
            </w:pPr>
            <w:r w:rsidRPr="00251EA9">
              <w:rPr>
                <w:rFonts w:ascii="Arial" w:hAnsi="Arial" w:cs="Arial"/>
                <w:sz w:val="15"/>
                <w:szCs w:val="15"/>
              </w:rPr>
              <w:t>SSIs were measured from day 2 to day 390 after surgery. Total of 86 cases (out of 3531) of SSI. 54 (62.8%) cases were identified within 30 days of surgery. The mean number of days at which SSI was first clinically diagnosed in this series was 53 days.</w:t>
            </w:r>
            <w:r w:rsidRPr="00251EA9">
              <w:rPr>
                <w:rFonts w:ascii="Arial" w:hAnsi="Arial" w:cs="Arial"/>
                <w:sz w:val="15"/>
                <w:szCs w:val="15"/>
              </w:rPr>
              <w:br/>
              <w:t xml:space="preserve">75% of cases were detected by 49 days with 11 (12.8%) presenting between 30 and 49 days. A total of 32 (37.3%) presented outside of the </w:t>
            </w:r>
            <w:r w:rsidRPr="00251EA9">
              <w:rPr>
                <w:rFonts w:ascii="Arial" w:hAnsi="Arial" w:cs="Arial"/>
                <w:sz w:val="15"/>
                <w:szCs w:val="15"/>
              </w:rPr>
              <w:lastRenderedPageBreak/>
              <w:t xml:space="preserve">30-day period of surveillance. The number of cases requiring reoperation in this series was 56 (65%). 22 cases (26%) that required surgery related to SSI were detected outside of 30 days.  </w:t>
            </w:r>
          </w:p>
        </w:tc>
        <w:tc>
          <w:tcPr>
            <w:tcW w:w="1701" w:type="dxa"/>
          </w:tcPr>
          <w:p w14:paraId="49ABA048" w14:textId="40B91E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70A6525A" w14:textId="77777777" w:rsidTr="00A77951">
        <w:trPr>
          <w:trHeight w:val="586"/>
        </w:trPr>
        <w:tc>
          <w:tcPr>
            <w:tcW w:w="992" w:type="dxa"/>
          </w:tcPr>
          <w:p w14:paraId="12CD8B7B" w14:textId="39F8A6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Guidry BS et al. 2022</w:t>
            </w:r>
          </w:p>
        </w:tc>
        <w:tc>
          <w:tcPr>
            <w:tcW w:w="851" w:type="dxa"/>
          </w:tcPr>
          <w:p w14:paraId="58441F19" w14:textId="370473D8" w:rsidR="006E5533" w:rsidRPr="00A77951" w:rsidRDefault="006E5533" w:rsidP="006E5533">
            <w:pPr>
              <w:spacing w:line="360" w:lineRule="auto"/>
              <w:contextualSpacing/>
              <w:rPr>
                <w:rFonts w:ascii="Arial" w:hAnsi="Arial" w:cs="Arial"/>
                <w:sz w:val="15"/>
                <w:szCs w:val="15"/>
              </w:rPr>
            </w:pPr>
            <w:hyperlink r:id="rId163" w:history="1">
              <w:r w:rsidRPr="00A77951">
                <w:rPr>
                  <w:rStyle w:val="Hyperlink"/>
                  <w:rFonts w:ascii="Arial" w:hAnsi="Arial" w:cs="Arial"/>
                  <w:sz w:val="15"/>
                  <w:szCs w:val="15"/>
                </w:rPr>
                <w:t>10.1227/neu.0000000000002053</w:t>
              </w:r>
            </w:hyperlink>
          </w:p>
        </w:tc>
        <w:tc>
          <w:tcPr>
            <w:tcW w:w="851" w:type="dxa"/>
          </w:tcPr>
          <w:p w14:paraId="726CA2A8" w14:textId="4D392A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CA8F0FB" w14:textId="2B21A9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831A108" w14:textId="6F4904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2FB6D32" w14:textId="7BBC01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 Trauma</w:t>
            </w:r>
          </w:p>
        </w:tc>
        <w:tc>
          <w:tcPr>
            <w:tcW w:w="1843" w:type="dxa"/>
          </w:tcPr>
          <w:p w14:paraId="32990755" w14:textId="0ACE2E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factors associated with loss-to-follow-up and unplanned readmission, emphasising socioeconomic status.</w:t>
            </w:r>
          </w:p>
        </w:tc>
        <w:tc>
          <w:tcPr>
            <w:tcW w:w="1134" w:type="dxa"/>
          </w:tcPr>
          <w:p w14:paraId="33BB1E92" w14:textId="22E4BD4B" w:rsidR="006E5533" w:rsidRPr="00251EA9" w:rsidRDefault="006E5533" w:rsidP="006E5533">
            <w:pPr>
              <w:spacing w:line="360" w:lineRule="auto"/>
              <w:contextualSpacing/>
              <w:rPr>
                <w:rFonts w:ascii="Arial" w:hAnsi="Arial" w:cs="Arial"/>
                <w:sz w:val="15"/>
                <w:szCs w:val="15"/>
              </w:rPr>
            </w:pPr>
          </w:p>
        </w:tc>
        <w:tc>
          <w:tcPr>
            <w:tcW w:w="992" w:type="dxa"/>
          </w:tcPr>
          <w:p w14:paraId="2C90A6F3" w14:textId="49A1B4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4617EEF" w14:textId="771A46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B4F7BAD" w14:textId="4D4BE9E9" w:rsidR="006E5533" w:rsidRPr="00251EA9" w:rsidRDefault="006E5533" w:rsidP="006E5533">
            <w:pPr>
              <w:rPr>
                <w:rFonts w:ascii="Arial" w:hAnsi="Arial" w:cs="Arial"/>
                <w:sz w:val="15"/>
                <w:szCs w:val="15"/>
              </w:rPr>
            </w:pPr>
            <w:r w:rsidRPr="00251EA9">
              <w:rPr>
                <w:rFonts w:ascii="Arial" w:hAnsi="Arial" w:cs="Arial"/>
                <w:sz w:val="15"/>
                <w:szCs w:val="15"/>
              </w:rPr>
              <w:t>Of a total of 49 patients who were readmitted, 35 were for a neurosurgical reason (71%), including 5 patients for SSI.</w:t>
            </w:r>
          </w:p>
        </w:tc>
        <w:tc>
          <w:tcPr>
            <w:tcW w:w="1701" w:type="dxa"/>
          </w:tcPr>
          <w:p w14:paraId="6348886B" w14:textId="25222C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7A34045" w14:textId="77777777" w:rsidTr="00A77951">
        <w:trPr>
          <w:trHeight w:val="586"/>
        </w:trPr>
        <w:tc>
          <w:tcPr>
            <w:tcW w:w="992" w:type="dxa"/>
          </w:tcPr>
          <w:p w14:paraId="1608A4BB" w14:textId="7AE1B9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Gupta A. et al., 2018</w:t>
            </w:r>
          </w:p>
        </w:tc>
        <w:tc>
          <w:tcPr>
            <w:tcW w:w="851" w:type="dxa"/>
          </w:tcPr>
          <w:p w14:paraId="23401AB7" w14:textId="40DCFA97" w:rsidR="006E5533" w:rsidRPr="00A77951" w:rsidRDefault="006E5533" w:rsidP="006E5533">
            <w:pPr>
              <w:spacing w:line="360" w:lineRule="auto"/>
              <w:contextualSpacing/>
              <w:rPr>
                <w:rFonts w:ascii="Arial" w:hAnsi="Arial" w:cs="Arial"/>
                <w:sz w:val="15"/>
                <w:szCs w:val="15"/>
              </w:rPr>
            </w:pPr>
            <w:hyperlink r:id="rId164" w:history="1">
              <w:r w:rsidRPr="00A77951">
                <w:rPr>
                  <w:rStyle w:val="Hyperlink"/>
                  <w:rFonts w:ascii="Arial" w:hAnsi="Arial" w:cs="Arial"/>
                  <w:sz w:val="15"/>
                  <w:szCs w:val="15"/>
                </w:rPr>
                <w:t>10.1016/j.wneu.2018.07.200</w:t>
              </w:r>
            </w:hyperlink>
          </w:p>
        </w:tc>
        <w:tc>
          <w:tcPr>
            <w:tcW w:w="851" w:type="dxa"/>
          </w:tcPr>
          <w:p w14:paraId="64A448D6" w14:textId="270E79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0D8B2EB5" w14:textId="052EAE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F8B9DFC" w14:textId="67F0BA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A38AA49" w14:textId="741F84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AE96EEA" w14:textId="07C8A2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effect of the staphylococcal decolonisation regimen (SDR) and the change in antibiotic prophylaxis on the incidence of postoperative meningitis in patients who had undergone elective craniotomy.</w:t>
            </w:r>
          </w:p>
        </w:tc>
        <w:tc>
          <w:tcPr>
            <w:tcW w:w="1134" w:type="dxa"/>
          </w:tcPr>
          <w:p w14:paraId="3850C9EB" w14:textId="370D28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Control vs use of SDR and change in antibiotic prophylaxis</w:t>
            </w:r>
          </w:p>
        </w:tc>
        <w:tc>
          <w:tcPr>
            <w:tcW w:w="992" w:type="dxa"/>
          </w:tcPr>
          <w:p w14:paraId="0E5F1E15" w14:textId="442A37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211B9B5" w14:textId="5EC6D4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D0E49CB" w14:textId="76FAC322" w:rsidR="006E5533" w:rsidRPr="00251EA9" w:rsidRDefault="006E5533" w:rsidP="006E5533">
            <w:pPr>
              <w:rPr>
                <w:rFonts w:ascii="Arial" w:hAnsi="Arial" w:cs="Arial"/>
                <w:sz w:val="15"/>
                <w:szCs w:val="15"/>
              </w:rPr>
            </w:pPr>
            <w:r w:rsidRPr="00251EA9">
              <w:rPr>
                <w:rFonts w:ascii="Arial" w:hAnsi="Arial" w:cs="Arial"/>
                <w:sz w:val="15"/>
                <w:szCs w:val="15"/>
              </w:rPr>
              <w:t>The rate of superficial scalp wound infections in group with SDR and change in antibiotic prophylaxis (8 of 727) was less than one half of that of the control (14 of 622; 1.1% vs. 2.3%). However, the difference was not statistically significant.</w:t>
            </w:r>
          </w:p>
        </w:tc>
        <w:tc>
          <w:tcPr>
            <w:tcW w:w="1701" w:type="dxa"/>
          </w:tcPr>
          <w:p w14:paraId="1831C019" w14:textId="28E59A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211DC83" w14:textId="77777777" w:rsidTr="00A77951">
        <w:trPr>
          <w:trHeight w:val="586"/>
        </w:trPr>
        <w:tc>
          <w:tcPr>
            <w:tcW w:w="992" w:type="dxa"/>
          </w:tcPr>
          <w:p w14:paraId="5796C15B" w14:textId="4227F8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Gupta S. et al., 2019</w:t>
            </w:r>
          </w:p>
        </w:tc>
        <w:tc>
          <w:tcPr>
            <w:tcW w:w="851" w:type="dxa"/>
          </w:tcPr>
          <w:p w14:paraId="55D95F2C" w14:textId="78864A85" w:rsidR="006E5533" w:rsidRPr="00A77951" w:rsidRDefault="006E5533" w:rsidP="006E5533">
            <w:pPr>
              <w:spacing w:line="360" w:lineRule="auto"/>
              <w:contextualSpacing/>
              <w:rPr>
                <w:rFonts w:ascii="Arial" w:hAnsi="Arial" w:cs="Arial"/>
                <w:sz w:val="15"/>
                <w:szCs w:val="15"/>
              </w:rPr>
            </w:pPr>
            <w:hyperlink r:id="rId165" w:history="1">
              <w:r w:rsidRPr="00A77951">
                <w:rPr>
                  <w:rStyle w:val="Hyperlink"/>
                  <w:rFonts w:ascii="Arial" w:hAnsi="Arial" w:cs="Arial"/>
                  <w:sz w:val="15"/>
                  <w:szCs w:val="15"/>
                </w:rPr>
                <w:t>10.1016/j.wneu.2018.09.081</w:t>
              </w:r>
            </w:hyperlink>
          </w:p>
        </w:tc>
        <w:tc>
          <w:tcPr>
            <w:tcW w:w="851" w:type="dxa"/>
          </w:tcPr>
          <w:p w14:paraId="4D8491CE" w14:textId="41FD87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1DA6C31" w14:textId="5B4D35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3758444" w14:textId="60B985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E601745" w14:textId="433958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769817E" w14:textId="2443EF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impact of patient-level and surgical factors on readmission and reoperation in the resection of benign cranial nerve tumours.</w:t>
            </w:r>
          </w:p>
        </w:tc>
        <w:tc>
          <w:tcPr>
            <w:tcW w:w="1134" w:type="dxa"/>
          </w:tcPr>
          <w:p w14:paraId="659986E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DDA2F3A" w14:textId="087742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652AAF2" w14:textId="6F26F7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C74EED0" w14:textId="2398B54F" w:rsidR="006E5533" w:rsidRPr="00251EA9" w:rsidRDefault="006E5533" w:rsidP="006E5533">
            <w:pPr>
              <w:rPr>
                <w:rFonts w:ascii="Arial" w:hAnsi="Arial" w:cs="Arial"/>
                <w:sz w:val="15"/>
                <w:szCs w:val="15"/>
              </w:rPr>
            </w:pPr>
            <w:r w:rsidRPr="00251EA9">
              <w:rPr>
                <w:rFonts w:ascii="Arial" w:hAnsi="Arial" w:cs="Arial"/>
                <w:sz w:val="15"/>
                <w:szCs w:val="15"/>
              </w:rPr>
              <w:t>Reported a rate of 2.6% of SSI. Surgical site infections and meningitis accounted for 56.0% and 20.0% of infection-associated readmissions, respectively.</w:t>
            </w:r>
          </w:p>
        </w:tc>
        <w:tc>
          <w:tcPr>
            <w:tcW w:w="1701" w:type="dxa"/>
          </w:tcPr>
          <w:p w14:paraId="5CFA86CA" w14:textId="571FBF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DD25F2C" w14:textId="77777777" w:rsidTr="00A77951">
        <w:trPr>
          <w:trHeight w:val="586"/>
        </w:trPr>
        <w:tc>
          <w:tcPr>
            <w:tcW w:w="992" w:type="dxa"/>
          </w:tcPr>
          <w:p w14:paraId="32E1F951" w14:textId="010B0C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Gupta S. et al., 2021</w:t>
            </w:r>
          </w:p>
        </w:tc>
        <w:tc>
          <w:tcPr>
            <w:tcW w:w="851" w:type="dxa"/>
          </w:tcPr>
          <w:p w14:paraId="198600AB" w14:textId="52E5BE16" w:rsidR="006E5533" w:rsidRPr="00A77951" w:rsidRDefault="006E5533" w:rsidP="006E5533">
            <w:pPr>
              <w:spacing w:line="360" w:lineRule="auto"/>
              <w:contextualSpacing/>
              <w:rPr>
                <w:rFonts w:ascii="Arial" w:hAnsi="Arial" w:cs="Arial"/>
                <w:sz w:val="15"/>
                <w:szCs w:val="15"/>
              </w:rPr>
            </w:pPr>
            <w:hyperlink r:id="rId166" w:history="1">
              <w:r w:rsidRPr="00A77951">
                <w:rPr>
                  <w:rStyle w:val="Hyperlink"/>
                  <w:rFonts w:ascii="Arial" w:hAnsi="Arial" w:cs="Arial"/>
                  <w:sz w:val="15"/>
                  <w:szCs w:val="15"/>
                </w:rPr>
                <w:t>10.3389/fonc.2021.662943</w:t>
              </w:r>
            </w:hyperlink>
          </w:p>
        </w:tc>
        <w:tc>
          <w:tcPr>
            <w:tcW w:w="851" w:type="dxa"/>
          </w:tcPr>
          <w:p w14:paraId="2226556B" w14:textId="6397D5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3A7BE2B" w14:textId="30B964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537385C" w14:textId="389E72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279F8DC" w14:textId="47C527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C4D0F26" w14:textId="049438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factors that contribute to adverse events following resection of brain metastases </w:t>
            </w:r>
            <w:proofErr w:type="gramStart"/>
            <w:r w:rsidRPr="00251EA9">
              <w:rPr>
                <w:rFonts w:ascii="Arial" w:hAnsi="Arial" w:cs="Arial"/>
                <w:sz w:val="15"/>
                <w:szCs w:val="15"/>
              </w:rPr>
              <w:t>in order to</w:t>
            </w:r>
            <w:proofErr w:type="gramEnd"/>
            <w:r w:rsidRPr="00251EA9">
              <w:rPr>
                <w:rFonts w:ascii="Arial" w:hAnsi="Arial" w:cs="Arial"/>
                <w:sz w:val="15"/>
                <w:szCs w:val="15"/>
              </w:rPr>
              <w:t xml:space="preserve"> inform selection of patients for surgery.</w:t>
            </w:r>
          </w:p>
        </w:tc>
        <w:tc>
          <w:tcPr>
            <w:tcW w:w="1134" w:type="dxa"/>
          </w:tcPr>
          <w:p w14:paraId="434B0F2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190352A" w14:textId="617617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4544D60" w14:textId="42F043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129096F" w14:textId="59AA324D" w:rsidR="006E5533" w:rsidRPr="00251EA9" w:rsidRDefault="006E5533" w:rsidP="006E5533">
            <w:pPr>
              <w:rPr>
                <w:rFonts w:ascii="Arial" w:hAnsi="Arial" w:cs="Arial"/>
                <w:sz w:val="15"/>
                <w:szCs w:val="15"/>
              </w:rPr>
            </w:pPr>
            <w:r w:rsidRPr="00251EA9">
              <w:rPr>
                <w:rFonts w:ascii="Arial" w:hAnsi="Arial" w:cs="Arial"/>
                <w:sz w:val="15"/>
                <w:szCs w:val="15"/>
              </w:rPr>
              <w:t>SSI occurred in 1.49% of cases. Superficial</w:t>
            </w:r>
            <w:r w:rsidRPr="00251EA9">
              <w:rPr>
                <w:rFonts w:ascii="Arial" w:hAnsi="Arial" w:cs="Arial"/>
                <w:sz w:val="15"/>
                <w:szCs w:val="15"/>
              </w:rPr>
              <w:br/>
              <w:t>site infections and sepsis tended to be more common after discharge than before discharge. Unplanned readmission was observed in 12% of cases</w:t>
            </w:r>
            <w:r w:rsidRPr="00251EA9">
              <w:rPr>
                <w:rFonts w:ascii="Arial" w:hAnsi="Arial" w:cs="Arial"/>
                <w:sz w:val="15"/>
                <w:szCs w:val="15"/>
              </w:rPr>
              <w:br/>
              <w:t>(427 cases); the most frequent reason was surgical site infections</w:t>
            </w:r>
            <w:r w:rsidRPr="00251EA9">
              <w:rPr>
                <w:rFonts w:ascii="Arial" w:hAnsi="Arial" w:cs="Arial"/>
                <w:sz w:val="15"/>
                <w:szCs w:val="15"/>
              </w:rPr>
              <w:br/>
              <w:t xml:space="preserve">(SSI) (39 cases). </w:t>
            </w:r>
          </w:p>
        </w:tc>
        <w:tc>
          <w:tcPr>
            <w:tcW w:w="1701" w:type="dxa"/>
          </w:tcPr>
          <w:p w14:paraId="0E5BAB96" w14:textId="6F2DE0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218199F" w14:textId="77777777" w:rsidTr="00A77951">
        <w:trPr>
          <w:trHeight w:val="586"/>
        </w:trPr>
        <w:tc>
          <w:tcPr>
            <w:tcW w:w="992" w:type="dxa"/>
          </w:tcPr>
          <w:p w14:paraId="47BCF647" w14:textId="64ACE05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Guyolla</w:t>
            </w:r>
            <w:proofErr w:type="spellEnd"/>
            <w:r w:rsidRPr="00251EA9">
              <w:rPr>
                <w:rFonts w:ascii="Arial" w:hAnsi="Arial" w:cs="Arial"/>
                <w:sz w:val="15"/>
                <w:szCs w:val="15"/>
              </w:rPr>
              <w:t xml:space="preserve"> Y.H. et al., 2022</w:t>
            </w:r>
          </w:p>
        </w:tc>
        <w:tc>
          <w:tcPr>
            <w:tcW w:w="851" w:type="dxa"/>
          </w:tcPr>
          <w:p w14:paraId="24637A8B" w14:textId="52BA2FE0" w:rsidR="006E5533" w:rsidRPr="00A77951" w:rsidRDefault="006E5533" w:rsidP="006E5533">
            <w:pPr>
              <w:spacing w:line="360" w:lineRule="auto"/>
              <w:contextualSpacing/>
              <w:rPr>
                <w:rFonts w:ascii="Arial" w:hAnsi="Arial" w:cs="Arial"/>
                <w:sz w:val="15"/>
                <w:szCs w:val="15"/>
              </w:rPr>
            </w:pPr>
            <w:hyperlink r:id="rId167" w:tooltip="Persistent link using digital object identifier" w:history="1">
              <w:r w:rsidRPr="00A77951">
                <w:rPr>
                  <w:rStyle w:val="Hyperlink"/>
                  <w:rFonts w:ascii="Arial" w:hAnsi="Arial" w:cs="Arial"/>
                  <w:sz w:val="15"/>
                  <w:szCs w:val="15"/>
                </w:rPr>
                <w:t>10.1016/j.inat.2022.101704</w:t>
              </w:r>
            </w:hyperlink>
          </w:p>
        </w:tc>
        <w:tc>
          <w:tcPr>
            <w:tcW w:w="851" w:type="dxa"/>
          </w:tcPr>
          <w:p w14:paraId="3740E33D" w14:textId="0ECFC3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Ethiopia</w:t>
            </w:r>
          </w:p>
        </w:tc>
        <w:tc>
          <w:tcPr>
            <w:tcW w:w="1134" w:type="dxa"/>
          </w:tcPr>
          <w:p w14:paraId="4F5A6A6F" w14:textId="0A0AD6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AB204E8" w14:textId="1100AB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A731749" w14:textId="29899C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2C515803" w14:textId="291028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the frequency of postoperative CSF leak and associated factors after elective cranial procedures. </w:t>
            </w:r>
          </w:p>
        </w:tc>
        <w:tc>
          <w:tcPr>
            <w:tcW w:w="1134" w:type="dxa"/>
          </w:tcPr>
          <w:p w14:paraId="47AA34BF" w14:textId="1F6B72FE" w:rsidR="006E5533" w:rsidRPr="00251EA9" w:rsidRDefault="006E5533" w:rsidP="006E5533">
            <w:pPr>
              <w:spacing w:line="360" w:lineRule="auto"/>
              <w:contextualSpacing/>
              <w:rPr>
                <w:rFonts w:ascii="Arial" w:hAnsi="Arial" w:cs="Arial"/>
                <w:sz w:val="15"/>
                <w:szCs w:val="15"/>
              </w:rPr>
            </w:pPr>
          </w:p>
        </w:tc>
        <w:tc>
          <w:tcPr>
            <w:tcW w:w="992" w:type="dxa"/>
          </w:tcPr>
          <w:p w14:paraId="67B64C11" w14:textId="321231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791095B" w14:textId="284725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220D873" w14:textId="42EEB023" w:rsidR="006E5533" w:rsidRPr="00251EA9" w:rsidRDefault="006E5533" w:rsidP="006E5533">
            <w:pPr>
              <w:rPr>
                <w:rFonts w:ascii="Arial" w:hAnsi="Arial" w:cs="Arial"/>
                <w:sz w:val="15"/>
                <w:szCs w:val="15"/>
              </w:rPr>
            </w:pPr>
            <w:r w:rsidRPr="00251EA9">
              <w:rPr>
                <w:rFonts w:ascii="Arial" w:hAnsi="Arial" w:cs="Arial"/>
                <w:sz w:val="15"/>
                <w:szCs w:val="15"/>
              </w:rPr>
              <w:t>Patients with CSF leaks have a higher risk of developing postoperative infection and prolonged</w:t>
            </w:r>
            <w:r w:rsidRPr="00251EA9">
              <w:rPr>
                <w:rFonts w:ascii="Arial" w:hAnsi="Arial" w:cs="Arial"/>
                <w:sz w:val="15"/>
                <w:szCs w:val="15"/>
              </w:rPr>
              <w:br/>
              <w:t>hospital stay. A total of 29 (10 %) patients developed a postoperative infection, of</w:t>
            </w:r>
            <w:r w:rsidRPr="00251EA9">
              <w:rPr>
                <w:rFonts w:ascii="Arial" w:hAnsi="Arial" w:cs="Arial"/>
                <w:sz w:val="15"/>
                <w:szCs w:val="15"/>
              </w:rPr>
              <w:br/>
              <w:t>which 22 (7.6 %) and 7 (2.4 %) were CNS infections and SSIs respectively. Patients with CSF leaks have 25</w:t>
            </w:r>
            <w:r w:rsidRPr="00251EA9">
              <w:rPr>
                <w:rFonts w:ascii="Arial" w:hAnsi="Arial" w:cs="Arial"/>
                <w:sz w:val="15"/>
                <w:szCs w:val="15"/>
              </w:rPr>
              <w:br/>
              <w:t>times more likely to develop postoperative infection and 2.6 times more likely to stay longer in the hospital.</w:t>
            </w:r>
          </w:p>
        </w:tc>
        <w:tc>
          <w:tcPr>
            <w:tcW w:w="1701" w:type="dxa"/>
          </w:tcPr>
          <w:p w14:paraId="711C9F4C" w14:textId="32D9E1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F5CCCB8" w14:textId="77777777" w:rsidTr="00A77951">
        <w:trPr>
          <w:trHeight w:val="586"/>
        </w:trPr>
        <w:tc>
          <w:tcPr>
            <w:tcW w:w="992" w:type="dxa"/>
          </w:tcPr>
          <w:p w14:paraId="28C5CFBE" w14:textId="247522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Hale A.T. et al., 2020</w:t>
            </w:r>
          </w:p>
        </w:tc>
        <w:tc>
          <w:tcPr>
            <w:tcW w:w="851" w:type="dxa"/>
          </w:tcPr>
          <w:p w14:paraId="7D7F4A1F" w14:textId="4BCB9511" w:rsidR="006E5533" w:rsidRPr="00A77951" w:rsidRDefault="006E5533" w:rsidP="006E5533">
            <w:pPr>
              <w:spacing w:line="360" w:lineRule="auto"/>
              <w:contextualSpacing/>
              <w:rPr>
                <w:rFonts w:ascii="Arial" w:hAnsi="Arial" w:cs="Arial"/>
                <w:sz w:val="15"/>
                <w:szCs w:val="15"/>
              </w:rPr>
            </w:pPr>
            <w:hyperlink r:id="rId168" w:history="1">
              <w:r w:rsidRPr="00A77951">
                <w:rPr>
                  <w:rStyle w:val="Hyperlink"/>
                  <w:rFonts w:ascii="Arial" w:hAnsi="Arial" w:cs="Arial"/>
                  <w:sz w:val="15"/>
                  <w:szCs w:val="15"/>
                </w:rPr>
                <w:t>10.3171/2019.</w:t>
              </w:r>
              <w:proofErr w:type="gramStart"/>
              <w:r w:rsidRPr="00A77951">
                <w:rPr>
                  <w:rStyle w:val="Hyperlink"/>
                  <w:rFonts w:ascii="Arial" w:hAnsi="Arial" w:cs="Arial"/>
                  <w:sz w:val="15"/>
                  <w:szCs w:val="15"/>
                </w:rPr>
                <w:t>9.PEDS</w:t>
              </w:r>
              <w:proofErr w:type="gramEnd"/>
              <w:r w:rsidRPr="00A77951">
                <w:rPr>
                  <w:rStyle w:val="Hyperlink"/>
                  <w:rFonts w:ascii="Arial" w:hAnsi="Arial" w:cs="Arial"/>
                  <w:sz w:val="15"/>
                  <w:szCs w:val="15"/>
                </w:rPr>
                <w:t>1939</w:t>
              </w:r>
            </w:hyperlink>
          </w:p>
        </w:tc>
        <w:tc>
          <w:tcPr>
            <w:tcW w:w="851" w:type="dxa"/>
          </w:tcPr>
          <w:p w14:paraId="47BF687E" w14:textId="681944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51873A8" w14:textId="4BB99D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619AB40" w14:textId="3F2528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01CBB170" w14:textId="5BAEDA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E62BA79" w14:textId="160F6F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systematically evaluate the influence of various clinical, radiological, and surgical factors contributing to CSF leak, </w:t>
            </w:r>
            <w:proofErr w:type="spellStart"/>
            <w:r w:rsidRPr="00251EA9">
              <w:rPr>
                <w:rFonts w:ascii="Arial" w:hAnsi="Arial" w:cs="Arial"/>
                <w:sz w:val="15"/>
                <w:szCs w:val="15"/>
              </w:rPr>
              <w:t>pseudomeningocele</w:t>
            </w:r>
            <w:proofErr w:type="spellEnd"/>
            <w:r w:rsidRPr="00251EA9">
              <w:rPr>
                <w:rFonts w:ascii="Arial" w:hAnsi="Arial" w:cs="Arial"/>
                <w:sz w:val="15"/>
                <w:szCs w:val="15"/>
              </w:rPr>
              <w:t>, wound infection, persistent hydrocephalus, and 90-day readmission rates.</w:t>
            </w:r>
          </w:p>
        </w:tc>
        <w:tc>
          <w:tcPr>
            <w:tcW w:w="1134" w:type="dxa"/>
          </w:tcPr>
          <w:p w14:paraId="2C98BB48"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A55855B" w14:textId="3C9381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DE9E9D9" w14:textId="648C5F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Requiring debridement within 180 days following surgery</w:t>
            </w:r>
          </w:p>
        </w:tc>
        <w:tc>
          <w:tcPr>
            <w:tcW w:w="2693" w:type="dxa"/>
          </w:tcPr>
          <w:p w14:paraId="51BCF1FD" w14:textId="1C55E69C" w:rsidR="006E5533" w:rsidRPr="00251EA9" w:rsidRDefault="006E5533" w:rsidP="006E5533">
            <w:pPr>
              <w:rPr>
                <w:rFonts w:ascii="Arial" w:hAnsi="Arial" w:cs="Arial"/>
                <w:sz w:val="15"/>
                <w:szCs w:val="15"/>
              </w:rPr>
            </w:pPr>
            <w:r w:rsidRPr="00251EA9">
              <w:rPr>
                <w:rFonts w:ascii="Arial" w:hAnsi="Arial" w:cs="Arial"/>
                <w:sz w:val="15"/>
                <w:szCs w:val="15"/>
              </w:rPr>
              <w:t>Reported a protective effect of graft dural closure versus primary dural closure (7% vs 35%) on wound infection rates, however, patients with hydrocephalus ultimately requiring permanent CSF diversion (57% vs 26%) were more likely to be diagnosed with wound infection requiring surgical debridement.</w:t>
            </w:r>
          </w:p>
        </w:tc>
        <w:tc>
          <w:tcPr>
            <w:tcW w:w="1701" w:type="dxa"/>
          </w:tcPr>
          <w:p w14:paraId="589C4DAD" w14:textId="1A5370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F11C504" w14:textId="77777777" w:rsidTr="00A77951">
        <w:trPr>
          <w:trHeight w:val="586"/>
        </w:trPr>
        <w:tc>
          <w:tcPr>
            <w:tcW w:w="992" w:type="dxa"/>
          </w:tcPr>
          <w:p w14:paraId="7986C7AD" w14:textId="1A0DEA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Halpern C.H. et al., 2012</w:t>
            </w:r>
          </w:p>
        </w:tc>
        <w:tc>
          <w:tcPr>
            <w:tcW w:w="851" w:type="dxa"/>
          </w:tcPr>
          <w:p w14:paraId="45540C1A" w14:textId="5C228E35" w:rsidR="006E5533" w:rsidRPr="00A77951" w:rsidRDefault="006E5533" w:rsidP="006E5533">
            <w:pPr>
              <w:spacing w:line="360" w:lineRule="auto"/>
              <w:contextualSpacing/>
              <w:rPr>
                <w:rFonts w:ascii="Arial" w:hAnsi="Arial" w:cs="Arial"/>
                <w:sz w:val="15"/>
                <w:szCs w:val="15"/>
              </w:rPr>
            </w:pPr>
            <w:hyperlink r:id="rId169" w:history="1">
              <w:r w:rsidRPr="00A77951">
                <w:rPr>
                  <w:rStyle w:val="Hyperlink"/>
                  <w:rFonts w:ascii="Arial" w:hAnsi="Arial" w:cs="Arial"/>
                  <w:sz w:val="15"/>
                  <w:szCs w:val="15"/>
                </w:rPr>
                <w:t>10.1016/j.ajic.2011.06.005</w:t>
              </w:r>
            </w:hyperlink>
          </w:p>
        </w:tc>
        <w:tc>
          <w:tcPr>
            <w:tcW w:w="851" w:type="dxa"/>
          </w:tcPr>
          <w:p w14:paraId="42A73AE6" w14:textId="64F1BD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48B578F" w14:textId="5D7573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0AABFCD" w14:textId="40A19F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18CCD74" w14:textId="09E95F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11B2948A" w14:textId="655602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impact of the use of a 70% ethyl alcohol antiseptic wash on post-operative infection rates in a series of consecutive patients treated with DBS for movement disorders.</w:t>
            </w:r>
          </w:p>
        </w:tc>
        <w:tc>
          <w:tcPr>
            <w:tcW w:w="1134" w:type="dxa"/>
          </w:tcPr>
          <w:p w14:paraId="0AF92ADC"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3EDE5CC" w14:textId="134A95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89570DB" w14:textId="3FCC2F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Swelling, redness, pain, warmth, drainage, or</w:t>
            </w:r>
            <w:r w:rsidRPr="00251EA9">
              <w:rPr>
                <w:rFonts w:ascii="Arial" w:hAnsi="Arial" w:cs="Arial"/>
                <w:sz w:val="15"/>
                <w:szCs w:val="15"/>
              </w:rPr>
              <w:br/>
              <w:t>fluid collection involving the DBS system or the skin incision.</w:t>
            </w:r>
          </w:p>
        </w:tc>
        <w:tc>
          <w:tcPr>
            <w:tcW w:w="2693" w:type="dxa"/>
          </w:tcPr>
          <w:p w14:paraId="08174410" w14:textId="7A09BA3A" w:rsidR="006E5533" w:rsidRPr="00251EA9" w:rsidRDefault="006E5533" w:rsidP="006E5533">
            <w:pPr>
              <w:rPr>
                <w:rFonts w:ascii="Arial" w:hAnsi="Arial" w:cs="Arial"/>
                <w:sz w:val="15"/>
                <w:szCs w:val="15"/>
              </w:rPr>
            </w:pPr>
            <w:r w:rsidRPr="00251EA9">
              <w:rPr>
                <w:rFonts w:ascii="Arial" w:hAnsi="Arial" w:cs="Arial"/>
                <w:sz w:val="15"/>
                <w:szCs w:val="15"/>
              </w:rPr>
              <w:t>Reported 11 cases of infection (6.47%), all in the group without the preoperative antiseptic wash. The infection rate was 9.02% in the group without the preoperative wash and 0 in the group with the</w:t>
            </w:r>
            <w:r w:rsidRPr="00251EA9">
              <w:rPr>
                <w:rFonts w:ascii="Arial" w:hAnsi="Arial" w:cs="Arial"/>
                <w:sz w:val="15"/>
                <w:szCs w:val="15"/>
              </w:rPr>
              <w:br/>
              <w:t>preoperative wash.</w:t>
            </w:r>
          </w:p>
        </w:tc>
        <w:tc>
          <w:tcPr>
            <w:tcW w:w="1701" w:type="dxa"/>
          </w:tcPr>
          <w:p w14:paraId="7F9AC202" w14:textId="70AC60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C836AAB" w14:textId="77777777" w:rsidTr="00A77951">
        <w:trPr>
          <w:trHeight w:val="586"/>
        </w:trPr>
        <w:tc>
          <w:tcPr>
            <w:tcW w:w="992" w:type="dxa"/>
          </w:tcPr>
          <w:p w14:paraId="2EC4DB40" w14:textId="3C06164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Hamdeh</w:t>
            </w:r>
            <w:proofErr w:type="spellEnd"/>
            <w:r w:rsidRPr="00251EA9">
              <w:rPr>
                <w:rFonts w:ascii="Arial" w:hAnsi="Arial" w:cs="Arial"/>
                <w:sz w:val="15"/>
                <w:szCs w:val="15"/>
              </w:rPr>
              <w:t xml:space="preserve"> S.A. et al., 2014</w:t>
            </w:r>
          </w:p>
        </w:tc>
        <w:tc>
          <w:tcPr>
            <w:tcW w:w="851" w:type="dxa"/>
          </w:tcPr>
          <w:p w14:paraId="5B9FF9DB" w14:textId="34B669B6" w:rsidR="006E5533" w:rsidRPr="00A77951" w:rsidRDefault="006E5533" w:rsidP="006E5533">
            <w:pPr>
              <w:spacing w:line="360" w:lineRule="auto"/>
              <w:contextualSpacing/>
              <w:rPr>
                <w:rFonts w:ascii="Arial" w:hAnsi="Arial" w:cs="Arial"/>
                <w:sz w:val="15"/>
                <w:szCs w:val="15"/>
              </w:rPr>
            </w:pPr>
            <w:hyperlink r:id="rId170" w:history="1">
              <w:r w:rsidRPr="00A77951">
                <w:rPr>
                  <w:rStyle w:val="Hyperlink"/>
                  <w:rFonts w:ascii="Arial" w:hAnsi="Arial" w:cs="Arial"/>
                  <w:sz w:val="15"/>
                  <w:szCs w:val="15"/>
                </w:rPr>
                <w:t>10.3109/0268869</w:t>
              </w:r>
              <w:r w:rsidRPr="00A77951">
                <w:rPr>
                  <w:rStyle w:val="Hyperlink"/>
                  <w:rFonts w:ascii="Arial" w:hAnsi="Arial" w:cs="Arial"/>
                  <w:sz w:val="15"/>
                  <w:szCs w:val="15"/>
                </w:rPr>
                <w:lastRenderedPageBreak/>
                <w:t>7.2013.835376</w:t>
              </w:r>
            </w:hyperlink>
          </w:p>
        </w:tc>
        <w:tc>
          <w:tcPr>
            <w:tcW w:w="851" w:type="dxa"/>
          </w:tcPr>
          <w:p w14:paraId="511BEC88" w14:textId="795CCE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Sweden</w:t>
            </w:r>
          </w:p>
        </w:tc>
        <w:tc>
          <w:tcPr>
            <w:tcW w:w="1134" w:type="dxa"/>
          </w:tcPr>
          <w:p w14:paraId="374E05C8" w14:textId="7DAF76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4740A478" w14:textId="64B11E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5F26F21" w14:textId="244598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341D0941"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measure the incidence of SSI at 3- and 12-months following </w:t>
            </w:r>
            <w:r w:rsidRPr="00251EA9">
              <w:rPr>
                <w:rFonts w:ascii="Arial" w:hAnsi="Arial" w:cs="Arial"/>
                <w:sz w:val="15"/>
                <w:szCs w:val="15"/>
              </w:rPr>
              <w:lastRenderedPageBreak/>
              <w:t xml:space="preserve">discharge after defined standard neurosurgical procedures. </w:t>
            </w:r>
          </w:p>
          <w:p w14:paraId="109E0F2C" w14:textId="58F8E0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characterise the primary risk factors for patients in our</w:t>
            </w:r>
            <w:r w:rsidRPr="00251EA9">
              <w:rPr>
                <w:rFonts w:ascii="Arial" w:hAnsi="Arial" w:cs="Arial"/>
                <w:sz w:val="15"/>
                <w:szCs w:val="15"/>
              </w:rPr>
              <w:br/>
              <w:t xml:space="preserve">clinic developing SSI. </w:t>
            </w:r>
          </w:p>
        </w:tc>
        <w:tc>
          <w:tcPr>
            <w:tcW w:w="1134" w:type="dxa"/>
          </w:tcPr>
          <w:p w14:paraId="1AB8B7B8" w14:textId="365B1C3A" w:rsidR="006E5533" w:rsidRPr="00251EA9" w:rsidRDefault="006E5533" w:rsidP="006E5533">
            <w:pPr>
              <w:spacing w:line="360" w:lineRule="auto"/>
              <w:contextualSpacing/>
              <w:rPr>
                <w:rFonts w:ascii="Arial" w:hAnsi="Arial" w:cs="Arial"/>
                <w:sz w:val="15"/>
                <w:szCs w:val="15"/>
              </w:rPr>
            </w:pPr>
          </w:p>
        </w:tc>
        <w:tc>
          <w:tcPr>
            <w:tcW w:w="992" w:type="dxa"/>
          </w:tcPr>
          <w:p w14:paraId="3B6CD22E" w14:textId="10D4CA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8C7FB5D" w14:textId="1D52C5BA"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0B02F1A9" w14:textId="07B9D79C" w:rsidR="006E5533" w:rsidRPr="00251EA9" w:rsidRDefault="006E5533" w:rsidP="006E5533">
            <w:pPr>
              <w:rPr>
                <w:rFonts w:ascii="Arial" w:hAnsi="Arial" w:cs="Arial"/>
                <w:sz w:val="15"/>
                <w:szCs w:val="15"/>
              </w:rPr>
            </w:pPr>
            <w:r w:rsidRPr="00251EA9">
              <w:rPr>
                <w:rFonts w:ascii="Arial" w:hAnsi="Arial" w:cs="Arial"/>
                <w:sz w:val="15"/>
                <w:szCs w:val="15"/>
              </w:rPr>
              <w:t>Reported 20 out of 466 cases (4.3% of procedures) developed infections within 3 months and another 3 (4.9% of procedures) within 12 months. Risk factors for SSI</w:t>
            </w:r>
            <w:r w:rsidRPr="00251EA9">
              <w:rPr>
                <w:rFonts w:ascii="Arial" w:hAnsi="Arial" w:cs="Arial"/>
                <w:sz w:val="15"/>
                <w:szCs w:val="15"/>
              </w:rPr>
              <w:br/>
            </w:r>
            <w:r w:rsidRPr="00251EA9">
              <w:rPr>
                <w:rFonts w:ascii="Arial" w:hAnsi="Arial" w:cs="Arial"/>
                <w:sz w:val="15"/>
                <w:szCs w:val="15"/>
              </w:rPr>
              <w:lastRenderedPageBreak/>
              <w:t xml:space="preserve">were meningioma, longer operation time, craniotomy, dural substitute, and staples in wound closure. </w:t>
            </w:r>
          </w:p>
        </w:tc>
        <w:tc>
          <w:tcPr>
            <w:tcW w:w="1701" w:type="dxa"/>
          </w:tcPr>
          <w:p w14:paraId="0AFD8FD4" w14:textId="7FC4D6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26067F15" w14:textId="77777777" w:rsidTr="00A77951">
        <w:trPr>
          <w:trHeight w:val="586"/>
        </w:trPr>
        <w:tc>
          <w:tcPr>
            <w:tcW w:w="992" w:type="dxa"/>
          </w:tcPr>
          <w:p w14:paraId="5B1D529A" w14:textId="6B17DF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Hammond C.J. et al., 2002</w:t>
            </w:r>
          </w:p>
        </w:tc>
        <w:tc>
          <w:tcPr>
            <w:tcW w:w="851" w:type="dxa"/>
          </w:tcPr>
          <w:p w14:paraId="1595CE72" w14:textId="5502388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PMID: 12617235</w:t>
            </w:r>
          </w:p>
        </w:tc>
        <w:tc>
          <w:tcPr>
            <w:tcW w:w="851" w:type="dxa"/>
          </w:tcPr>
          <w:p w14:paraId="0EF6B278" w14:textId="5E9237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292954E0" w14:textId="24B267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1A9E074" w14:textId="37E743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D149C21" w14:textId="3882F1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7AB67D98" w14:textId="715E29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prevalence of MRSA in patients admitted to inpatient wards. </w:t>
            </w:r>
            <w:r w:rsidRPr="00251EA9">
              <w:rPr>
                <w:rFonts w:ascii="Arial" w:hAnsi="Arial" w:cs="Arial"/>
                <w:sz w:val="15"/>
                <w:szCs w:val="15"/>
              </w:rPr>
              <w:br/>
              <w:t>To assess at what prevalence of MRSA is it appropriate to change the prophylactic regimen to include</w:t>
            </w:r>
            <w:r w:rsidRPr="00251EA9">
              <w:rPr>
                <w:rFonts w:ascii="Arial" w:hAnsi="Arial" w:cs="Arial"/>
                <w:sz w:val="15"/>
                <w:szCs w:val="15"/>
              </w:rPr>
              <w:br/>
              <w:t>MRSA cover and what antibiotic should be used.</w:t>
            </w:r>
          </w:p>
        </w:tc>
        <w:tc>
          <w:tcPr>
            <w:tcW w:w="1134" w:type="dxa"/>
          </w:tcPr>
          <w:p w14:paraId="45FD27BB" w14:textId="445FC2AD" w:rsidR="006E5533" w:rsidRPr="00251EA9" w:rsidRDefault="006E5533" w:rsidP="006E5533">
            <w:pPr>
              <w:spacing w:line="360" w:lineRule="auto"/>
              <w:contextualSpacing/>
              <w:rPr>
                <w:rFonts w:ascii="Arial" w:hAnsi="Arial" w:cs="Arial"/>
                <w:sz w:val="15"/>
                <w:szCs w:val="15"/>
              </w:rPr>
            </w:pPr>
          </w:p>
        </w:tc>
        <w:tc>
          <w:tcPr>
            <w:tcW w:w="992" w:type="dxa"/>
          </w:tcPr>
          <w:p w14:paraId="1BE9FFFC" w14:textId="5818FC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B0E3239" w14:textId="3069AE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AA9A014" w14:textId="393723CD" w:rsidR="006E5533" w:rsidRPr="00251EA9" w:rsidRDefault="006E5533" w:rsidP="006E5533">
            <w:pPr>
              <w:rPr>
                <w:rFonts w:ascii="Arial" w:hAnsi="Arial" w:cs="Arial"/>
                <w:sz w:val="15"/>
                <w:szCs w:val="15"/>
              </w:rPr>
            </w:pPr>
            <w:r w:rsidRPr="00251EA9">
              <w:rPr>
                <w:rFonts w:ascii="Arial" w:hAnsi="Arial" w:cs="Arial"/>
                <w:sz w:val="15"/>
                <w:szCs w:val="15"/>
              </w:rPr>
              <w:t>Of 107 ‘inpatient’ patients who were screened 16 were MRSA carriers. The MRSA prevalence in patients referred from other hospitals was 15%.</w:t>
            </w:r>
          </w:p>
        </w:tc>
        <w:tc>
          <w:tcPr>
            <w:tcW w:w="1701" w:type="dxa"/>
          </w:tcPr>
          <w:p w14:paraId="086F0459" w14:textId="30330E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66EA420" w14:textId="77777777" w:rsidTr="00A77951">
        <w:trPr>
          <w:trHeight w:val="586"/>
        </w:trPr>
        <w:tc>
          <w:tcPr>
            <w:tcW w:w="992" w:type="dxa"/>
          </w:tcPr>
          <w:p w14:paraId="7E331F2E" w14:textId="76C208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Han R.H. et al., 2016</w:t>
            </w:r>
          </w:p>
        </w:tc>
        <w:tc>
          <w:tcPr>
            <w:tcW w:w="851" w:type="dxa"/>
          </w:tcPr>
          <w:p w14:paraId="1D2650DC" w14:textId="513F1225" w:rsidR="006E5533" w:rsidRPr="00A77951" w:rsidRDefault="006E5533" w:rsidP="006E5533">
            <w:pPr>
              <w:spacing w:line="360" w:lineRule="auto"/>
              <w:contextualSpacing/>
              <w:rPr>
                <w:rFonts w:ascii="Arial" w:hAnsi="Arial" w:cs="Arial"/>
                <w:sz w:val="15"/>
                <w:szCs w:val="15"/>
              </w:rPr>
            </w:pPr>
            <w:hyperlink r:id="rId171" w:history="1">
              <w:r w:rsidRPr="00A77951">
                <w:rPr>
                  <w:rStyle w:val="Hyperlink"/>
                  <w:rFonts w:ascii="Arial" w:hAnsi="Arial" w:cs="Arial"/>
                  <w:sz w:val="15"/>
                  <w:szCs w:val="15"/>
                </w:rPr>
                <w:t>10.3171/2015.</w:t>
              </w:r>
              <w:proofErr w:type="gramStart"/>
              <w:r w:rsidRPr="00A77951">
                <w:rPr>
                  <w:rStyle w:val="Hyperlink"/>
                  <w:rFonts w:ascii="Arial" w:hAnsi="Arial" w:cs="Arial"/>
                  <w:sz w:val="15"/>
                  <w:szCs w:val="15"/>
                </w:rPr>
                <w:t>7.PEDS</w:t>
              </w:r>
              <w:proofErr w:type="gramEnd"/>
              <w:r w:rsidRPr="00A77951">
                <w:rPr>
                  <w:rStyle w:val="Hyperlink"/>
                  <w:rFonts w:ascii="Arial" w:hAnsi="Arial" w:cs="Arial"/>
                  <w:sz w:val="15"/>
                  <w:szCs w:val="15"/>
                </w:rPr>
                <w:t>15187</w:t>
              </w:r>
            </w:hyperlink>
          </w:p>
        </w:tc>
        <w:tc>
          <w:tcPr>
            <w:tcW w:w="851" w:type="dxa"/>
          </w:tcPr>
          <w:p w14:paraId="0A401376" w14:textId="0FE352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7375122" w14:textId="391E8E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0307932" w14:textId="7B713FB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EA61F98" w14:textId="1E9A2CC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2616FF69" w14:textId="013A9D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examine complications in patients undergoing surgery for craniosynostosis using both minimally invasive endoscopic and open approaches.</w:t>
            </w:r>
          </w:p>
        </w:tc>
        <w:tc>
          <w:tcPr>
            <w:tcW w:w="1134" w:type="dxa"/>
          </w:tcPr>
          <w:p w14:paraId="5B51244D" w14:textId="40AAD6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Minimally invasive vs </w:t>
            </w:r>
            <w:proofErr w:type="gramStart"/>
            <w:r w:rsidRPr="00251EA9">
              <w:rPr>
                <w:rFonts w:ascii="Arial" w:hAnsi="Arial" w:cs="Arial"/>
                <w:sz w:val="15"/>
                <w:szCs w:val="15"/>
              </w:rPr>
              <w:t>open</w:t>
            </w:r>
            <w:proofErr w:type="gramEnd"/>
            <w:r w:rsidRPr="00251EA9">
              <w:rPr>
                <w:rFonts w:ascii="Arial" w:hAnsi="Arial" w:cs="Arial"/>
                <w:sz w:val="15"/>
                <w:szCs w:val="15"/>
              </w:rPr>
              <w:t xml:space="preserve"> surgical procedures</w:t>
            </w:r>
          </w:p>
        </w:tc>
        <w:tc>
          <w:tcPr>
            <w:tcW w:w="992" w:type="dxa"/>
          </w:tcPr>
          <w:p w14:paraId="52EA90E9" w14:textId="4AAF61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BC62CEA" w14:textId="26FC3B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CB5C08F" w14:textId="402F5CC7" w:rsidR="006E5533" w:rsidRPr="00251EA9" w:rsidRDefault="006E5533" w:rsidP="006E5533">
            <w:pPr>
              <w:rPr>
                <w:rFonts w:ascii="Arial" w:hAnsi="Arial" w:cs="Arial"/>
                <w:sz w:val="15"/>
                <w:szCs w:val="15"/>
              </w:rPr>
            </w:pPr>
            <w:r w:rsidRPr="00251EA9">
              <w:rPr>
                <w:rFonts w:ascii="Arial" w:hAnsi="Arial" w:cs="Arial"/>
                <w:sz w:val="15"/>
                <w:szCs w:val="15"/>
              </w:rPr>
              <w:t>Reported 2 reoperations due to wound infections.</w:t>
            </w:r>
          </w:p>
        </w:tc>
        <w:tc>
          <w:tcPr>
            <w:tcW w:w="1701" w:type="dxa"/>
          </w:tcPr>
          <w:p w14:paraId="73A90696" w14:textId="505AD4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F3711B0" w14:textId="77777777" w:rsidTr="00A77951">
        <w:trPr>
          <w:trHeight w:val="586"/>
        </w:trPr>
        <w:tc>
          <w:tcPr>
            <w:tcW w:w="992" w:type="dxa"/>
          </w:tcPr>
          <w:p w14:paraId="6248028C" w14:textId="6F0E7D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Hardaway F.A. et al., 2017</w:t>
            </w:r>
          </w:p>
        </w:tc>
        <w:tc>
          <w:tcPr>
            <w:tcW w:w="851" w:type="dxa"/>
          </w:tcPr>
          <w:p w14:paraId="1DB8AF8C" w14:textId="7BA7E862" w:rsidR="006E5533" w:rsidRPr="00A77951" w:rsidRDefault="006E5533" w:rsidP="006E5533">
            <w:pPr>
              <w:spacing w:line="360" w:lineRule="auto"/>
              <w:contextualSpacing/>
              <w:rPr>
                <w:rFonts w:ascii="Arial" w:hAnsi="Arial" w:cs="Arial"/>
                <w:sz w:val="15"/>
                <w:szCs w:val="15"/>
              </w:rPr>
            </w:pPr>
            <w:hyperlink r:id="rId172" w:history="1">
              <w:r w:rsidRPr="00A77951">
                <w:rPr>
                  <w:rStyle w:val="Hyperlink"/>
                  <w:rFonts w:ascii="Arial" w:hAnsi="Arial" w:cs="Arial"/>
                  <w:sz w:val="15"/>
                  <w:szCs w:val="15"/>
                </w:rPr>
                <w:t>10.1093/neuros/nyx505</w:t>
              </w:r>
            </w:hyperlink>
          </w:p>
        </w:tc>
        <w:tc>
          <w:tcPr>
            <w:tcW w:w="851" w:type="dxa"/>
          </w:tcPr>
          <w:p w14:paraId="7F96B1FC" w14:textId="719938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3371DC9" w14:textId="5F80ED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47E90FF" w14:textId="687CF6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68D4C79" w14:textId="11167D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2C16ACF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study short and long-term DBS-related infection rates. </w:t>
            </w:r>
          </w:p>
          <w:p w14:paraId="75BB7C85" w14:textId="7CF70F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any potential seasonality associated with DBS-related infections.</w:t>
            </w:r>
          </w:p>
        </w:tc>
        <w:tc>
          <w:tcPr>
            <w:tcW w:w="1134" w:type="dxa"/>
          </w:tcPr>
          <w:p w14:paraId="34A4EDD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645C7FF" w14:textId="2C0A51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E164885" w14:textId="0E4147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Guideline for Prevention of Surgical Site Infection</w:t>
            </w:r>
          </w:p>
        </w:tc>
        <w:tc>
          <w:tcPr>
            <w:tcW w:w="2693" w:type="dxa"/>
          </w:tcPr>
          <w:p w14:paraId="27E8E9B7" w14:textId="633F8CA5" w:rsidR="006E5533" w:rsidRPr="00251EA9" w:rsidRDefault="006E5533" w:rsidP="006E5533">
            <w:pPr>
              <w:rPr>
                <w:rFonts w:ascii="Arial" w:hAnsi="Arial" w:cs="Arial"/>
                <w:sz w:val="15"/>
                <w:szCs w:val="15"/>
              </w:rPr>
            </w:pPr>
            <w:r w:rsidRPr="00251EA9">
              <w:rPr>
                <w:rFonts w:ascii="Arial" w:hAnsi="Arial" w:cs="Arial"/>
                <w:sz w:val="15"/>
                <w:szCs w:val="15"/>
              </w:rPr>
              <w:t xml:space="preserve">Reported 13 patients developed infections within 6 months of surgery. The median time to postoperative infection was 33 days. Ten of 13 patients had infections that were localised to the generator site, and 1 patient had an intracranial lead infection. </w:t>
            </w:r>
            <w:r w:rsidRPr="00251EA9">
              <w:rPr>
                <w:rFonts w:ascii="Arial" w:hAnsi="Arial" w:cs="Arial"/>
                <w:sz w:val="15"/>
                <w:szCs w:val="15"/>
              </w:rPr>
              <w:br/>
              <w:t xml:space="preserve">Across the 5-year period, the infection rate for the summer months (July-September) was highest with a </w:t>
            </w:r>
            <w:r w:rsidRPr="00251EA9">
              <w:rPr>
                <w:rFonts w:ascii="Arial" w:hAnsi="Arial" w:cs="Arial"/>
                <w:sz w:val="15"/>
                <w:szCs w:val="15"/>
              </w:rPr>
              <w:lastRenderedPageBreak/>
              <w:t xml:space="preserve">rate of 4.05% (6 of 148 surgeries total). </w:t>
            </w:r>
          </w:p>
        </w:tc>
        <w:tc>
          <w:tcPr>
            <w:tcW w:w="1701" w:type="dxa"/>
          </w:tcPr>
          <w:p w14:paraId="2D5ACB54" w14:textId="581A8F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Yes</w:t>
            </w:r>
          </w:p>
        </w:tc>
      </w:tr>
      <w:tr w:rsidR="006E5533" w:rsidRPr="00251EA9" w14:paraId="0D2C3CC1" w14:textId="77777777" w:rsidTr="00A77951">
        <w:trPr>
          <w:trHeight w:val="586"/>
        </w:trPr>
        <w:tc>
          <w:tcPr>
            <w:tcW w:w="992" w:type="dxa"/>
          </w:tcPr>
          <w:p w14:paraId="34AC9BA6" w14:textId="00E37D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Hardesty D.A. et al., 2021</w:t>
            </w:r>
          </w:p>
        </w:tc>
        <w:tc>
          <w:tcPr>
            <w:tcW w:w="851" w:type="dxa"/>
          </w:tcPr>
          <w:p w14:paraId="3B187B78" w14:textId="738AFAB9" w:rsidR="006E5533" w:rsidRPr="00A77951" w:rsidRDefault="006E5533" w:rsidP="006E5533">
            <w:pPr>
              <w:spacing w:line="360" w:lineRule="auto"/>
              <w:contextualSpacing/>
              <w:rPr>
                <w:rFonts w:ascii="Arial" w:hAnsi="Arial" w:cs="Arial"/>
                <w:sz w:val="15"/>
                <w:szCs w:val="15"/>
              </w:rPr>
            </w:pPr>
            <w:hyperlink r:id="rId173" w:history="1">
              <w:r w:rsidRPr="00A77951">
                <w:rPr>
                  <w:rStyle w:val="Hyperlink"/>
                  <w:rFonts w:ascii="Arial" w:hAnsi="Arial" w:cs="Arial"/>
                  <w:sz w:val="15"/>
                  <w:szCs w:val="15"/>
                </w:rPr>
                <w:t>10.3171/2020.</w:t>
              </w:r>
              <w:proofErr w:type="gramStart"/>
              <w:r w:rsidRPr="00A77951">
                <w:rPr>
                  <w:rStyle w:val="Hyperlink"/>
                  <w:rFonts w:ascii="Arial" w:hAnsi="Arial" w:cs="Arial"/>
                  <w:sz w:val="15"/>
                  <w:szCs w:val="15"/>
                </w:rPr>
                <w:t>8.JNS</w:t>
              </w:r>
              <w:proofErr w:type="gramEnd"/>
              <w:r w:rsidRPr="00A77951">
                <w:rPr>
                  <w:rStyle w:val="Hyperlink"/>
                  <w:rFonts w:ascii="Arial" w:hAnsi="Arial" w:cs="Arial"/>
                  <w:sz w:val="15"/>
                  <w:szCs w:val="15"/>
                </w:rPr>
                <w:t>202404</w:t>
              </w:r>
            </w:hyperlink>
          </w:p>
        </w:tc>
        <w:tc>
          <w:tcPr>
            <w:tcW w:w="851" w:type="dxa"/>
          </w:tcPr>
          <w:p w14:paraId="5CDC05FF" w14:textId="639C80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FDEE78B" w14:textId="6BB58B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565AC85" w14:textId="785404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89828E2" w14:textId="2CC356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10653348" w14:textId="1F7378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why neurosurgical </w:t>
            </w:r>
            <w:proofErr w:type="gramStart"/>
            <w:r w:rsidRPr="00251EA9">
              <w:rPr>
                <w:rFonts w:ascii="Arial" w:hAnsi="Arial" w:cs="Arial"/>
                <w:sz w:val="15"/>
                <w:szCs w:val="15"/>
              </w:rPr>
              <w:t>patients</w:t>
            </w:r>
            <w:proofErr w:type="gramEnd"/>
            <w:r w:rsidRPr="00251EA9">
              <w:rPr>
                <w:rFonts w:ascii="Arial" w:hAnsi="Arial" w:cs="Arial"/>
                <w:sz w:val="15"/>
                <w:szCs w:val="15"/>
              </w:rPr>
              <w:t xml:space="preserve"> utilise hospital emergency rooms (ERs) with or without subsequent admission in the postoperative setting. </w:t>
            </w:r>
          </w:p>
        </w:tc>
        <w:tc>
          <w:tcPr>
            <w:tcW w:w="1134" w:type="dxa"/>
          </w:tcPr>
          <w:p w14:paraId="156D081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2DBC694" w14:textId="6F7E79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45DD10B" w14:textId="13437A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E294C17" w14:textId="35A612A2" w:rsidR="006E5533" w:rsidRPr="00251EA9" w:rsidRDefault="006E5533" w:rsidP="006E5533">
            <w:pPr>
              <w:rPr>
                <w:rFonts w:ascii="Arial" w:hAnsi="Arial" w:cs="Arial"/>
                <w:sz w:val="15"/>
                <w:szCs w:val="15"/>
              </w:rPr>
            </w:pPr>
            <w:r w:rsidRPr="00251EA9">
              <w:rPr>
                <w:rFonts w:ascii="Arial" w:hAnsi="Arial" w:cs="Arial"/>
                <w:sz w:val="15"/>
                <w:szCs w:val="15"/>
              </w:rPr>
              <w:t>The main contributors to increased rates of readmission to the hospital</w:t>
            </w:r>
            <w:r w:rsidRPr="00251EA9">
              <w:rPr>
                <w:rFonts w:ascii="Arial" w:hAnsi="Arial" w:cs="Arial"/>
                <w:sz w:val="15"/>
                <w:szCs w:val="15"/>
              </w:rPr>
              <w:br/>
              <w:t>from the ER were CSF leak and wound infection.</w:t>
            </w:r>
          </w:p>
        </w:tc>
        <w:tc>
          <w:tcPr>
            <w:tcW w:w="1701" w:type="dxa"/>
          </w:tcPr>
          <w:p w14:paraId="4158F7EE" w14:textId="232079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E7CCAFC" w14:textId="77777777" w:rsidTr="00A77951">
        <w:trPr>
          <w:trHeight w:val="586"/>
        </w:trPr>
        <w:tc>
          <w:tcPr>
            <w:tcW w:w="992" w:type="dxa"/>
          </w:tcPr>
          <w:p w14:paraId="7055F376" w14:textId="2F6359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Hardy S. et al., 2010</w:t>
            </w:r>
          </w:p>
        </w:tc>
        <w:tc>
          <w:tcPr>
            <w:tcW w:w="851" w:type="dxa"/>
          </w:tcPr>
          <w:p w14:paraId="459A97A5" w14:textId="35C1869D" w:rsidR="006E5533" w:rsidRPr="00A77951" w:rsidRDefault="006E5533" w:rsidP="006E5533">
            <w:pPr>
              <w:spacing w:line="360" w:lineRule="auto"/>
              <w:contextualSpacing/>
              <w:rPr>
                <w:rFonts w:ascii="Arial" w:hAnsi="Arial" w:cs="Arial"/>
                <w:sz w:val="15"/>
                <w:szCs w:val="15"/>
              </w:rPr>
            </w:pPr>
            <w:hyperlink r:id="rId174" w:history="1">
              <w:r w:rsidRPr="00A77951">
                <w:rPr>
                  <w:rStyle w:val="Hyperlink"/>
                  <w:rFonts w:ascii="Arial" w:hAnsi="Arial" w:cs="Arial"/>
                  <w:sz w:val="15"/>
                  <w:szCs w:val="15"/>
                </w:rPr>
                <w:t>10.3171/2010.</w:t>
              </w:r>
              <w:proofErr w:type="gramStart"/>
              <w:r w:rsidRPr="00A77951">
                <w:rPr>
                  <w:rStyle w:val="Hyperlink"/>
                  <w:rFonts w:ascii="Arial" w:hAnsi="Arial" w:cs="Arial"/>
                  <w:sz w:val="15"/>
                  <w:szCs w:val="15"/>
                </w:rPr>
                <w:t>2.JNS</w:t>
              </w:r>
              <w:proofErr w:type="gramEnd"/>
              <w:r w:rsidRPr="00A77951">
                <w:rPr>
                  <w:rStyle w:val="Hyperlink"/>
                  <w:rFonts w:ascii="Arial" w:hAnsi="Arial" w:cs="Arial"/>
                  <w:sz w:val="15"/>
                  <w:szCs w:val="15"/>
                </w:rPr>
                <w:t>09950</w:t>
              </w:r>
            </w:hyperlink>
          </w:p>
        </w:tc>
        <w:tc>
          <w:tcPr>
            <w:tcW w:w="851" w:type="dxa"/>
          </w:tcPr>
          <w:p w14:paraId="2C69DCAC" w14:textId="0BA46A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4436E0D" w14:textId="5BE245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9E1D212" w14:textId="50822D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reported</w:t>
            </w:r>
          </w:p>
        </w:tc>
        <w:tc>
          <w:tcPr>
            <w:tcW w:w="1276" w:type="dxa"/>
          </w:tcPr>
          <w:p w14:paraId="4744E55D" w14:textId="5781C3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91FFF0C" w14:textId="165268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whether SSIs in</w:t>
            </w:r>
            <w:r w:rsidRPr="00251EA9">
              <w:rPr>
                <w:rFonts w:ascii="Arial" w:hAnsi="Arial" w:cs="Arial"/>
                <w:sz w:val="15"/>
                <w:szCs w:val="15"/>
              </w:rPr>
              <w:br/>
              <w:t>patients with brain tumours undergoing resection are associated with hyperglycaemia.</w:t>
            </w:r>
          </w:p>
        </w:tc>
        <w:tc>
          <w:tcPr>
            <w:tcW w:w="1134" w:type="dxa"/>
          </w:tcPr>
          <w:p w14:paraId="1B88362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392DC0C" w14:textId="487208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4109CB0" w14:textId="1FE85A09"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4C57EE18" w14:textId="1D90A323" w:rsidR="006E5533" w:rsidRPr="00251EA9" w:rsidRDefault="006E5533" w:rsidP="006E5533">
            <w:pPr>
              <w:rPr>
                <w:rFonts w:ascii="Arial" w:hAnsi="Arial" w:cs="Arial"/>
                <w:sz w:val="15"/>
                <w:szCs w:val="15"/>
              </w:rPr>
            </w:pPr>
            <w:r w:rsidRPr="00251EA9">
              <w:rPr>
                <w:rFonts w:ascii="Arial" w:hAnsi="Arial" w:cs="Arial"/>
                <w:sz w:val="15"/>
                <w:szCs w:val="15"/>
              </w:rPr>
              <w:t>Glucose level was not a significant factor in postoperative SSI after adjusting for duration</w:t>
            </w:r>
            <w:r w:rsidRPr="00251EA9">
              <w:rPr>
                <w:rFonts w:ascii="Arial" w:hAnsi="Arial" w:cs="Arial"/>
                <w:sz w:val="15"/>
                <w:szCs w:val="15"/>
              </w:rPr>
              <w:br/>
              <w:t>of surgery and adherence to antibiotic prophylaxis. However, duration of surgery was significantly associated with</w:t>
            </w:r>
            <w:r w:rsidRPr="00251EA9">
              <w:rPr>
                <w:rFonts w:ascii="Arial" w:hAnsi="Arial" w:cs="Arial"/>
                <w:sz w:val="15"/>
                <w:szCs w:val="15"/>
              </w:rPr>
              <w:br/>
              <w:t>postoperative SSI.</w:t>
            </w:r>
          </w:p>
        </w:tc>
        <w:tc>
          <w:tcPr>
            <w:tcW w:w="1701" w:type="dxa"/>
          </w:tcPr>
          <w:p w14:paraId="6455E69C" w14:textId="36830D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292B56E" w14:textId="77777777" w:rsidTr="00A77951">
        <w:trPr>
          <w:trHeight w:val="586"/>
        </w:trPr>
        <w:tc>
          <w:tcPr>
            <w:tcW w:w="992" w:type="dxa"/>
          </w:tcPr>
          <w:p w14:paraId="737ED364" w14:textId="5C9320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Harland T. et al., 2023</w:t>
            </w:r>
          </w:p>
        </w:tc>
        <w:tc>
          <w:tcPr>
            <w:tcW w:w="851" w:type="dxa"/>
          </w:tcPr>
          <w:p w14:paraId="7C6AA13B" w14:textId="5C56152B" w:rsidR="006E5533" w:rsidRPr="00A77951" w:rsidRDefault="006E5533" w:rsidP="006E5533">
            <w:pPr>
              <w:spacing w:line="360" w:lineRule="auto"/>
              <w:contextualSpacing/>
              <w:rPr>
                <w:rFonts w:ascii="Arial" w:hAnsi="Arial" w:cs="Arial"/>
                <w:sz w:val="15"/>
                <w:szCs w:val="15"/>
              </w:rPr>
            </w:pPr>
            <w:hyperlink r:id="rId175" w:history="1">
              <w:r w:rsidRPr="00A77951">
                <w:rPr>
                  <w:rStyle w:val="Hyperlink"/>
                  <w:rFonts w:ascii="Arial" w:hAnsi="Arial" w:cs="Arial"/>
                  <w:sz w:val="15"/>
                  <w:szCs w:val="15"/>
                </w:rPr>
                <w:t>10.1227/ons.0000000000000698</w:t>
              </w:r>
            </w:hyperlink>
          </w:p>
        </w:tc>
        <w:tc>
          <w:tcPr>
            <w:tcW w:w="851" w:type="dxa"/>
          </w:tcPr>
          <w:p w14:paraId="63809B70" w14:textId="1C2CD3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7D7F81E" w14:textId="02E52A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3568E56" w14:textId="32A7D4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A9F413F" w14:textId="5F7F06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4A96FD14" w14:textId="313978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a modified surgical technique for interventional MRI-guided stereotactic procedures.</w:t>
            </w:r>
          </w:p>
        </w:tc>
        <w:tc>
          <w:tcPr>
            <w:tcW w:w="1134" w:type="dxa"/>
          </w:tcPr>
          <w:p w14:paraId="1D77D763" w14:textId="04E01D19" w:rsidR="006E5533" w:rsidRPr="00251EA9" w:rsidRDefault="006E5533" w:rsidP="006E5533">
            <w:pPr>
              <w:spacing w:line="360" w:lineRule="auto"/>
              <w:contextualSpacing/>
              <w:rPr>
                <w:rFonts w:ascii="Arial" w:hAnsi="Arial" w:cs="Arial"/>
                <w:sz w:val="15"/>
                <w:szCs w:val="15"/>
              </w:rPr>
            </w:pPr>
          </w:p>
        </w:tc>
        <w:tc>
          <w:tcPr>
            <w:tcW w:w="992" w:type="dxa"/>
          </w:tcPr>
          <w:p w14:paraId="198EB2C1" w14:textId="4E16C6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26C5C06" w14:textId="66ADF9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21317B6" w14:textId="0EB9CDB0" w:rsidR="006E5533" w:rsidRPr="00251EA9" w:rsidRDefault="006E5533" w:rsidP="006E5533">
            <w:pPr>
              <w:rPr>
                <w:rFonts w:ascii="Arial" w:hAnsi="Arial" w:cs="Arial"/>
                <w:sz w:val="15"/>
                <w:szCs w:val="15"/>
              </w:rPr>
            </w:pPr>
            <w:r w:rsidRPr="00251EA9">
              <w:rPr>
                <w:rFonts w:ascii="Arial" w:hAnsi="Arial" w:cs="Arial"/>
                <w:sz w:val="15"/>
                <w:szCs w:val="15"/>
              </w:rPr>
              <w:t>Complications included infection with hardware removal (2.5%) and superficial haemorrhage</w:t>
            </w:r>
            <w:r w:rsidRPr="00251EA9">
              <w:rPr>
                <w:rFonts w:ascii="Arial" w:hAnsi="Arial" w:cs="Arial"/>
                <w:sz w:val="15"/>
                <w:szCs w:val="15"/>
              </w:rPr>
              <w:br/>
              <w:t>without permanent neurological sequelae (1.9%).</w:t>
            </w:r>
          </w:p>
        </w:tc>
        <w:tc>
          <w:tcPr>
            <w:tcW w:w="1701" w:type="dxa"/>
          </w:tcPr>
          <w:p w14:paraId="1181908A" w14:textId="754A25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0E1B06F" w14:textId="77777777" w:rsidTr="00A77951">
        <w:trPr>
          <w:trHeight w:val="586"/>
        </w:trPr>
        <w:tc>
          <w:tcPr>
            <w:tcW w:w="992" w:type="dxa"/>
          </w:tcPr>
          <w:p w14:paraId="670D44D8" w14:textId="07B482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Harrop J.S. et al., 2010</w:t>
            </w:r>
          </w:p>
        </w:tc>
        <w:tc>
          <w:tcPr>
            <w:tcW w:w="851" w:type="dxa"/>
          </w:tcPr>
          <w:p w14:paraId="3615743D" w14:textId="6D76EE2E" w:rsidR="006E5533" w:rsidRPr="00A77951" w:rsidRDefault="006E5533" w:rsidP="006E5533">
            <w:pPr>
              <w:spacing w:line="360" w:lineRule="auto"/>
              <w:contextualSpacing/>
              <w:rPr>
                <w:rFonts w:ascii="Arial" w:hAnsi="Arial" w:cs="Arial"/>
                <w:sz w:val="15"/>
                <w:szCs w:val="15"/>
              </w:rPr>
            </w:pPr>
            <w:hyperlink r:id="rId176" w:history="1">
              <w:r w:rsidRPr="00A77951">
                <w:rPr>
                  <w:rStyle w:val="Hyperlink"/>
                  <w:rFonts w:ascii="Arial" w:hAnsi="Arial" w:cs="Arial"/>
                  <w:sz w:val="15"/>
                  <w:szCs w:val="15"/>
                </w:rPr>
                <w:t>10.1227/01.NEU.</w:t>
              </w:r>
              <w:proofErr w:type="gramStart"/>
              <w:r w:rsidRPr="00A77951">
                <w:rPr>
                  <w:rStyle w:val="Hyperlink"/>
                  <w:rFonts w:ascii="Arial" w:hAnsi="Arial" w:cs="Arial"/>
                  <w:sz w:val="15"/>
                  <w:szCs w:val="15"/>
                </w:rPr>
                <w:t>0000370247.11479.B</w:t>
              </w:r>
              <w:proofErr w:type="gramEnd"/>
              <w:r w:rsidRPr="00A77951">
                <w:rPr>
                  <w:rStyle w:val="Hyperlink"/>
                  <w:rFonts w:ascii="Arial" w:hAnsi="Arial" w:cs="Arial"/>
                  <w:sz w:val="15"/>
                  <w:szCs w:val="15"/>
                </w:rPr>
                <w:t>6</w:t>
              </w:r>
            </w:hyperlink>
          </w:p>
        </w:tc>
        <w:tc>
          <w:tcPr>
            <w:tcW w:w="851" w:type="dxa"/>
          </w:tcPr>
          <w:p w14:paraId="0317094F" w14:textId="5662CA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5CCD253" w14:textId="2FB37C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DAD7D97" w14:textId="750978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3B7E69E" w14:textId="62D720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0117104C" w14:textId="632F4D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infection rates after implementing a standardised protocol for ventriculostomy catheter insertion with and without the use of antibiotic-impregnated catheters.</w:t>
            </w:r>
          </w:p>
        </w:tc>
        <w:tc>
          <w:tcPr>
            <w:tcW w:w="1134" w:type="dxa"/>
          </w:tcPr>
          <w:p w14:paraId="6CD8DF5D" w14:textId="28C7F6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vs without antibiotic-impregnated catheters.</w:t>
            </w:r>
          </w:p>
        </w:tc>
        <w:tc>
          <w:tcPr>
            <w:tcW w:w="992" w:type="dxa"/>
          </w:tcPr>
          <w:p w14:paraId="56FDF5FC" w14:textId="3378DC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7D112B6"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Two positive CSF cultures from ventriculostomy catheters. </w:t>
            </w:r>
          </w:p>
          <w:p w14:paraId="67D2AC05" w14:textId="1AC796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Increase in cerebrospinal fluid white blood cell count.</w:t>
            </w:r>
          </w:p>
        </w:tc>
        <w:tc>
          <w:tcPr>
            <w:tcW w:w="2693" w:type="dxa"/>
          </w:tcPr>
          <w:p w14:paraId="181E361A" w14:textId="118715FF" w:rsidR="006E5533" w:rsidRPr="00251EA9" w:rsidRDefault="006E5533" w:rsidP="006E5533">
            <w:pPr>
              <w:rPr>
                <w:rFonts w:ascii="Arial" w:hAnsi="Arial" w:cs="Arial"/>
                <w:sz w:val="15"/>
                <w:szCs w:val="15"/>
              </w:rPr>
            </w:pPr>
            <w:r w:rsidRPr="00251EA9">
              <w:rPr>
                <w:rFonts w:ascii="Arial" w:hAnsi="Arial" w:cs="Arial"/>
                <w:sz w:val="15"/>
                <w:szCs w:val="15"/>
              </w:rPr>
              <w:t>Reported the baseline infection rate of 6.7%.</w:t>
            </w:r>
            <w:r w:rsidRPr="00251EA9">
              <w:rPr>
                <w:rFonts w:ascii="Arial" w:hAnsi="Arial" w:cs="Arial"/>
                <w:sz w:val="15"/>
                <w:szCs w:val="15"/>
              </w:rPr>
              <w:br/>
              <w:t>Antibiotic impregnation of catheters lowered this infection rate to 1.0%.</w:t>
            </w:r>
            <w:r w:rsidRPr="00251EA9">
              <w:rPr>
                <w:rFonts w:ascii="Arial" w:hAnsi="Arial" w:cs="Arial"/>
                <w:sz w:val="15"/>
                <w:szCs w:val="15"/>
              </w:rPr>
              <w:br/>
            </w:r>
          </w:p>
        </w:tc>
        <w:tc>
          <w:tcPr>
            <w:tcW w:w="1701" w:type="dxa"/>
          </w:tcPr>
          <w:p w14:paraId="5A0E47B4" w14:textId="34A020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388F9CD" w14:textId="77777777" w:rsidTr="00A77951">
        <w:trPr>
          <w:trHeight w:val="586"/>
        </w:trPr>
        <w:tc>
          <w:tcPr>
            <w:tcW w:w="992" w:type="dxa"/>
          </w:tcPr>
          <w:p w14:paraId="7C40247C" w14:textId="423029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Hasegawa H. et al., 2021</w:t>
            </w:r>
          </w:p>
        </w:tc>
        <w:tc>
          <w:tcPr>
            <w:tcW w:w="851" w:type="dxa"/>
          </w:tcPr>
          <w:p w14:paraId="0D26639A" w14:textId="069C5992" w:rsidR="006E5533" w:rsidRPr="00A77951" w:rsidRDefault="006E5533" w:rsidP="006E5533">
            <w:pPr>
              <w:spacing w:line="360" w:lineRule="auto"/>
              <w:contextualSpacing/>
              <w:rPr>
                <w:rFonts w:ascii="Arial" w:hAnsi="Arial" w:cs="Arial"/>
                <w:sz w:val="15"/>
                <w:szCs w:val="15"/>
              </w:rPr>
            </w:pPr>
            <w:hyperlink r:id="rId177" w:history="1">
              <w:r w:rsidRPr="00A77951">
                <w:rPr>
                  <w:rStyle w:val="Hyperlink"/>
                  <w:rFonts w:ascii="Arial" w:hAnsi="Arial" w:cs="Arial"/>
                  <w:sz w:val="15"/>
                  <w:szCs w:val="15"/>
                </w:rPr>
                <w:t>10.3171/2020.</w:t>
              </w:r>
              <w:proofErr w:type="gramStart"/>
              <w:r w:rsidRPr="00A77951">
                <w:rPr>
                  <w:rStyle w:val="Hyperlink"/>
                  <w:rFonts w:ascii="Arial" w:hAnsi="Arial" w:cs="Arial"/>
                  <w:sz w:val="15"/>
                  <w:szCs w:val="15"/>
                </w:rPr>
                <w:t>7.JNS</w:t>
              </w:r>
              <w:proofErr w:type="gramEnd"/>
              <w:r w:rsidRPr="00A77951">
                <w:rPr>
                  <w:rStyle w:val="Hyperlink"/>
                  <w:rFonts w:ascii="Arial" w:hAnsi="Arial" w:cs="Arial"/>
                  <w:sz w:val="15"/>
                  <w:szCs w:val="15"/>
                </w:rPr>
                <w:t>201385</w:t>
              </w:r>
            </w:hyperlink>
          </w:p>
        </w:tc>
        <w:tc>
          <w:tcPr>
            <w:tcW w:w="851" w:type="dxa"/>
          </w:tcPr>
          <w:p w14:paraId="43C49F0F" w14:textId="1FF9E8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916DF95" w14:textId="078CD0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D8C4EDE" w14:textId="3BB2788E" w:rsidR="006E5533" w:rsidRPr="00251EA9" w:rsidRDefault="006E5533" w:rsidP="006E5533">
            <w:pPr>
              <w:spacing w:line="360" w:lineRule="auto"/>
              <w:contextualSpacing/>
              <w:rPr>
                <w:rFonts w:ascii="Arial" w:hAnsi="Arial" w:cs="Arial"/>
                <w:sz w:val="15"/>
                <w:szCs w:val="15"/>
              </w:rPr>
            </w:pPr>
            <w:proofErr w:type="gramStart"/>
            <w:r w:rsidRPr="00251EA9">
              <w:rPr>
                <w:rFonts w:ascii="Arial" w:hAnsi="Arial" w:cs="Arial"/>
                <w:sz w:val="15"/>
                <w:szCs w:val="15"/>
              </w:rPr>
              <w:t>Adults</w:t>
            </w:r>
            <w:proofErr w:type="gramEnd"/>
            <w:r w:rsidRPr="00251EA9">
              <w:rPr>
                <w:rFonts w:ascii="Arial" w:hAnsi="Arial" w:cs="Arial"/>
                <w:sz w:val="15"/>
                <w:szCs w:val="15"/>
              </w:rPr>
              <w:t xml:space="preserve"> vs paediatrics</w:t>
            </w:r>
          </w:p>
        </w:tc>
        <w:tc>
          <w:tcPr>
            <w:tcW w:w="1276" w:type="dxa"/>
          </w:tcPr>
          <w:p w14:paraId="7ABA5829" w14:textId="32B3CA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(VNS insertion for epilepsy)</w:t>
            </w:r>
          </w:p>
        </w:tc>
        <w:tc>
          <w:tcPr>
            <w:tcW w:w="1843" w:type="dxa"/>
          </w:tcPr>
          <w:p w14:paraId="59D521F7" w14:textId="0983DF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provide insight into the</w:t>
            </w:r>
            <w:r w:rsidRPr="00251EA9">
              <w:rPr>
                <w:rFonts w:ascii="Arial" w:hAnsi="Arial" w:cs="Arial"/>
                <w:sz w:val="15"/>
                <w:szCs w:val="15"/>
              </w:rPr>
              <w:br/>
              <w:t>optimal management of VNS-related SSI (VNS-SSI).</w:t>
            </w:r>
          </w:p>
        </w:tc>
        <w:tc>
          <w:tcPr>
            <w:tcW w:w="1134" w:type="dxa"/>
          </w:tcPr>
          <w:p w14:paraId="6084F159" w14:textId="23135359" w:rsidR="006E5533" w:rsidRPr="00251EA9" w:rsidRDefault="006E5533" w:rsidP="006E5533">
            <w:pPr>
              <w:spacing w:line="360" w:lineRule="auto"/>
              <w:contextualSpacing/>
              <w:rPr>
                <w:rFonts w:ascii="Arial" w:hAnsi="Arial" w:cs="Arial"/>
                <w:sz w:val="15"/>
                <w:szCs w:val="15"/>
              </w:rPr>
            </w:pPr>
          </w:p>
        </w:tc>
        <w:tc>
          <w:tcPr>
            <w:tcW w:w="992" w:type="dxa"/>
          </w:tcPr>
          <w:p w14:paraId="672BBD65" w14:textId="0EF6C9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4CD05A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If a patient had undergone VNS-related procedures and developed one or </w:t>
            </w:r>
            <w:r w:rsidRPr="00251EA9">
              <w:rPr>
                <w:rFonts w:ascii="Arial" w:hAnsi="Arial" w:cs="Arial"/>
                <w:sz w:val="15"/>
                <w:szCs w:val="15"/>
              </w:rPr>
              <w:lastRenderedPageBreak/>
              <w:t xml:space="preserve">more signs: </w:t>
            </w:r>
            <w:r w:rsidRPr="00251EA9">
              <w:rPr>
                <w:rFonts w:ascii="Arial" w:hAnsi="Arial" w:cs="Arial"/>
                <w:sz w:val="15"/>
                <w:szCs w:val="15"/>
              </w:rPr>
              <w:br/>
              <w:t xml:space="preserve">1. Purulence </w:t>
            </w:r>
          </w:p>
          <w:p w14:paraId="385F6975"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Positive culture</w:t>
            </w:r>
          </w:p>
          <w:p w14:paraId="140DB245" w14:textId="3F5D7C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3. Superficial signs:</w:t>
            </w:r>
            <w:r w:rsidRPr="00251EA9">
              <w:rPr>
                <w:rFonts w:ascii="Arial" w:hAnsi="Arial" w:cs="Arial"/>
                <w:sz w:val="15"/>
                <w:szCs w:val="15"/>
              </w:rPr>
              <w:br/>
              <w:t xml:space="preserve">wound dehiscence, swelling, drainage, and redness. </w:t>
            </w:r>
          </w:p>
        </w:tc>
        <w:tc>
          <w:tcPr>
            <w:tcW w:w="2693" w:type="dxa"/>
          </w:tcPr>
          <w:p w14:paraId="6C7CCE17" w14:textId="71AF64EE" w:rsidR="006E5533" w:rsidRPr="00251EA9" w:rsidRDefault="006E5533" w:rsidP="006E5533">
            <w:pPr>
              <w:rPr>
                <w:rFonts w:ascii="Arial" w:hAnsi="Arial" w:cs="Arial"/>
                <w:sz w:val="15"/>
                <w:szCs w:val="15"/>
              </w:rPr>
            </w:pPr>
            <w:r w:rsidRPr="00251EA9">
              <w:rPr>
                <w:rFonts w:ascii="Arial" w:hAnsi="Arial" w:cs="Arial"/>
                <w:sz w:val="15"/>
                <w:szCs w:val="15"/>
              </w:rPr>
              <w:lastRenderedPageBreak/>
              <w:t>A total of 16 patients were found to have VNS-SSI. Among the 16 cases of VNS-SSI, 11 occurred after</w:t>
            </w:r>
            <w:r w:rsidRPr="00251EA9">
              <w:rPr>
                <w:rFonts w:ascii="Arial" w:hAnsi="Arial" w:cs="Arial"/>
                <w:sz w:val="15"/>
                <w:szCs w:val="15"/>
              </w:rPr>
              <w:br/>
              <w:t>initial VNS placement and 5 occurred after generator replacement. Wound dehiscence, redness, swelling, and drainage</w:t>
            </w:r>
            <w:r w:rsidRPr="00251EA9">
              <w:rPr>
                <w:rFonts w:ascii="Arial" w:hAnsi="Arial" w:cs="Arial"/>
                <w:sz w:val="15"/>
                <w:szCs w:val="15"/>
              </w:rPr>
              <w:br/>
            </w:r>
            <w:r w:rsidRPr="00251EA9">
              <w:rPr>
                <w:rFonts w:ascii="Arial" w:hAnsi="Arial" w:cs="Arial"/>
                <w:sz w:val="15"/>
                <w:szCs w:val="15"/>
              </w:rPr>
              <w:lastRenderedPageBreak/>
              <w:t>were the typical symptoms of VNS-SSI.</w:t>
            </w:r>
          </w:p>
        </w:tc>
        <w:tc>
          <w:tcPr>
            <w:tcW w:w="1701" w:type="dxa"/>
          </w:tcPr>
          <w:p w14:paraId="0AFB3E12" w14:textId="0C696D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0D28DFE1" w14:textId="77777777" w:rsidTr="00A77951">
        <w:trPr>
          <w:trHeight w:val="586"/>
        </w:trPr>
        <w:tc>
          <w:tcPr>
            <w:tcW w:w="992" w:type="dxa"/>
          </w:tcPr>
          <w:p w14:paraId="41CE0D42" w14:textId="5147D8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Hayashi T. et al., 2010</w:t>
            </w:r>
          </w:p>
        </w:tc>
        <w:tc>
          <w:tcPr>
            <w:tcW w:w="851" w:type="dxa"/>
          </w:tcPr>
          <w:p w14:paraId="4D17CFF5" w14:textId="3724D715" w:rsidR="006E5533" w:rsidRPr="00A77951" w:rsidRDefault="006E5533" w:rsidP="006E5533">
            <w:pPr>
              <w:spacing w:line="360" w:lineRule="auto"/>
              <w:contextualSpacing/>
              <w:rPr>
                <w:rFonts w:ascii="Arial" w:hAnsi="Arial" w:cs="Arial"/>
                <w:sz w:val="15"/>
                <w:szCs w:val="15"/>
              </w:rPr>
            </w:pPr>
            <w:hyperlink r:id="rId178" w:history="1">
              <w:r w:rsidRPr="00A77951">
                <w:rPr>
                  <w:rStyle w:val="Hyperlink"/>
                  <w:rFonts w:ascii="Arial" w:hAnsi="Arial" w:cs="Arial"/>
                  <w:sz w:val="15"/>
                  <w:szCs w:val="15"/>
                </w:rPr>
                <w:t>10.3171/2010.</w:t>
              </w:r>
              <w:proofErr w:type="gramStart"/>
              <w:r w:rsidRPr="00A77951">
                <w:rPr>
                  <w:rStyle w:val="Hyperlink"/>
                  <w:rFonts w:ascii="Arial" w:hAnsi="Arial" w:cs="Arial"/>
                  <w:sz w:val="15"/>
                  <w:szCs w:val="15"/>
                </w:rPr>
                <w:t>5.PEDS</w:t>
              </w:r>
              <w:proofErr w:type="gramEnd"/>
              <w:r w:rsidRPr="00A77951">
                <w:rPr>
                  <w:rStyle w:val="Hyperlink"/>
                  <w:rFonts w:ascii="Arial" w:hAnsi="Arial" w:cs="Arial"/>
                  <w:sz w:val="15"/>
                  <w:szCs w:val="15"/>
                </w:rPr>
                <w:t>1018</w:t>
              </w:r>
            </w:hyperlink>
          </w:p>
        </w:tc>
        <w:tc>
          <w:tcPr>
            <w:tcW w:w="851" w:type="dxa"/>
          </w:tcPr>
          <w:p w14:paraId="18DF84FB" w14:textId="6F2DBC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51FD4927" w14:textId="02B9F3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7CEC514E" w14:textId="4B97D7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10F80C02" w14:textId="43A4E9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Trauma </w:t>
            </w:r>
          </w:p>
        </w:tc>
        <w:tc>
          <w:tcPr>
            <w:tcW w:w="1843" w:type="dxa"/>
          </w:tcPr>
          <w:p w14:paraId="16F16725" w14:textId="32EE2A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whether reducing bacteria in the operating field and wound leads to a reduction in shunt infection rate.</w:t>
            </w:r>
          </w:p>
        </w:tc>
        <w:tc>
          <w:tcPr>
            <w:tcW w:w="1134" w:type="dxa"/>
          </w:tcPr>
          <w:p w14:paraId="460EB5AE" w14:textId="52E8C9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Group A: control group with no irrigation technique</w:t>
            </w:r>
            <w:r w:rsidRPr="00251EA9">
              <w:rPr>
                <w:rFonts w:ascii="Arial" w:hAnsi="Arial" w:cs="Arial"/>
                <w:sz w:val="15"/>
                <w:szCs w:val="15"/>
              </w:rPr>
              <w:br/>
              <w:t>Group B: saline containing amikacin for irrigation</w:t>
            </w:r>
            <w:r w:rsidRPr="00251EA9">
              <w:rPr>
                <w:rFonts w:ascii="Arial" w:hAnsi="Arial" w:cs="Arial"/>
                <w:sz w:val="15"/>
                <w:szCs w:val="15"/>
              </w:rPr>
              <w:br/>
              <w:t>Group C: saline only for irrigation</w:t>
            </w:r>
          </w:p>
        </w:tc>
        <w:tc>
          <w:tcPr>
            <w:tcW w:w="992" w:type="dxa"/>
          </w:tcPr>
          <w:p w14:paraId="3D5CB9BD" w14:textId="5811E6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A68983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Positive CSF- or catheter-based cultures </w:t>
            </w:r>
          </w:p>
          <w:p w14:paraId="49A4F4A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At least 1 clinical component of infection: headache, meningitis, fever, elevated peripheral leukocyte count, elevated C-reactive protein</w:t>
            </w:r>
          </w:p>
          <w:p w14:paraId="584AE071"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 CSF white blood cell count &gt; 40/mm3 </w:t>
            </w:r>
          </w:p>
          <w:p w14:paraId="4B91423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4. obvious cellulites at the operative site </w:t>
            </w:r>
          </w:p>
          <w:p w14:paraId="294E6639" w14:textId="1EA618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5. exposure of the shunt hardware through an open incision</w:t>
            </w:r>
          </w:p>
        </w:tc>
        <w:tc>
          <w:tcPr>
            <w:tcW w:w="2693" w:type="dxa"/>
          </w:tcPr>
          <w:p w14:paraId="3FB45506" w14:textId="76A30C96" w:rsidR="006E5533" w:rsidRPr="00251EA9" w:rsidRDefault="006E5533" w:rsidP="006E5533">
            <w:pPr>
              <w:rPr>
                <w:rFonts w:ascii="Arial" w:hAnsi="Arial" w:cs="Arial"/>
                <w:sz w:val="15"/>
                <w:szCs w:val="15"/>
              </w:rPr>
            </w:pPr>
            <w:r w:rsidRPr="00251EA9">
              <w:rPr>
                <w:rFonts w:ascii="Arial" w:hAnsi="Arial" w:cs="Arial"/>
                <w:sz w:val="15"/>
                <w:szCs w:val="15"/>
              </w:rPr>
              <w:t xml:space="preserve">Reported 9 cases of shunt infection in the defined post-operative period. </w:t>
            </w:r>
            <w:r w:rsidRPr="00251EA9">
              <w:rPr>
                <w:rFonts w:ascii="Arial" w:hAnsi="Arial" w:cs="Arial"/>
                <w:sz w:val="15"/>
                <w:szCs w:val="15"/>
              </w:rPr>
              <w:br/>
              <w:t>There was a statistically significant difference in the rate of infection between Groups A and B, Groups A and C, and between Group A and Groups B and C combined. No significant difference was observed between the 2 groups in which irrigation was used.</w:t>
            </w:r>
          </w:p>
        </w:tc>
        <w:tc>
          <w:tcPr>
            <w:tcW w:w="1701" w:type="dxa"/>
          </w:tcPr>
          <w:p w14:paraId="042EA97D" w14:textId="32C296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2C6CFB8" w14:textId="77777777" w:rsidTr="00A77951">
        <w:trPr>
          <w:trHeight w:val="586"/>
        </w:trPr>
        <w:tc>
          <w:tcPr>
            <w:tcW w:w="992" w:type="dxa"/>
          </w:tcPr>
          <w:p w14:paraId="389715F4" w14:textId="070BF6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He J. et al., 2023</w:t>
            </w:r>
          </w:p>
        </w:tc>
        <w:tc>
          <w:tcPr>
            <w:tcW w:w="851" w:type="dxa"/>
          </w:tcPr>
          <w:p w14:paraId="66FE6584" w14:textId="1B5C1E71" w:rsidR="006E5533" w:rsidRPr="00A77951" w:rsidRDefault="006E5533" w:rsidP="006E5533">
            <w:pPr>
              <w:spacing w:line="360" w:lineRule="auto"/>
              <w:contextualSpacing/>
              <w:rPr>
                <w:rFonts w:ascii="Arial" w:hAnsi="Arial" w:cs="Arial"/>
                <w:sz w:val="15"/>
                <w:szCs w:val="15"/>
              </w:rPr>
            </w:pPr>
            <w:hyperlink r:id="rId179" w:history="1">
              <w:r w:rsidRPr="00A77951">
                <w:rPr>
                  <w:rStyle w:val="Hyperlink"/>
                  <w:rFonts w:ascii="Arial" w:hAnsi="Arial" w:cs="Arial"/>
                  <w:sz w:val="15"/>
                  <w:szCs w:val="15"/>
                </w:rPr>
                <w:t>10.3389/fneur.2023.1153392</w:t>
              </w:r>
            </w:hyperlink>
          </w:p>
        </w:tc>
        <w:tc>
          <w:tcPr>
            <w:tcW w:w="851" w:type="dxa"/>
          </w:tcPr>
          <w:p w14:paraId="17320676" w14:textId="576F9E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752EA804" w14:textId="53EA5B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9F0A8C7" w14:textId="006915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0878F91" w14:textId="15A14A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B9B8D23" w14:textId="73C2B9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effects of intraoperative steroid administration on postoperative 30-day mortality in patients undergoing craniotomy for brain tumours.</w:t>
            </w:r>
          </w:p>
        </w:tc>
        <w:tc>
          <w:tcPr>
            <w:tcW w:w="1134" w:type="dxa"/>
          </w:tcPr>
          <w:p w14:paraId="09823AEE" w14:textId="10629B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vs without intraoperative steroid administration</w:t>
            </w:r>
          </w:p>
        </w:tc>
        <w:tc>
          <w:tcPr>
            <w:tcW w:w="992" w:type="dxa"/>
          </w:tcPr>
          <w:p w14:paraId="641B6D50" w14:textId="285728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B3D8064" w14:textId="6C7038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1732623" w14:textId="7E5F26A5" w:rsidR="006E5533" w:rsidRPr="00251EA9" w:rsidRDefault="006E5533" w:rsidP="006E5533">
            <w:pPr>
              <w:rPr>
                <w:rFonts w:ascii="Arial" w:hAnsi="Arial" w:cs="Arial"/>
                <w:sz w:val="15"/>
                <w:szCs w:val="15"/>
              </w:rPr>
            </w:pPr>
            <w:r w:rsidRPr="00251EA9">
              <w:rPr>
                <w:rFonts w:ascii="Arial" w:hAnsi="Arial" w:cs="Arial"/>
                <w:sz w:val="15"/>
                <w:szCs w:val="15"/>
              </w:rPr>
              <w:t>The administration of intraoperative steroids was not associated with SSI.</w:t>
            </w:r>
          </w:p>
        </w:tc>
        <w:tc>
          <w:tcPr>
            <w:tcW w:w="1701" w:type="dxa"/>
          </w:tcPr>
          <w:p w14:paraId="498AF431" w14:textId="612EBB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E957BFD" w14:textId="77777777" w:rsidTr="00A77951">
        <w:trPr>
          <w:trHeight w:val="586"/>
        </w:trPr>
        <w:tc>
          <w:tcPr>
            <w:tcW w:w="992" w:type="dxa"/>
          </w:tcPr>
          <w:p w14:paraId="45F9C75B" w14:textId="22F778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Helal A. et al., 2018</w:t>
            </w:r>
          </w:p>
        </w:tc>
        <w:tc>
          <w:tcPr>
            <w:tcW w:w="851" w:type="dxa"/>
          </w:tcPr>
          <w:p w14:paraId="57904389" w14:textId="3808986A" w:rsidR="006E5533" w:rsidRPr="00A77951" w:rsidRDefault="006E5533" w:rsidP="006E5533">
            <w:pPr>
              <w:spacing w:line="360" w:lineRule="auto"/>
              <w:contextualSpacing/>
              <w:rPr>
                <w:rFonts w:ascii="Arial" w:hAnsi="Arial" w:cs="Arial"/>
                <w:sz w:val="15"/>
                <w:szCs w:val="15"/>
              </w:rPr>
            </w:pPr>
            <w:hyperlink r:id="rId180" w:history="1">
              <w:r w:rsidRPr="00A77951">
                <w:rPr>
                  <w:rStyle w:val="Hyperlink"/>
                  <w:rFonts w:ascii="Arial" w:hAnsi="Arial" w:cs="Arial"/>
                  <w:sz w:val="15"/>
                  <w:szCs w:val="15"/>
                </w:rPr>
                <w:t>10.3171/2018.</w:t>
              </w:r>
              <w:proofErr w:type="gramStart"/>
              <w:r w:rsidRPr="00A77951">
                <w:rPr>
                  <w:rStyle w:val="Hyperlink"/>
                  <w:rFonts w:ascii="Arial" w:hAnsi="Arial" w:cs="Arial"/>
                  <w:sz w:val="15"/>
                  <w:szCs w:val="15"/>
                </w:rPr>
                <w:t>7.FOCUS</w:t>
              </w:r>
              <w:proofErr w:type="gramEnd"/>
              <w:r w:rsidRPr="00A77951">
                <w:rPr>
                  <w:rStyle w:val="Hyperlink"/>
                  <w:rFonts w:ascii="Arial" w:hAnsi="Arial" w:cs="Arial"/>
                  <w:sz w:val="15"/>
                  <w:szCs w:val="15"/>
                </w:rPr>
                <w:t>18258</w:t>
              </w:r>
            </w:hyperlink>
          </w:p>
        </w:tc>
        <w:tc>
          <w:tcPr>
            <w:tcW w:w="851" w:type="dxa"/>
          </w:tcPr>
          <w:p w14:paraId="1A61D889" w14:textId="72A2F8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Egypt</w:t>
            </w:r>
          </w:p>
        </w:tc>
        <w:tc>
          <w:tcPr>
            <w:tcW w:w="1134" w:type="dxa"/>
          </w:tcPr>
          <w:p w14:paraId="36BCB784" w14:textId="04656E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0D92231" w14:textId="602C6D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501601C" w14:textId="648B4F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0D0CF64" w14:textId="5FD2DC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whether the application of</w:t>
            </w:r>
            <w:r w:rsidRPr="00251EA9">
              <w:rPr>
                <w:rFonts w:ascii="Arial" w:hAnsi="Arial" w:cs="Arial"/>
                <w:sz w:val="15"/>
                <w:szCs w:val="15"/>
              </w:rPr>
              <w:br/>
              <w:t>recent technological advances such as intraoperative MRI, image guidance, and other techniques in routine day-today practice is beneficial in attaining good outcomes.</w:t>
            </w:r>
          </w:p>
        </w:tc>
        <w:tc>
          <w:tcPr>
            <w:tcW w:w="1134" w:type="dxa"/>
          </w:tcPr>
          <w:p w14:paraId="25B0FDAB" w14:textId="71C65A46" w:rsidR="006E5533" w:rsidRPr="00251EA9" w:rsidRDefault="006E5533" w:rsidP="006E5533">
            <w:pPr>
              <w:spacing w:line="360" w:lineRule="auto"/>
              <w:contextualSpacing/>
              <w:rPr>
                <w:rFonts w:ascii="Arial" w:hAnsi="Arial" w:cs="Arial"/>
                <w:sz w:val="15"/>
                <w:szCs w:val="15"/>
              </w:rPr>
            </w:pPr>
          </w:p>
        </w:tc>
        <w:tc>
          <w:tcPr>
            <w:tcW w:w="992" w:type="dxa"/>
          </w:tcPr>
          <w:p w14:paraId="12004C1C" w14:textId="5DE85F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074907C" w14:textId="6F0C89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2D7B560" w14:textId="196DBBA2" w:rsidR="006E5533" w:rsidRPr="00251EA9" w:rsidRDefault="006E5533" w:rsidP="006E5533">
            <w:pPr>
              <w:rPr>
                <w:rFonts w:ascii="Arial" w:hAnsi="Arial" w:cs="Arial"/>
                <w:sz w:val="15"/>
                <w:szCs w:val="15"/>
              </w:rPr>
            </w:pPr>
            <w:r w:rsidRPr="00251EA9">
              <w:rPr>
                <w:rFonts w:ascii="Arial" w:hAnsi="Arial" w:cs="Arial"/>
                <w:sz w:val="15"/>
                <w:szCs w:val="15"/>
              </w:rPr>
              <w:t>Reported a surgical site infection rate of 3.5%.</w:t>
            </w:r>
          </w:p>
        </w:tc>
        <w:tc>
          <w:tcPr>
            <w:tcW w:w="1701" w:type="dxa"/>
          </w:tcPr>
          <w:p w14:paraId="2855CC90" w14:textId="75D7D6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7E65612" w14:textId="77777777" w:rsidTr="00A77951">
        <w:trPr>
          <w:trHeight w:val="586"/>
        </w:trPr>
        <w:tc>
          <w:tcPr>
            <w:tcW w:w="992" w:type="dxa"/>
          </w:tcPr>
          <w:p w14:paraId="1C1BE508" w14:textId="7B9B10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Helmers A.K. et al., 2018</w:t>
            </w:r>
          </w:p>
        </w:tc>
        <w:tc>
          <w:tcPr>
            <w:tcW w:w="851" w:type="dxa"/>
          </w:tcPr>
          <w:p w14:paraId="2DCCD7A6" w14:textId="3CCBD94C" w:rsidR="006E5533" w:rsidRPr="00A77951" w:rsidRDefault="006E5533" w:rsidP="006E5533">
            <w:pPr>
              <w:spacing w:line="360" w:lineRule="auto"/>
              <w:contextualSpacing/>
              <w:rPr>
                <w:rFonts w:ascii="Arial" w:hAnsi="Arial" w:cs="Arial"/>
                <w:sz w:val="15"/>
                <w:szCs w:val="15"/>
              </w:rPr>
            </w:pPr>
            <w:hyperlink r:id="rId181" w:history="1">
              <w:r w:rsidRPr="00A77951">
                <w:rPr>
                  <w:rStyle w:val="Hyperlink"/>
                  <w:rFonts w:ascii="Arial" w:hAnsi="Arial" w:cs="Arial"/>
                  <w:sz w:val="15"/>
                  <w:szCs w:val="15"/>
                </w:rPr>
                <w:t>10.1016/j.wneu.2018.01.183</w:t>
              </w:r>
            </w:hyperlink>
          </w:p>
        </w:tc>
        <w:tc>
          <w:tcPr>
            <w:tcW w:w="851" w:type="dxa"/>
          </w:tcPr>
          <w:p w14:paraId="752E1A87" w14:textId="1549DE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04BC96D8" w14:textId="55709D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1F3A23A" w14:textId="2867CB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AA36909" w14:textId="407546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3A012934" w14:textId="11EA7A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complication rates after impulse generator exchange surgery and identify risk factors.</w:t>
            </w:r>
          </w:p>
        </w:tc>
        <w:tc>
          <w:tcPr>
            <w:tcW w:w="1134" w:type="dxa"/>
          </w:tcPr>
          <w:p w14:paraId="59968CC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FA4774D" w14:textId="7F5DA1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381B537" w14:textId="037399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211DCB8" w14:textId="6A3C56C1" w:rsidR="006E5533" w:rsidRPr="00251EA9" w:rsidRDefault="006E5533" w:rsidP="006E5533">
            <w:pPr>
              <w:rPr>
                <w:rFonts w:ascii="Arial" w:hAnsi="Arial" w:cs="Arial"/>
                <w:sz w:val="15"/>
                <w:szCs w:val="15"/>
              </w:rPr>
            </w:pPr>
            <w:r w:rsidRPr="00251EA9">
              <w:rPr>
                <w:rFonts w:ascii="Arial" w:hAnsi="Arial" w:cs="Arial"/>
                <w:sz w:val="15"/>
                <w:szCs w:val="15"/>
              </w:rPr>
              <w:t>Total of 12 wound infections recorded.</w:t>
            </w:r>
          </w:p>
        </w:tc>
        <w:tc>
          <w:tcPr>
            <w:tcW w:w="1701" w:type="dxa"/>
          </w:tcPr>
          <w:p w14:paraId="024D3B3D" w14:textId="515E95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8423601" w14:textId="77777777" w:rsidTr="00A77951">
        <w:trPr>
          <w:trHeight w:val="586"/>
        </w:trPr>
        <w:tc>
          <w:tcPr>
            <w:tcW w:w="992" w:type="dxa"/>
          </w:tcPr>
          <w:p w14:paraId="20CA6A1A" w14:textId="14C47D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Henderson D. et al., 2022</w:t>
            </w:r>
          </w:p>
        </w:tc>
        <w:tc>
          <w:tcPr>
            <w:tcW w:w="851" w:type="dxa"/>
          </w:tcPr>
          <w:p w14:paraId="2A408622" w14:textId="735C1AB0" w:rsidR="006E5533" w:rsidRPr="00A77951" w:rsidRDefault="006E5533" w:rsidP="006E5533">
            <w:pPr>
              <w:spacing w:line="360" w:lineRule="auto"/>
              <w:contextualSpacing/>
              <w:rPr>
                <w:rFonts w:ascii="Arial" w:hAnsi="Arial" w:cs="Arial"/>
                <w:sz w:val="15"/>
                <w:szCs w:val="15"/>
              </w:rPr>
            </w:pPr>
            <w:hyperlink r:id="rId182" w:history="1">
              <w:r w:rsidRPr="00A77951">
                <w:rPr>
                  <w:rStyle w:val="Hyperlink"/>
                  <w:rFonts w:ascii="Arial" w:hAnsi="Arial" w:cs="Arial"/>
                  <w:sz w:val="15"/>
                  <w:szCs w:val="15"/>
                </w:rPr>
                <w:t>10.25259/SNI_103_2022</w:t>
              </w:r>
            </w:hyperlink>
          </w:p>
        </w:tc>
        <w:tc>
          <w:tcPr>
            <w:tcW w:w="851" w:type="dxa"/>
          </w:tcPr>
          <w:p w14:paraId="10551F6C" w14:textId="1E1D69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2CA319A6" w14:textId="3DBB03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 series</w:t>
            </w:r>
          </w:p>
        </w:tc>
        <w:tc>
          <w:tcPr>
            <w:tcW w:w="992" w:type="dxa"/>
          </w:tcPr>
          <w:p w14:paraId="081BBD9D" w14:textId="141B6D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B45EE61" w14:textId="7DAC78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4D6B783" w14:textId="36F225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prognostic factors associated with resection of intracranial metastases.</w:t>
            </w:r>
          </w:p>
        </w:tc>
        <w:tc>
          <w:tcPr>
            <w:tcW w:w="1134" w:type="dxa"/>
          </w:tcPr>
          <w:p w14:paraId="2C4ADFE1" w14:textId="3EB7F933" w:rsidR="006E5533" w:rsidRPr="00251EA9" w:rsidRDefault="006E5533" w:rsidP="006E5533">
            <w:pPr>
              <w:spacing w:line="360" w:lineRule="auto"/>
              <w:contextualSpacing/>
              <w:rPr>
                <w:rFonts w:ascii="Arial" w:hAnsi="Arial" w:cs="Arial"/>
                <w:sz w:val="15"/>
                <w:szCs w:val="15"/>
              </w:rPr>
            </w:pPr>
          </w:p>
        </w:tc>
        <w:tc>
          <w:tcPr>
            <w:tcW w:w="992" w:type="dxa"/>
          </w:tcPr>
          <w:p w14:paraId="4F7B728F" w14:textId="179495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DE6BE27" w14:textId="3ED9B5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819AEB8" w14:textId="6DD80C44" w:rsidR="006E5533" w:rsidRPr="00251EA9" w:rsidRDefault="006E5533" w:rsidP="006E5533">
            <w:pPr>
              <w:rPr>
                <w:rFonts w:ascii="Arial" w:hAnsi="Arial" w:cs="Arial"/>
                <w:sz w:val="15"/>
                <w:szCs w:val="15"/>
              </w:rPr>
            </w:pPr>
            <w:r w:rsidRPr="00251EA9">
              <w:rPr>
                <w:rFonts w:ascii="Arial" w:hAnsi="Arial" w:cs="Arial"/>
                <w:sz w:val="15"/>
                <w:szCs w:val="15"/>
              </w:rPr>
              <w:t>SSI occurred in 4%: 5 patients postoperatively (out of 124 total patients).</w:t>
            </w:r>
          </w:p>
        </w:tc>
        <w:tc>
          <w:tcPr>
            <w:tcW w:w="1701" w:type="dxa"/>
          </w:tcPr>
          <w:p w14:paraId="7C50866E" w14:textId="17CEEB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0DCA103" w14:textId="77777777" w:rsidTr="00A77951">
        <w:trPr>
          <w:trHeight w:val="586"/>
        </w:trPr>
        <w:tc>
          <w:tcPr>
            <w:tcW w:w="992" w:type="dxa"/>
          </w:tcPr>
          <w:p w14:paraId="70BBFEB4" w14:textId="345BDF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Henry R.K. et al., 2021</w:t>
            </w:r>
          </w:p>
        </w:tc>
        <w:tc>
          <w:tcPr>
            <w:tcW w:w="851" w:type="dxa"/>
          </w:tcPr>
          <w:p w14:paraId="6216E0C0" w14:textId="2F78C93A" w:rsidR="006E5533" w:rsidRPr="00A77951" w:rsidRDefault="006E5533" w:rsidP="006E5533">
            <w:pPr>
              <w:spacing w:line="360" w:lineRule="auto"/>
              <w:contextualSpacing/>
              <w:rPr>
                <w:rFonts w:ascii="Arial" w:hAnsi="Arial" w:cs="Arial"/>
                <w:sz w:val="15"/>
                <w:szCs w:val="15"/>
              </w:rPr>
            </w:pPr>
            <w:hyperlink r:id="rId183" w:history="1">
              <w:r w:rsidRPr="00A77951">
                <w:rPr>
                  <w:rStyle w:val="Hyperlink"/>
                  <w:rFonts w:ascii="Arial" w:hAnsi="Arial" w:cs="Arial"/>
                  <w:sz w:val="15"/>
                  <w:szCs w:val="15"/>
                </w:rPr>
                <w:t>10.1002/lary.29485</w:t>
              </w:r>
            </w:hyperlink>
          </w:p>
        </w:tc>
        <w:tc>
          <w:tcPr>
            <w:tcW w:w="851" w:type="dxa"/>
          </w:tcPr>
          <w:p w14:paraId="77272C42" w14:textId="5F0AF0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4D9DD55" w14:textId="5AB116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50CDB60" w14:textId="1F7E84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948AF03" w14:textId="07DC936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746F0EAE" w14:textId="3BF173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utility of a frailty index in predicting complications after skull base operations.</w:t>
            </w:r>
          </w:p>
        </w:tc>
        <w:tc>
          <w:tcPr>
            <w:tcW w:w="1134" w:type="dxa"/>
          </w:tcPr>
          <w:p w14:paraId="63932E82" w14:textId="38E17CC9" w:rsidR="006E5533" w:rsidRPr="00251EA9" w:rsidRDefault="006E5533" w:rsidP="006E5533">
            <w:pPr>
              <w:spacing w:line="360" w:lineRule="auto"/>
              <w:contextualSpacing/>
              <w:rPr>
                <w:rFonts w:ascii="Arial" w:hAnsi="Arial" w:cs="Arial"/>
                <w:sz w:val="15"/>
                <w:szCs w:val="15"/>
              </w:rPr>
            </w:pPr>
          </w:p>
        </w:tc>
        <w:tc>
          <w:tcPr>
            <w:tcW w:w="992" w:type="dxa"/>
          </w:tcPr>
          <w:p w14:paraId="206C1076" w14:textId="7D533E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CC05389" w14:textId="3DBA50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951925A" w14:textId="01E61331" w:rsidR="006E5533" w:rsidRPr="00251EA9" w:rsidRDefault="006E5533" w:rsidP="006E5533">
            <w:pPr>
              <w:rPr>
                <w:rFonts w:ascii="Arial" w:hAnsi="Arial" w:cs="Arial"/>
                <w:sz w:val="15"/>
                <w:szCs w:val="15"/>
              </w:rPr>
            </w:pPr>
            <w:r w:rsidRPr="00251EA9">
              <w:rPr>
                <w:rFonts w:ascii="Arial" w:hAnsi="Arial" w:cs="Arial"/>
                <w:sz w:val="15"/>
                <w:szCs w:val="15"/>
              </w:rPr>
              <w:t>Many local surgical complications do not significantly increase with mFI-5 score including superficial SSI, deep SSI, and graft, prosthesis or flap failure.</w:t>
            </w:r>
          </w:p>
        </w:tc>
        <w:tc>
          <w:tcPr>
            <w:tcW w:w="1701" w:type="dxa"/>
          </w:tcPr>
          <w:p w14:paraId="3968499B" w14:textId="6FA237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384E04E" w14:textId="77777777" w:rsidTr="00A77951">
        <w:trPr>
          <w:trHeight w:val="586"/>
        </w:trPr>
        <w:tc>
          <w:tcPr>
            <w:tcW w:w="992" w:type="dxa"/>
          </w:tcPr>
          <w:p w14:paraId="6C448375" w14:textId="7B750B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Hill T. et al., 2017</w:t>
            </w:r>
          </w:p>
        </w:tc>
        <w:tc>
          <w:tcPr>
            <w:tcW w:w="851" w:type="dxa"/>
          </w:tcPr>
          <w:p w14:paraId="300F400F" w14:textId="47CC7024" w:rsidR="006E5533" w:rsidRPr="00A77951" w:rsidRDefault="006E5533" w:rsidP="006E5533">
            <w:pPr>
              <w:spacing w:line="360" w:lineRule="auto"/>
              <w:contextualSpacing/>
              <w:rPr>
                <w:rFonts w:ascii="Arial" w:hAnsi="Arial" w:cs="Arial"/>
                <w:sz w:val="15"/>
                <w:szCs w:val="15"/>
              </w:rPr>
            </w:pPr>
            <w:hyperlink r:id="rId184" w:history="1">
              <w:r w:rsidRPr="00A77951">
                <w:rPr>
                  <w:rStyle w:val="Hyperlink"/>
                  <w:rFonts w:ascii="Arial" w:hAnsi="Arial" w:cs="Arial"/>
                  <w:sz w:val="15"/>
                  <w:szCs w:val="15"/>
                </w:rPr>
                <w:t>10.1016/j.wneu.2017.01.093</w:t>
              </w:r>
            </w:hyperlink>
          </w:p>
        </w:tc>
        <w:tc>
          <w:tcPr>
            <w:tcW w:w="851" w:type="dxa"/>
          </w:tcPr>
          <w:p w14:paraId="1B740C14" w14:textId="4F94C2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E001662" w14:textId="43BFBC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Retrospective </w:t>
            </w:r>
          </w:p>
        </w:tc>
        <w:tc>
          <w:tcPr>
            <w:tcW w:w="992" w:type="dxa"/>
          </w:tcPr>
          <w:p w14:paraId="74679380" w14:textId="75CE5C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recorded</w:t>
            </w:r>
          </w:p>
        </w:tc>
        <w:tc>
          <w:tcPr>
            <w:tcW w:w="1276" w:type="dxa"/>
          </w:tcPr>
          <w:p w14:paraId="449296E7" w14:textId="4CFB37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(EEG for epilepsy)</w:t>
            </w:r>
          </w:p>
        </w:tc>
        <w:tc>
          <w:tcPr>
            <w:tcW w:w="1843" w:type="dxa"/>
          </w:tcPr>
          <w:p w14:paraId="46B3EA11" w14:textId="4F4B18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efficacy and risks of diagnostic bilateral intracranial EEG (</w:t>
            </w:r>
            <w:proofErr w:type="spellStart"/>
            <w:r w:rsidRPr="00251EA9">
              <w:rPr>
                <w:rFonts w:ascii="Arial" w:hAnsi="Arial" w:cs="Arial"/>
                <w:sz w:val="15"/>
                <w:szCs w:val="15"/>
              </w:rPr>
              <w:t>bICEEG</w:t>
            </w:r>
            <w:proofErr w:type="spellEnd"/>
            <w:r w:rsidRPr="00251EA9">
              <w:rPr>
                <w:rFonts w:ascii="Arial" w:hAnsi="Arial" w:cs="Arial"/>
                <w:sz w:val="15"/>
                <w:szCs w:val="15"/>
              </w:rPr>
              <w:t xml:space="preserve">) in treatment-resistant epilepsy patients with poorly lateralised epileptogenic zone on non-invasive studies as </w:t>
            </w:r>
            <w:r w:rsidRPr="00251EA9">
              <w:rPr>
                <w:rFonts w:ascii="Arial" w:hAnsi="Arial" w:cs="Arial"/>
                <w:sz w:val="15"/>
                <w:szCs w:val="15"/>
              </w:rPr>
              <w:lastRenderedPageBreak/>
              <w:t>reflected by progress to resection, Engel outcome and complication rate.</w:t>
            </w:r>
          </w:p>
        </w:tc>
        <w:tc>
          <w:tcPr>
            <w:tcW w:w="1134" w:type="dxa"/>
          </w:tcPr>
          <w:p w14:paraId="7F277952" w14:textId="0F0624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w:t>
            </w:r>
          </w:p>
        </w:tc>
        <w:tc>
          <w:tcPr>
            <w:tcW w:w="992" w:type="dxa"/>
          </w:tcPr>
          <w:p w14:paraId="28663541" w14:textId="555BD6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415B8D4" w14:textId="77963C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060A264" w14:textId="72958BB8" w:rsidR="006E5533" w:rsidRPr="00251EA9" w:rsidRDefault="006E5533" w:rsidP="006E5533">
            <w:pPr>
              <w:rPr>
                <w:rFonts w:ascii="Arial" w:hAnsi="Arial" w:cs="Arial"/>
                <w:sz w:val="15"/>
                <w:szCs w:val="15"/>
              </w:rPr>
            </w:pPr>
            <w:r w:rsidRPr="00251EA9">
              <w:rPr>
                <w:rFonts w:ascii="Arial" w:hAnsi="Arial" w:cs="Arial"/>
                <w:sz w:val="15"/>
                <w:szCs w:val="15"/>
              </w:rPr>
              <w:t>The most common complications were severe infection requiring surgical intervention (2.8%) followed by superficial infection (0.9%).</w:t>
            </w:r>
          </w:p>
        </w:tc>
        <w:tc>
          <w:tcPr>
            <w:tcW w:w="1701" w:type="dxa"/>
          </w:tcPr>
          <w:p w14:paraId="16429618" w14:textId="12FA84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E2C913C" w14:textId="77777777" w:rsidTr="00A77951">
        <w:trPr>
          <w:trHeight w:val="586"/>
        </w:trPr>
        <w:tc>
          <w:tcPr>
            <w:tcW w:w="992" w:type="dxa"/>
          </w:tcPr>
          <w:p w14:paraId="416F732B" w14:textId="297830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Hirsch L.J. et al., 2020</w:t>
            </w:r>
          </w:p>
        </w:tc>
        <w:tc>
          <w:tcPr>
            <w:tcW w:w="851" w:type="dxa"/>
          </w:tcPr>
          <w:p w14:paraId="6C693335" w14:textId="08F6E627" w:rsidR="006E5533" w:rsidRPr="00A77951" w:rsidRDefault="006E5533" w:rsidP="006E5533">
            <w:pPr>
              <w:spacing w:line="360" w:lineRule="auto"/>
              <w:contextualSpacing/>
              <w:rPr>
                <w:rFonts w:ascii="Arial" w:hAnsi="Arial" w:cs="Arial"/>
                <w:sz w:val="15"/>
                <w:szCs w:val="15"/>
              </w:rPr>
            </w:pPr>
            <w:hyperlink r:id="rId185" w:history="1">
              <w:r w:rsidRPr="00A77951">
                <w:rPr>
                  <w:rStyle w:val="Hyperlink"/>
                  <w:rFonts w:ascii="Arial" w:hAnsi="Arial" w:cs="Arial"/>
                  <w:sz w:val="15"/>
                  <w:szCs w:val="15"/>
                </w:rPr>
                <w:t>10.1111/epi.16442</w:t>
              </w:r>
            </w:hyperlink>
          </w:p>
        </w:tc>
        <w:tc>
          <w:tcPr>
            <w:tcW w:w="851" w:type="dxa"/>
          </w:tcPr>
          <w:p w14:paraId="6BA22112" w14:textId="4A68EB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5DB9152" w14:textId="6B7D5E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362D248" w14:textId="652636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129BF50" w14:textId="124485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(temporal lobe resection for epilepsy)</w:t>
            </w:r>
          </w:p>
        </w:tc>
        <w:tc>
          <w:tcPr>
            <w:tcW w:w="1843" w:type="dxa"/>
          </w:tcPr>
          <w:p w14:paraId="499D51E1" w14:textId="47F7AD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seizure outcomes in patients with medically refractory epilepsy who had evidence of bilateral mesial temporal lobe seizure onsets and</w:t>
            </w:r>
            <w:r w:rsidRPr="00251EA9">
              <w:rPr>
                <w:rFonts w:ascii="Arial" w:hAnsi="Arial" w:cs="Arial"/>
                <w:sz w:val="15"/>
                <w:szCs w:val="15"/>
              </w:rPr>
              <w:br/>
              <w:t xml:space="preserve">underwent resection based on chronic ambulatory intracranial EEG </w:t>
            </w:r>
            <w:r w:rsidRPr="00251EA9">
              <w:rPr>
                <w:rFonts w:ascii="Arial" w:hAnsi="Arial" w:cs="Arial"/>
                <w:sz w:val="15"/>
                <w:szCs w:val="15"/>
              </w:rPr>
              <w:br/>
              <w:t>data from a direct brain-responsive neurostimulator system.</w:t>
            </w:r>
          </w:p>
        </w:tc>
        <w:tc>
          <w:tcPr>
            <w:tcW w:w="1134" w:type="dxa"/>
          </w:tcPr>
          <w:p w14:paraId="335AFB35" w14:textId="4140A9CF" w:rsidR="006E5533" w:rsidRPr="00251EA9" w:rsidRDefault="006E5533" w:rsidP="006E5533">
            <w:pPr>
              <w:spacing w:line="360" w:lineRule="auto"/>
              <w:contextualSpacing/>
              <w:rPr>
                <w:rFonts w:ascii="Arial" w:hAnsi="Arial" w:cs="Arial"/>
                <w:sz w:val="15"/>
                <w:szCs w:val="15"/>
              </w:rPr>
            </w:pPr>
          </w:p>
        </w:tc>
        <w:tc>
          <w:tcPr>
            <w:tcW w:w="992" w:type="dxa"/>
          </w:tcPr>
          <w:p w14:paraId="4463EB42" w14:textId="05EC34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84515FF" w14:textId="7D79E7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D69BB5E" w14:textId="7F44FA0B" w:rsidR="006E5533" w:rsidRPr="00251EA9" w:rsidRDefault="006E5533" w:rsidP="006E5533">
            <w:pPr>
              <w:rPr>
                <w:rFonts w:ascii="Arial" w:hAnsi="Arial" w:cs="Arial"/>
                <w:sz w:val="15"/>
                <w:szCs w:val="15"/>
              </w:rPr>
            </w:pPr>
            <w:r w:rsidRPr="00251EA9">
              <w:rPr>
                <w:rFonts w:ascii="Arial" w:hAnsi="Arial" w:cs="Arial"/>
                <w:sz w:val="15"/>
                <w:szCs w:val="15"/>
              </w:rPr>
              <w:t>Two patients developed an implant-site infection</w:t>
            </w:r>
            <w:r w:rsidRPr="00251EA9">
              <w:rPr>
                <w:rFonts w:ascii="Arial" w:hAnsi="Arial" w:cs="Arial"/>
                <w:sz w:val="15"/>
                <w:szCs w:val="15"/>
              </w:rPr>
              <w:br/>
              <w:t xml:space="preserve">(8.3%) and one patient had a scalp dehiscence (4.2%). </w:t>
            </w:r>
          </w:p>
        </w:tc>
        <w:tc>
          <w:tcPr>
            <w:tcW w:w="1701" w:type="dxa"/>
          </w:tcPr>
          <w:p w14:paraId="7C45D5EB" w14:textId="7C4C28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05C7A28" w14:textId="77777777" w:rsidTr="00A77951">
        <w:trPr>
          <w:trHeight w:val="586"/>
        </w:trPr>
        <w:tc>
          <w:tcPr>
            <w:tcW w:w="992" w:type="dxa"/>
          </w:tcPr>
          <w:p w14:paraId="35ED7E3E" w14:textId="50C4E09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Hng</w:t>
            </w:r>
            <w:proofErr w:type="spellEnd"/>
            <w:r w:rsidRPr="00251EA9">
              <w:rPr>
                <w:rFonts w:ascii="Arial" w:hAnsi="Arial" w:cs="Arial"/>
                <w:sz w:val="15"/>
                <w:szCs w:val="15"/>
              </w:rPr>
              <w:t xml:space="preserve"> D. et al., 2014</w:t>
            </w:r>
          </w:p>
        </w:tc>
        <w:tc>
          <w:tcPr>
            <w:tcW w:w="851" w:type="dxa"/>
          </w:tcPr>
          <w:p w14:paraId="6044DA57" w14:textId="02E82E2E" w:rsidR="006E5533" w:rsidRPr="00A77951" w:rsidRDefault="006E5533" w:rsidP="006E5533">
            <w:pPr>
              <w:spacing w:line="360" w:lineRule="auto"/>
              <w:contextualSpacing/>
              <w:rPr>
                <w:rFonts w:ascii="Arial" w:hAnsi="Arial" w:cs="Arial"/>
                <w:sz w:val="15"/>
                <w:szCs w:val="15"/>
              </w:rPr>
            </w:pPr>
            <w:hyperlink r:id="rId186" w:history="1">
              <w:r w:rsidRPr="00A77951">
                <w:rPr>
                  <w:rStyle w:val="Hyperlink"/>
                  <w:rFonts w:ascii="Arial" w:hAnsi="Arial" w:cs="Arial"/>
                  <w:sz w:val="15"/>
                  <w:szCs w:val="15"/>
                </w:rPr>
                <w:t>10.1055/s-0034-1395383</w:t>
              </w:r>
            </w:hyperlink>
          </w:p>
        </w:tc>
        <w:tc>
          <w:tcPr>
            <w:tcW w:w="851" w:type="dxa"/>
          </w:tcPr>
          <w:p w14:paraId="7310E2CB" w14:textId="0ECCFA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Australia</w:t>
            </w:r>
          </w:p>
        </w:tc>
        <w:tc>
          <w:tcPr>
            <w:tcW w:w="1134" w:type="dxa"/>
          </w:tcPr>
          <w:p w14:paraId="69D97084" w14:textId="25147B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5BE7203" w14:textId="4E8AB5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628B2D0" w14:textId="153B23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260813E" w14:textId="0975F7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clinical outcomes</w:t>
            </w:r>
            <w:r w:rsidRPr="00251EA9">
              <w:rPr>
                <w:rFonts w:ascii="Arial" w:hAnsi="Arial" w:cs="Arial"/>
                <w:sz w:val="15"/>
                <w:szCs w:val="15"/>
              </w:rPr>
              <w:br/>
              <w:t>and complications of cranioplasties using cryopreserved autologous bone flaps performed over a 10-year period and analyse potential risk factors for infection.</w:t>
            </w:r>
          </w:p>
        </w:tc>
        <w:tc>
          <w:tcPr>
            <w:tcW w:w="1134" w:type="dxa"/>
          </w:tcPr>
          <w:p w14:paraId="2B4B23C2" w14:textId="0D9AD6E6" w:rsidR="006E5533" w:rsidRPr="00251EA9" w:rsidRDefault="006E5533" w:rsidP="006E5533">
            <w:pPr>
              <w:spacing w:line="360" w:lineRule="auto"/>
              <w:contextualSpacing/>
              <w:rPr>
                <w:rFonts w:ascii="Arial" w:hAnsi="Arial" w:cs="Arial"/>
                <w:sz w:val="15"/>
                <w:szCs w:val="15"/>
              </w:rPr>
            </w:pPr>
          </w:p>
        </w:tc>
        <w:tc>
          <w:tcPr>
            <w:tcW w:w="992" w:type="dxa"/>
          </w:tcPr>
          <w:p w14:paraId="7CA78318" w14:textId="25A3D8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15D23B5" w14:textId="70C403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D2FB77D" w14:textId="289696F3" w:rsidR="006E5533" w:rsidRPr="00251EA9" w:rsidRDefault="006E5533" w:rsidP="006E5533">
            <w:pPr>
              <w:rPr>
                <w:rFonts w:ascii="Arial" w:hAnsi="Arial" w:cs="Arial"/>
                <w:sz w:val="15"/>
                <w:szCs w:val="15"/>
              </w:rPr>
            </w:pPr>
            <w:r w:rsidRPr="00251EA9">
              <w:rPr>
                <w:rFonts w:ascii="Arial" w:hAnsi="Arial" w:cs="Arial"/>
                <w:sz w:val="15"/>
                <w:szCs w:val="15"/>
              </w:rPr>
              <w:t>11.2% of patients had an infection requiring removal of the bone flap.</w:t>
            </w:r>
          </w:p>
        </w:tc>
        <w:tc>
          <w:tcPr>
            <w:tcW w:w="1701" w:type="dxa"/>
          </w:tcPr>
          <w:p w14:paraId="1A9EFCFF" w14:textId="4081B0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22B0047" w14:textId="77777777" w:rsidTr="00A77951">
        <w:trPr>
          <w:trHeight w:val="586"/>
        </w:trPr>
        <w:tc>
          <w:tcPr>
            <w:tcW w:w="992" w:type="dxa"/>
          </w:tcPr>
          <w:p w14:paraId="655CB90D" w14:textId="17CB7B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Ho A. et al., 2018</w:t>
            </w:r>
          </w:p>
        </w:tc>
        <w:tc>
          <w:tcPr>
            <w:tcW w:w="851" w:type="dxa"/>
          </w:tcPr>
          <w:p w14:paraId="5EED48EB" w14:textId="20403D2E" w:rsidR="006E5533" w:rsidRPr="00A77951" w:rsidRDefault="006E5533" w:rsidP="006E5533">
            <w:pPr>
              <w:spacing w:line="360" w:lineRule="auto"/>
              <w:contextualSpacing/>
              <w:rPr>
                <w:rFonts w:ascii="Arial" w:hAnsi="Arial" w:cs="Arial"/>
                <w:sz w:val="15"/>
                <w:szCs w:val="15"/>
              </w:rPr>
            </w:pPr>
            <w:hyperlink r:id="rId187" w:history="1">
              <w:r w:rsidRPr="00A77951">
                <w:rPr>
                  <w:rStyle w:val="Hyperlink"/>
                  <w:rFonts w:ascii="Arial" w:hAnsi="Arial" w:cs="Arial"/>
                  <w:sz w:val="15"/>
                  <w:szCs w:val="15"/>
                </w:rPr>
                <w:t>10.3171/2018.</w:t>
              </w:r>
              <w:proofErr w:type="gramStart"/>
              <w:r w:rsidRPr="00A77951">
                <w:rPr>
                  <w:rStyle w:val="Hyperlink"/>
                  <w:rFonts w:ascii="Arial" w:hAnsi="Arial" w:cs="Arial"/>
                  <w:sz w:val="15"/>
                  <w:szCs w:val="15"/>
                </w:rPr>
                <w:t>5.PEDS</w:t>
              </w:r>
              <w:proofErr w:type="gramEnd"/>
              <w:r w:rsidRPr="00A77951">
                <w:rPr>
                  <w:rStyle w:val="Hyperlink"/>
                  <w:rFonts w:ascii="Arial" w:hAnsi="Arial" w:cs="Arial"/>
                  <w:sz w:val="15"/>
                  <w:szCs w:val="15"/>
                </w:rPr>
                <w:t>17719</w:t>
              </w:r>
            </w:hyperlink>
          </w:p>
        </w:tc>
        <w:tc>
          <w:tcPr>
            <w:tcW w:w="851" w:type="dxa"/>
          </w:tcPr>
          <w:p w14:paraId="31341DA9" w14:textId="465CBC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762B27D" w14:textId="16306A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06633EF" w14:textId="19667C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4BE33F73" w14:textId="7B7FB3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680600A2" w14:textId="2F5ED0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use of topical vancomycin following open craniotomy in the paediatric</w:t>
            </w:r>
            <w:r w:rsidRPr="00251EA9">
              <w:rPr>
                <w:rFonts w:ascii="Arial" w:hAnsi="Arial" w:cs="Arial"/>
                <w:sz w:val="15"/>
                <w:szCs w:val="15"/>
              </w:rPr>
              <w:br/>
              <w:t>population.</w:t>
            </w:r>
          </w:p>
        </w:tc>
        <w:tc>
          <w:tcPr>
            <w:tcW w:w="1134" w:type="dxa"/>
          </w:tcPr>
          <w:p w14:paraId="4953293B" w14:textId="637B6E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Use of topical vancomycin vs control (no topical vancomycin)</w:t>
            </w:r>
          </w:p>
        </w:tc>
        <w:tc>
          <w:tcPr>
            <w:tcW w:w="992" w:type="dxa"/>
          </w:tcPr>
          <w:p w14:paraId="1661A93B" w14:textId="764A32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BA60C62" w14:textId="45A6F7A2"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6C35DE2C" w14:textId="76BBDF44" w:rsidR="006E5533" w:rsidRPr="00251EA9" w:rsidRDefault="006E5533" w:rsidP="006E5533">
            <w:pPr>
              <w:rPr>
                <w:rFonts w:ascii="Arial" w:hAnsi="Arial" w:cs="Arial"/>
                <w:sz w:val="15"/>
                <w:szCs w:val="15"/>
              </w:rPr>
            </w:pPr>
            <w:r w:rsidRPr="00251EA9">
              <w:rPr>
                <w:rFonts w:ascii="Arial" w:hAnsi="Arial" w:cs="Arial"/>
                <w:sz w:val="15"/>
                <w:szCs w:val="15"/>
              </w:rPr>
              <w:t>466 open craniotomies were included of which 43%</w:t>
            </w:r>
            <w:r w:rsidRPr="00251EA9">
              <w:rPr>
                <w:rFonts w:ascii="Arial" w:hAnsi="Arial" w:cs="Arial"/>
                <w:sz w:val="15"/>
                <w:szCs w:val="15"/>
              </w:rPr>
              <w:br/>
              <w:t>utilised topical vancomycin. There was a 1.5% SSI rate in the non-topical cohort versus 0% in the topical vancomycin</w:t>
            </w:r>
            <w:r w:rsidRPr="00251EA9">
              <w:rPr>
                <w:rFonts w:ascii="Arial" w:hAnsi="Arial" w:cs="Arial"/>
                <w:sz w:val="15"/>
                <w:szCs w:val="15"/>
              </w:rPr>
              <w:br/>
              <w:t xml:space="preserve">cohort. There were no significant differences in risk factors for SSI between cohorts. </w:t>
            </w:r>
          </w:p>
        </w:tc>
        <w:tc>
          <w:tcPr>
            <w:tcW w:w="1701" w:type="dxa"/>
          </w:tcPr>
          <w:p w14:paraId="69991E44" w14:textId="2F155D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A47A8D5" w14:textId="77777777" w:rsidTr="00A77951">
        <w:trPr>
          <w:trHeight w:val="586"/>
        </w:trPr>
        <w:tc>
          <w:tcPr>
            <w:tcW w:w="992" w:type="dxa"/>
          </w:tcPr>
          <w:p w14:paraId="43805F21" w14:textId="10AB99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Hoang T. et al., 2023</w:t>
            </w:r>
          </w:p>
        </w:tc>
        <w:tc>
          <w:tcPr>
            <w:tcW w:w="851" w:type="dxa"/>
          </w:tcPr>
          <w:p w14:paraId="0D1937B2" w14:textId="5B77D678" w:rsidR="006E5533" w:rsidRPr="00A77951" w:rsidRDefault="006E5533" w:rsidP="006E5533">
            <w:pPr>
              <w:spacing w:line="360" w:lineRule="auto"/>
              <w:contextualSpacing/>
              <w:rPr>
                <w:rFonts w:ascii="Arial" w:hAnsi="Arial" w:cs="Arial"/>
                <w:sz w:val="15"/>
                <w:szCs w:val="15"/>
              </w:rPr>
            </w:pPr>
            <w:hyperlink r:id="rId188" w:history="1">
              <w:r w:rsidRPr="00A77951">
                <w:rPr>
                  <w:rStyle w:val="Hyperlink"/>
                  <w:rFonts w:ascii="Arial" w:hAnsi="Arial" w:cs="Arial"/>
                  <w:sz w:val="15"/>
                  <w:szCs w:val="15"/>
                </w:rPr>
                <w:t>10.1017/ice.2022.112</w:t>
              </w:r>
            </w:hyperlink>
          </w:p>
        </w:tc>
        <w:tc>
          <w:tcPr>
            <w:tcW w:w="851" w:type="dxa"/>
          </w:tcPr>
          <w:p w14:paraId="2ECE54AC" w14:textId="387B50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Canada</w:t>
            </w:r>
          </w:p>
        </w:tc>
        <w:tc>
          <w:tcPr>
            <w:tcW w:w="1134" w:type="dxa"/>
          </w:tcPr>
          <w:p w14:paraId="3C93229A" w14:textId="59C1FD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3A338CC" w14:textId="022B35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reported</w:t>
            </w:r>
          </w:p>
        </w:tc>
        <w:tc>
          <w:tcPr>
            <w:tcW w:w="1276" w:type="dxa"/>
          </w:tcPr>
          <w:p w14:paraId="57C6D58E" w14:textId="606ABD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1FB94B6" w14:textId="0599B4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utility of autologous bone-flap swab cultures performed at the time of cranioplasty in predicting post-cranioplasty</w:t>
            </w:r>
            <w:r w:rsidRPr="00251EA9">
              <w:rPr>
                <w:rFonts w:ascii="Arial" w:hAnsi="Arial" w:cs="Arial"/>
                <w:sz w:val="15"/>
                <w:szCs w:val="15"/>
              </w:rPr>
              <w:br/>
              <w:t>surgical site infection.</w:t>
            </w:r>
          </w:p>
        </w:tc>
        <w:tc>
          <w:tcPr>
            <w:tcW w:w="1134" w:type="dxa"/>
          </w:tcPr>
          <w:p w14:paraId="2B84C1B7" w14:textId="74B3D037" w:rsidR="006E5533" w:rsidRPr="00251EA9" w:rsidRDefault="006E5533" w:rsidP="006E5533">
            <w:pPr>
              <w:spacing w:line="360" w:lineRule="auto"/>
              <w:contextualSpacing/>
              <w:rPr>
                <w:rFonts w:ascii="Arial" w:hAnsi="Arial" w:cs="Arial"/>
                <w:sz w:val="15"/>
                <w:szCs w:val="15"/>
              </w:rPr>
            </w:pPr>
          </w:p>
        </w:tc>
        <w:tc>
          <w:tcPr>
            <w:tcW w:w="992" w:type="dxa"/>
          </w:tcPr>
          <w:p w14:paraId="1F085AC8" w14:textId="2A0E5A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E8F7836" w14:textId="372D4E9B"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01036306" w14:textId="181617F7" w:rsidR="006E5533" w:rsidRPr="00251EA9" w:rsidRDefault="006E5533" w:rsidP="006E5533">
            <w:pPr>
              <w:rPr>
                <w:rFonts w:ascii="Arial" w:hAnsi="Arial" w:cs="Arial"/>
                <w:sz w:val="15"/>
                <w:szCs w:val="15"/>
              </w:rPr>
            </w:pPr>
            <w:r w:rsidRPr="00251EA9">
              <w:rPr>
                <w:rFonts w:ascii="Arial" w:hAnsi="Arial" w:cs="Arial"/>
                <w:sz w:val="15"/>
                <w:szCs w:val="15"/>
              </w:rPr>
              <w:t>16 out of 282 cases (5.6%) developed SSI after cranioplasty. A high percentage of bone-flap swab cultures were</w:t>
            </w:r>
            <w:r w:rsidRPr="00251EA9">
              <w:rPr>
                <w:rFonts w:ascii="Arial" w:hAnsi="Arial" w:cs="Arial"/>
                <w:sz w:val="15"/>
                <w:szCs w:val="15"/>
              </w:rPr>
              <w:br/>
              <w:t>positive at the time of craniectomy (66.7%) and cranioplasty (59.5%). Bone-flap swab culture had poor sensitivity, specificity and positive likelihood ratio for predicting post-cranioplasty SSI.</w:t>
            </w:r>
          </w:p>
        </w:tc>
        <w:tc>
          <w:tcPr>
            <w:tcW w:w="1701" w:type="dxa"/>
          </w:tcPr>
          <w:p w14:paraId="79FA8184" w14:textId="3F64C4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4B5DCB7" w14:textId="77777777" w:rsidTr="00A77951">
        <w:trPr>
          <w:trHeight w:val="586"/>
        </w:trPr>
        <w:tc>
          <w:tcPr>
            <w:tcW w:w="992" w:type="dxa"/>
          </w:tcPr>
          <w:p w14:paraId="2647EB5A" w14:textId="325B45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Hoffman H. et al., 2019</w:t>
            </w:r>
          </w:p>
        </w:tc>
        <w:tc>
          <w:tcPr>
            <w:tcW w:w="851" w:type="dxa"/>
          </w:tcPr>
          <w:p w14:paraId="42F583FF" w14:textId="1F6B9263" w:rsidR="006E5533" w:rsidRPr="00A77951" w:rsidRDefault="006E5533" w:rsidP="006E5533">
            <w:pPr>
              <w:spacing w:line="360" w:lineRule="auto"/>
              <w:contextualSpacing/>
              <w:rPr>
                <w:rFonts w:ascii="Arial" w:hAnsi="Arial" w:cs="Arial"/>
                <w:sz w:val="15"/>
                <w:szCs w:val="15"/>
              </w:rPr>
            </w:pPr>
            <w:hyperlink r:id="rId189" w:history="1">
              <w:r w:rsidRPr="00A77951">
                <w:rPr>
                  <w:rStyle w:val="Hyperlink"/>
                  <w:rFonts w:ascii="Arial" w:hAnsi="Arial" w:cs="Arial"/>
                  <w:sz w:val="15"/>
                  <w:szCs w:val="15"/>
                </w:rPr>
                <w:t>10.1016/j.wneu.2019.05.021</w:t>
              </w:r>
            </w:hyperlink>
          </w:p>
        </w:tc>
        <w:tc>
          <w:tcPr>
            <w:tcW w:w="851" w:type="dxa"/>
          </w:tcPr>
          <w:p w14:paraId="301CA640" w14:textId="7F854C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622B4D3" w14:textId="02F581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C7FD8C0" w14:textId="2ACA5F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FAAE5EA" w14:textId="1F8D50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7A430344" w14:textId="486B9B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annual trends, causes, and predictors for 30-day and 90-day readmissions over a 5-year period in patients who underwent Cerebral Aneurysm Clipping.</w:t>
            </w:r>
          </w:p>
        </w:tc>
        <w:tc>
          <w:tcPr>
            <w:tcW w:w="1134" w:type="dxa"/>
          </w:tcPr>
          <w:p w14:paraId="77E14FEB" w14:textId="634C18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19C3F345" w14:textId="3774CD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D584C27" w14:textId="623A4F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F6E1C7C" w14:textId="0C5F3853" w:rsidR="006E5533" w:rsidRPr="00251EA9" w:rsidRDefault="006E5533" w:rsidP="006E5533">
            <w:pPr>
              <w:rPr>
                <w:rFonts w:ascii="Arial" w:hAnsi="Arial" w:cs="Arial"/>
                <w:sz w:val="15"/>
                <w:szCs w:val="15"/>
              </w:rPr>
            </w:pPr>
            <w:r w:rsidRPr="00251EA9">
              <w:rPr>
                <w:rFonts w:ascii="Arial" w:hAnsi="Arial" w:cs="Arial"/>
                <w:sz w:val="15"/>
                <w:szCs w:val="15"/>
              </w:rPr>
              <w:t>Wound infection was the most common cause associated with 30-day readmissions (8.8%) and was the third most common among 90-day readmission (10%). Wound infection occurred in 9 cases (8.8%).</w:t>
            </w:r>
          </w:p>
        </w:tc>
        <w:tc>
          <w:tcPr>
            <w:tcW w:w="1701" w:type="dxa"/>
          </w:tcPr>
          <w:p w14:paraId="0E4769E3" w14:textId="780133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B80382D" w14:textId="77777777" w:rsidTr="00A77951">
        <w:trPr>
          <w:trHeight w:val="586"/>
        </w:trPr>
        <w:tc>
          <w:tcPr>
            <w:tcW w:w="992" w:type="dxa"/>
          </w:tcPr>
          <w:p w14:paraId="630D99F1" w14:textId="638CBE7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Honeybul</w:t>
            </w:r>
            <w:proofErr w:type="spellEnd"/>
            <w:r w:rsidRPr="00251EA9">
              <w:rPr>
                <w:rFonts w:ascii="Arial" w:hAnsi="Arial" w:cs="Arial"/>
                <w:sz w:val="15"/>
                <w:szCs w:val="15"/>
              </w:rPr>
              <w:t xml:space="preserve"> S. et al., 2016</w:t>
            </w:r>
          </w:p>
        </w:tc>
        <w:tc>
          <w:tcPr>
            <w:tcW w:w="851" w:type="dxa"/>
          </w:tcPr>
          <w:p w14:paraId="223EE83A" w14:textId="7CDB9CCE" w:rsidR="006E5533" w:rsidRPr="00A77951" w:rsidRDefault="006E5533" w:rsidP="006E5533">
            <w:pPr>
              <w:spacing w:line="360" w:lineRule="auto"/>
              <w:contextualSpacing/>
              <w:rPr>
                <w:rFonts w:ascii="Arial" w:hAnsi="Arial" w:cs="Arial"/>
                <w:sz w:val="15"/>
                <w:szCs w:val="15"/>
              </w:rPr>
            </w:pPr>
            <w:hyperlink r:id="rId190" w:history="1">
              <w:r w:rsidRPr="00A77951">
                <w:rPr>
                  <w:rStyle w:val="Hyperlink"/>
                  <w:rFonts w:ascii="Arial" w:hAnsi="Arial" w:cs="Arial"/>
                  <w:sz w:val="15"/>
                  <w:szCs w:val="15"/>
                </w:rPr>
                <w:t>10.1080/02688697.2016.1187259</w:t>
              </w:r>
            </w:hyperlink>
          </w:p>
        </w:tc>
        <w:tc>
          <w:tcPr>
            <w:tcW w:w="851" w:type="dxa"/>
          </w:tcPr>
          <w:p w14:paraId="1BD7A8B7" w14:textId="06BC91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Australia</w:t>
            </w:r>
          </w:p>
        </w:tc>
        <w:tc>
          <w:tcPr>
            <w:tcW w:w="1134" w:type="dxa"/>
          </w:tcPr>
          <w:p w14:paraId="3B70391E" w14:textId="036078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B4BF60F" w14:textId="7FAF46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C2B8634" w14:textId="044E37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CC829D1" w14:textId="182318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which factors influenced the incidence of cranioplasty complications and failure.</w:t>
            </w:r>
          </w:p>
        </w:tc>
        <w:tc>
          <w:tcPr>
            <w:tcW w:w="1134" w:type="dxa"/>
          </w:tcPr>
          <w:p w14:paraId="25F92838" w14:textId="73452991" w:rsidR="006E5533" w:rsidRPr="00251EA9" w:rsidRDefault="006E5533" w:rsidP="006E5533">
            <w:pPr>
              <w:spacing w:line="360" w:lineRule="auto"/>
              <w:contextualSpacing/>
              <w:rPr>
                <w:rFonts w:ascii="Arial" w:hAnsi="Arial" w:cs="Arial"/>
                <w:sz w:val="15"/>
                <w:szCs w:val="15"/>
              </w:rPr>
            </w:pPr>
          </w:p>
        </w:tc>
        <w:tc>
          <w:tcPr>
            <w:tcW w:w="992" w:type="dxa"/>
          </w:tcPr>
          <w:p w14:paraId="6288B865" w14:textId="525AE4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216E28B" w14:textId="7C35C0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2FDBEE5" w14:textId="662026B9" w:rsidR="006E5533" w:rsidRPr="00251EA9" w:rsidRDefault="006E5533" w:rsidP="006E5533">
            <w:pPr>
              <w:rPr>
                <w:rFonts w:ascii="Arial" w:hAnsi="Arial" w:cs="Arial"/>
                <w:sz w:val="15"/>
                <w:szCs w:val="15"/>
              </w:rPr>
            </w:pPr>
            <w:r w:rsidRPr="00251EA9">
              <w:rPr>
                <w:rFonts w:ascii="Arial" w:hAnsi="Arial" w:cs="Arial"/>
                <w:sz w:val="15"/>
                <w:szCs w:val="15"/>
              </w:rPr>
              <w:t>Forty-two patients (8.2%) developed cranioplasty infection that necessitated removal of the implant.</w:t>
            </w:r>
          </w:p>
        </w:tc>
        <w:tc>
          <w:tcPr>
            <w:tcW w:w="1701" w:type="dxa"/>
          </w:tcPr>
          <w:p w14:paraId="4B912D35" w14:textId="46A45B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513D3EB" w14:textId="77777777" w:rsidTr="00A77951">
        <w:trPr>
          <w:trHeight w:val="586"/>
        </w:trPr>
        <w:tc>
          <w:tcPr>
            <w:tcW w:w="992" w:type="dxa"/>
          </w:tcPr>
          <w:p w14:paraId="5594F1B3" w14:textId="7547680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Honeybul</w:t>
            </w:r>
            <w:proofErr w:type="spellEnd"/>
            <w:r w:rsidRPr="00251EA9">
              <w:rPr>
                <w:rFonts w:ascii="Arial" w:hAnsi="Arial" w:cs="Arial"/>
                <w:sz w:val="15"/>
                <w:szCs w:val="15"/>
              </w:rPr>
              <w:t xml:space="preserve"> S. et al., 2012</w:t>
            </w:r>
          </w:p>
        </w:tc>
        <w:tc>
          <w:tcPr>
            <w:tcW w:w="851" w:type="dxa"/>
          </w:tcPr>
          <w:p w14:paraId="0F4AFBEB" w14:textId="101B778F" w:rsidR="006E5533" w:rsidRPr="00A77951" w:rsidRDefault="006E5533" w:rsidP="006E5533">
            <w:pPr>
              <w:spacing w:line="360" w:lineRule="auto"/>
              <w:contextualSpacing/>
              <w:rPr>
                <w:rFonts w:ascii="Arial" w:hAnsi="Arial" w:cs="Arial"/>
                <w:sz w:val="15"/>
                <w:szCs w:val="15"/>
              </w:rPr>
            </w:pPr>
            <w:hyperlink r:id="rId191" w:history="1">
              <w:r w:rsidRPr="00A77951">
                <w:rPr>
                  <w:rStyle w:val="Hyperlink"/>
                  <w:rFonts w:ascii="Arial" w:hAnsi="Arial" w:cs="Arial"/>
                  <w:sz w:val="15"/>
                  <w:szCs w:val="15"/>
                </w:rPr>
                <w:t>10.1097/PRS.0b013e318267d4de</w:t>
              </w:r>
            </w:hyperlink>
          </w:p>
        </w:tc>
        <w:tc>
          <w:tcPr>
            <w:tcW w:w="851" w:type="dxa"/>
          </w:tcPr>
          <w:p w14:paraId="4E094D46" w14:textId="04B981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Australia</w:t>
            </w:r>
          </w:p>
        </w:tc>
        <w:tc>
          <w:tcPr>
            <w:tcW w:w="1134" w:type="dxa"/>
          </w:tcPr>
          <w:p w14:paraId="55E649D3" w14:textId="5E726F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EAB03DB" w14:textId="24343E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1BFF175" w14:textId="1AB59B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3B9EC396" w14:textId="2ED2D1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outcome of cranioplasty in patients with a single primary abnormality treated with a single material. </w:t>
            </w:r>
          </w:p>
        </w:tc>
        <w:tc>
          <w:tcPr>
            <w:tcW w:w="1134" w:type="dxa"/>
          </w:tcPr>
          <w:p w14:paraId="54C2202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658F7D3" w14:textId="78BA69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E282A34" w14:textId="1F8A41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Infection requiring removal of autologous bone in patients who survived for at least one year after the initial cranioplasty.</w:t>
            </w:r>
          </w:p>
        </w:tc>
        <w:tc>
          <w:tcPr>
            <w:tcW w:w="2693" w:type="dxa"/>
          </w:tcPr>
          <w:p w14:paraId="35E7CA7C" w14:textId="132351A3" w:rsidR="006E5533" w:rsidRPr="00251EA9" w:rsidRDefault="006E5533" w:rsidP="006E5533">
            <w:pPr>
              <w:rPr>
                <w:rFonts w:ascii="Arial" w:hAnsi="Arial" w:cs="Arial"/>
                <w:sz w:val="15"/>
                <w:szCs w:val="15"/>
              </w:rPr>
            </w:pPr>
            <w:r w:rsidRPr="00251EA9">
              <w:rPr>
                <w:rFonts w:ascii="Arial" w:hAnsi="Arial" w:cs="Arial"/>
                <w:sz w:val="15"/>
                <w:szCs w:val="15"/>
              </w:rPr>
              <w:t xml:space="preserve">Thirteen patients (8.5%) developed an infection requiring removal of the autologous bone. Most of the infections developed within the first postoperative month. </w:t>
            </w:r>
          </w:p>
        </w:tc>
        <w:tc>
          <w:tcPr>
            <w:tcW w:w="1701" w:type="dxa"/>
          </w:tcPr>
          <w:p w14:paraId="184FB65D" w14:textId="02F9F0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BEA478B" w14:textId="77777777" w:rsidTr="00A77951">
        <w:trPr>
          <w:trHeight w:val="586"/>
        </w:trPr>
        <w:tc>
          <w:tcPr>
            <w:tcW w:w="992" w:type="dxa"/>
          </w:tcPr>
          <w:p w14:paraId="33303C89" w14:textId="6999B8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Hoover J.M. et al., 2013</w:t>
            </w:r>
          </w:p>
        </w:tc>
        <w:tc>
          <w:tcPr>
            <w:tcW w:w="851" w:type="dxa"/>
          </w:tcPr>
          <w:p w14:paraId="3A15104A" w14:textId="08C67202" w:rsidR="006E5533" w:rsidRPr="00A77951" w:rsidRDefault="006E5533" w:rsidP="006E5533">
            <w:pPr>
              <w:spacing w:line="360" w:lineRule="auto"/>
              <w:contextualSpacing/>
              <w:rPr>
                <w:rFonts w:ascii="Arial" w:hAnsi="Arial" w:cs="Arial"/>
                <w:sz w:val="15"/>
                <w:szCs w:val="15"/>
              </w:rPr>
            </w:pPr>
            <w:hyperlink r:id="rId192" w:history="1">
              <w:r w:rsidRPr="00A77951">
                <w:rPr>
                  <w:rStyle w:val="Hyperlink"/>
                  <w:rFonts w:ascii="Arial" w:hAnsi="Arial" w:cs="Arial"/>
                  <w:sz w:val="15"/>
                  <w:szCs w:val="15"/>
                </w:rPr>
                <w:t>10.3171/2013.</w:t>
              </w:r>
              <w:proofErr w:type="gramStart"/>
              <w:r w:rsidRPr="00A77951">
                <w:rPr>
                  <w:rStyle w:val="Hyperlink"/>
                  <w:rFonts w:ascii="Arial" w:hAnsi="Arial" w:cs="Arial"/>
                  <w:sz w:val="15"/>
                  <w:szCs w:val="15"/>
                </w:rPr>
                <w:t>2.JNS</w:t>
              </w:r>
              <w:proofErr w:type="gramEnd"/>
              <w:r w:rsidRPr="00A77951">
                <w:rPr>
                  <w:rStyle w:val="Hyperlink"/>
                  <w:rFonts w:ascii="Arial" w:hAnsi="Arial" w:cs="Arial"/>
                  <w:sz w:val="15"/>
                  <w:szCs w:val="15"/>
                </w:rPr>
                <w:t>121731</w:t>
              </w:r>
            </w:hyperlink>
          </w:p>
        </w:tc>
        <w:tc>
          <w:tcPr>
            <w:tcW w:w="851" w:type="dxa"/>
          </w:tcPr>
          <w:p w14:paraId="5C8F2045" w14:textId="233DD9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9D5E25C" w14:textId="7EBFE4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D59E7D3" w14:textId="24F2FA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D1F3BA2" w14:textId="3B9640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23F6F3F" w14:textId="04E66E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The object of this study was to assess outcomes after surgery for recurrent intracranial glioma.</w:t>
            </w:r>
          </w:p>
        </w:tc>
        <w:tc>
          <w:tcPr>
            <w:tcW w:w="1134" w:type="dxa"/>
          </w:tcPr>
          <w:p w14:paraId="669BA2F8"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BC7F130" w14:textId="7E6885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07CAA42" w14:textId="1B89B8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99C8E81" w14:textId="6A4326C1" w:rsidR="006E5533" w:rsidRPr="00251EA9" w:rsidRDefault="006E5533" w:rsidP="006E5533">
            <w:pPr>
              <w:rPr>
                <w:rFonts w:ascii="Arial" w:hAnsi="Arial" w:cs="Arial"/>
                <w:sz w:val="15"/>
                <w:szCs w:val="15"/>
              </w:rPr>
            </w:pPr>
            <w:r w:rsidRPr="00251EA9">
              <w:rPr>
                <w:rFonts w:ascii="Arial" w:hAnsi="Arial" w:cs="Arial"/>
                <w:sz w:val="15"/>
                <w:szCs w:val="15"/>
              </w:rPr>
              <w:t>The most common regional complications were wound infection or CSF-related complications. 14 cases of wound infection (4%).</w:t>
            </w:r>
          </w:p>
        </w:tc>
        <w:tc>
          <w:tcPr>
            <w:tcW w:w="1701" w:type="dxa"/>
          </w:tcPr>
          <w:p w14:paraId="5613AD40" w14:textId="091DA0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D1DE216" w14:textId="77777777" w:rsidTr="00A77951">
        <w:trPr>
          <w:trHeight w:val="586"/>
        </w:trPr>
        <w:tc>
          <w:tcPr>
            <w:tcW w:w="992" w:type="dxa"/>
          </w:tcPr>
          <w:p w14:paraId="25B150E1" w14:textId="5F7FDFF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Horisawa</w:t>
            </w:r>
            <w:proofErr w:type="spellEnd"/>
            <w:r w:rsidRPr="00251EA9">
              <w:rPr>
                <w:rFonts w:ascii="Arial" w:hAnsi="Arial" w:cs="Arial"/>
                <w:sz w:val="15"/>
                <w:szCs w:val="15"/>
              </w:rPr>
              <w:t xml:space="preserve"> S. et al., 2019</w:t>
            </w:r>
          </w:p>
        </w:tc>
        <w:tc>
          <w:tcPr>
            <w:tcW w:w="851" w:type="dxa"/>
          </w:tcPr>
          <w:p w14:paraId="179DAD57" w14:textId="40106E06" w:rsidR="006E5533" w:rsidRPr="00A77951" w:rsidRDefault="006E5533" w:rsidP="006E5533">
            <w:pPr>
              <w:spacing w:line="360" w:lineRule="auto"/>
              <w:contextualSpacing/>
              <w:rPr>
                <w:rFonts w:ascii="Arial" w:hAnsi="Arial" w:cs="Arial"/>
                <w:sz w:val="15"/>
                <w:szCs w:val="15"/>
              </w:rPr>
            </w:pPr>
            <w:hyperlink r:id="rId193" w:history="1">
              <w:r w:rsidRPr="00A77951">
                <w:rPr>
                  <w:rStyle w:val="Hyperlink"/>
                  <w:rFonts w:ascii="Arial" w:hAnsi="Arial" w:cs="Arial"/>
                  <w:sz w:val="15"/>
                  <w:szCs w:val="15"/>
                </w:rPr>
                <w:t>10.1212/WNL.0000000000006818</w:t>
              </w:r>
            </w:hyperlink>
          </w:p>
        </w:tc>
        <w:tc>
          <w:tcPr>
            <w:tcW w:w="851" w:type="dxa"/>
          </w:tcPr>
          <w:p w14:paraId="1E788F86" w14:textId="743D1C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1226BB9C" w14:textId="3FA51A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2F7FE6D" w14:textId="47B984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EE882A0" w14:textId="08F45D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w:t>
            </w:r>
            <w:proofErr w:type="spellStart"/>
            <w:r w:rsidRPr="00251EA9">
              <w:rPr>
                <w:rFonts w:ascii="Arial" w:hAnsi="Arial" w:cs="Arial"/>
                <w:sz w:val="15"/>
                <w:szCs w:val="15"/>
              </w:rPr>
              <w:t>Ventro</w:t>
            </w:r>
            <w:proofErr w:type="spellEnd"/>
            <w:r w:rsidRPr="00251EA9">
              <w:rPr>
                <w:rFonts w:ascii="Arial" w:hAnsi="Arial" w:cs="Arial"/>
                <w:sz w:val="15"/>
                <w:szCs w:val="15"/>
              </w:rPr>
              <w:t>-oral thalamotomy)</w:t>
            </w:r>
          </w:p>
        </w:tc>
        <w:tc>
          <w:tcPr>
            <w:tcW w:w="1843" w:type="dxa"/>
          </w:tcPr>
          <w:p w14:paraId="28E804AD" w14:textId="4B6FF7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report the safety and long-term efficacy of </w:t>
            </w:r>
            <w:proofErr w:type="spellStart"/>
            <w:r w:rsidRPr="00251EA9">
              <w:rPr>
                <w:rFonts w:ascii="Arial" w:hAnsi="Arial" w:cs="Arial"/>
                <w:sz w:val="15"/>
                <w:szCs w:val="15"/>
              </w:rPr>
              <w:t>ventro</w:t>
            </w:r>
            <w:proofErr w:type="spellEnd"/>
            <w:r w:rsidRPr="00251EA9">
              <w:rPr>
                <w:rFonts w:ascii="Arial" w:hAnsi="Arial" w:cs="Arial"/>
                <w:sz w:val="15"/>
                <w:szCs w:val="15"/>
              </w:rPr>
              <w:t>-oral thalamotomy for 171 patients with task-specific focal hand dystonia.</w:t>
            </w:r>
          </w:p>
        </w:tc>
        <w:tc>
          <w:tcPr>
            <w:tcW w:w="1134" w:type="dxa"/>
          </w:tcPr>
          <w:p w14:paraId="68081E70" w14:textId="20F1E730" w:rsidR="006E5533" w:rsidRPr="00251EA9" w:rsidRDefault="006E5533" w:rsidP="006E5533">
            <w:pPr>
              <w:spacing w:line="360" w:lineRule="auto"/>
              <w:contextualSpacing/>
              <w:rPr>
                <w:rFonts w:ascii="Arial" w:hAnsi="Arial" w:cs="Arial"/>
                <w:sz w:val="15"/>
                <w:szCs w:val="15"/>
              </w:rPr>
            </w:pPr>
          </w:p>
        </w:tc>
        <w:tc>
          <w:tcPr>
            <w:tcW w:w="992" w:type="dxa"/>
          </w:tcPr>
          <w:p w14:paraId="1A84945E" w14:textId="63B15E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B3CA047" w14:textId="3203F4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FDDC499" w14:textId="253D2B4D" w:rsidR="006E5533" w:rsidRPr="00251EA9" w:rsidRDefault="006E5533" w:rsidP="006E5533">
            <w:pPr>
              <w:rPr>
                <w:rFonts w:ascii="Arial" w:hAnsi="Arial" w:cs="Arial"/>
                <w:sz w:val="15"/>
                <w:szCs w:val="15"/>
              </w:rPr>
            </w:pPr>
            <w:r w:rsidRPr="00251EA9">
              <w:rPr>
                <w:rFonts w:ascii="Arial" w:hAnsi="Arial" w:cs="Arial"/>
                <w:sz w:val="15"/>
                <w:szCs w:val="15"/>
              </w:rPr>
              <w:t>Surgical site infection</w:t>
            </w:r>
            <w:r w:rsidRPr="00251EA9">
              <w:rPr>
                <w:rFonts w:ascii="Arial" w:hAnsi="Arial" w:cs="Arial"/>
                <w:sz w:val="15"/>
                <w:szCs w:val="15"/>
              </w:rPr>
              <w:br/>
              <w:t>was observed in 2 patients.</w:t>
            </w:r>
          </w:p>
        </w:tc>
        <w:tc>
          <w:tcPr>
            <w:tcW w:w="1701" w:type="dxa"/>
          </w:tcPr>
          <w:p w14:paraId="49CBDE59" w14:textId="07AE8E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35D6EC2" w14:textId="77777777" w:rsidTr="00A77951">
        <w:trPr>
          <w:trHeight w:val="586"/>
        </w:trPr>
        <w:tc>
          <w:tcPr>
            <w:tcW w:w="992" w:type="dxa"/>
          </w:tcPr>
          <w:p w14:paraId="69466A04" w14:textId="104339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Hu H. et al., 2022</w:t>
            </w:r>
          </w:p>
        </w:tc>
        <w:tc>
          <w:tcPr>
            <w:tcW w:w="851" w:type="dxa"/>
          </w:tcPr>
          <w:p w14:paraId="4C28935C" w14:textId="5159B7F7" w:rsidR="006E5533" w:rsidRPr="00A77951" w:rsidRDefault="006E5533" w:rsidP="006E5533">
            <w:pPr>
              <w:spacing w:line="360" w:lineRule="auto"/>
              <w:contextualSpacing/>
              <w:rPr>
                <w:rFonts w:ascii="Arial" w:hAnsi="Arial" w:cs="Arial"/>
                <w:sz w:val="15"/>
                <w:szCs w:val="15"/>
              </w:rPr>
            </w:pPr>
            <w:hyperlink r:id="rId194" w:history="1">
              <w:r w:rsidRPr="00A77951">
                <w:rPr>
                  <w:rStyle w:val="Hyperlink"/>
                  <w:rFonts w:ascii="Arial" w:hAnsi="Arial" w:cs="Arial"/>
                  <w:sz w:val="15"/>
                  <w:szCs w:val="15"/>
                </w:rPr>
                <w:t>10.1016/j.jgar.2023.08.006</w:t>
              </w:r>
            </w:hyperlink>
          </w:p>
        </w:tc>
        <w:tc>
          <w:tcPr>
            <w:tcW w:w="851" w:type="dxa"/>
          </w:tcPr>
          <w:p w14:paraId="4D5E0208" w14:textId="4C6C62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2A80B9EF" w14:textId="5D2830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769D52D" w14:textId="033BB0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223E08A" w14:textId="2418DC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018EE183"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epidemiology and clinical features of carbapenem-resistant Enterobacteriaceae (CRE) induced post-operative CNS infection.</w:t>
            </w:r>
          </w:p>
          <w:p w14:paraId="5569C2A8" w14:textId="616E18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efficacy of various treatment strategies and identify risk factors linked to mortality.</w:t>
            </w:r>
          </w:p>
        </w:tc>
        <w:tc>
          <w:tcPr>
            <w:tcW w:w="1134" w:type="dxa"/>
          </w:tcPr>
          <w:p w14:paraId="555D8D88"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10B86D5" w14:textId="291AA9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551027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Positive CSF culture after neurosurgery </w:t>
            </w:r>
          </w:p>
          <w:p w14:paraId="3240467D" w14:textId="6FD8CB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CSF leukocyte count &gt; 100 × 106/L, neutrophils ratio &gt; 70%, and glucose levels &lt; 2.2 mmol/L</w:t>
            </w:r>
          </w:p>
        </w:tc>
        <w:tc>
          <w:tcPr>
            <w:tcW w:w="2693" w:type="dxa"/>
          </w:tcPr>
          <w:p w14:paraId="66DCEA39" w14:textId="1A845F26" w:rsidR="006E5533" w:rsidRPr="00251EA9" w:rsidRDefault="006E5533" w:rsidP="006E5533">
            <w:pPr>
              <w:rPr>
                <w:rFonts w:ascii="Arial" w:hAnsi="Arial" w:cs="Arial"/>
                <w:sz w:val="15"/>
                <w:szCs w:val="15"/>
              </w:rPr>
            </w:pPr>
            <w:r w:rsidRPr="00251EA9">
              <w:rPr>
                <w:rFonts w:ascii="Arial" w:hAnsi="Arial" w:cs="Arial"/>
                <w:sz w:val="15"/>
                <w:szCs w:val="15"/>
              </w:rPr>
              <w:t>254 cases of post-operative CNS infection reported.</w:t>
            </w:r>
          </w:p>
        </w:tc>
        <w:tc>
          <w:tcPr>
            <w:tcW w:w="1701" w:type="dxa"/>
          </w:tcPr>
          <w:p w14:paraId="4412769E" w14:textId="17E46E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46C3B57" w14:textId="77777777" w:rsidTr="00A77951">
        <w:trPr>
          <w:trHeight w:val="586"/>
        </w:trPr>
        <w:tc>
          <w:tcPr>
            <w:tcW w:w="992" w:type="dxa"/>
          </w:tcPr>
          <w:p w14:paraId="38C8D3A6" w14:textId="63ABC2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Huang Y. et al., 2011</w:t>
            </w:r>
          </w:p>
        </w:tc>
        <w:tc>
          <w:tcPr>
            <w:tcW w:w="851" w:type="dxa"/>
          </w:tcPr>
          <w:p w14:paraId="5783450D" w14:textId="79F36C1F" w:rsidR="006E5533" w:rsidRPr="00A77951" w:rsidRDefault="006E5533" w:rsidP="006E5533">
            <w:pPr>
              <w:spacing w:line="360" w:lineRule="auto"/>
              <w:contextualSpacing/>
              <w:rPr>
                <w:rFonts w:ascii="Arial" w:hAnsi="Arial" w:cs="Arial"/>
                <w:sz w:val="15"/>
                <w:szCs w:val="15"/>
              </w:rPr>
            </w:pPr>
            <w:hyperlink r:id="rId195" w:history="1">
              <w:r w:rsidRPr="00A77951">
                <w:rPr>
                  <w:rStyle w:val="Hyperlink"/>
                  <w:rFonts w:ascii="Arial" w:hAnsi="Arial" w:cs="Arial"/>
                  <w:sz w:val="15"/>
                  <w:szCs w:val="15"/>
                </w:rPr>
                <w:t>10.1016/j.injury.2011.11.005</w:t>
              </w:r>
            </w:hyperlink>
          </w:p>
        </w:tc>
        <w:tc>
          <w:tcPr>
            <w:tcW w:w="851" w:type="dxa"/>
          </w:tcPr>
          <w:p w14:paraId="0B6C4AE5" w14:textId="4A41B3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Taiwan</w:t>
            </w:r>
          </w:p>
        </w:tc>
        <w:tc>
          <w:tcPr>
            <w:tcW w:w="1134" w:type="dxa"/>
          </w:tcPr>
          <w:p w14:paraId="5481E086" w14:textId="4C43EB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58F4A67" w14:textId="2EF6B5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525FD1A" w14:textId="54AD67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0D6BA451" w14:textId="5A3B8F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risk factors of autologous bone flap infection.</w:t>
            </w:r>
          </w:p>
        </w:tc>
        <w:tc>
          <w:tcPr>
            <w:tcW w:w="1134" w:type="dxa"/>
          </w:tcPr>
          <w:p w14:paraId="758B710B" w14:textId="4548F16F" w:rsidR="006E5533" w:rsidRPr="00251EA9" w:rsidRDefault="006E5533" w:rsidP="006E5533">
            <w:pPr>
              <w:spacing w:line="360" w:lineRule="auto"/>
              <w:contextualSpacing/>
              <w:rPr>
                <w:rFonts w:ascii="Arial" w:hAnsi="Arial" w:cs="Arial"/>
                <w:sz w:val="15"/>
                <w:szCs w:val="15"/>
              </w:rPr>
            </w:pPr>
          </w:p>
        </w:tc>
        <w:tc>
          <w:tcPr>
            <w:tcW w:w="992" w:type="dxa"/>
          </w:tcPr>
          <w:p w14:paraId="017CA6FD" w14:textId="75F61A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DABBF40"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Less than 14 days after</w:t>
            </w:r>
            <w:r w:rsidRPr="00251EA9">
              <w:rPr>
                <w:rFonts w:ascii="Arial" w:hAnsi="Arial" w:cs="Arial"/>
                <w:sz w:val="15"/>
                <w:szCs w:val="15"/>
              </w:rPr>
              <w:br/>
              <w:t>cranioplasty:</w:t>
            </w:r>
          </w:p>
          <w:p w14:paraId="30D4CC73"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Pus or infected fluid in the </w:t>
            </w:r>
            <w:proofErr w:type="spellStart"/>
            <w:r w:rsidRPr="00251EA9">
              <w:rPr>
                <w:rFonts w:ascii="Arial" w:hAnsi="Arial" w:cs="Arial"/>
                <w:sz w:val="15"/>
                <w:szCs w:val="15"/>
              </w:rPr>
              <w:t>subgaleal</w:t>
            </w:r>
            <w:proofErr w:type="spellEnd"/>
            <w:r w:rsidRPr="00251EA9">
              <w:rPr>
                <w:rFonts w:ascii="Arial" w:hAnsi="Arial" w:cs="Arial"/>
                <w:sz w:val="15"/>
                <w:szCs w:val="15"/>
              </w:rPr>
              <w:t xml:space="preserve"> layer with or without involvement of epidural and</w:t>
            </w:r>
            <w:r w:rsidRPr="00251EA9">
              <w:rPr>
                <w:rFonts w:ascii="Arial" w:hAnsi="Arial" w:cs="Arial"/>
                <w:sz w:val="15"/>
                <w:szCs w:val="15"/>
              </w:rPr>
              <w:br/>
              <w:t>subdural spaces</w:t>
            </w:r>
          </w:p>
          <w:p w14:paraId="6EB4153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Extensive infection necessitating the</w:t>
            </w:r>
            <w:r w:rsidRPr="00251EA9">
              <w:rPr>
                <w:rFonts w:ascii="Arial" w:hAnsi="Arial" w:cs="Arial"/>
                <w:sz w:val="15"/>
                <w:szCs w:val="15"/>
              </w:rPr>
              <w:br/>
              <w:t xml:space="preserve">removal of the bone flap </w:t>
            </w:r>
          </w:p>
          <w:p w14:paraId="0D9EDD1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 CT scans indicating infection </w:t>
            </w:r>
          </w:p>
          <w:p w14:paraId="22946372"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4. Requirement of surgical debridement </w:t>
            </w:r>
          </w:p>
          <w:p w14:paraId="261EF248" w14:textId="31B7C6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5. Abscess</w:t>
            </w:r>
            <w:r w:rsidRPr="00251EA9">
              <w:rPr>
                <w:rFonts w:ascii="Arial" w:hAnsi="Arial" w:cs="Arial"/>
                <w:sz w:val="15"/>
                <w:szCs w:val="15"/>
              </w:rPr>
              <w:br/>
              <w:t>cultures and swab cultures from skull flaps.</w:t>
            </w:r>
          </w:p>
        </w:tc>
        <w:tc>
          <w:tcPr>
            <w:tcW w:w="2693" w:type="dxa"/>
          </w:tcPr>
          <w:p w14:paraId="0C417ABE" w14:textId="59E92EF0" w:rsidR="006E5533" w:rsidRPr="00251EA9" w:rsidRDefault="006E5533" w:rsidP="006E5533">
            <w:pPr>
              <w:rPr>
                <w:rFonts w:ascii="Arial" w:hAnsi="Arial" w:cs="Arial"/>
                <w:sz w:val="15"/>
                <w:szCs w:val="15"/>
              </w:rPr>
            </w:pPr>
            <w:r w:rsidRPr="00251EA9">
              <w:rPr>
                <w:rFonts w:ascii="Arial" w:hAnsi="Arial" w:cs="Arial"/>
                <w:sz w:val="15"/>
                <w:szCs w:val="15"/>
              </w:rPr>
              <w:lastRenderedPageBreak/>
              <w:t xml:space="preserve">Acute bone flap infection was identified in 5 of the 153 cranioplasties (3.3%). </w:t>
            </w:r>
          </w:p>
        </w:tc>
        <w:tc>
          <w:tcPr>
            <w:tcW w:w="1701" w:type="dxa"/>
          </w:tcPr>
          <w:p w14:paraId="470E8E0C" w14:textId="4F3942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EE047C1" w14:textId="77777777" w:rsidTr="00A77951">
        <w:trPr>
          <w:trHeight w:val="586"/>
        </w:trPr>
        <w:tc>
          <w:tcPr>
            <w:tcW w:w="992" w:type="dxa"/>
          </w:tcPr>
          <w:p w14:paraId="551A9403" w14:textId="740F9F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Huang Y.H. et al., 2013</w:t>
            </w:r>
          </w:p>
        </w:tc>
        <w:tc>
          <w:tcPr>
            <w:tcW w:w="851" w:type="dxa"/>
          </w:tcPr>
          <w:p w14:paraId="3E453E0B" w14:textId="0A87E8F6" w:rsidR="006E5533" w:rsidRPr="00A77951" w:rsidRDefault="006E5533" w:rsidP="006E5533">
            <w:pPr>
              <w:spacing w:line="360" w:lineRule="auto"/>
              <w:contextualSpacing/>
              <w:rPr>
                <w:rFonts w:ascii="Arial" w:hAnsi="Arial" w:cs="Arial"/>
                <w:sz w:val="15"/>
                <w:szCs w:val="15"/>
              </w:rPr>
            </w:pPr>
            <w:hyperlink r:id="rId196" w:history="1">
              <w:r w:rsidRPr="00A77951">
                <w:rPr>
                  <w:rStyle w:val="Hyperlink"/>
                  <w:rFonts w:ascii="Arial" w:hAnsi="Arial" w:cs="Arial"/>
                  <w:sz w:val="15"/>
                  <w:szCs w:val="15"/>
                </w:rPr>
                <w:t>10.1016/j.ijsu.2013.07.013</w:t>
              </w:r>
            </w:hyperlink>
          </w:p>
        </w:tc>
        <w:tc>
          <w:tcPr>
            <w:tcW w:w="851" w:type="dxa"/>
          </w:tcPr>
          <w:p w14:paraId="77AD12B9" w14:textId="748253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5B44907" w14:textId="37CC82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0627B45" w14:textId="750D78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D1FC4DB" w14:textId="541FE1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6CFE7A3" w14:textId="4A9E77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relationship between the timing of cranioplasty and neurological outcomes following post-traumatic craniectomy.</w:t>
            </w:r>
          </w:p>
        </w:tc>
        <w:tc>
          <w:tcPr>
            <w:tcW w:w="1134" w:type="dxa"/>
          </w:tcPr>
          <w:p w14:paraId="00F64F8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454C1F0" w14:textId="36AB80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2A0BEE6" w14:textId="2BCB11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BC8510F" w14:textId="25090323" w:rsidR="006E5533" w:rsidRPr="00251EA9" w:rsidRDefault="006E5533" w:rsidP="006E5533">
            <w:pPr>
              <w:rPr>
                <w:rFonts w:ascii="Arial" w:hAnsi="Arial" w:cs="Arial"/>
                <w:sz w:val="15"/>
                <w:szCs w:val="15"/>
              </w:rPr>
            </w:pPr>
            <w:r w:rsidRPr="00251EA9">
              <w:rPr>
                <w:rFonts w:ascii="Arial" w:hAnsi="Arial" w:cs="Arial"/>
                <w:sz w:val="15"/>
                <w:szCs w:val="15"/>
              </w:rPr>
              <w:t>SSI occurred in 10 patients.</w:t>
            </w:r>
          </w:p>
        </w:tc>
        <w:tc>
          <w:tcPr>
            <w:tcW w:w="1701" w:type="dxa"/>
          </w:tcPr>
          <w:p w14:paraId="3EDA7C53" w14:textId="1405E0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C96E1DF" w14:textId="77777777" w:rsidTr="00A77951">
        <w:trPr>
          <w:trHeight w:val="586"/>
        </w:trPr>
        <w:tc>
          <w:tcPr>
            <w:tcW w:w="992" w:type="dxa"/>
          </w:tcPr>
          <w:p w14:paraId="3C45C223" w14:textId="09CAB6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Huang Y.H. et al., 2011</w:t>
            </w:r>
          </w:p>
        </w:tc>
        <w:tc>
          <w:tcPr>
            <w:tcW w:w="851" w:type="dxa"/>
          </w:tcPr>
          <w:p w14:paraId="5AF319F9" w14:textId="1B00D70C" w:rsidR="006E5533" w:rsidRPr="00A77951" w:rsidRDefault="006E5533" w:rsidP="006E5533">
            <w:pPr>
              <w:spacing w:line="360" w:lineRule="auto"/>
              <w:contextualSpacing/>
              <w:rPr>
                <w:rFonts w:ascii="Arial" w:hAnsi="Arial" w:cs="Arial"/>
                <w:sz w:val="15"/>
                <w:szCs w:val="15"/>
              </w:rPr>
            </w:pPr>
            <w:hyperlink r:id="rId197" w:history="1">
              <w:r w:rsidRPr="00A77951">
                <w:rPr>
                  <w:rStyle w:val="Hyperlink"/>
                  <w:rFonts w:ascii="Arial" w:hAnsi="Arial" w:cs="Arial"/>
                  <w:sz w:val="15"/>
                  <w:szCs w:val="15"/>
                </w:rPr>
                <w:t>10.1097/TA.0b013e318203208a</w:t>
              </w:r>
            </w:hyperlink>
          </w:p>
        </w:tc>
        <w:tc>
          <w:tcPr>
            <w:tcW w:w="851" w:type="dxa"/>
          </w:tcPr>
          <w:p w14:paraId="5B3599BF" w14:textId="6DE287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Taiwan</w:t>
            </w:r>
          </w:p>
        </w:tc>
        <w:tc>
          <w:tcPr>
            <w:tcW w:w="1134" w:type="dxa"/>
          </w:tcPr>
          <w:p w14:paraId="325816D8" w14:textId="3398AD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87129DE" w14:textId="16BC6B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8601BD7" w14:textId="31701B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0A18DA0E" w14:textId="64DAC5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morbidities after craniectomy and cranioplasty in</w:t>
            </w:r>
            <w:r w:rsidRPr="00251EA9">
              <w:rPr>
                <w:rFonts w:ascii="Arial" w:hAnsi="Arial" w:cs="Arial"/>
                <w:sz w:val="15"/>
                <w:szCs w:val="15"/>
              </w:rPr>
              <w:br/>
              <w:t>traumatic brain injury patients with and without the use of Neuro-Patch.</w:t>
            </w:r>
          </w:p>
        </w:tc>
        <w:tc>
          <w:tcPr>
            <w:tcW w:w="1134" w:type="dxa"/>
          </w:tcPr>
          <w:p w14:paraId="7672017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EAFC6F2" w14:textId="29CB20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86FDDC0" w14:textId="456E5218"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r w:rsidR="006E5533" w:rsidRPr="00251EA9">
              <w:rPr>
                <w:rFonts w:ascii="Arial" w:hAnsi="Arial" w:cs="Arial"/>
                <w:sz w:val="15"/>
                <w:szCs w:val="15"/>
              </w:rPr>
              <w:t>.</w:t>
            </w:r>
          </w:p>
        </w:tc>
        <w:tc>
          <w:tcPr>
            <w:tcW w:w="2693" w:type="dxa"/>
          </w:tcPr>
          <w:p w14:paraId="469ACC31" w14:textId="424EF611" w:rsidR="006E5533" w:rsidRPr="00251EA9" w:rsidRDefault="006E5533" w:rsidP="006E5533">
            <w:pPr>
              <w:rPr>
                <w:rFonts w:ascii="Arial" w:hAnsi="Arial" w:cs="Arial"/>
                <w:sz w:val="15"/>
                <w:szCs w:val="15"/>
              </w:rPr>
            </w:pPr>
            <w:r w:rsidRPr="00251EA9">
              <w:rPr>
                <w:rFonts w:ascii="Arial" w:hAnsi="Arial" w:cs="Arial"/>
                <w:sz w:val="15"/>
                <w:szCs w:val="15"/>
              </w:rPr>
              <w:t>The incidence of neurosurgical site infection after craniectomy or</w:t>
            </w:r>
            <w:r w:rsidRPr="00251EA9">
              <w:rPr>
                <w:rFonts w:ascii="Arial" w:hAnsi="Arial" w:cs="Arial"/>
                <w:sz w:val="15"/>
                <w:szCs w:val="15"/>
              </w:rPr>
              <w:br/>
              <w:t>cranioplasty showed no intergroup difference.</w:t>
            </w:r>
          </w:p>
        </w:tc>
        <w:tc>
          <w:tcPr>
            <w:tcW w:w="1701" w:type="dxa"/>
          </w:tcPr>
          <w:p w14:paraId="3B984B8B" w14:textId="1DCB66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43DA3E9" w14:textId="77777777" w:rsidTr="00A77951">
        <w:trPr>
          <w:trHeight w:val="586"/>
        </w:trPr>
        <w:tc>
          <w:tcPr>
            <w:tcW w:w="992" w:type="dxa"/>
          </w:tcPr>
          <w:p w14:paraId="1D98A9E2" w14:textId="2C1586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Hutchinson P.J. et al., 2020</w:t>
            </w:r>
          </w:p>
        </w:tc>
        <w:tc>
          <w:tcPr>
            <w:tcW w:w="851" w:type="dxa"/>
          </w:tcPr>
          <w:p w14:paraId="7B5F1B86" w14:textId="0A46AB3F" w:rsidR="006E5533" w:rsidRPr="00A77951" w:rsidRDefault="006E5533" w:rsidP="006E5533">
            <w:pPr>
              <w:spacing w:line="360" w:lineRule="auto"/>
              <w:contextualSpacing/>
              <w:rPr>
                <w:rFonts w:ascii="Arial" w:hAnsi="Arial" w:cs="Arial"/>
                <w:sz w:val="15"/>
                <w:szCs w:val="15"/>
              </w:rPr>
            </w:pPr>
            <w:hyperlink r:id="rId198" w:history="1">
              <w:r w:rsidRPr="00A77951">
                <w:rPr>
                  <w:rStyle w:val="Hyperlink"/>
                  <w:rFonts w:ascii="Arial" w:hAnsi="Arial" w:cs="Arial"/>
                  <w:sz w:val="15"/>
                  <w:szCs w:val="15"/>
                </w:rPr>
                <w:t>10.1056/NEJMoa2020473</w:t>
              </w:r>
            </w:hyperlink>
          </w:p>
        </w:tc>
        <w:tc>
          <w:tcPr>
            <w:tcW w:w="851" w:type="dxa"/>
          </w:tcPr>
          <w:p w14:paraId="04BA0844" w14:textId="1FD144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6FDBBEEA" w14:textId="3E443F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trial</w:t>
            </w:r>
          </w:p>
        </w:tc>
        <w:tc>
          <w:tcPr>
            <w:tcW w:w="992" w:type="dxa"/>
          </w:tcPr>
          <w:p w14:paraId="5C380946" w14:textId="7C9903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CC89C6B" w14:textId="77E949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6725947A" w14:textId="5DBEF6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effect of dexamethasone on outcomes in patients with symptomatic chronic subdural hematoma.</w:t>
            </w:r>
          </w:p>
        </w:tc>
        <w:tc>
          <w:tcPr>
            <w:tcW w:w="1134" w:type="dxa"/>
          </w:tcPr>
          <w:p w14:paraId="27BE03D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FA5D15B" w14:textId="6AA727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75D54C4" w14:textId="306923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289D2B3" w14:textId="73C3901F" w:rsidR="006E5533" w:rsidRPr="00251EA9" w:rsidRDefault="006E5533" w:rsidP="006E5533">
            <w:pPr>
              <w:rPr>
                <w:rFonts w:ascii="Arial" w:hAnsi="Arial" w:cs="Arial"/>
                <w:sz w:val="15"/>
                <w:szCs w:val="15"/>
              </w:rPr>
            </w:pPr>
            <w:r w:rsidRPr="00251EA9">
              <w:rPr>
                <w:rFonts w:ascii="Arial" w:hAnsi="Arial" w:cs="Arial"/>
                <w:sz w:val="15"/>
                <w:szCs w:val="15"/>
              </w:rPr>
              <w:t>Reported 12 out of 699 patients (1.7%) had a surgical site infection: 8 in the dexamethasone</w:t>
            </w:r>
            <w:r w:rsidRPr="00251EA9">
              <w:rPr>
                <w:rFonts w:ascii="Arial" w:hAnsi="Arial" w:cs="Arial"/>
                <w:sz w:val="15"/>
                <w:szCs w:val="15"/>
              </w:rPr>
              <w:br/>
              <w:t>group and 4 in placebo group. Two patients had a superficial wound infection and 10 had a subdural empyema.</w:t>
            </w:r>
          </w:p>
        </w:tc>
        <w:tc>
          <w:tcPr>
            <w:tcW w:w="1701" w:type="dxa"/>
          </w:tcPr>
          <w:p w14:paraId="6C64DB4A" w14:textId="43CDB4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80509AC" w14:textId="77777777" w:rsidTr="00A77951">
        <w:trPr>
          <w:trHeight w:val="586"/>
        </w:trPr>
        <w:tc>
          <w:tcPr>
            <w:tcW w:w="992" w:type="dxa"/>
          </w:tcPr>
          <w:p w14:paraId="2FF60F47" w14:textId="457D7C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Hutter G. et al., 2014</w:t>
            </w:r>
          </w:p>
        </w:tc>
        <w:tc>
          <w:tcPr>
            <w:tcW w:w="851" w:type="dxa"/>
          </w:tcPr>
          <w:p w14:paraId="1528907F" w14:textId="5424591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10.3171/2014.</w:t>
            </w:r>
            <w:proofErr w:type="gramStart"/>
            <w:r w:rsidRPr="00A77951">
              <w:rPr>
                <w:rFonts w:ascii="Arial" w:hAnsi="Arial" w:cs="Arial"/>
                <w:sz w:val="15"/>
                <w:szCs w:val="15"/>
              </w:rPr>
              <w:t>6.JNS</w:t>
            </w:r>
            <w:proofErr w:type="gramEnd"/>
            <w:r w:rsidRPr="00A77951">
              <w:rPr>
                <w:rFonts w:ascii="Arial" w:hAnsi="Arial" w:cs="Arial"/>
                <w:sz w:val="15"/>
                <w:szCs w:val="15"/>
              </w:rPr>
              <w:t>131917</w:t>
            </w:r>
          </w:p>
        </w:tc>
        <w:tc>
          <w:tcPr>
            <w:tcW w:w="851" w:type="dxa"/>
          </w:tcPr>
          <w:p w14:paraId="0DB4F2CF" w14:textId="7F2055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71D3A4C5" w14:textId="737858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clinical trial</w:t>
            </w:r>
          </w:p>
        </w:tc>
        <w:tc>
          <w:tcPr>
            <w:tcW w:w="992" w:type="dxa"/>
          </w:tcPr>
          <w:p w14:paraId="5F6514E6" w14:textId="03A3F0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3DF94CB" w14:textId="33BDC3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3D38C0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whether the addition of </w:t>
            </w:r>
            <w:proofErr w:type="spellStart"/>
            <w:r w:rsidRPr="00251EA9">
              <w:rPr>
                <w:rFonts w:ascii="Arial" w:hAnsi="Arial" w:cs="Arial"/>
                <w:sz w:val="15"/>
                <w:szCs w:val="15"/>
              </w:rPr>
              <w:t>TachoSil</w:t>
            </w:r>
            <w:proofErr w:type="spellEnd"/>
            <w:r w:rsidRPr="00251EA9">
              <w:rPr>
                <w:rFonts w:ascii="Arial" w:hAnsi="Arial" w:cs="Arial"/>
                <w:sz w:val="15"/>
                <w:szCs w:val="15"/>
              </w:rPr>
              <w:t xml:space="preserve"> on top of the dural suture reduces postoperative CSF</w:t>
            </w:r>
            <w:r w:rsidRPr="00251EA9">
              <w:rPr>
                <w:rFonts w:ascii="Arial" w:hAnsi="Arial" w:cs="Arial"/>
                <w:sz w:val="15"/>
                <w:szCs w:val="15"/>
              </w:rPr>
              <w:br/>
              <w:t xml:space="preserve">leakage compared with dural suturing alone. </w:t>
            </w:r>
          </w:p>
          <w:p w14:paraId="735C1665" w14:textId="15B035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To assess the frequency and risk factors for dural leakage and potentially related complications after elective craniotomy.</w:t>
            </w:r>
          </w:p>
        </w:tc>
        <w:tc>
          <w:tcPr>
            <w:tcW w:w="1134" w:type="dxa"/>
          </w:tcPr>
          <w:p w14:paraId="2ED41B0D" w14:textId="114734E8" w:rsidR="006E5533" w:rsidRPr="00251EA9" w:rsidRDefault="006E5533" w:rsidP="006E5533">
            <w:pPr>
              <w:spacing w:line="360" w:lineRule="auto"/>
              <w:contextualSpacing/>
              <w:rPr>
                <w:rFonts w:ascii="Arial" w:hAnsi="Arial" w:cs="Arial"/>
                <w:sz w:val="15"/>
                <w:szCs w:val="15"/>
              </w:rPr>
            </w:pPr>
          </w:p>
        </w:tc>
        <w:tc>
          <w:tcPr>
            <w:tcW w:w="992" w:type="dxa"/>
          </w:tcPr>
          <w:p w14:paraId="1A1E8D07" w14:textId="7DD916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1150E13" w14:textId="671C98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FC9C226" w14:textId="73B13D3D" w:rsidR="006E5533" w:rsidRPr="00251EA9" w:rsidRDefault="006E5533" w:rsidP="006E5533">
            <w:pPr>
              <w:rPr>
                <w:rFonts w:ascii="Arial" w:hAnsi="Arial" w:cs="Arial"/>
                <w:sz w:val="15"/>
                <w:szCs w:val="15"/>
              </w:rPr>
            </w:pPr>
            <w:r w:rsidRPr="00251EA9">
              <w:rPr>
                <w:rFonts w:ascii="Arial" w:hAnsi="Arial" w:cs="Arial"/>
                <w:sz w:val="15"/>
                <w:szCs w:val="15"/>
              </w:rPr>
              <w:t xml:space="preserve">Reported 5 patients in the control group, compared with only 1 in the study group, suffered from postoperative wound infection or meningitis, suggesting that the application of </w:t>
            </w:r>
            <w:proofErr w:type="spellStart"/>
            <w:r w:rsidRPr="00251EA9">
              <w:rPr>
                <w:rFonts w:ascii="Arial" w:hAnsi="Arial" w:cs="Arial"/>
                <w:sz w:val="15"/>
                <w:szCs w:val="15"/>
              </w:rPr>
              <w:t>TachoSil</w:t>
            </w:r>
            <w:proofErr w:type="spellEnd"/>
            <w:r w:rsidRPr="00251EA9">
              <w:rPr>
                <w:rFonts w:ascii="Arial" w:hAnsi="Arial" w:cs="Arial"/>
                <w:sz w:val="15"/>
                <w:szCs w:val="15"/>
              </w:rPr>
              <w:t xml:space="preserve"> may be beneficial.</w:t>
            </w:r>
          </w:p>
        </w:tc>
        <w:tc>
          <w:tcPr>
            <w:tcW w:w="1701" w:type="dxa"/>
          </w:tcPr>
          <w:p w14:paraId="3A29FE14" w14:textId="6D486A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DEBB5FE" w14:textId="77777777" w:rsidTr="00A77951">
        <w:trPr>
          <w:trHeight w:val="586"/>
        </w:trPr>
        <w:tc>
          <w:tcPr>
            <w:tcW w:w="992" w:type="dxa"/>
          </w:tcPr>
          <w:p w14:paraId="5BD13734" w14:textId="4CE3415B"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Im</w:t>
            </w:r>
            <w:proofErr w:type="spellEnd"/>
            <w:r w:rsidRPr="00251EA9">
              <w:rPr>
                <w:rFonts w:ascii="Arial" w:hAnsi="Arial" w:cs="Arial"/>
                <w:sz w:val="15"/>
                <w:szCs w:val="15"/>
              </w:rPr>
              <w:t xml:space="preserve"> S.H. et al., 2012</w:t>
            </w:r>
          </w:p>
        </w:tc>
        <w:tc>
          <w:tcPr>
            <w:tcW w:w="851" w:type="dxa"/>
          </w:tcPr>
          <w:p w14:paraId="2934C79E" w14:textId="117AB2F5" w:rsidR="006E5533" w:rsidRPr="00A77951" w:rsidRDefault="006E5533" w:rsidP="006E5533">
            <w:pPr>
              <w:spacing w:line="360" w:lineRule="auto"/>
              <w:contextualSpacing/>
              <w:rPr>
                <w:rFonts w:ascii="Arial" w:hAnsi="Arial" w:cs="Arial"/>
                <w:sz w:val="15"/>
                <w:szCs w:val="15"/>
              </w:rPr>
            </w:pPr>
            <w:hyperlink r:id="rId199" w:history="1">
              <w:r w:rsidRPr="00A77951">
                <w:rPr>
                  <w:rStyle w:val="Hyperlink"/>
                  <w:rFonts w:ascii="Arial" w:hAnsi="Arial" w:cs="Arial"/>
                  <w:sz w:val="15"/>
                  <w:szCs w:val="15"/>
                </w:rPr>
                <w:t>10.3340/jkns.2012.52.4.396</w:t>
              </w:r>
            </w:hyperlink>
          </w:p>
        </w:tc>
        <w:tc>
          <w:tcPr>
            <w:tcW w:w="851" w:type="dxa"/>
          </w:tcPr>
          <w:p w14:paraId="043FB17E" w14:textId="2235F0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1A88DBF5" w14:textId="2B8A9D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F6B0DCA" w14:textId="1CF264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8FCB250" w14:textId="756B94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315155D2" w14:textId="0C56D8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long-term incidences of SSI according to the graft material and cranioplasty timing after craniectomy, and to determine the associated factors of cranioplasty infection.</w:t>
            </w:r>
          </w:p>
        </w:tc>
        <w:tc>
          <w:tcPr>
            <w:tcW w:w="1134" w:type="dxa"/>
          </w:tcPr>
          <w:p w14:paraId="185619F4"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A2E761D" w14:textId="4E26B4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A831251"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Prescription for antibiotics more than 2 weeks after cranioplasty without other organ infection </w:t>
            </w:r>
          </w:p>
          <w:p w14:paraId="316267A5"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2. Subcutaneous or </w:t>
            </w:r>
            <w:proofErr w:type="spellStart"/>
            <w:r w:rsidRPr="00251EA9">
              <w:rPr>
                <w:rFonts w:ascii="Arial" w:hAnsi="Arial" w:cs="Arial"/>
                <w:sz w:val="15"/>
                <w:szCs w:val="15"/>
              </w:rPr>
              <w:t>subgaleal</w:t>
            </w:r>
            <w:proofErr w:type="spellEnd"/>
            <w:r w:rsidRPr="00251EA9">
              <w:rPr>
                <w:rFonts w:ascii="Arial" w:hAnsi="Arial" w:cs="Arial"/>
                <w:sz w:val="15"/>
                <w:szCs w:val="15"/>
              </w:rPr>
              <w:t xml:space="preserve"> abscess</w:t>
            </w:r>
          </w:p>
          <w:p w14:paraId="272F03F4"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 Radiologic records related to subcutaneous, </w:t>
            </w:r>
            <w:proofErr w:type="spellStart"/>
            <w:r w:rsidRPr="00251EA9">
              <w:rPr>
                <w:rFonts w:ascii="Arial" w:hAnsi="Arial" w:cs="Arial"/>
                <w:sz w:val="15"/>
                <w:szCs w:val="15"/>
              </w:rPr>
              <w:t>subgaleal</w:t>
            </w:r>
            <w:proofErr w:type="spellEnd"/>
            <w:r w:rsidRPr="00251EA9">
              <w:rPr>
                <w:rFonts w:ascii="Arial" w:hAnsi="Arial" w:cs="Arial"/>
                <w:sz w:val="15"/>
                <w:szCs w:val="15"/>
              </w:rPr>
              <w:t>, epidural or subdural empyema</w:t>
            </w:r>
          </w:p>
          <w:p w14:paraId="23761386" w14:textId="51B767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4) Requirement of bone flap removal or wound revision and irrigation</w:t>
            </w:r>
          </w:p>
        </w:tc>
        <w:tc>
          <w:tcPr>
            <w:tcW w:w="2693" w:type="dxa"/>
          </w:tcPr>
          <w:p w14:paraId="03D7BF1F" w14:textId="138E1380" w:rsidR="006E5533" w:rsidRPr="00251EA9" w:rsidRDefault="006E5533" w:rsidP="006E5533">
            <w:pPr>
              <w:rPr>
                <w:rFonts w:ascii="Arial" w:hAnsi="Arial" w:cs="Arial"/>
                <w:sz w:val="15"/>
                <w:szCs w:val="15"/>
              </w:rPr>
            </w:pPr>
            <w:r w:rsidRPr="00251EA9">
              <w:rPr>
                <w:rFonts w:ascii="Arial" w:hAnsi="Arial" w:cs="Arial"/>
                <w:sz w:val="15"/>
                <w:szCs w:val="15"/>
              </w:rPr>
              <w:t xml:space="preserve">There was no significant difference in long-term outcome for cranioplasty infection between cryopreserved and artificial bone grafts. The incidence rates for site infection in cryopreserved and artificial bone grafts were 14.4% and 4.2%, respectively. The incidence rates for site infection for early and late repair were also 14.4% and 4.2%. </w:t>
            </w:r>
          </w:p>
        </w:tc>
        <w:tc>
          <w:tcPr>
            <w:tcW w:w="1701" w:type="dxa"/>
          </w:tcPr>
          <w:p w14:paraId="06CBA7A9" w14:textId="1E78BC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65339ED" w14:textId="77777777" w:rsidTr="00A77951">
        <w:trPr>
          <w:trHeight w:val="586"/>
        </w:trPr>
        <w:tc>
          <w:tcPr>
            <w:tcW w:w="992" w:type="dxa"/>
          </w:tcPr>
          <w:p w14:paraId="3D77CC5E" w14:textId="046DF7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Inoue T. et al., 2020</w:t>
            </w:r>
          </w:p>
        </w:tc>
        <w:tc>
          <w:tcPr>
            <w:tcW w:w="851" w:type="dxa"/>
          </w:tcPr>
          <w:p w14:paraId="292894BA" w14:textId="2B300E30" w:rsidR="006E5533" w:rsidRPr="00A77951" w:rsidRDefault="006E5533" w:rsidP="006E5533">
            <w:pPr>
              <w:spacing w:line="360" w:lineRule="auto"/>
              <w:contextualSpacing/>
              <w:rPr>
                <w:rFonts w:ascii="Arial" w:hAnsi="Arial" w:cs="Arial"/>
                <w:sz w:val="15"/>
                <w:szCs w:val="15"/>
              </w:rPr>
            </w:pPr>
            <w:hyperlink r:id="rId200" w:history="1">
              <w:r w:rsidRPr="00A77951">
                <w:rPr>
                  <w:rStyle w:val="Hyperlink"/>
                  <w:rFonts w:ascii="Arial" w:hAnsi="Arial" w:cs="Arial"/>
                  <w:sz w:val="15"/>
                  <w:szCs w:val="15"/>
                </w:rPr>
                <w:t>10.1007/s00701-020-04242-8</w:t>
              </w:r>
            </w:hyperlink>
          </w:p>
        </w:tc>
        <w:tc>
          <w:tcPr>
            <w:tcW w:w="851" w:type="dxa"/>
          </w:tcPr>
          <w:p w14:paraId="37E80432" w14:textId="38A467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 and Indonesia</w:t>
            </w:r>
          </w:p>
        </w:tc>
        <w:tc>
          <w:tcPr>
            <w:tcW w:w="1134" w:type="dxa"/>
          </w:tcPr>
          <w:p w14:paraId="5AF5C808" w14:textId="722D99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207BAE4" w14:textId="150A29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D998A75" w14:textId="2A52EF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266164E0" w14:textId="23FA55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address the necessity of resecting </w:t>
            </w:r>
            <w:proofErr w:type="spellStart"/>
            <w:r w:rsidRPr="00251EA9">
              <w:rPr>
                <w:rFonts w:ascii="Arial" w:hAnsi="Arial" w:cs="Arial"/>
                <w:sz w:val="15"/>
                <w:szCs w:val="15"/>
              </w:rPr>
              <w:t>suprameatal</w:t>
            </w:r>
            <w:proofErr w:type="spellEnd"/>
            <w:r w:rsidRPr="00251EA9">
              <w:rPr>
                <w:rFonts w:ascii="Arial" w:hAnsi="Arial" w:cs="Arial"/>
                <w:sz w:val="15"/>
                <w:szCs w:val="15"/>
              </w:rPr>
              <w:t xml:space="preserve"> tubercle in microvascular decompression for trigeminal neuralgia.</w:t>
            </w:r>
          </w:p>
        </w:tc>
        <w:tc>
          <w:tcPr>
            <w:tcW w:w="1134" w:type="dxa"/>
          </w:tcPr>
          <w:p w14:paraId="0167ABF6" w14:textId="55B90596" w:rsidR="006E5533" w:rsidRPr="00251EA9" w:rsidRDefault="006E5533" w:rsidP="006E5533">
            <w:pPr>
              <w:spacing w:line="360" w:lineRule="auto"/>
              <w:contextualSpacing/>
              <w:rPr>
                <w:rFonts w:ascii="Arial" w:hAnsi="Arial" w:cs="Arial"/>
                <w:sz w:val="15"/>
                <w:szCs w:val="15"/>
              </w:rPr>
            </w:pPr>
          </w:p>
        </w:tc>
        <w:tc>
          <w:tcPr>
            <w:tcW w:w="992" w:type="dxa"/>
          </w:tcPr>
          <w:p w14:paraId="013CB3E5" w14:textId="588232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0CDFC29" w14:textId="534752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94F7710" w14:textId="7AA59926" w:rsidR="006E5533" w:rsidRPr="00251EA9" w:rsidRDefault="006E5533" w:rsidP="006E5533">
            <w:pPr>
              <w:rPr>
                <w:rFonts w:ascii="Arial" w:hAnsi="Arial" w:cs="Arial"/>
                <w:sz w:val="15"/>
                <w:szCs w:val="15"/>
              </w:rPr>
            </w:pPr>
            <w:r w:rsidRPr="00251EA9">
              <w:rPr>
                <w:rFonts w:ascii="Arial" w:hAnsi="Arial" w:cs="Arial"/>
                <w:sz w:val="15"/>
                <w:szCs w:val="15"/>
              </w:rPr>
              <w:t>Post-operative wound infection was noted in one</w:t>
            </w:r>
            <w:r w:rsidRPr="00251EA9">
              <w:rPr>
                <w:rFonts w:ascii="Arial" w:hAnsi="Arial" w:cs="Arial"/>
                <w:sz w:val="15"/>
                <w:szCs w:val="15"/>
              </w:rPr>
              <w:br/>
              <w:t>patient, in whom bone removal and debridement were required.</w:t>
            </w:r>
          </w:p>
        </w:tc>
        <w:tc>
          <w:tcPr>
            <w:tcW w:w="1701" w:type="dxa"/>
          </w:tcPr>
          <w:p w14:paraId="08977AEB" w14:textId="6D2F5E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A74B24A" w14:textId="77777777" w:rsidTr="00A77951">
        <w:trPr>
          <w:trHeight w:val="586"/>
        </w:trPr>
        <w:tc>
          <w:tcPr>
            <w:tcW w:w="992" w:type="dxa"/>
          </w:tcPr>
          <w:p w14:paraId="372648C6" w14:textId="171905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Isaac K.V. et al., 2018</w:t>
            </w:r>
          </w:p>
        </w:tc>
        <w:tc>
          <w:tcPr>
            <w:tcW w:w="851" w:type="dxa"/>
          </w:tcPr>
          <w:p w14:paraId="360DDBDC" w14:textId="6D9D0F37" w:rsidR="006E5533" w:rsidRPr="00A77951" w:rsidRDefault="006E5533" w:rsidP="006E5533">
            <w:pPr>
              <w:spacing w:line="360" w:lineRule="auto"/>
              <w:contextualSpacing/>
              <w:rPr>
                <w:rFonts w:ascii="Arial" w:hAnsi="Arial" w:cs="Arial"/>
                <w:sz w:val="15"/>
                <w:szCs w:val="15"/>
              </w:rPr>
            </w:pPr>
            <w:hyperlink r:id="rId201" w:history="1">
              <w:r w:rsidRPr="00A77951">
                <w:rPr>
                  <w:rStyle w:val="Hyperlink"/>
                  <w:rFonts w:ascii="Arial" w:hAnsi="Arial" w:cs="Arial"/>
                  <w:sz w:val="15"/>
                  <w:szCs w:val="15"/>
                </w:rPr>
                <w:t>10.3171/2018.</w:t>
              </w:r>
              <w:proofErr w:type="gramStart"/>
              <w:r w:rsidRPr="00A77951">
                <w:rPr>
                  <w:rStyle w:val="Hyperlink"/>
                  <w:rFonts w:ascii="Arial" w:hAnsi="Arial" w:cs="Arial"/>
                  <w:sz w:val="15"/>
                  <w:szCs w:val="15"/>
                </w:rPr>
                <w:t>5.PEDS</w:t>
              </w:r>
              <w:proofErr w:type="gramEnd"/>
              <w:r w:rsidRPr="00A77951">
                <w:rPr>
                  <w:rStyle w:val="Hyperlink"/>
                  <w:rFonts w:ascii="Arial" w:hAnsi="Arial" w:cs="Arial"/>
                  <w:sz w:val="15"/>
                  <w:szCs w:val="15"/>
                </w:rPr>
                <w:t>1846</w:t>
              </w:r>
            </w:hyperlink>
          </w:p>
        </w:tc>
        <w:tc>
          <w:tcPr>
            <w:tcW w:w="851" w:type="dxa"/>
          </w:tcPr>
          <w:p w14:paraId="52C2ABE5" w14:textId="2D53E9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1495379" w14:textId="4FF7C9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45141648" w14:textId="601FCB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EA7B361" w14:textId="42558E9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7299674D" w14:textId="468040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the effectiveness of two main surgical techniques used for treating sagittal craniosynostosis: </w:t>
            </w:r>
            <w:r w:rsidRPr="00251EA9">
              <w:rPr>
                <w:rFonts w:ascii="Arial" w:hAnsi="Arial" w:cs="Arial"/>
                <w:sz w:val="15"/>
                <w:szCs w:val="15"/>
              </w:rPr>
              <w:lastRenderedPageBreak/>
              <w:t xml:space="preserve">endoscopic </w:t>
            </w:r>
            <w:proofErr w:type="spellStart"/>
            <w:r w:rsidRPr="00251EA9">
              <w:rPr>
                <w:rFonts w:ascii="Arial" w:hAnsi="Arial" w:cs="Arial"/>
                <w:sz w:val="15"/>
                <w:szCs w:val="15"/>
              </w:rPr>
              <w:t>suturectomy</w:t>
            </w:r>
            <w:proofErr w:type="spellEnd"/>
            <w:r w:rsidRPr="00251EA9">
              <w:rPr>
                <w:rFonts w:ascii="Arial" w:hAnsi="Arial" w:cs="Arial"/>
                <w:sz w:val="15"/>
                <w:szCs w:val="15"/>
              </w:rPr>
              <w:t xml:space="preserve"> and cranial vault remodelling.</w:t>
            </w:r>
          </w:p>
        </w:tc>
        <w:tc>
          <w:tcPr>
            <w:tcW w:w="1134" w:type="dxa"/>
          </w:tcPr>
          <w:p w14:paraId="021CF7BA" w14:textId="4127BD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Endoscopic </w:t>
            </w:r>
            <w:proofErr w:type="spellStart"/>
            <w:r w:rsidRPr="00251EA9">
              <w:rPr>
                <w:rFonts w:ascii="Arial" w:hAnsi="Arial" w:cs="Arial"/>
                <w:sz w:val="15"/>
                <w:szCs w:val="15"/>
              </w:rPr>
              <w:t>suturectomy</w:t>
            </w:r>
            <w:proofErr w:type="spellEnd"/>
            <w:r w:rsidRPr="00251EA9">
              <w:rPr>
                <w:rFonts w:ascii="Arial" w:hAnsi="Arial" w:cs="Arial"/>
                <w:sz w:val="15"/>
                <w:szCs w:val="15"/>
              </w:rPr>
              <w:t xml:space="preserve"> vs cranial vault remodelling</w:t>
            </w:r>
          </w:p>
        </w:tc>
        <w:tc>
          <w:tcPr>
            <w:tcW w:w="992" w:type="dxa"/>
          </w:tcPr>
          <w:p w14:paraId="2C584CB3" w14:textId="581FE2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283365C" w14:textId="066DC3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EC95545" w14:textId="3DBEBE74" w:rsidR="006E5533" w:rsidRPr="00251EA9" w:rsidRDefault="006E5533" w:rsidP="006E5533">
            <w:pPr>
              <w:rPr>
                <w:rFonts w:ascii="Arial" w:hAnsi="Arial" w:cs="Arial"/>
                <w:sz w:val="15"/>
                <w:szCs w:val="15"/>
              </w:rPr>
            </w:pPr>
            <w:r w:rsidRPr="00251EA9">
              <w:rPr>
                <w:rFonts w:ascii="Arial" w:hAnsi="Arial" w:cs="Arial"/>
                <w:sz w:val="15"/>
                <w:szCs w:val="15"/>
              </w:rPr>
              <w:t xml:space="preserve">2 cases of SSI (1%) reported. </w:t>
            </w:r>
          </w:p>
        </w:tc>
        <w:tc>
          <w:tcPr>
            <w:tcW w:w="1701" w:type="dxa"/>
          </w:tcPr>
          <w:p w14:paraId="5CD8F67B" w14:textId="7FA2FB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D2A1F04" w14:textId="77777777" w:rsidTr="00A77951">
        <w:trPr>
          <w:trHeight w:val="586"/>
        </w:trPr>
        <w:tc>
          <w:tcPr>
            <w:tcW w:w="992" w:type="dxa"/>
          </w:tcPr>
          <w:p w14:paraId="544E9171" w14:textId="30A49D4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Isobe</w:t>
            </w:r>
            <w:proofErr w:type="spellEnd"/>
            <w:r w:rsidRPr="00251EA9">
              <w:rPr>
                <w:rFonts w:ascii="Arial" w:hAnsi="Arial" w:cs="Arial"/>
                <w:sz w:val="15"/>
                <w:szCs w:val="15"/>
              </w:rPr>
              <w:t xml:space="preserve"> N. et al., 2018</w:t>
            </w:r>
          </w:p>
        </w:tc>
        <w:tc>
          <w:tcPr>
            <w:tcW w:w="851" w:type="dxa"/>
          </w:tcPr>
          <w:p w14:paraId="596A7EBE" w14:textId="3D5DB1A2" w:rsidR="006E5533" w:rsidRPr="00A77951" w:rsidRDefault="006E5533" w:rsidP="006E5533">
            <w:pPr>
              <w:spacing w:line="360" w:lineRule="auto"/>
              <w:contextualSpacing/>
              <w:rPr>
                <w:rFonts w:ascii="Arial" w:hAnsi="Arial" w:cs="Arial"/>
                <w:sz w:val="15"/>
                <w:szCs w:val="15"/>
              </w:rPr>
            </w:pPr>
            <w:hyperlink r:id="rId202" w:history="1">
              <w:r w:rsidRPr="00A77951">
                <w:rPr>
                  <w:rStyle w:val="Hyperlink"/>
                  <w:rFonts w:ascii="Arial" w:hAnsi="Arial" w:cs="Arial"/>
                  <w:sz w:val="15"/>
                  <w:szCs w:val="15"/>
                </w:rPr>
                <w:t>10.1016/j.wneu.2018.07.080</w:t>
              </w:r>
            </w:hyperlink>
          </w:p>
        </w:tc>
        <w:tc>
          <w:tcPr>
            <w:tcW w:w="851" w:type="dxa"/>
          </w:tcPr>
          <w:p w14:paraId="652E7357" w14:textId="0F3355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420BC1E6" w14:textId="190418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81A609B" w14:textId="14AB58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6F9022A" w14:textId="4F1B07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9D4AF4C" w14:textId="333C8C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clinical characteristics of older patients who underwent surgical resection of meningioma, such as body mass index and serum albumin level as elements associated with frailty, and investigated the factors associated with postoperative deterioration.</w:t>
            </w:r>
          </w:p>
        </w:tc>
        <w:tc>
          <w:tcPr>
            <w:tcW w:w="1134" w:type="dxa"/>
          </w:tcPr>
          <w:p w14:paraId="0F55A644" w14:textId="34E5B15C" w:rsidR="006E5533" w:rsidRPr="00251EA9" w:rsidRDefault="006E5533" w:rsidP="006E5533">
            <w:pPr>
              <w:spacing w:line="360" w:lineRule="auto"/>
              <w:contextualSpacing/>
              <w:rPr>
                <w:rFonts w:ascii="Arial" w:hAnsi="Arial" w:cs="Arial"/>
                <w:sz w:val="15"/>
                <w:szCs w:val="15"/>
              </w:rPr>
            </w:pPr>
          </w:p>
        </w:tc>
        <w:tc>
          <w:tcPr>
            <w:tcW w:w="992" w:type="dxa"/>
          </w:tcPr>
          <w:p w14:paraId="63D84642" w14:textId="10B666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B0C3DB8" w14:textId="00FCFB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FA8C3B1" w14:textId="1E01CBEF" w:rsidR="006E5533" w:rsidRPr="00251EA9" w:rsidRDefault="006E5533" w:rsidP="006E5533">
            <w:pPr>
              <w:rPr>
                <w:rFonts w:ascii="Arial" w:hAnsi="Arial" w:cs="Arial"/>
                <w:sz w:val="15"/>
                <w:szCs w:val="15"/>
              </w:rPr>
            </w:pPr>
            <w:r w:rsidRPr="00251EA9">
              <w:rPr>
                <w:rFonts w:ascii="Arial" w:hAnsi="Arial" w:cs="Arial"/>
                <w:sz w:val="15"/>
                <w:szCs w:val="15"/>
              </w:rPr>
              <w:t>1.9% of patients experienced wound infection.</w:t>
            </w:r>
          </w:p>
        </w:tc>
        <w:tc>
          <w:tcPr>
            <w:tcW w:w="1701" w:type="dxa"/>
          </w:tcPr>
          <w:p w14:paraId="28681CEB" w14:textId="0A282B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41638A" w14:textId="77777777" w:rsidTr="00A77951">
        <w:trPr>
          <w:trHeight w:val="586"/>
        </w:trPr>
        <w:tc>
          <w:tcPr>
            <w:tcW w:w="992" w:type="dxa"/>
          </w:tcPr>
          <w:p w14:paraId="7A16F081" w14:textId="436AE2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Janjua M. et al., 2020</w:t>
            </w:r>
          </w:p>
        </w:tc>
        <w:tc>
          <w:tcPr>
            <w:tcW w:w="851" w:type="dxa"/>
          </w:tcPr>
          <w:p w14:paraId="7238F9DC" w14:textId="4E74690B" w:rsidR="006E5533" w:rsidRPr="00A77951" w:rsidRDefault="006E5533" w:rsidP="006E5533">
            <w:pPr>
              <w:spacing w:line="360" w:lineRule="auto"/>
              <w:contextualSpacing/>
              <w:rPr>
                <w:rFonts w:ascii="Arial" w:hAnsi="Arial" w:cs="Arial"/>
                <w:sz w:val="15"/>
                <w:szCs w:val="15"/>
              </w:rPr>
            </w:pPr>
            <w:hyperlink r:id="rId203" w:history="1">
              <w:r w:rsidRPr="00A77951">
                <w:rPr>
                  <w:rStyle w:val="Hyperlink"/>
                  <w:rFonts w:ascii="Arial" w:hAnsi="Arial" w:cs="Arial"/>
                  <w:sz w:val="15"/>
                  <w:szCs w:val="15"/>
                </w:rPr>
                <w:t>10.3171/2019.</w:t>
              </w:r>
              <w:proofErr w:type="gramStart"/>
              <w:r w:rsidRPr="00A77951">
                <w:rPr>
                  <w:rStyle w:val="Hyperlink"/>
                  <w:rFonts w:ascii="Arial" w:hAnsi="Arial" w:cs="Arial"/>
                  <w:sz w:val="15"/>
                  <w:szCs w:val="15"/>
                </w:rPr>
                <w:t>7.PEDS</w:t>
              </w:r>
              <w:proofErr w:type="gramEnd"/>
              <w:r w:rsidRPr="00A77951">
                <w:rPr>
                  <w:rStyle w:val="Hyperlink"/>
                  <w:rFonts w:ascii="Arial" w:hAnsi="Arial" w:cs="Arial"/>
                  <w:sz w:val="15"/>
                  <w:szCs w:val="15"/>
                </w:rPr>
                <w:t>19272</w:t>
              </w:r>
            </w:hyperlink>
          </w:p>
        </w:tc>
        <w:tc>
          <w:tcPr>
            <w:tcW w:w="851" w:type="dxa"/>
          </w:tcPr>
          <w:p w14:paraId="5D157BEC" w14:textId="5F58C3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C3FFEB4" w14:textId="214B15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E1AFD6E" w14:textId="7EA34C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4C794E16" w14:textId="43E854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Neuro-oncology</w:t>
            </w:r>
          </w:p>
        </w:tc>
        <w:tc>
          <w:tcPr>
            <w:tcW w:w="1843" w:type="dxa"/>
          </w:tcPr>
          <w:p w14:paraId="64B575C3" w14:textId="4E387B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readmission rates and predictors of readmission after paediatric brain tumour resection.</w:t>
            </w:r>
          </w:p>
        </w:tc>
        <w:tc>
          <w:tcPr>
            <w:tcW w:w="1134" w:type="dxa"/>
          </w:tcPr>
          <w:p w14:paraId="20739687" w14:textId="67E6BE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0D6286F9" w14:textId="4BD333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7E0AE57" w14:textId="6E423B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18CF5B5" w14:textId="110E7C92" w:rsidR="006E5533" w:rsidRPr="00251EA9" w:rsidRDefault="006E5533" w:rsidP="006E5533">
            <w:pPr>
              <w:rPr>
                <w:rFonts w:ascii="Arial" w:hAnsi="Arial" w:cs="Arial"/>
                <w:sz w:val="15"/>
                <w:szCs w:val="15"/>
              </w:rPr>
            </w:pPr>
            <w:r w:rsidRPr="00251EA9">
              <w:rPr>
                <w:rFonts w:ascii="Arial" w:hAnsi="Arial" w:cs="Arial"/>
                <w:sz w:val="15"/>
                <w:szCs w:val="15"/>
              </w:rPr>
              <w:t xml:space="preserve">Reported a surgical site infections or </w:t>
            </w:r>
            <w:proofErr w:type="spellStart"/>
            <w:r w:rsidRPr="00251EA9">
              <w:rPr>
                <w:rFonts w:ascii="Arial" w:hAnsi="Arial" w:cs="Arial"/>
                <w:sz w:val="15"/>
                <w:szCs w:val="15"/>
              </w:rPr>
              <w:t>septicemia</w:t>
            </w:r>
            <w:proofErr w:type="spellEnd"/>
            <w:r w:rsidRPr="00251EA9">
              <w:rPr>
                <w:rFonts w:ascii="Arial" w:hAnsi="Arial" w:cs="Arial"/>
                <w:sz w:val="15"/>
                <w:szCs w:val="15"/>
              </w:rPr>
              <w:t xml:space="preserve"> rate of 14%. </w:t>
            </w:r>
          </w:p>
        </w:tc>
        <w:tc>
          <w:tcPr>
            <w:tcW w:w="1701" w:type="dxa"/>
          </w:tcPr>
          <w:p w14:paraId="37BAD9C6" w14:textId="33ECAA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2E56CE9" w14:textId="77777777" w:rsidTr="00A77951">
        <w:trPr>
          <w:trHeight w:val="586"/>
        </w:trPr>
        <w:tc>
          <w:tcPr>
            <w:tcW w:w="992" w:type="dxa"/>
          </w:tcPr>
          <w:p w14:paraId="1D3B81BA" w14:textId="4837FC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Jeong T.S. et al., 2018</w:t>
            </w:r>
          </w:p>
        </w:tc>
        <w:tc>
          <w:tcPr>
            <w:tcW w:w="851" w:type="dxa"/>
          </w:tcPr>
          <w:p w14:paraId="4F00862B" w14:textId="62EEB8FD" w:rsidR="006E5533" w:rsidRPr="00A77951" w:rsidRDefault="006E5533" w:rsidP="006E5533">
            <w:pPr>
              <w:spacing w:line="360" w:lineRule="auto"/>
              <w:contextualSpacing/>
              <w:rPr>
                <w:rFonts w:ascii="Arial" w:hAnsi="Arial" w:cs="Arial"/>
                <w:sz w:val="15"/>
                <w:szCs w:val="15"/>
              </w:rPr>
            </w:pPr>
            <w:hyperlink r:id="rId204" w:history="1">
              <w:r w:rsidRPr="00A77951">
                <w:rPr>
                  <w:rStyle w:val="Hyperlink"/>
                  <w:rFonts w:ascii="Arial" w:hAnsi="Arial" w:cs="Arial"/>
                  <w:sz w:val="15"/>
                  <w:szCs w:val="15"/>
                </w:rPr>
                <w:t>10.3340/jkns.2018.0021</w:t>
              </w:r>
            </w:hyperlink>
          </w:p>
        </w:tc>
        <w:tc>
          <w:tcPr>
            <w:tcW w:w="851" w:type="dxa"/>
          </w:tcPr>
          <w:p w14:paraId="0EEC906B" w14:textId="472FD6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Korea</w:t>
            </w:r>
          </w:p>
        </w:tc>
        <w:tc>
          <w:tcPr>
            <w:tcW w:w="1134" w:type="dxa"/>
          </w:tcPr>
          <w:p w14:paraId="246D21AA" w14:textId="28DA7C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Prospective observational </w:t>
            </w:r>
          </w:p>
        </w:tc>
        <w:tc>
          <w:tcPr>
            <w:tcW w:w="992" w:type="dxa"/>
          </w:tcPr>
          <w:p w14:paraId="09B14F37" w14:textId="747CA8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238A1A5" w14:textId="62A748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19E2308" w14:textId="16B993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rates, types, and risk factors of SSI following intracranial neurosurgical procedures.</w:t>
            </w:r>
          </w:p>
        </w:tc>
        <w:tc>
          <w:tcPr>
            <w:tcW w:w="1134" w:type="dxa"/>
          </w:tcPr>
          <w:p w14:paraId="2AB28AF4" w14:textId="68516E55" w:rsidR="006E5533" w:rsidRPr="00251EA9" w:rsidRDefault="006E5533" w:rsidP="006E5533">
            <w:pPr>
              <w:spacing w:line="360" w:lineRule="auto"/>
              <w:contextualSpacing/>
              <w:rPr>
                <w:rFonts w:ascii="Arial" w:hAnsi="Arial" w:cs="Arial"/>
                <w:sz w:val="15"/>
                <w:szCs w:val="15"/>
              </w:rPr>
            </w:pPr>
          </w:p>
        </w:tc>
        <w:tc>
          <w:tcPr>
            <w:tcW w:w="992" w:type="dxa"/>
          </w:tcPr>
          <w:p w14:paraId="1E896A17" w14:textId="5C9D29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8B7C338" w14:textId="0577E864"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5CC908C8" w14:textId="0817E8C7" w:rsidR="006E5533" w:rsidRPr="00251EA9" w:rsidRDefault="006E5533" w:rsidP="006E5533">
            <w:pPr>
              <w:rPr>
                <w:rFonts w:ascii="Arial" w:hAnsi="Arial" w:cs="Arial"/>
                <w:sz w:val="15"/>
                <w:szCs w:val="15"/>
              </w:rPr>
            </w:pPr>
            <w:r w:rsidRPr="00251EA9">
              <w:rPr>
                <w:rFonts w:ascii="Arial" w:hAnsi="Arial" w:cs="Arial"/>
                <w:sz w:val="15"/>
                <w:szCs w:val="15"/>
              </w:rPr>
              <w:t>Out of the 1576 cases included, 30 showed infection, for an overall SSI rate of 1.9%. Organ/space infection was the most common, found in 21 out of the 30 cases (70%). Only preoperative hospital stay was</w:t>
            </w:r>
            <w:r w:rsidRPr="00251EA9">
              <w:rPr>
                <w:rFonts w:ascii="Arial" w:hAnsi="Arial" w:cs="Arial"/>
                <w:sz w:val="15"/>
                <w:szCs w:val="15"/>
              </w:rPr>
              <w:br/>
              <w:t>significantly associated with the incidence of SSI.</w:t>
            </w:r>
          </w:p>
        </w:tc>
        <w:tc>
          <w:tcPr>
            <w:tcW w:w="1701" w:type="dxa"/>
          </w:tcPr>
          <w:p w14:paraId="2762C327" w14:textId="61793A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A87F4B8" w14:textId="77777777" w:rsidTr="00A77951">
        <w:trPr>
          <w:trHeight w:val="586"/>
        </w:trPr>
        <w:tc>
          <w:tcPr>
            <w:tcW w:w="992" w:type="dxa"/>
          </w:tcPr>
          <w:p w14:paraId="5FEDC804" w14:textId="7D85C1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Jeong T.S. et al., 2020</w:t>
            </w:r>
          </w:p>
        </w:tc>
        <w:tc>
          <w:tcPr>
            <w:tcW w:w="851" w:type="dxa"/>
          </w:tcPr>
          <w:p w14:paraId="328B9630" w14:textId="7B3BB49F" w:rsidR="006E5533" w:rsidRPr="00A77951" w:rsidRDefault="006E5533" w:rsidP="006E5533">
            <w:pPr>
              <w:spacing w:line="360" w:lineRule="auto"/>
              <w:contextualSpacing/>
              <w:rPr>
                <w:rFonts w:ascii="Arial" w:hAnsi="Arial" w:cs="Arial"/>
                <w:sz w:val="15"/>
                <w:szCs w:val="15"/>
              </w:rPr>
            </w:pPr>
            <w:hyperlink r:id="rId205" w:history="1">
              <w:r w:rsidRPr="00A77951">
                <w:rPr>
                  <w:rStyle w:val="Hyperlink"/>
                  <w:rFonts w:ascii="Arial" w:hAnsi="Arial" w:cs="Arial"/>
                  <w:sz w:val="15"/>
                  <w:szCs w:val="15"/>
                </w:rPr>
                <w:t>10.1371/journal.pone.0232561</w:t>
              </w:r>
            </w:hyperlink>
          </w:p>
        </w:tc>
        <w:tc>
          <w:tcPr>
            <w:tcW w:w="851" w:type="dxa"/>
          </w:tcPr>
          <w:p w14:paraId="401F1E11" w14:textId="3C0127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04D13923" w14:textId="748A86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6989A7B6" w14:textId="7659C5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0F3F391" w14:textId="257136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09D3E496" w14:textId="4B949C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the safety and feasibility of non-suture </w:t>
            </w:r>
            <w:proofErr w:type="spellStart"/>
            <w:r w:rsidRPr="00251EA9">
              <w:rPr>
                <w:rFonts w:ascii="Arial" w:hAnsi="Arial" w:cs="Arial"/>
                <w:sz w:val="15"/>
                <w:szCs w:val="15"/>
              </w:rPr>
              <w:t>duraplasty</w:t>
            </w:r>
            <w:proofErr w:type="spellEnd"/>
            <w:r w:rsidRPr="00251EA9">
              <w:rPr>
                <w:rFonts w:ascii="Arial" w:hAnsi="Arial" w:cs="Arial"/>
                <w:sz w:val="15"/>
                <w:szCs w:val="15"/>
              </w:rPr>
              <w:t xml:space="preserve"> in the context of decompressive </w:t>
            </w:r>
            <w:r w:rsidRPr="00251EA9">
              <w:rPr>
                <w:rFonts w:ascii="Arial" w:hAnsi="Arial" w:cs="Arial"/>
                <w:sz w:val="15"/>
                <w:szCs w:val="15"/>
              </w:rPr>
              <w:lastRenderedPageBreak/>
              <w:t>craniectomy in traumatic brain injury patients.</w:t>
            </w:r>
          </w:p>
        </w:tc>
        <w:tc>
          <w:tcPr>
            <w:tcW w:w="1134" w:type="dxa"/>
          </w:tcPr>
          <w:p w14:paraId="20F4F8FB" w14:textId="1F3D6C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Suture </w:t>
            </w:r>
            <w:proofErr w:type="spellStart"/>
            <w:r w:rsidRPr="00251EA9">
              <w:rPr>
                <w:rFonts w:ascii="Arial" w:hAnsi="Arial" w:cs="Arial"/>
                <w:sz w:val="15"/>
                <w:szCs w:val="15"/>
              </w:rPr>
              <w:t>duraplasty</w:t>
            </w:r>
            <w:proofErr w:type="spellEnd"/>
            <w:r w:rsidRPr="00251EA9">
              <w:rPr>
                <w:rFonts w:ascii="Arial" w:hAnsi="Arial" w:cs="Arial"/>
                <w:sz w:val="15"/>
                <w:szCs w:val="15"/>
              </w:rPr>
              <w:t xml:space="preserve"> vs non-suture </w:t>
            </w:r>
            <w:proofErr w:type="spellStart"/>
            <w:r w:rsidRPr="00251EA9">
              <w:rPr>
                <w:rFonts w:ascii="Arial" w:hAnsi="Arial" w:cs="Arial"/>
                <w:sz w:val="15"/>
                <w:szCs w:val="15"/>
              </w:rPr>
              <w:t>duraplasty</w:t>
            </w:r>
            <w:proofErr w:type="spellEnd"/>
            <w:r w:rsidRPr="00251EA9">
              <w:rPr>
                <w:rFonts w:ascii="Arial" w:hAnsi="Arial" w:cs="Arial"/>
                <w:sz w:val="15"/>
                <w:szCs w:val="15"/>
              </w:rPr>
              <w:t xml:space="preserve"> groups </w:t>
            </w:r>
          </w:p>
        </w:tc>
        <w:tc>
          <w:tcPr>
            <w:tcW w:w="992" w:type="dxa"/>
          </w:tcPr>
          <w:p w14:paraId="71006848" w14:textId="03F298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AD8DB7" w14:textId="7B5EF775"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18226D31" w14:textId="73318E33" w:rsidR="006E5533" w:rsidRPr="00251EA9" w:rsidRDefault="006E5533" w:rsidP="006E5533">
            <w:pPr>
              <w:rPr>
                <w:rFonts w:ascii="Arial" w:hAnsi="Arial" w:cs="Arial"/>
                <w:sz w:val="15"/>
                <w:szCs w:val="15"/>
              </w:rPr>
            </w:pPr>
            <w:r w:rsidRPr="00251EA9">
              <w:rPr>
                <w:rFonts w:ascii="Arial" w:hAnsi="Arial" w:cs="Arial"/>
                <w:sz w:val="15"/>
                <w:szCs w:val="15"/>
              </w:rPr>
              <w:t xml:space="preserve">Wound dehiscence and SSIs were evaluated for the presence of any complications, revealing no significant differences between the two groups. </w:t>
            </w:r>
          </w:p>
        </w:tc>
        <w:tc>
          <w:tcPr>
            <w:tcW w:w="1701" w:type="dxa"/>
          </w:tcPr>
          <w:p w14:paraId="7BC39DC1" w14:textId="793DE6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0C06DC9" w14:textId="77777777" w:rsidTr="00A77951">
        <w:trPr>
          <w:trHeight w:val="586"/>
        </w:trPr>
        <w:tc>
          <w:tcPr>
            <w:tcW w:w="992" w:type="dxa"/>
          </w:tcPr>
          <w:p w14:paraId="1C3F273A" w14:textId="7FC03F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Jia C. et al., 2019</w:t>
            </w:r>
          </w:p>
        </w:tc>
        <w:tc>
          <w:tcPr>
            <w:tcW w:w="851" w:type="dxa"/>
          </w:tcPr>
          <w:p w14:paraId="0F9DB9E5" w14:textId="3C8D3B7C" w:rsidR="006E5533" w:rsidRPr="00A77951" w:rsidRDefault="006E5533" w:rsidP="006E5533">
            <w:pPr>
              <w:spacing w:line="360" w:lineRule="auto"/>
              <w:contextualSpacing/>
              <w:rPr>
                <w:rFonts w:ascii="Arial" w:hAnsi="Arial" w:cs="Arial"/>
                <w:sz w:val="15"/>
                <w:szCs w:val="15"/>
              </w:rPr>
            </w:pPr>
            <w:hyperlink r:id="rId206" w:history="1">
              <w:r w:rsidRPr="00A77951">
                <w:rPr>
                  <w:rStyle w:val="Hyperlink"/>
                  <w:rFonts w:ascii="Arial" w:hAnsi="Arial" w:cs="Arial"/>
                  <w:sz w:val="15"/>
                  <w:szCs w:val="15"/>
                </w:rPr>
                <w:t>10.1016/j.clineuro.2018.11.008</w:t>
              </w:r>
            </w:hyperlink>
          </w:p>
        </w:tc>
        <w:tc>
          <w:tcPr>
            <w:tcW w:w="851" w:type="dxa"/>
          </w:tcPr>
          <w:p w14:paraId="3DD0A43A" w14:textId="64849C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08391BD7" w14:textId="1F3B33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1EDC79F" w14:textId="0C8BC0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A0FE14C" w14:textId="3F1A6C4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7E4305D6" w14:textId="0FDEB7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two surgical procedures of posterior fossa decompression in treating Chiari malformation type I complicated by syringomyelia, and to evaluate the postoperative complications, surgical effects and prognosis.</w:t>
            </w:r>
          </w:p>
        </w:tc>
        <w:tc>
          <w:tcPr>
            <w:tcW w:w="1134" w:type="dxa"/>
          </w:tcPr>
          <w:p w14:paraId="6C43CBC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FEDF7B2" w14:textId="0AFCCC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744567B" w14:textId="432B3D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3B69F66" w14:textId="6DC79FC6" w:rsidR="006E5533" w:rsidRPr="00251EA9" w:rsidRDefault="006E5533" w:rsidP="006E5533">
            <w:pPr>
              <w:rPr>
                <w:rFonts w:ascii="Arial" w:hAnsi="Arial" w:cs="Arial"/>
                <w:sz w:val="15"/>
                <w:szCs w:val="15"/>
              </w:rPr>
            </w:pPr>
            <w:r w:rsidRPr="00251EA9">
              <w:rPr>
                <w:rFonts w:ascii="Arial" w:hAnsi="Arial" w:cs="Arial"/>
                <w:sz w:val="15"/>
                <w:szCs w:val="15"/>
              </w:rPr>
              <w:t xml:space="preserve">Reported 3 vs 2 wound infections in the posterior fossa decompression combined with the resection of tonsils and posterior fossa decompression with </w:t>
            </w:r>
            <w:proofErr w:type="spellStart"/>
            <w:r w:rsidRPr="00251EA9">
              <w:rPr>
                <w:rFonts w:ascii="Arial" w:hAnsi="Arial" w:cs="Arial"/>
                <w:sz w:val="15"/>
                <w:szCs w:val="15"/>
              </w:rPr>
              <w:t>duraplasty</w:t>
            </w:r>
            <w:proofErr w:type="spellEnd"/>
            <w:r w:rsidRPr="00251EA9">
              <w:rPr>
                <w:rFonts w:ascii="Arial" w:hAnsi="Arial" w:cs="Arial"/>
                <w:sz w:val="15"/>
                <w:szCs w:val="15"/>
              </w:rPr>
              <w:t xml:space="preserve"> groups respectively.</w:t>
            </w:r>
          </w:p>
        </w:tc>
        <w:tc>
          <w:tcPr>
            <w:tcW w:w="1701" w:type="dxa"/>
          </w:tcPr>
          <w:p w14:paraId="500DE96A" w14:textId="7D7673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8C938D6" w14:textId="77777777" w:rsidTr="00A77951">
        <w:trPr>
          <w:trHeight w:val="586"/>
        </w:trPr>
        <w:tc>
          <w:tcPr>
            <w:tcW w:w="992" w:type="dxa"/>
          </w:tcPr>
          <w:p w14:paraId="59B899EA" w14:textId="04AA17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Jiang X. et al., 2014</w:t>
            </w:r>
          </w:p>
        </w:tc>
        <w:tc>
          <w:tcPr>
            <w:tcW w:w="851" w:type="dxa"/>
          </w:tcPr>
          <w:p w14:paraId="31C540B7" w14:textId="112FEA7A" w:rsidR="006E5533" w:rsidRPr="00A77951" w:rsidRDefault="006E5533" w:rsidP="006E5533">
            <w:pPr>
              <w:spacing w:line="360" w:lineRule="auto"/>
              <w:contextualSpacing/>
              <w:rPr>
                <w:rFonts w:ascii="Arial" w:hAnsi="Arial" w:cs="Arial"/>
                <w:sz w:val="15"/>
                <w:szCs w:val="15"/>
              </w:rPr>
            </w:pPr>
            <w:hyperlink r:id="rId207" w:history="1">
              <w:r w:rsidRPr="00A77951">
                <w:rPr>
                  <w:rStyle w:val="Hyperlink"/>
                  <w:rFonts w:ascii="Arial" w:hAnsi="Arial" w:cs="Arial"/>
                  <w:sz w:val="15"/>
                  <w:szCs w:val="15"/>
                </w:rPr>
                <w:t>10.5137/1019-5149.JTN.12738-14.0</w:t>
              </w:r>
            </w:hyperlink>
          </w:p>
        </w:tc>
        <w:tc>
          <w:tcPr>
            <w:tcW w:w="851" w:type="dxa"/>
          </w:tcPr>
          <w:p w14:paraId="19F592F5" w14:textId="75568B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7D137886" w14:textId="79DFAA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6F039D5F" w14:textId="152EA4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8B9268A" w14:textId="583607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72088506" w14:textId="1A68EE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whether the trend of SSI incidence did change or not following the implementation of the study’s program. </w:t>
            </w:r>
          </w:p>
        </w:tc>
        <w:tc>
          <w:tcPr>
            <w:tcW w:w="1134" w:type="dxa"/>
          </w:tcPr>
          <w:p w14:paraId="4BE431F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C5E85AA" w14:textId="5D90ED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13A7A90" w14:textId="424B920D"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5B7CBBCE" w14:textId="0D2F5556" w:rsidR="006E5533" w:rsidRPr="00251EA9" w:rsidRDefault="006E5533" w:rsidP="006E5533">
            <w:pPr>
              <w:rPr>
                <w:rFonts w:ascii="Arial" w:hAnsi="Arial" w:cs="Arial"/>
                <w:sz w:val="15"/>
                <w:szCs w:val="15"/>
              </w:rPr>
            </w:pPr>
            <w:r w:rsidRPr="00251EA9">
              <w:rPr>
                <w:rFonts w:ascii="Arial" w:hAnsi="Arial" w:cs="Arial"/>
                <w:sz w:val="15"/>
                <w:szCs w:val="15"/>
              </w:rPr>
              <w:t>Reported 112 SSI cases out of 3042 cases. SSI more likely occurred in patients with older age, undergoing emergency operations, having higher American</w:t>
            </w:r>
            <w:r w:rsidRPr="00251EA9">
              <w:rPr>
                <w:rFonts w:ascii="Arial" w:hAnsi="Arial" w:cs="Arial"/>
                <w:sz w:val="15"/>
                <w:szCs w:val="15"/>
              </w:rPr>
              <w:br/>
              <w:t xml:space="preserve">Society of </w:t>
            </w:r>
            <w:proofErr w:type="spellStart"/>
            <w:r w:rsidRPr="00251EA9">
              <w:rPr>
                <w:rFonts w:ascii="Arial" w:hAnsi="Arial" w:cs="Arial"/>
                <w:sz w:val="15"/>
                <w:szCs w:val="15"/>
              </w:rPr>
              <w:t>Anesthesiologists</w:t>
            </w:r>
            <w:proofErr w:type="spellEnd"/>
            <w:r w:rsidRPr="00251EA9">
              <w:rPr>
                <w:rFonts w:ascii="Arial" w:hAnsi="Arial" w:cs="Arial"/>
                <w:sz w:val="15"/>
                <w:szCs w:val="15"/>
              </w:rPr>
              <w:t xml:space="preserve"> (ASA) scores and clean contaminated wound. </w:t>
            </w:r>
          </w:p>
        </w:tc>
        <w:tc>
          <w:tcPr>
            <w:tcW w:w="1701" w:type="dxa"/>
          </w:tcPr>
          <w:p w14:paraId="5B3DB157" w14:textId="776EB6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45C2BFD" w14:textId="77777777" w:rsidTr="00A77951">
        <w:trPr>
          <w:trHeight w:val="586"/>
        </w:trPr>
        <w:tc>
          <w:tcPr>
            <w:tcW w:w="992" w:type="dxa"/>
          </w:tcPr>
          <w:p w14:paraId="00FD0C84" w14:textId="233F58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Jimenez A. et al., 2021</w:t>
            </w:r>
          </w:p>
        </w:tc>
        <w:tc>
          <w:tcPr>
            <w:tcW w:w="851" w:type="dxa"/>
          </w:tcPr>
          <w:p w14:paraId="66E4AD78" w14:textId="76430968" w:rsidR="006E5533" w:rsidRPr="00A77951" w:rsidRDefault="006E5533" w:rsidP="006E5533">
            <w:pPr>
              <w:spacing w:line="360" w:lineRule="auto"/>
              <w:contextualSpacing/>
              <w:rPr>
                <w:rFonts w:ascii="Arial" w:hAnsi="Arial" w:cs="Arial"/>
                <w:sz w:val="15"/>
                <w:szCs w:val="15"/>
              </w:rPr>
            </w:pPr>
            <w:hyperlink r:id="rId208" w:history="1">
              <w:r w:rsidRPr="00A77951">
                <w:rPr>
                  <w:rStyle w:val="Hyperlink"/>
                  <w:rFonts w:ascii="Arial" w:hAnsi="Arial" w:cs="Arial"/>
                  <w:sz w:val="15"/>
                  <w:szCs w:val="15"/>
                </w:rPr>
                <w:t>10.1016/j.wneu.2021.12.010</w:t>
              </w:r>
            </w:hyperlink>
          </w:p>
        </w:tc>
        <w:tc>
          <w:tcPr>
            <w:tcW w:w="851" w:type="dxa"/>
          </w:tcPr>
          <w:p w14:paraId="06D5C3BA" w14:textId="0E1970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1C26AA5" w14:textId="556D12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A822A80" w14:textId="37B532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EA53788" w14:textId="4DB0B8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3503DBE" w14:textId="216CAD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better understand the prognostic factors that influence high-value care outcomes after meningioma surgery. To develop predictive models to determine the patients at risk of experiencing an extended hospital length of stay, non-routine discharge disposition, and/or a 90-day hospital readmission after non-</w:t>
            </w:r>
            <w:r w:rsidRPr="00251EA9">
              <w:rPr>
                <w:rFonts w:ascii="Arial" w:hAnsi="Arial" w:cs="Arial"/>
                <w:sz w:val="15"/>
                <w:szCs w:val="15"/>
              </w:rPr>
              <w:lastRenderedPageBreak/>
              <w:t>skull base meningioma resection.</w:t>
            </w:r>
          </w:p>
        </w:tc>
        <w:tc>
          <w:tcPr>
            <w:tcW w:w="1134" w:type="dxa"/>
          </w:tcPr>
          <w:p w14:paraId="385D53A0" w14:textId="613A6C68" w:rsidR="006E5533" w:rsidRPr="00251EA9" w:rsidRDefault="006E5533" w:rsidP="006E5533">
            <w:pPr>
              <w:spacing w:line="360" w:lineRule="auto"/>
              <w:contextualSpacing/>
              <w:rPr>
                <w:rFonts w:ascii="Arial" w:hAnsi="Arial" w:cs="Arial"/>
                <w:sz w:val="15"/>
                <w:szCs w:val="15"/>
              </w:rPr>
            </w:pPr>
          </w:p>
        </w:tc>
        <w:tc>
          <w:tcPr>
            <w:tcW w:w="992" w:type="dxa"/>
          </w:tcPr>
          <w:p w14:paraId="6F5E0468" w14:textId="399F03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4DBEE1D" w14:textId="7EECAE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44A8A68" w14:textId="5A942CB7" w:rsidR="006E5533" w:rsidRPr="00251EA9" w:rsidRDefault="006E5533" w:rsidP="006E5533">
            <w:pPr>
              <w:rPr>
                <w:rFonts w:ascii="Arial" w:hAnsi="Arial" w:cs="Arial"/>
                <w:sz w:val="15"/>
                <w:szCs w:val="15"/>
              </w:rPr>
            </w:pPr>
            <w:r w:rsidRPr="00251EA9">
              <w:rPr>
                <w:rFonts w:ascii="Arial" w:hAnsi="Arial" w:cs="Arial"/>
                <w:sz w:val="15"/>
                <w:szCs w:val="15"/>
              </w:rPr>
              <w:t>Reported 20 cases (5.1%) had developed surgical site infections.</w:t>
            </w:r>
          </w:p>
        </w:tc>
        <w:tc>
          <w:tcPr>
            <w:tcW w:w="1701" w:type="dxa"/>
          </w:tcPr>
          <w:p w14:paraId="3AAC7047" w14:textId="4DB9C9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14C7216" w14:textId="77777777" w:rsidTr="00A77951">
        <w:trPr>
          <w:trHeight w:val="586"/>
        </w:trPr>
        <w:tc>
          <w:tcPr>
            <w:tcW w:w="992" w:type="dxa"/>
          </w:tcPr>
          <w:p w14:paraId="2E2C130B" w14:textId="1286B4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Jimenez-Martinez E. et al., 2019</w:t>
            </w:r>
          </w:p>
        </w:tc>
        <w:tc>
          <w:tcPr>
            <w:tcW w:w="851" w:type="dxa"/>
          </w:tcPr>
          <w:p w14:paraId="3B0B14CA" w14:textId="04CCD8BD" w:rsidR="006E5533" w:rsidRPr="00A77951" w:rsidRDefault="006E5533" w:rsidP="006E5533">
            <w:pPr>
              <w:spacing w:line="360" w:lineRule="auto"/>
              <w:contextualSpacing/>
              <w:rPr>
                <w:rFonts w:ascii="Arial" w:hAnsi="Arial" w:cs="Arial"/>
                <w:sz w:val="15"/>
                <w:szCs w:val="15"/>
              </w:rPr>
            </w:pPr>
            <w:hyperlink r:id="rId209" w:history="1">
              <w:r w:rsidRPr="00A77951">
                <w:rPr>
                  <w:rStyle w:val="Hyperlink"/>
                  <w:rFonts w:ascii="Arial" w:hAnsi="Arial" w:cs="Arial"/>
                  <w:sz w:val="15"/>
                  <w:szCs w:val="15"/>
                </w:rPr>
                <w:t>10.1186/s13756-019-0525-3</w:t>
              </w:r>
            </w:hyperlink>
          </w:p>
        </w:tc>
        <w:tc>
          <w:tcPr>
            <w:tcW w:w="851" w:type="dxa"/>
          </w:tcPr>
          <w:p w14:paraId="6BE36556" w14:textId="0A9E37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0DB37401" w14:textId="01F6AF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876033C" w14:textId="61A2A6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266E978" w14:textId="2AB2E8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1175DCF" w14:textId="7B5160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risk factors for developing SSI-CRAN in a large</w:t>
            </w:r>
            <w:r w:rsidRPr="00251EA9">
              <w:rPr>
                <w:rFonts w:ascii="Arial" w:hAnsi="Arial" w:cs="Arial"/>
                <w:sz w:val="15"/>
                <w:szCs w:val="15"/>
              </w:rPr>
              <w:br/>
              <w:t>prospective cohort of adult patients undergoing craniotomy.</w:t>
            </w:r>
          </w:p>
        </w:tc>
        <w:tc>
          <w:tcPr>
            <w:tcW w:w="1134" w:type="dxa"/>
          </w:tcPr>
          <w:p w14:paraId="5876B766" w14:textId="7BE842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w:t>
            </w:r>
          </w:p>
        </w:tc>
        <w:tc>
          <w:tcPr>
            <w:tcW w:w="992" w:type="dxa"/>
          </w:tcPr>
          <w:p w14:paraId="5D669ECB" w14:textId="476821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4E6AA50" w14:textId="6A3D2936"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60208D5C" w14:textId="32E949FA" w:rsidR="006E5533" w:rsidRPr="00251EA9" w:rsidRDefault="006E5533" w:rsidP="006E5533">
            <w:pPr>
              <w:rPr>
                <w:rFonts w:ascii="Arial" w:hAnsi="Arial" w:cs="Arial"/>
                <w:sz w:val="15"/>
                <w:szCs w:val="15"/>
              </w:rPr>
            </w:pPr>
            <w:r w:rsidRPr="00251EA9">
              <w:rPr>
                <w:rFonts w:ascii="Arial" w:hAnsi="Arial" w:cs="Arial"/>
                <w:sz w:val="15"/>
                <w:szCs w:val="15"/>
              </w:rPr>
              <w:t>Among the 595 patients who underwent craniotomy, 91 (15.3%) episodes of SSI-CRAN were recorded, 67</w:t>
            </w:r>
            <w:r w:rsidRPr="00251EA9">
              <w:rPr>
                <w:rFonts w:ascii="Arial" w:hAnsi="Arial" w:cs="Arial"/>
                <w:sz w:val="15"/>
                <w:szCs w:val="15"/>
              </w:rPr>
              <w:br/>
              <w:t xml:space="preserve">(73.6%) of which were organ/space. The factors associated with SSI-CRAN were ASA score &gt; 2, extrinsic tumour and re-intervention. </w:t>
            </w:r>
          </w:p>
        </w:tc>
        <w:tc>
          <w:tcPr>
            <w:tcW w:w="1701" w:type="dxa"/>
          </w:tcPr>
          <w:p w14:paraId="1C294AE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“The high rate of SSI-CRAN</w:t>
            </w:r>
          </w:p>
          <w:p w14:paraId="772C30B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found in the current study could be partly explained by</w:t>
            </w:r>
          </w:p>
          <w:p w14:paraId="7556261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the use of different definitions and a stricter and longer</w:t>
            </w:r>
          </w:p>
          <w:p w14:paraId="0500F896"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patient follow-up than in previous research. The CDC score is a well-established tool for the classification</w:t>
            </w:r>
          </w:p>
          <w:p w14:paraId="114D4213"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of surgical site infection and provides homogeneity among</w:t>
            </w:r>
          </w:p>
          <w:p w14:paraId="5BEC937D" w14:textId="77777777" w:rsidR="006E5533" w:rsidRPr="00251EA9" w:rsidRDefault="006E5533" w:rsidP="006E5533">
            <w:pPr>
              <w:spacing w:line="360" w:lineRule="auto"/>
              <w:contextualSpacing/>
              <w:rPr>
                <w:rFonts w:ascii="Arial" w:hAnsi="Arial" w:cs="Arial"/>
                <w:sz w:val="15"/>
                <w:szCs w:val="15"/>
              </w:rPr>
            </w:pPr>
            <w:proofErr w:type="gramStart"/>
            <w:r w:rsidRPr="00251EA9">
              <w:rPr>
                <w:rFonts w:ascii="Arial" w:hAnsi="Arial" w:cs="Arial"/>
                <w:sz w:val="15"/>
                <w:szCs w:val="15"/>
              </w:rPr>
              <w:t>studies;</w:t>
            </w:r>
            <w:proofErr w:type="gramEnd"/>
            <w:r w:rsidRPr="00251EA9">
              <w:rPr>
                <w:rFonts w:ascii="Arial" w:hAnsi="Arial" w:cs="Arial"/>
                <w:sz w:val="15"/>
                <w:szCs w:val="15"/>
              </w:rPr>
              <w:t xml:space="preserve"> however, it only includes surgical site infection</w:t>
            </w:r>
          </w:p>
          <w:p w14:paraId="1DE3124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within 30 days after surgery. In contrast, our data, with a follow up of one year, found the median time for the occurrence of SSI-CRAN to be 39 days; furthermore, most SSI-CRANs were detected in the post-discharge surveillance period, and frequently </w:t>
            </w:r>
            <w:r w:rsidRPr="00251EA9">
              <w:rPr>
                <w:rFonts w:ascii="Arial" w:hAnsi="Arial" w:cs="Arial"/>
                <w:sz w:val="15"/>
                <w:szCs w:val="15"/>
              </w:rPr>
              <w:lastRenderedPageBreak/>
              <w:t>required hospital readmission. If the follow up was for 30</w:t>
            </w:r>
          </w:p>
          <w:p w14:paraId="2B410EE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days the SSI-CRAN rate would be 58 episodes (9.7%), almost half of these episodes would have been lost. These</w:t>
            </w:r>
          </w:p>
          <w:p w14:paraId="79E576F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findings concur with the results of other studies suggesting that limiting follow-up to 30-days would cause several cases to be missed. In our view, the CDC scoring</w:t>
            </w:r>
          </w:p>
          <w:p w14:paraId="73124476"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system should be used, but with a minimum follow-up</w:t>
            </w:r>
          </w:p>
          <w:p w14:paraId="5BDBFB81" w14:textId="1ED95596" w:rsidR="006E5533" w:rsidRPr="00251EA9" w:rsidRDefault="006E5533" w:rsidP="006E5533">
            <w:pPr>
              <w:spacing w:line="360" w:lineRule="auto"/>
              <w:contextualSpacing/>
              <w:rPr>
                <w:rFonts w:ascii="Arial" w:hAnsi="Arial" w:cs="Arial"/>
                <w:b/>
                <w:bCs/>
                <w:sz w:val="15"/>
                <w:szCs w:val="15"/>
              </w:rPr>
            </w:pPr>
            <w:r w:rsidRPr="00251EA9">
              <w:rPr>
                <w:rFonts w:ascii="Arial" w:hAnsi="Arial" w:cs="Arial"/>
                <w:sz w:val="15"/>
                <w:szCs w:val="15"/>
              </w:rPr>
              <w:t>time of 3 months.”</w:t>
            </w:r>
          </w:p>
        </w:tc>
      </w:tr>
      <w:tr w:rsidR="006E5533" w:rsidRPr="00251EA9" w14:paraId="31D7D35A" w14:textId="77777777" w:rsidTr="00A77951">
        <w:trPr>
          <w:trHeight w:val="586"/>
        </w:trPr>
        <w:tc>
          <w:tcPr>
            <w:tcW w:w="992" w:type="dxa"/>
          </w:tcPr>
          <w:p w14:paraId="53094E4A" w14:textId="16928C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Jimenez-Martinez E. et al., 2021</w:t>
            </w:r>
          </w:p>
        </w:tc>
        <w:tc>
          <w:tcPr>
            <w:tcW w:w="851" w:type="dxa"/>
          </w:tcPr>
          <w:p w14:paraId="52387CC3" w14:textId="41A38B2C" w:rsidR="006E5533" w:rsidRPr="00A77951" w:rsidRDefault="006E5533" w:rsidP="006E5533">
            <w:pPr>
              <w:spacing w:line="360" w:lineRule="auto"/>
              <w:contextualSpacing/>
              <w:rPr>
                <w:rFonts w:ascii="Arial" w:hAnsi="Arial" w:cs="Arial"/>
                <w:sz w:val="15"/>
                <w:szCs w:val="15"/>
              </w:rPr>
            </w:pPr>
            <w:hyperlink r:id="rId210" w:history="1">
              <w:r w:rsidRPr="00A77951">
                <w:rPr>
                  <w:rStyle w:val="Hyperlink"/>
                  <w:rFonts w:ascii="Arial" w:hAnsi="Arial" w:cs="Arial"/>
                  <w:sz w:val="15"/>
                  <w:szCs w:val="15"/>
                </w:rPr>
                <w:t>10.1093/</w:t>
              </w:r>
              <w:proofErr w:type="spellStart"/>
              <w:r w:rsidRPr="00A77951">
                <w:rPr>
                  <w:rStyle w:val="Hyperlink"/>
                  <w:rFonts w:ascii="Arial" w:hAnsi="Arial" w:cs="Arial"/>
                  <w:sz w:val="15"/>
                  <w:szCs w:val="15"/>
                </w:rPr>
                <w:t>cid</w:t>
              </w:r>
              <w:proofErr w:type="spellEnd"/>
              <w:r w:rsidRPr="00A77951">
                <w:rPr>
                  <w:rStyle w:val="Hyperlink"/>
                  <w:rFonts w:ascii="Arial" w:hAnsi="Arial" w:cs="Arial"/>
                  <w:sz w:val="15"/>
                  <w:szCs w:val="15"/>
                </w:rPr>
                <w:t>/ciaa884</w:t>
              </w:r>
            </w:hyperlink>
          </w:p>
        </w:tc>
        <w:tc>
          <w:tcPr>
            <w:tcW w:w="851" w:type="dxa"/>
          </w:tcPr>
          <w:p w14:paraId="270D3EA2" w14:textId="47960B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422886D9" w14:textId="3C1F50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7C9FCF0" w14:textId="5DB57C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AF94F51" w14:textId="09595C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19649EE2" w14:textId="21483A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the implementation of a care bundle</w:t>
            </w:r>
            <w:r w:rsidRPr="00251EA9">
              <w:rPr>
                <w:rFonts w:ascii="Arial" w:hAnsi="Arial" w:cs="Arial"/>
                <w:sz w:val="15"/>
                <w:szCs w:val="15"/>
              </w:rPr>
              <w:br/>
              <w:t>was effective in preventing SSI-CRANs.</w:t>
            </w:r>
          </w:p>
        </w:tc>
        <w:tc>
          <w:tcPr>
            <w:tcW w:w="1134" w:type="dxa"/>
          </w:tcPr>
          <w:p w14:paraId="44301061" w14:textId="403726EA" w:rsidR="006E5533" w:rsidRPr="00251EA9" w:rsidRDefault="006E5533" w:rsidP="006E5533">
            <w:pPr>
              <w:spacing w:line="360" w:lineRule="auto"/>
              <w:contextualSpacing/>
              <w:rPr>
                <w:rFonts w:ascii="Arial" w:hAnsi="Arial" w:cs="Arial"/>
                <w:sz w:val="15"/>
                <w:szCs w:val="15"/>
              </w:rPr>
            </w:pPr>
          </w:p>
        </w:tc>
        <w:tc>
          <w:tcPr>
            <w:tcW w:w="992" w:type="dxa"/>
          </w:tcPr>
          <w:p w14:paraId="02F12FA2" w14:textId="74CE24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9BD1DE2" w14:textId="3A1CC663"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6730649B" w14:textId="1296F4FC" w:rsidR="006E5533" w:rsidRPr="00251EA9" w:rsidRDefault="006E5533" w:rsidP="006E5533">
            <w:pPr>
              <w:rPr>
                <w:rFonts w:ascii="Arial" w:hAnsi="Arial" w:cs="Arial"/>
                <w:sz w:val="15"/>
                <w:szCs w:val="15"/>
              </w:rPr>
            </w:pPr>
            <w:r w:rsidRPr="00251EA9">
              <w:rPr>
                <w:rFonts w:ascii="Arial" w:hAnsi="Arial" w:cs="Arial"/>
                <w:sz w:val="15"/>
                <w:szCs w:val="15"/>
              </w:rPr>
              <w:t>A total of 595 and 422 patients were included in the preintervention and intervention periods, respectively. The incidence of SSI-CRANs was lower in the intervention period. The care bundle intervention was independently associated with a reduced incidence of SSI-CRANs.</w:t>
            </w:r>
          </w:p>
        </w:tc>
        <w:tc>
          <w:tcPr>
            <w:tcW w:w="1701" w:type="dxa"/>
          </w:tcPr>
          <w:p w14:paraId="469088AB" w14:textId="12ECCD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C47C862" w14:textId="77777777" w:rsidTr="00A77951">
        <w:trPr>
          <w:trHeight w:val="586"/>
        </w:trPr>
        <w:tc>
          <w:tcPr>
            <w:tcW w:w="992" w:type="dxa"/>
          </w:tcPr>
          <w:p w14:paraId="03D3544A" w14:textId="2A2EE6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Jimenez-Martinez E. et al., 2021</w:t>
            </w:r>
          </w:p>
        </w:tc>
        <w:tc>
          <w:tcPr>
            <w:tcW w:w="851" w:type="dxa"/>
          </w:tcPr>
          <w:p w14:paraId="001772D5" w14:textId="3A1EFFE2" w:rsidR="006E5533" w:rsidRPr="00A77951" w:rsidRDefault="006E5533" w:rsidP="006E5533">
            <w:pPr>
              <w:spacing w:line="360" w:lineRule="auto"/>
              <w:contextualSpacing/>
              <w:rPr>
                <w:rFonts w:ascii="Arial" w:hAnsi="Arial" w:cs="Arial"/>
                <w:sz w:val="15"/>
                <w:szCs w:val="15"/>
              </w:rPr>
            </w:pPr>
            <w:hyperlink r:id="rId211" w:history="1">
              <w:r w:rsidRPr="00A77951">
                <w:rPr>
                  <w:rStyle w:val="Hyperlink"/>
                  <w:rFonts w:ascii="Arial" w:hAnsi="Arial" w:cs="Arial"/>
                  <w:sz w:val="15"/>
                  <w:szCs w:val="15"/>
                </w:rPr>
                <w:t>10.1186/s13756-021-01016-4</w:t>
              </w:r>
            </w:hyperlink>
          </w:p>
        </w:tc>
        <w:tc>
          <w:tcPr>
            <w:tcW w:w="851" w:type="dxa"/>
          </w:tcPr>
          <w:p w14:paraId="5D554092" w14:textId="203B2A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2A9B08E4" w14:textId="783FDE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8B0E33B" w14:textId="46AE50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509FE16" w14:textId="626744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B657FE9" w14:textId="52234F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economic impact on hospital costs of the implementation of a care bundle for the prevention of SSI-CRAN.</w:t>
            </w:r>
          </w:p>
        </w:tc>
        <w:tc>
          <w:tcPr>
            <w:tcW w:w="1134" w:type="dxa"/>
          </w:tcPr>
          <w:p w14:paraId="7FE8F963" w14:textId="2FAC1C2A" w:rsidR="006E5533" w:rsidRPr="00251EA9" w:rsidRDefault="006E5533" w:rsidP="006E5533">
            <w:pPr>
              <w:spacing w:line="360" w:lineRule="auto"/>
              <w:contextualSpacing/>
              <w:rPr>
                <w:rFonts w:ascii="Arial" w:hAnsi="Arial" w:cs="Arial"/>
                <w:sz w:val="15"/>
                <w:szCs w:val="15"/>
              </w:rPr>
            </w:pPr>
          </w:p>
        </w:tc>
        <w:tc>
          <w:tcPr>
            <w:tcW w:w="992" w:type="dxa"/>
          </w:tcPr>
          <w:p w14:paraId="27B452F6" w14:textId="2762EB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BDF74EB" w14:textId="26DA71F4"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56953522" w14:textId="1C10EBE6" w:rsidR="006E5533" w:rsidRPr="00251EA9" w:rsidRDefault="006E5533" w:rsidP="006E5533">
            <w:pPr>
              <w:rPr>
                <w:rFonts w:ascii="Arial" w:hAnsi="Arial" w:cs="Arial"/>
                <w:sz w:val="15"/>
                <w:szCs w:val="15"/>
              </w:rPr>
            </w:pPr>
            <w:r w:rsidRPr="00251EA9">
              <w:rPr>
                <w:rFonts w:ascii="Arial" w:hAnsi="Arial" w:cs="Arial"/>
                <w:sz w:val="15"/>
                <w:szCs w:val="15"/>
              </w:rPr>
              <w:t>The incidence of SSI-CRANs was significantly lower in the care bundle period (15.3% vs. 3.5%).</w:t>
            </w:r>
          </w:p>
        </w:tc>
        <w:tc>
          <w:tcPr>
            <w:tcW w:w="1701" w:type="dxa"/>
          </w:tcPr>
          <w:p w14:paraId="35244A6B" w14:textId="57E420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227F92E" w14:textId="77777777" w:rsidTr="00A77951">
        <w:trPr>
          <w:trHeight w:val="586"/>
        </w:trPr>
        <w:tc>
          <w:tcPr>
            <w:tcW w:w="992" w:type="dxa"/>
          </w:tcPr>
          <w:p w14:paraId="355B0EA3" w14:textId="0D95DB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Joerger A. et al., 2023</w:t>
            </w:r>
          </w:p>
        </w:tc>
        <w:tc>
          <w:tcPr>
            <w:tcW w:w="851" w:type="dxa"/>
          </w:tcPr>
          <w:p w14:paraId="09750AB8" w14:textId="524B6654" w:rsidR="006E5533" w:rsidRPr="00A77951" w:rsidRDefault="006E5533" w:rsidP="006E5533">
            <w:pPr>
              <w:spacing w:line="360" w:lineRule="auto"/>
              <w:contextualSpacing/>
              <w:rPr>
                <w:rFonts w:ascii="Arial" w:hAnsi="Arial" w:cs="Arial"/>
                <w:sz w:val="15"/>
                <w:szCs w:val="15"/>
              </w:rPr>
            </w:pPr>
            <w:hyperlink r:id="rId212" w:history="1">
              <w:r w:rsidRPr="00A77951">
                <w:rPr>
                  <w:rStyle w:val="Hyperlink"/>
                  <w:rFonts w:ascii="Arial" w:hAnsi="Arial" w:cs="Arial"/>
                  <w:sz w:val="15"/>
                  <w:szCs w:val="15"/>
                </w:rPr>
                <w:t>10.1007/s00701-023-05870-6</w:t>
              </w:r>
            </w:hyperlink>
          </w:p>
        </w:tc>
        <w:tc>
          <w:tcPr>
            <w:tcW w:w="851" w:type="dxa"/>
          </w:tcPr>
          <w:p w14:paraId="014D490D" w14:textId="45FB37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0CF8364B" w14:textId="19D429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9478210" w14:textId="21F264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755623D" w14:textId="3042D1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61A685C1" w14:textId="4E1BDD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rates of SSI after brain tumour surgery with and without the use of intraoperative MRI (</w:t>
            </w:r>
            <w:proofErr w:type="spellStart"/>
            <w:r w:rsidRPr="00251EA9">
              <w:rPr>
                <w:rFonts w:ascii="Arial" w:hAnsi="Arial" w:cs="Arial"/>
                <w:sz w:val="15"/>
                <w:szCs w:val="15"/>
              </w:rPr>
              <w:t>iOMRI</w:t>
            </w:r>
            <w:proofErr w:type="spellEnd"/>
            <w:r w:rsidRPr="00251EA9">
              <w:rPr>
                <w:rFonts w:ascii="Arial" w:hAnsi="Arial" w:cs="Arial"/>
                <w:sz w:val="15"/>
                <w:szCs w:val="15"/>
              </w:rPr>
              <w:t>) by a descriptive analysis in a real-world scenario.</w:t>
            </w:r>
          </w:p>
        </w:tc>
        <w:tc>
          <w:tcPr>
            <w:tcW w:w="1134" w:type="dxa"/>
          </w:tcPr>
          <w:p w14:paraId="4C661920" w14:textId="5E580B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Use of intraoperative MRI vs control (no </w:t>
            </w:r>
            <w:proofErr w:type="spellStart"/>
            <w:r w:rsidRPr="00251EA9">
              <w:rPr>
                <w:rFonts w:ascii="Arial" w:hAnsi="Arial" w:cs="Arial"/>
                <w:sz w:val="15"/>
                <w:szCs w:val="15"/>
              </w:rPr>
              <w:t>ioMRI</w:t>
            </w:r>
            <w:proofErr w:type="spellEnd"/>
            <w:r w:rsidRPr="00251EA9">
              <w:rPr>
                <w:rFonts w:ascii="Arial" w:hAnsi="Arial" w:cs="Arial"/>
                <w:sz w:val="15"/>
                <w:szCs w:val="15"/>
              </w:rPr>
              <w:t>)</w:t>
            </w:r>
          </w:p>
        </w:tc>
        <w:tc>
          <w:tcPr>
            <w:tcW w:w="992" w:type="dxa"/>
          </w:tcPr>
          <w:p w14:paraId="03DEBC91" w14:textId="602ECB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2F4B549" w14:textId="1B9968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Classified as superficial, deep, epidural and intracranial (empyema, abscess), meningitis/</w:t>
            </w:r>
            <w:r w:rsidRPr="00251EA9">
              <w:rPr>
                <w:rFonts w:ascii="Arial" w:hAnsi="Arial" w:cs="Arial"/>
                <w:sz w:val="15"/>
                <w:szCs w:val="15"/>
              </w:rPr>
              <w:br/>
              <w:t xml:space="preserve">ventriculitis, infected cerebrospinal fluid (CSF) fistula and shunt infection. </w:t>
            </w:r>
          </w:p>
        </w:tc>
        <w:tc>
          <w:tcPr>
            <w:tcW w:w="2693" w:type="dxa"/>
          </w:tcPr>
          <w:p w14:paraId="50DB643F" w14:textId="30EBAEEB" w:rsidR="006E5533" w:rsidRPr="00251EA9" w:rsidRDefault="006E5533" w:rsidP="006E5533">
            <w:pPr>
              <w:rPr>
                <w:rFonts w:ascii="Arial" w:hAnsi="Arial" w:cs="Arial"/>
                <w:sz w:val="15"/>
                <w:szCs w:val="15"/>
              </w:rPr>
            </w:pPr>
            <w:r w:rsidRPr="00251EA9">
              <w:rPr>
                <w:rFonts w:ascii="Arial" w:hAnsi="Arial" w:cs="Arial"/>
                <w:sz w:val="15"/>
                <w:szCs w:val="15"/>
              </w:rPr>
              <w:t>The rate of SSI in the different groups did not differ significantly. There was no significant influence of re-resection, prior radiotherapy/chemotherapy, blood loss or duration of surgery was found on the incidence of SSI.</w:t>
            </w:r>
          </w:p>
        </w:tc>
        <w:tc>
          <w:tcPr>
            <w:tcW w:w="1701" w:type="dxa"/>
          </w:tcPr>
          <w:p w14:paraId="0BA19D9B" w14:textId="58AF72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E0075F7" w14:textId="77777777" w:rsidTr="00A77951">
        <w:trPr>
          <w:trHeight w:val="586"/>
        </w:trPr>
        <w:tc>
          <w:tcPr>
            <w:tcW w:w="992" w:type="dxa"/>
          </w:tcPr>
          <w:p w14:paraId="0184F522" w14:textId="54A64A8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Jorger</w:t>
            </w:r>
            <w:proofErr w:type="spellEnd"/>
            <w:r w:rsidRPr="00251EA9">
              <w:rPr>
                <w:rFonts w:ascii="Arial" w:hAnsi="Arial" w:cs="Arial"/>
                <w:sz w:val="15"/>
                <w:szCs w:val="15"/>
              </w:rPr>
              <w:t xml:space="preserve"> A. et al., 2018</w:t>
            </w:r>
          </w:p>
        </w:tc>
        <w:tc>
          <w:tcPr>
            <w:tcW w:w="851" w:type="dxa"/>
          </w:tcPr>
          <w:p w14:paraId="3DE6E927" w14:textId="31A18D91" w:rsidR="006E5533" w:rsidRPr="00A77951" w:rsidRDefault="006E5533" w:rsidP="006E5533">
            <w:pPr>
              <w:spacing w:line="360" w:lineRule="auto"/>
              <w:contextualSpacing/>
              <w:rPr>
                <w:rFonts w:ascii="Arial" w:hAnsi="Arial" w:cs="Arial"/>
                <w:sz w:val="15"/>
                <w:szCs w:val="15"/>
              </w:rPr>
            </w:pPr>
            <w:hyperlink r:id="rId213" w:history="1">
              <w:r w:rsidRPr="00A77951">
                <w:rPr>
                  <w:rStyle w:val="Hyperlink"/>
                  <w:rFonts w:ascii="Arial" w:hAnsi="Arial" w:cs="Arial"/>
                  <w:sz w:val="15"/>
                  <w:szCs w:val="15"/>
                </w:rPr>
                <w:t>10.1007/s00701-018-3704-8</w:t>
              </w:r>
            </w:hyperlink>
          </w:p>
        </w:tc>
        <w:tc>
          <w:tcPr>
            <w:tcW w:w="851" w:type="dxa"/>
          </w:tcPr>
          <w:p w14:paraId="64BCDA50" w14:textId="4777F1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3C101B69" w14:textId="3C9627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0F8631C" w14:textId="36D670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3FF0C73" w14:textId="280B26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4A8D8B77" w14:textId="71F86D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find out if the implementation of the new infection prevention bundle could reduce the rate of SSIs. The benefit of an infection prevention bundle made up of five basic procedures to avoid SSIs following cranial surgery was evaluated.</w:t>
            </w:r>
          </w:p>
        </w:tc>
        <w:tc>
          <w:tcPr>
            <w:tcW w:w="1134" w:type="dxa"/>
          </w:tcPr>
          <w:p w14:paraId="332C3F74" w14:textId="628708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Control vs use of new infection prevention bundle.</w:t>
            </w:r>
          </w:p>
        </w:tc>
        <w:tc>
          <w:tcPr>
            <w:tcW w:w="992" w:type="dxa"/>
          </w:tcPr>
          <w:p w14:paraId="438B1C35" w14:textId="56EAD1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AC5F9A4" w14:textId="073A75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806E0FF" w14:textId="5C7AA37E" w:rsidR="006E5533" w:rsidRPr="00251EA9" w:rsidRDefault="006E5533" w:rsidP="006E5533">
            <w:pPr>
              <w:rPr>
                <w:rFonts w:ascii="Arial" w:hAnsi="Arial" w:cs="Arial"/>
                <w:sz w:val="15"/>
                <w:szCs w:val="15"/>
              </w:rPr>
            </w:pPr>
            <w:r w:rsidRPr="00251EA9">
              <w:rPr>
                <w:rFonts w:ascii="Arial" w:hAnsi="Arial" w:cs="Arial"/>
                <w:sz w:val="15"/>
                <w:szCs w:val="15"/>
              </w:rPr>
              <w:t xml:space="preserve"> In the control group, 13 (4%) patients suffered from an SSI requiring surgical intervention, compared to 6 patients (2%) in the study group. In the control group, the median of days to reoperation as an indirect measurement for the occurrence of a SSI was</w:t>
            </w:r>
            <w:r w:rsidRPr="00251EA9">
              <w:rPr>
                <w:rFonts w:ascii="Arial" w:hAnsi="Arial" w:cs="Arial"/>
                <w:sz w:val="15"/>
                <w:szCs w:val="15"/>
              </w:rPr>
              <w:br/>
              <w:t>35 days, which was</w:t>
            </w:r>
            <w:r w:rsidRPr="00251EA9">
              <w:rPr>
                <w:rFonts w:ascii="Arial" w:hAnsi="Arial" w:cs="Arial"/>
                <w:sz w:val="15"/>
                <w:szCs w:val="15"/>
              </w:rPr>
              <w:br/>
              <w:t xml:space="preserve">comparable with 32.5 </w:t>
            </w:r>
            <w:proofErr w:type="gramStart"/>
            <w:r w:rsidRPr="00251EA9">
              <w:rPr>
                <w:rFonts w:ascii="Arial" w:hAnsi="Arial" w:cs="Arial"/>
                <w:sz w:val="15"/>
                <w:szCs w:val="15"/>
              </w:rPr>
              <w:t>days  in</w:t>
            </w:r>
            <w:proofErr w:type="gramEnd"/>
            <w:r w:rsidRPr="00251EA9">
              <w:rPr>
                <w:rFonts w:ascii="Arial" w:hAnsi="Arial" w:cs="Arial"/>
                <w:sz w:val="15"/>
                <w:szCs w:val="15"/>
              </w:rPr>
              <w:t xml:space="preserve"> the study group. </w:t>
            </w:r>
          </w:p>
        </w:tc>
        <w:tc>
          <w:tcPr>
            <w:tcW w:w="1701" w:type="dxa"/>
          </w:tcPr>
          <w:p w14:paraId="2AF25700" w14:textId="71EE21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EC2DAF5" w14:textId="77777777" w:rsidTr="00A77951">
        <w:trPr>
          <w:trHeight w:val="586"/>
        </w:trPr>
        <w:tc>
          <w:tcPr>
            <w:tcW w:w="992" w:type="dxa"/>
          </w:tcPr>
          <w:p w14:paraId="630E520A" w14:textId="5B7DAD9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Joswig</w:t>
            </w:r>
            <w:proofErr w:type="spellEnd"/>
            <w:r w:rsidRPr="00251EA9">
              <w:rPr>
                <w:rFonts w:ascii="Arial" w:hAnsi="Arial" w:cs="Arial"/>
                <w:sz w:val="15"/>
                <w:szCs w:val="15"/>
              </w:rPr>
              <w:t xml:space="preserve"> H. et al., 2016</w:t>
            </w:r>
          </w:p>
        </w:tc>
        <w:tc>
          <w:tcPr>
            <w:tcW w:w="851" w:type="dxa"/>
          </w:tcPr>
          <w:p w14:paraId="20F20C48" w14:textId="1DC0C07B" w:rsidR="006E5533" w:rsidRPr="00A77951" w:rsidRDefault="006E5533" w:rsidP="006E5533">
            <w:pPr>
              <w:spacing w:line="360" w:lineRule="auto"/>
              <w:contextualSpacing/>
              <w:rPr>
                <w:rFonts w:ascii="Arial" w:hAnsi="Arial" w:cs="Arial"/>
                <w:sz w:val="15"/>
                <w:szCs w:val="15"/>
              </w:rPr>
            </w:pPr>
            <w:hyperlink r:id="rId214" w:history="1">
              <w:r w:rsidRPr="00A77951">
                <w:rPr>
                  <w:rStyle w:val="Hyperlink"/>
                  <w:rFonts w:ascii="Arial" w:hAnsi="Arial" w:cs="Arial"/>
                  <w:sz w:val="15"/>
                  <w:szCs w:val="15"/>
                </w:rPr>
                <w:t>10.1016/j.wneu.2016.03.081</w:t>
              </w:r>
            </w:hyperlink>
          </w:p>
        </w:tc>
        <w:tc>
          <w:tcPr>
            <w:tcW w:w="851" w:type="dxa"/>
          </w:tcPr>
          <w:p w14:paraId="376E41E5" w14:textId="2AC9D4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1BE2B620" w14:textId="592D2E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371AB7C" w14:textId="35E64A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ACCA74A" w14:textId="74683D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383A834C" w14:textId="54A3F2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test the hypothesis that complication rates and postoperative outcome of supervised residents and experienced board-certified faculty neurosurgeons (BCFNs) are similar in cranioplasty surgery.</w:t>
            </w:r>
          </w:p>
        </w:tc>
        <w:tc>
          <w:tcPr>
            <w:tcW w:w="1134" w:type="dxa"/>
          </w:tcPr>
          <w:p w14:paraId="37CBC40A" w14:textId="62B33031" w:rsidR="006E5533" w:rsidRPr="00251EA9" w:rsidRDefault="006E5533" w:rsidP="006E5533">
            <w:pPr>
              <w:spacing w:line="360" w:lineRule="auto"/>
              <w:contextualSpacing/>
              <w:rPr>
                <w:rFonts w:ascii="Arial" w:hAnsi="Arial" w:cs="Arial"/>
                <w:sz w:val="15"/>
                <w:szCs w:val="15"/>
              </w:rPr>
            </w:pPr>
          </w:p>
        </w:tc>
        <w:tc>
          <w:tcPr>
            <w:tcW w:w="992" w:type="dxa"/>
          </w:tcPr>
          <w:p w14:paraId="1F2C8DC6" w14:textId="193391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B47AC1D" w14:textId="40AFD0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7A29D70" w14:textId="15DC1B08" w:rsidR="006E5533" w:rsidRPr="00251EA9" w:rsidRDefault="006E5533" w:rsidP="006E5533">
            <w:pPr>
              <w:rPr>
                <w:rFonts w:ascii="Arial" w:hAnsi="Arial" w:cs="Arial"/>
                <w:sz w:val="15"/>
                <w:szCs w:val="15"/>
              </w:rPr>
            </w:pPr>
            <w:r w:rsidRPr="00251EA9">
              <w:rPr>
                <w:rFonts w:ascii="Arial" w:hAnsi="Arial" w:cs="Arial"/>
                <w:sz w:val="15"/>
                <w:szCs w:val="15"/>
              </w:rPr>
              <w:t>SSI requiring cranioplasty removal occurred in 27 patients: 11.3%; 19 in the teaching and 8 in the nonteaching group.</w:t>
            </w:r>
          </w:p>
        </w:tc>
        <w:tc>
          <w:tcPr>
            <w:tcW w:w="1701" w:type="dxa"/>
          </w:tcPr>
          <w:p w14:paraId="147EC7C7" w14:textId="4F3A14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A96FC39" w14:textId="77777777" w:rsidTr="00A77951">
        <w:trPr>
          <w:trHeight w:val="586"/>
        </w:trPr>
        <w:tc>
          <w:tcPr>
            <w:tcW w:w="992" w:type="dxa"/>
          </w:tcPr>
          <w:p w14:paraId="09E01ECC" w14:textId="0C5C16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Kaestner S. et al., 2017</w:t>
            </w:r>
          </w:p>
        </w:tc>
        <w:tc>
          <w:tcPr>
            <w:tcW w:w="851" w:type="dxa"/>
          </w:tcPr>
          <w:p w14:paraId="77FFC108" w14:textId="06A4E922" w:rsidR="006E5533" w:rsidRPr="00A77951" w:rsidRDefault="006E5533" w:rsidP="006E5533">
            <w:pPr>
              <w:spacing w:line="360" w:lineRule="auto"/>
              <w:contextualSpacing/>
              <w:rPr>
                <w:rFonts w:ascii="Arial" w:hAnsi="Arial" w:cs="Arial"/>
                <w:sz w:val="15"/>
                <w:szCs w:val="15"/>
              </w:rPr>
            </w:pPr>
            <w:hyperlink r:id="rId215" w:history="1">
              <w:r w:rsidRPr="00A77951">
                <w:rPr>
                  <w:rStyle w:val="Hyperlink"/>
                  <w:rFonts w:ascii="Arial" w:hAnsi="Arial" w:cs="Arial"/>
                  <w:sz w:val="15"/>
                  <w:szCs w:val="15"/>
                </w:rPr>
                <w:t>10.1016/j.pjnns.20</w:t>
              </w:r>
              <w:r w:rsidRPr="00A77951">
                <w:rPr>
                  <w:rStyle w:val="Hyperlink"/>
                  <w:rFonts w:ascii="Arial" w:hAnsi="Arial" w:cs="Arial"/>
                  <w:sz w:val="15"/>
                  <w:szCs w:val="15"/>
                </w:rPr>
                <w:lastRenderedPageBreak/>
                <w:t>16.11.007</w:t>
              </w:r>
            </w:hyperlink>
          </w:p>
        </w:tc>
        <w:tc>
          <w:tcPr>
            <w:tcW w:w="851" w:type="dxa"/>
          </w:tcPr>
          <w:p w14:paraId="760A2A88" w14:textId="56113B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Germany</w:t>
            </w:r>
          </w:p>
        </w:tc>
        <w:tc>
          <w:tcPr>
            <w:tcW w:w="1134" w:type="dxa"/>
          </w:tcPr>
          <w:p w14:paraId="7F0EACF9" w14:textId="486660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10EB92D" w14:textId="2045F5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CE2E2C4" w14:textId="41F1DA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072256F1" w14:textId="1521C0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different hydrocephalus types with the revision rates </w:t>
            </w:r>
            <w:r w:rsidRPr="00251EA9">
              <w:rPr>
                <w:rFonts w:ascii="Arial" w:hAnsi="Arial" w:cs="Arial"/>
                <w:sz w:val="15"/>
                <w:szCs w:val="15"/>
              </w:rPr>
              <w:lastRenderedPageBreak/>
              <w:t>and their time course to give a hint to the question if hydrocephalus could be a temporary condition especially in the case of post-haemorrhagic hydrocephalus.</w:t>
            </w:r>
          </w:p>
        </w:tc>
        <w:tc>
          <w:tcPr>
            <w:tcW w:w="1134" w:type="dxa"/>
          </w:tcPr>
          <w:p w14:paraId="4B6E17F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99961D3" w14:textId="7058B4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C4ABD5B" w14:textId="3B7CD8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A4F46DF" w14:textId="0289B1AC" w:rsidR="006E5533" w:rsidRPr="00251EA9" w:rsidRDefault="006E5533" w:rsidP="006E5533">
            <w:pPr>
              <w:rPr>
                <w:rFonts w:ascii="Arial" w:hAnsi="Arial" w:cs="Arial"/>
                <w:sz w:val="15"/>
                <w:szCs w:val="15"/>
              </w:rPr>
            </w:pPr>
            <w:r w:rsidRPr="00251EA9">
              <w:rPr>
                <w:rFonts w:ascii="Arial" w:hAnsi="Arial" w:cs="Arial"/>
                <w:sz w:val="15"/>
                <w:szCs w:val="15"/>
              </w:rPr>
              <w:t>This study listed shunt infection rates based on the sub-group of procedure but did not directly report these in the text.</w:t>
            </w:r>
          </w:p>
        </w:tc>
        <w:tc>
          <w:tcPr>
            <w:tcW w:w="1701" w:type="dxa"/>
          </w:tcPr>
          <w:p w14:paraId="1E5E8167" w14:textId="613E50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EDBAB1C" w14:textId="77777777" w:rsidTr="00A77951">
        <w:trPr>
          <w:trHeight w:val="586"/>
        </w:trPr>
        <w:tc>
          <w:tcPr>
            <w:tcW w:w="992" w:type="dxa"/>
          </w:tcPr>
          <w:p w14:paraId="7E4D036E" w14:textId="702B5C6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Kalangu</w:t>
            </w:r>
            <w:proofErr w:type="spellEnd"/>
            <w:r w:rsidRPr="00251EA9">
              <w:rPr>
                <w:rFonts w:ascii="Arial" w:hAnsi="Arial" w:cs="Arial"/>
                <w:sz w:val="15"/>
                <w:szCs w:val="15"/>
              </w:rPr>
              <w:t xml:space="preserve"> K. et al., 2020</w:t>
            </w:r>
          </w:p>
        </w:tc>
        <w:tc>
          <w:tcPr>
            <w:tcW w:w="851" w:type="dxa"/>
          </w:tcPr>
          <w:p w14:paraId="134ADD22" w14:textId="7F906489" w:rsidR="006E5533" w:rsidRPr="00A77951" w:rsidRDefault="006E5533" w:rsidP="006E5533">
            <w:pPr>
              <w:spacing w:line="360" w:lineRule="auto"/>
              <w:contextualSpacing/>
              <w:rPr>
                <w:rFonts w:ascii="Arial" w:hAnsi="Arial" w:cs="Arial"/>
                <w:sz w:val="15"/>
                <w:szCs w:val="15"/>
              </w:rPr>
            </w:pPr>
            <w:hyperlink r:id="rId216" w:history="1">
              <w:r w:rsidRPr="00A77951">
                <w:rPr>
                  <w:rStyle w:val="Hyperlink"/>
                  <w:rFonts w:ascii="Arial" w:hAnsi="Arial" w:cs="Arial"/>
                  <w:sz w:val="15"/>
                  <w:szCs w:val="15"/>
                </w:rPr>
                <w:t>10.1007/s00381-019-04357-z</w:t>
              </w:r>
            </w:hyperlink>
          </w:p>
        </w:tc>
        <w:tc>
          <w:tcPr>
            <w:tcW w:w="851" w:type="dxa"/>
          </w:tcPr>
          <w:p w14:paraId="6B8986A6" w14:textId="2BA018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Zimbabwe, Namibia, Democratic Republic of Congo</w:t>
            </w:r>
          </w:p>
        </w:tc>
        <w:tc>
          <w:tcPr>
            <w:tcW w:w="1134" w:type="dxa"/>
          </w:tcPr>
          <w:p w14:paraId="15FF7988" w14:textId="02010B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04E60730" w14:textId="462E00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07AE796F" w14:textId="42343F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CSF dynamics</w:t>
            </w:r>
          </w:p>
        </w:tc>
        <w:tc>
          <w:tcPr>
            <w:tcW w:w="1843" w:type="dxa"/>
          </w:tcPr>
          <w:p w14:paraId="4B754541" w14:textId="5EBE97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prospectively establish the incidence of shunt infection in the early post-shunt period following the study’s protocol and elucidate on associated risk factors.</w:t>
            </w:r>
          </w:p>
        </w:tc>
        <w:tc>
          <w:tcPr>
            <w:tcW w:w="1134" w:type="dxa"/>
          </w:tcPr>
          <w:p w14:paraId="6CEEB5B6" w14:textId="5DB3CC80" w:rsidR="006E5533" w:rsidRPr="00251EA9" w:rsidRDefault="006E5533" w:rsidP="006E5533">
            <w:pPr>
              <w:spacing w:line="360" w:lineRule="auto"/>
              <w:contextualSpacing/>
              <w:rPr>
                <w:rFonts w:ascii="Arial" w:hAnsi="Arial" w:cs="Arial"/>
                <w:sz w:val="15"/>
                <w:szCs w:val="15"/>
              </w:rPr>
            </w:pPr>
          </w:p>
        </w:tc>
        <w:tc>
          <w:tcPr>
            <w:tcW w:w="992" w:type="dxa"/>
          </w:tcPr>
          <w:p w14:paraId="1CBE04ED" w14:textId="4D5854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0CFAAAD" w14:textId="63ADEA2B"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79D3799F" w14:textId="7D8C835E" w:rsidR="006E5533" w:rsidRPr="00251EA9" w:rsidRDefault="006E5533" w:rsidP="006E5533">
            <w:pPr>
              <w:rPr>
                <w:rFonts w:ascii="Arial" w:hAnsi="Arial" w:cs="Arial"/>
                <w:sz w:val="15"/>
                <w:szCs w:val="15"/>
              </w:rPr>
            </w:pPr>
            <w:r w:rsidRPr="00251EA9">
              <w:rPr>
                <w:rFonts w:ascii="Arial" w:hAnsi="Arial" w:cs="Arial"/>
                <w:sz w:val="15"/>
                <w:szCs w:val="15"/>
              </w:rPr>
              <w:t>Included were 211 ventriculoperitoneal shunt procedures performed on 209 children. Shunt infection rate was 1.9% (4 cases in total) per procedure.</w:t>
            </w:r>
          </w:p>
        </w:tc>
        <w:tc>
          <w:tcPr>
            <w:tcW w:w="1701" w:type="dxa"/>
          </w:tcPr>
          <w:p w14:paraId="40EDD39B" w14:textId="0678A4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A5F3452" w14:textId="77777777" w:rsidTr="00A77951">
        <w:trPr>
          <w:trHeight w:val="586"/>
        </w:trPr>
        <w:tc>
          <w:tcPr>
            <w:tcW w:w="992" w:type="dxa"/>
          </w:tcPr>
          <w:p w14:paraId="15058E97" w14:textId="4617E3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Kalani M.Y.S. et al., 2015</w:t>
            </w:r>
          </w:p>
        </w:tc>
        <w:tc>
          <w:tcPr>
            <w:tcW w:w="851" w:type="dxa"/>
          </w:tcPr>
          <w:p w14:paraId="63E96CD9" w14:textId="616DDBE5" w:rsidR="006E5533" w:rsidRPr="00A77951" w:rsidRDefault="006E5533" w:rsidP="006E5533">
            <w:pPr>
              <w:spacing w:line="360" w:lineRule="auto"/>
              <w:contextualSpacing/>
              <w:rPr>
                <w:rFonts w:ascii="Arial" w:hAnsi="Arial" w:cs="Arial"/>
                <w:sz w:val="15"/>
                <w:szCs w:val="15"/>
              </w:rPr>
            </w:pPr>
            <w:hyperlink r:id="rId217" w:history="1">
              <w:r w:rsidRPr="00A77951">
                <w:rPr>
                  <w:rStyle w:val="Hyperlink"/>
                  <w:rFonts w:ascii="Arial" w:hAnsi="Arial" w:cs="Arial"/>
                  <w:sz w:val="15"/>
                  <w:szCs w:val="15"/>
                </w:rPr>
                <w:t>10.1016/j.wneu.2014.10.013</w:t>
              </w:r>
            </w:hyperlink>
          </w:p>
        </w:tc>
        <w:tc>
          <w:tcPr>
            <w:tcW w:w="851" w:type="dxa"/>
          </w:tcPr>
          <w:p w14:paraId="113BF1E7" w14:textId="44019C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3BBE37D" w14:textId="0FCC9A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A131192" w14:textId="6D436E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895DBBD" w14:textId="4F7F48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581BC95C" w14:textId="46AAA2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define indications for and evaluate outcomes of patients treated with bypass surgery in the modern endovascular era.</w:t>
            </w:r>
          </w:p>
        </w:tc>
        <w:tc>
          <w:tcPr>
            <w:tcW w:w="1134" w:type="dxa"/>
          </w:tcPr>
          <w:p w14:paraId="3D08B73F" w14:textId="1B30F0BE" w:rsidR="006E5533" w:rsidRPr="00251EA9" w:rsidRDefault="006E5533" w:rsidP="006E5533">
            <w:pPr>
              <w:spacing w:line="360" w:lineRule="auto"/>
              <w:contextualSpacing/>
              <w:rPr>
                <w:rFonts w:ascii="Arial" w:hAnsi="Arial" w:cs="Arial"/>
                <w:sz w:val="15"/>
                <w:szCs w:val="15"/>
              </w:rPr>
            </w:pPr>
          </w:p>
        </w:tc>
        <w:tc>
          <w:tcPr>
            <w:tcW w:w="992" w:type="dxa"/>
          </w:tcPr>
          <w:p w14:paraId="126ACA26" w14:textId="22C8CE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5D9DA9D" w14:textId="09BA78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1A48577" w14:textId="14032E2D" w:rsidR="006E5533" w:rsidRPr="00251EA9" w:rsidRDefault="006E5533" w:rsidP="006E5533">
            <w:pPr>
              <w:rPr>
                <w:rFonts w:ascii="Arial" w:hAnsi="Arial" w:cs="Arial"/>
                <w:sz w:val="15"/>
                <w:szCs w:val="15"/>
              </w:rPr>
            </w:pPr>
            <w:r w:rsidRPr="00251EA9">
              <w:rPr>
                <w:rFonts w:ascii="Arial" w:hAnsi="Arial" w:cs="Arial"/>
                <w:sz w:val="15"/>
                <w:szCs w:val="15"/>
              </w:rPr>
              <w:t>2 cases of wound infection were recorded.</w:t>
            </w:r>
          </w:p>
        </w:tc>
        <w:tc>
          <w:tcPr>
            <w:tcW w:w="1701" w:type="dxa"/>
          </w:tcPr>
          <w:p w14:paraId="0FA0E433" w14:textId="374946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0C17CE2" w14:textId="77777777" w:rsidTr="00A77951">
        <w:trPr>
          <w:trHeight w:val="586"/>
        </w:trPr>
        <w:tc>
          <w:tcPr>
            <w:tcW w:w="992" w:type="dxa"/>
          </w:tcPr>
          <w:p w14:paraId="236CDCC6" w14:textId="79DD48F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Kamenova</w:t>
            </w:r>
            <w:proofErr w:type="spellEnd"/>
            <w:r w:rsidRPr="00251EA9">
              <w:rPr>
                <w:rFonts w:ascii="Arial" w:hAnsi="Arial" w:cs="Arial"/>
                <w:sz w:val="15"/>
                <w:szCs w:val="15"/>
              </w:rPr>
              <w:t xml:space="preserve"> M. et al., 2017</w:t>
            </w:r>
          </w:p>
        </w:tc>
        <w:tc>
          <w:tcPr>
            <w:tcW w:w="851" w:type="dxa"/>
          </w:tcPr>
          <w:p w14:paraId="146EC971" w14:textId="4E99D168" w:rsidR="006E5533" w:rsidRPr="00A77951" w:rsidRDefault="006E5533" w:rsidP="006E5533">
            <w:pPr>
              <w:spacing w:line="360" w:lineRule="auto"/>
              <w:contextualSpacing/>
              <w:rPr>
                <w:rFonts w:ascii="Arial" w:hAnsi="Arial" w:cs="Arial"/>
                <w:sz w:val="15"/>
                <w:szCs w:val="15"/>
              </w:rPr>
            </w:pPr>
            <w:hyperlink r:id="rId218" w:history="1">
              <w:r w:rsidRPr="00A77951">
                <w:rPr>
                  <w:rStyle w:val="Hyperlink"/>
                  <w:rFonts w:ascii="Arial" w:hAnsi="Arial" w:cs="Arial"/>
                  <w:sz w:val="15"/>
                  <w:szCs w:val="15"/>
                </w:rPr>
                <w:t>10.1016/j.wneu.2017.01.065</w:t>
              </w:r>
            </w:hyperlink>
          </w:p>
        </w:tc>
        <w:tc>
          <w:tcPr>
            <w:tcW w:w="851" w:type="dxa"/>
          </w:tcPr>
          <w:p w14:paraId="225E5873" w14:textId="37C99B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1873E6F5" w14:textId="66C31E3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316FFACE" w14:textId="09E3FC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FF57459" w14:textId="6A9273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67D470E" w14:textId="130F03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the perioperative and postoperative bleeding and cardiovascular complication rates of patients undergoing burr-hole drainage for chronic subdural haematoma with and without discontinuation of low-dose </w:t>
            </w:r>
            <w:r w:rsidRPr="00251EA9">
              <w:rPr>
                <w:rFonts w:ascii="Arial" w:hAnsi="Arial" w:cs="Arial"/>
                <w:sz w:val="15"/>
                <w:szCs w:val="15"/>
              </w:rPr>
              <w:lastRenderedPageBreak/>
              <w:t>Acetylsalicylic Acid (ASA).</w:t>
            </w:r>
          </w:p>
        </w:tc>
        <w:tc>
          <w:tcPr>
            <w:tcW w:w="1134" w:type="dxa"/>
          </w:tcPr>
          <w:p w14:paraId="3F1BE44A" w14:textId="07864D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With vs without discontinuation of low dose ASA</w:t>
            </w:r>
          </w:p>
        </w:tc>
        <w:tc>
          <w:tcPr>
            <w:tcW w:w="992" w:type="dxa"/>
          </w:tcPr>
          <w:p w14:paraId="2C11BCA2" w14:textId="729EA3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F7E4CD9" w14:textId="0187C6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B56EAEF" w14:textId="46418A2A" w:rsidR="006E5533" w:rsidRPr="00251EA9" w:rsidRDefault="006E5533" w:rsidP="006E5533">
            <w:pPr>
              <w:rPr>
                <w:rFonts w:ascii="Arial" w:hAnsi="Arial" w:cs="Arial"/>
                <w:sz w:val="15"/>
                <w:szCs w:val="15"/>
              </w:rPr>
            </w:pPr>
            <w:r w:rsidRPr="00251EA9">
              <w:rPr>
                <w:rFonts w:ascii="Arial" w:hAnsi="Arial" w:cs="Arial"/>
                <w:sz w:val="15"/>
                <w:szCs w:val="15"/>
              </w:rPr>
              <w:t>Reported 2 infections in ASA group compared to 6 cases of infection in the control group.</w:t>
            </w:r>
          </w:p>
        </w:tc>
        <w:tc>
          <w:tcPr>
            <w:tcW w:w="1701" w:type="dxa"/>
          </w:tcPr>
          <w:p w14:paraId="007FC552" w14:textId="4B6FD5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DA39F96" w14:textId="77777777" w:rsidTr="00A77951">
        <w:trPr>
          <w:trHeight w:val="586"/>
        </w:trPr>
        <w:tc>
          <w:tcPr>
            <w:tcW w:w="992" w:type="dxa"/>
          </w:tcPr>
          <w:p w14:paraId="5BEB75C4" w14:textId="1B4635D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Karabacak</w:t>
            </w:r>
            <w:proofErr w:type="spellEnd"/>
            <w:r w:rsidRPr="00251EA9">
              <w:rPr>
                <w:rFonts w:ascii="Arial" w:hAnsi="Arial" w:cs="Arial"/>
                <w:sz w:val="15"/>
                <w:szCs w:val="15"/>
              </w:rPr>
              <w:t xml:space="preserve"> M. et al. 2024</w:t>
            </w:r>
          </w:p>
        </w:tc>
        <w:tc>
          <w:tcPr>
            <w:tcW w:w="851" w:type="dxa"/>
          </w:tcPr>
          <w:p w14:paraId="263AE443" w14:textId="7E036E3A" w:rsidR="006E5533" w:rsidRPr="00A77951" w:rsidRDefault="006E5533" w:rsidP="006E5533">
            <w:pPr>
              <w:spacing w:line="360" w:lineRule="auto"/>
              <w:contextualSpacing/>
              <w:rPr>
                <w:rFonts w:ascii="Arial" w:hAnsi="Arial" w:cs="Arial"/>
                <w:sz w:val="15"/>
                <w:szCs w:val="15"/>
              </w:rPr>
            </w:pPr>
            <w:hyperlink r:id="rId219" w:history="1">
              <w:r w:rsidRPr="00A77951">
                <w:rPr>
                  <w:rStyle w:val="Hyperlink"/>
                  <w:rFonts w:ascii="Arial" w:hAnsi="Arial" w:cs="Arial"/>
                  <w:sz w:val="15"/>
                  <w:szCs w:val="15"/>
                </w:rPr>
                <w:t>10.1089/neu.2023.0122</w:t>
              </w:r>
            </w:hyperlink>
          </w:p>
        </w:tc>
        <w:tc>
          <w:tcPr>
            <w:tcW w:w="851" w:type="dxa"/>
          </w:tcPr>
          <w:p w14:paraId="7311BF5C" w14:textId="37AB71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AE7207D" w14:textId="109DBA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FD61CD2" w14:textId="3D4BD9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41C9415" w14:textId="7FD66C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1153E98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use machine learning (ML) algorithms to predict in-hospital death, non-home discharges, prolonged length of stay, prolonged length of intensive care unit stay, and major complications in patients with acute traumatic epidural haematoma. </w:t>
            </w:r>
          </w:p>
          <w:p w14:paraId="4769C3C4" w14:textId="5B3317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incorporate the resulting ML models into a user-friendly web application for use in the clinical settings. </w:t>
            </w:r>
          </w:p>
        </w:tc>
        <w:tc>
          <w:tcPr>
            <w:tcW w:w="1134" w:type="dxa"/>
          </w:tcPr>
          <w:p w14:paraId="3F8823C0" w14:textId="49F353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64D045A7" w14:textId="16FF64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50D0DC2" w14:textId="09234F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0D58926" w14:textId="0F23EDDB" w:rsidR="006E5533" w:rsidRPr="00251EA9" w:rsidRDefault="006E5533" w:rsidP="006E5533">
            <w:pPr>
              <w:rPr>
                <w:rFonts w:ascii="Arial" w:hAnsi="Arial" w:cs="Arial"/>
                <w:sz w:val="15"/>
                <w:szCs w:val="15"/>
              </w:rPr>
            </w:pPr>
            <w:r w:rsidRPr="00251EA9">
              <w:rPr>
                <w:rFonts w:ascii="Arial" w:hAnsi="Arial" w:cs="Arial"/>
                <w:sz w:val="15"/>
                <w:szCs w:val="15"/>
              </w:rPr>
              <w:t>Reported 1 case of deep SSI out of 4586 patients and 1 case of superficial SSI.</w:t>
            </w:r>
          </w:p>
        </w:tc>
        <w:tc>
          <w:tcPr>
            <w:tcW w:w="1701" w:type="dxa"/>
          </w:tcPr>
          <w:p w14:paraId="1AFB16BA" w14:textId="7BCAEB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67381E9" w14:textId="77777777" w:rsidTr="00A77951">
        <w:trPr>
          <w:trHeight w:val="586"/>
        </w:trPr>
        <w:tc>
          <w:tcPr>
            <w:tcW w:w="992" w:type="dxa"/>
          </w:tcPr>
          <w:p w14:paraId="65453BF6" w14:textId="2135865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Kassicieh</w:t>
            </w:r>
            <w:proofErr w:type="spellEnd"/>
            <w:r w:rsidRPr="00251EA9">
              <w:rPr>
                <w:rFonts w:ascii="Arial" w:hAnsi="Arial" w:cs="Arial"/>
                <w:sz w:val="15"/>
                <w:szCs w:val="15"/>
              </w:rPr>
              <w:t xml:space="preserve"> A. et al., 2022</w:t>
            </w:r>
          </w:p>
        </w:tc>
        <w:tc>
          <w:tcPr>
            <w:tcW w:w="851" w:type="dxa"/>
          </w:tcPr>
          <w:p w14:paraId="6F697570" w14:textId="64A8930A" w:rsidR="006E5533" w:rsidRPr="00A77951" w:rsidRDefault="006E5533" w:rsidP="006E5533">
            <w:pPr>
              <w:spacing w:line="360" w:lineRule="auto"/>
              <w:contextualSpacing/>
              <w:rPr>
                <w:rFonts w:ascii="Arial" w:hAnsi="Arial" w:cs="Arial"/>
                <w:sz w:val="15"/>
                <w:szCs w:val="15"/>
              </w:rPr>
            </w:pPr>
            <w:hyperlink r:id="rId220" w:history="1">
              <w:r w:rsidRPr="00A77951">
                <w:rPr>
                  <w:rStyle w:val="Hyperlink"/>
                  <w:rFonts w:ascii="Arial" w:hAnsi="Arial" w:cs="Arial"/>
                  <w:sz w:val="15"/>
                  <w:szCs w:val="15"/>
                </w:rPr>
                <w:t>10.1016/j.clineuro.2022.107383</w:t>
              </w:r>
            </w:hyperlink>
          </w:p>
        </w:tc>
        <w:tc>
          <w:tcPr>
            <w:tcW w:w="851" w:type="dxa"/>
          </w:tcPr>
          <w:p w14:paraId="2C1A3EEF" w14:textId="342B94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5ED2641" w14:textId="7EE63A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5E12D67" w14:textId="061885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A97C58C" w14:textId="79152B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0B8272E4" w14:textId="3D86E4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effect of interhospital transfer (IHT) and frailty on postoperative outcomes in patients who underwent</w:t>
            </w:r>
            <w:r w:rsidRPr="00251EA9">
              <w:rPr>
                <w:rFonts w:ascii="Arial" w:hAnsi="Arial" w:cs="Arial"/>
                <w:sz w:val="15"/>
                <w:szCs w:val="15"/>
              </w:rPr>
              <w:br/>
              <w:t>cranial neurosurgical operations.</w:t>
            </w:r>
          </w:p>
        </w:tc>
        <w:tc>
          <w:tcPr>
            <w:tcW w:w="1134" w:type="dxa"/>
          </w:tcPr>
          <w:p w14:paraId="267E3EF1" w14:textId="7B0B95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Interhospital transfer vs no interhospital transfer</w:t>
            </w:r>
          </w:p>
        </w:tc>
        <w:tc>
          <w:tcPr>
            <w:tcW w:w="992" w:type="dxa"/>
          </w:tcPr>
          <w:p w14:paraId="54415A2C" w14:textId="57CA47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A2D33C8" w14:textId="522925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3286BC7" w14:textId="7D716D31" w:rsidR="006E5533" w:rsidRPr="00251EA9" w:rsidRDefault="006E5533" w:rsidP="006E5533">
            <w:pPr>
              <w:rPr>
                <w:rFonts w:ascii="Arial" w:hAnsi="Arial" w:cs="Arial"/>
                <w:sz w:val="15"/>
                <w:szCs w:val="15"/>
              </w:rPr>
            </w:pPr>
            <w:r w:rsidRPr="00251EA9">
              <w:rPr>
                <w:rFonts w:ascii="Arial" w:hAnsi="Arial" w:cs="Arial"/>
                <w:sz w:val="15"/>
                <w:szCs w:val="15"/>
              </w:rPr>
              <w:t xml:space="preserve">Reported superficial SSI in 36 cases (0.3%) in interhospital transfer group compared to 278 cases (0.7%) in the non-interhospital transfer group. Deep SSI occurred in 29 cases (0.3%) in IHT, 132 (0.3%) in non-IHT. Organ space SSI reported in 131 cases (1.4%) in IHT, 495 cases (1.2%) in non-IHT. </w:t>
            </w:r>
          </w:p>
        </w:tc>
        <w:tc>
          <w:tcPr>
            <w:tcW w:w="1701" w:type="dxa"/>
          </w:tcPr>
          <w:p w14:paraId="20BB8F41" w14:textId="0367B7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C436F5D" w14:textId="77777777" w:rsidTr="00A77951">
        <w:trPr>
          <w:trHeight w:val="586"/>
        </w:trPr>
        <w:tc>
          <w:tcPr>
            <w:tcW w:w="992" w:type="dxa"/>
          </w:tcPr>
          <w:p w14:paraId="0D9972D0" w14:textId="2FDCD26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Kerezoudis</w:t>
            </w:r>
            <w:proofErr w:type="spellEnd"/>
            <w:r w:rsidRPr="00251EA9">
              <w:rPr>
                <w:rFonts w:ascii="Arial" w:hAnsi="Arial" w:cs="Arial"/>
                <w:sz w:val="15"/>
                <w:szCs w:val="15"/>
              </w:rPr>
              <w:t xml:space="preserve"> P. et al., 2018</w:t>
            </w:r>
          </w:p>
        </w:tc>
        <w:tc>
          <w:tcPr>
            <w:tcW w:w="851" w:type="dxa"/>
          </w:tcPr>
          <w:p w14:paraId="7D972756" w14:textId="321DDD18" w:rsidR="006E5533" w:rsidRPr="00A77951" w:rsidRDefault="006E5533" w:rsidP="006E5533">
            <w:pPr>
              <w:spacing w:line="360" w:lineRule="auto"/>
              <w:contextualSpacing/>
              <w:rPr>
                <w:rFonts w:ascii="Arial" w:hAnsi="Arial" w:cs="Arial"/>
                <w:sz w:val="15"/>
                <w:szCs w:val="15"/>
              </w:rPr>
            </w:pPr>
            <w:hyperlink r:id="rId221" w:history="1">
              <w:r w:rsidRPr="00A77951">
                <w:rPr>
                  <w:rStyle w:val="Hyperlink"/>
                  <w:rFonts w:ascii="Arial" w:hAnsi="Arial" w:cs="Arial"/>
                  <w:sz w:val="15"/>
                  <w:szCs w:val="15"/>
                </w:rPr>
                <w:t>10.3171/2016.</w:t>
              </w:r>
              <w:proofErr w:type="gramStart"/>
              <w:r w:rsidRPr="00A77951">
                <w:rPr>
                  <w:rStyle w:val="Hyperlink"/>
                  <w:rFonts w:ascii="Arial" w:hAnsi="Arial" w:cs="Arial"/>
                  <w:sz w:val="15"/>
                  <w:szCs w:val="15"/>
                </w:rPr>
                <w:t>12.JNS</w:t>
              </w:r>
              <w:proofErr w:type="gramEnd"/>
              <w:r w:rsidRPr="00A77951">
                <w:rPr>
                  <w:rStyle w:val="Hyperlink"/>
                  <w:rFonts w:ascii="Arial" w:hAnsi="Arial" w:cs="Arial"/>
                  <w:sz w:val="15"/>
                  <w:szCs w:val="15"/>
                </w:rPr>
                <w:t>162096</w:t>
              </w:r>
            </w:hyperlink>
          </w:p>
        </w:tc>
        <w:tc>
          <w:tcPr>
            <w:tcW w:w="851" w:type="dxa"/>
          </w:tcPr>
          <w:p w14:paraId="52D647D7" w14:textId="01EF1F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18ED861" w14:textId="067998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00FA979" w14:textId="764C48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3E5758D" w14:textId="28D4DA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(temporal lobe resection for epilepsy)</w:t>
            </w:r>
          </w:p>
        </w:tc>
        <w:tc>
          <w:tcPr>
            <w:tcW w:w="1843" w:type="dxa"/>
          </w:tcPr>
          <w:p w14:paraId="24DB8B6D" w14:textId="232B47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30-day morbidity and mortality after temporal lobectomy in cases registered in a national database.</w:t>
            </w:r>
          </w:p>
        </w:tc>
        <w:tc>
          <w:tcPr>
            <w:tcW w:w="1134" w:type="dxa"/>
          </w:tcPr>
          <w:p w14:paraId="158088F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F139105" w14:textId="1C188A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CAF617B" w14:textId="30935F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F3B7E7A" w14:textId="10773AE1" w:rsidR="006E5533" w:rsidRPr="00251EA9" w:rsidRDefault="006E5533" w:rsidP="006E5533">
            <w:pPr>
              <w:rPr>
                <w:rFonts w:ascii="Arial" w:hAnsi="Arial" w:cs="Arial"/>
                <w:sz w:val="15"/>
                <w:szCs w:val="15"/>
              </w:rPr>
            </w:pPr>
            <w:r w:rsidRPr="00251EA9">
              <w:rPr>
                <w:rFonts w:ascii="Arial" w:hAnsi="Arial" w:cs="Arial"/>
                <w:sz w:val="15"/>
                <w:szCs w:val="15"/>
              </w:rPr>
              <w:t>Reported 14 patients (6.48%) experienced at</w:t>
            </w:r>
            <w:r w:rsidRPr="00251EA9">
              <w:rPr>
                <w:rFonts w:ascii="Arial" w:hAnsi="Arial" w:cs="Arial"/>
                <w:sz w:val="15"/>
                <w:szCs w:val="15"/>
              </w:rPr>
              <w:br/>
              <w:t>least one of the following major complications: sepsis or septic shock (0.93%), organ space infection</w:t>
            </w:r>
            <w:r w:rsidRPr="00251EA9">
              <w:rPr>
                <w:rFonts w:ascii="Arial" w:hAnsi="Arial" w:cs="Arial"/>
                <w:sz w:val="15"/>
                <w:szCs w:val="15"/>
              </w:rPr>
              <w:br/>
              <w:t xml:space="preserve">(1.39%), deep incisional surgical site infection (0.46%) and wound dehiscence (0.93%), </w:t>
            </w:r>
          </w:p>
        </w:tc>
        <w:tc>
          <w:tcPr>
            <w:tcW w:w="1701" w:type="dxa"/>
          </w:tcPr>
          <w:p w14:paraId="08700383" w14:textId="1670CD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CA4FBFE" w14:textId="77777777" w:rsidTr="00A77951">
        <w:trPr>
          <w:trHeight w:val="586"/>
        </w:trPr>
        <w:tc>
          <w:tcPr>
            <w:tcW w:w="992" w:type="dxa"/>
          </w:tcPr>
          <w:p w14:paraId="2F756B8F" w14:textId="75A5E2B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Kerttula</w:t>
            </w:r>
            <w:proofErr w:type="spellEnd"/>
            <w:r w:rsidRPr="00251EA9">
              <w:rPr>
                <w:rFonts w:ascii="Arial" w:hAnsi="Arial" w:cs="Arial"/>
                <w:sz w:val="15"/>
                <w:szCs w:val="15"/>
              </w:rPr>
              <w:t xml:space="preserve"> S. et al., 2022</w:t>
            </w:r>
          </w:p>
        </w:tc>
        <w:tc>
          <w:tcPr>
            <w:tcW w:w="851" w:type="dxa"/>
          </w:tcPr>
          <w:p w14:paraId="1506BBE4" w14:textId="3EB7C23A" w:rsidR="006E5533" w:rsidRPr="00A77951" w:rsidRDefault="006E5533" w:rsidP="006E5533">
            <w:pPr>
              <w:spacing w:line="360" w:lineRule="auto"/>
              <w:contextualSpacing/>
              <w:rPr>
                <w:rFonts w:ascii="Arial" w:hAnsi="Arial" w:cs="Arial"/>
                <w:sz w:val="15"/>
                <w:szCs w:val="15"/>
              </w:rPr>
            </w:pPr>
            <w:hyperlink r:id="rId222" w:history="1">
              <w:r w:rsidRPr="00A77951">
                <w:rPr>
                  <w:rStyle w:val="Hyperlink"/>
                  <w:rFonts w:ascii="Arial" w:hAnsi="Arial" w:cs="Arial"/>
                  <w:sz w:val="15"/>
                  <w:szCs w:val="15"/>
                </w:rPr>
                <w:t>10.1007/s00701-022-05337-0</w:t>
              </w:r>
            </w:hyperlink>
          </w:p>
        </w:tc>
        <w:tc>
          <w:tcPr>
            <w:tcW w:w="851" w:type="dxa"/>
          </w:tcPr>
          <w:p w14:paraId="46AC121C" w14:textId="278EE4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Finland</w:t>
            </w:r>
          </w:p>
        </w:tc>
        <w:tc>
          <w:tcPr>
            <w:tcW w:w="1134" w:type="dxa"/>
          </w:tcPr>
          <w:p w14:paraId="523F88BF" w14:textId="4081F9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A6DF9A6" w14:textId="0F8D7C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80F5596" w14:textId="238013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1F530DC5" w14:textId="66103F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study the effect of antithrombotic therapy on the outcome of operatively treated chronic subdural hematomas.</w:t>
            </w:r>
          </w:p>
        </w:tc>
        <w:tc>
          <w:tcPr>
            <w:tcW w:w="1134" w:type="dxa"/>
          </w:tcPr>
          <w:p w14:paraId="504413D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EB9C757" w14:textId="2D13BA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8214334" w14:textId="3D0D20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F1BD943" w14:textId="33524533" w:rsidR="006E5533" w:rsidRPr="00251EA9" w:rsidRDefault="006E5533" w:rsidP="006E5533">
            <w:pPr>
              <w:rPr>
                <w:rFonts w:ascii="Arial" w:hAnsi="Arial" w:cs="Arial"/>
                <w:sz w:val="15"/>
                <w:szCs w:val="15"/>
              </w:rPr>
            </w:pPr>
            <w:r w:rsidRPr="00251EA9">
              <w:rPr>
                <w:rFonts w:ascii="Arial" w:hAnsi="Arial" w:cs="Arial"/>
                <w:sz w:val="15"/>
                <w:szCs w:val="15"/>
              </w:rPr>
              <w:t>One wound infection reported out of a total of 301 patients.</w:t>
            </w:r>
          </w:p>
        </w:tc>
        <w:tc>
          <w:tcPr>
            <w:tcW w:w="1701" w:type="dxa"/>
          </w:tcPr>
          <w:p w14:paraId="7A6AC218" w14:textId="006513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F2B4B18" w14:textId="77777777" w:rsidTr="00A77951">
        <w:trPr>
          <w:trHeight w:val="586"/>
        </w:trPr>
        <w:tc>
          <w:tcPr>
            <w:tcW w:w="992" w:type="dxa"/>
          </w:tcPr>
          <w:p w14:paraId="7950FBD2" w14:textId="61AE06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Khan M.P. et al., 2021</w:t>
            </w:r>
          </w:p>
        </w:tc>
        <w:tc>
          <w:tcPr>
            <w:tcW w:w="851" w:type="dxa"/>
          </w:tcPr>
          <w:p w14:paraId="6E54278D" w14:textId="2AA3031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10.53350/pjmhs211592770</w:t>
            </w:r>
          </w:p>
        </w:tc>
        <w:tc>
          <w:tcPr>
            <w:tcW w:w="851" w:type="dxa"/>
          </w:tcPr>
          <w:p w14:paraId="32D9A95E" w14:textId="41CD63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Pakistan</w:t>
            </w:r>
          </w:p>
        </w:tc>
        <w:tc>
          <w:tcPr>
            <w:tcW w:w="1134" w:type="dxa"/>
          </w:tcPr>
          <w:p w14:paraId="6343524A" w14:textId="39D8BB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8B8C43D" w14:textId="1F1D92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34D2C74" w14:textId="2DFE75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surgical treatment for meningomyelocele</w:t>
            </w:r>
          </w:p>
        </w:tc>
        <w:tc>
          <w:tcPr>
            <w:tcW w:w="1843" w:type="dxa"/>
          </w:tcPr>
          <w:p w14:paraId="52AF453E" w14:textId="3BC0FE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prevalence of early postoperative complications in patients undergoing surgical</w:t>
            </w:r>
            <w:r w:rsidRPr="00251EA9">
              <w:rPr>
                <w:rFonts w:ascii="Arial" w:hAnsi="Arial" w:cs="Arial"/>
                <w:sz w:val="15"/>
                <w:szCs w:val="15"/>
              </w:rPr>
              <w:br/>
              <w:t>treatment for meningomyelocele.</w:t>
            </w:r>
          </w:p>
        </w:tc>
        <w:tc>
          <w:tcPr>
            <w:tcW w:w="1134" w:type="dxa"/>
          </w:tcPr>
          <w:p w14:paraId="290032F7" w14:textId="4F31D886" w:rsidR="006E5533" w:rsidRPr="00251EA9" w:rsidRDefault="006E5533" w:rsidP="006E5533">
            <w:pPr>
              <w:spacing w:line="360" w:lineRule="auto"/>
              <w:contextualSpacing/>
              <w:rPr>
                <w:rFonts w:ascii="Arial" w:hAnsi="Arial" w:cs="Arial"/>
                <w:sz w:val="15"/>
                <w:szCs w:val="15"/>
              </w:rPr>
            </w:pPr>
          </w:p>
        </w:tc>
        <w:tc>
          <w:tcPr>
            <w:tcW w:w="992" w:type="dxa"/>
          </w:tcPr>
          <w:p w14:paraId="07B00699" w14:textId="7FE8DB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6F9DF65" w14:textId="27961B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AFBE7EE" w14:textId="7637075F" w:rsidR="006E5533" w:rsidRPr="00251EA9" w:rsidRDefault="006E5533" w:rsidP="006E5533">
            <w:pPr>
              <w:rPr>
                <w:rFonts w:ascii="Arial" w:hAnsi="Arial" w:cs="Arial"/>
                <w:sz w:val="15"/>
                <w:szCs w:val="15"/>
              </w:rPr>
            </w:pPr>
            <w:r w:rsidRPr="00251EA9">
              <w:rPr>
                <w:rFonts w:ascii="Arial" w:hAnsi="Arial" w:cs="Arial"/>
                <w:sz w:val="15"/>
                <w:szCs w:val="15"/>
              </w:rPr>
              <w:t>Surgical site infections were reported in 20 (14.71%)</w:t>
            </w:r>
            <w:r w:rsidRPr="00251EA9">
              <w:rPr>
                <w:rFonts w:ascii="Arial" w:hAnsi="Arial" w:cs="Arial"/>
                <w:sz w:val="15"/>
                <w:szCs w:val="15"/>
              </w:rPr>
              <w:br/>
              <w:t>patients.</w:t>
            </w:r>
          </w:p>
        </w:tc>
        <w:tc>
          <w:tcPr>
            <w:tcW w:w="1701" w:type="dxa"/>
          </w:tcPr>
          <w:p w14:paraId="6CFD5ED0" w14:textId="287CF2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861FBAA" w14:textId="77777777" w:rsidTr="00A77951">
        <w:trPr>
          <w:trHeight w:val="586"/>
        </w:trPr>
        <w:tc>
          <w:tcPr>
            <w:tcW w:w="992" w:type="dxa"/>
          </w:tcPr>
          <w:p w14:paraId="763C7037" w14:textId="1BA320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Kilgore C.B. et al., 2023</w:t>
            </w:r>
          </w:p>
        </w:tc>
        <w:tc>
          <w:tcPr>
            <w:tcW w:w="851" w:type="dxa"/>
          </w:tcPr>
          <w:p w14:paraId="5DDFCA74" w14:textId="4ABB336B" w:rsidR="006E5533" w:rsidRPr="00A77951" w:rsidRDefault="006E5533" w:rsidP="006E5533">
            <w:pPr>
              <w:spacing w:line="360" w:lineRule="auto"/>
              <w:contextualSpacing/>
              <w:rPr>
                <w:rFonts w:ascii="Arial" w:hAnsi="Arial" w:cs="Arial"/>
                <w:sz w:val="15"/>
                <w:szCs w:val="15"/>
              </w:rPr>
            </w:pPr>
            <w:hyperlink r:id="rId223" w:history="1">
              <w:r w:rsidRPr="00A77951">
                <w:rPr>
                  <w:rStyle w:val="Hyperlink"/>
                  <w:rFonts w:ascii="Arial" w:hAnsi="Arial" w:cs="Arial"/>
                  <w:sz w:val="15"/>
                  <w:szCs w:val="15"/>
                </w:rPr>
                <w:t>10.1016/j.wneu.2023.10.009</w:t>
              </w:r>
            </w:hyperlink>
          </w:p>
        </w:tc>
        <w:tc>
          <w:tcPr>
            <w:tcW w:w="851" w:type="dxa"/>
          </w:tcPr>
          <w:p w14:paraId="07A9DB3B" w14:textId="535B9A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A4C139E" w14:textId="5FA5A3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3995C2D" w14:textId="5D573F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722B00" w14:textId="5CB8A9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7FE87431" w14:textId="6631E6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frailty as a predictor for long-term pain outcomes after microvascular decompression.</w:t>
            </w:r>
          </w:p>
        </w:tc>
        <w:tc>
          <w:tcPr>
            <w:tcW w:w="1134" w:type="dxa"/>
          </w:tcPr>
          <w:p w14:paraId="13BE69CC"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AED8377" w14:textId="5A87DC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4D9233A" w14:textId="29133B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9294E59" w14:textId="68B721C2" w:rsidR="006E5533" w:rsidRPr="00251EA9" w:rsidRDefault="006E5533" w:rsidP="006E5533">
            <w:pPr>
              <w:rPr>
                <w:rFonts w:ascii="Arial" w:hAnsi="Arial" w:cs="Arial"/>
                <w:sz w:val="15"/>
                <w:szCs w:val="15"/>
              </w:rPr>
            </w:pPr>
            <w:r w:rsidRPr="00251EA9">
              <w:rPr>
                <w:rFonts w:ascii="Arial" w:hAnsi="Arial" w:cs="Arial"/>
                <w:sz w:val="15"/>
                <w:szCs w:val="15"/>
              </w:rPr>
              <w:t>Reported that 5 frail patients had SSI, while 1 non-frail patient had SSI.</w:t>
            </w:r>
          </w:p>
        </w:tc>
        <w:tc>
          <w:tcPr>
            <w:tcW w:w="1701" w:type="dxa"/>
          </w:tcPr>
          <w:p w14:paraId="30AF83D9" w14:textId="3D02F4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B0614DD" w14:textId="77777777" w:rsidTr="00A77951">
        <w:trPr>
          <w:trHeight w:val="586"/>
        </w:trPr>
        <w:tc>
          <w:tcPr>
            <w:tcW w:w="992" w:type="dxa"/>
          </w:tcPr>
          <w:p w14:paraId="097F4492" w14:textId="534964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Kim K.H. et al., 2020</w:t>
            </w:r>
          </w:p>
        </w:tc>
        <w:tc>
          <w:tcPr>
            <w:tcW w:w="851" w:type="dxa"/>
          </w:tcPr>
          <w:p w14:paraId="17DDF44B" w14:textId="0AB07F71" w:rsidR="006E5533" w:rsidRPr="00A77951" w:rsidRDefault="006E5533" w:rsidP="006E5533">
            <w:pPr>
              <w:spacing w:line="360" w:lineRule="auto"/>
              <w:contextualSpacing/>
              <w:rPr>
                <w:rFonts w:ascii="Arial" w:hAnsi="Arial" w:cs="Arial"/>
                <w:sz w:val="15"/>
                <w:szCs w:val="15"/>
              </w:rPr>
            </w:pPr>
            <w:hyperlink r:id="rId224" w:history="1">
              <w:r w:rsidRPr="00A77951">
                <w:rPr>
                  <w:rStyle w:val="Hyperlink"/>
                  <w:rFonts w:ascii="Arial" w:hAnsi="Arial" w:cs="Arial"/>
                  <w:sz w:val="15"/>
                  <w:szCs w:val="15"/>
                </w:rPr>
                <w:t>10.1016/j.wneu.2020.05.154</w:t>
              </w:r>
            </w:hyperlink>
          </w:p>
        </w:tc>
        <w:tc>
          <w:tcPr>
            <w:tcW w:w="851" w:type="dxa"/>
          </w:tcPr>
          <w:p w14:paraId="72763B8D" w14:textId="11942B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3CD77800" w14:textId="607133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1236182" w14:textId="2F9595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56072F9" w14:textId="73865A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(dural closure, posterior fossa surgery)</w:t>
            </w:r>
          </w:p>
        </w:tc>
        <w:tc>
          <w:tcPr>
            <w:tcW w:w="1843" w:type="dxa"/>
          </w:tcPr>
          <w:p w14:paraId="50277D84" w14:textId="2049ED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efficacy of collagen matrix inlay graft compared with other techniques in a propensity score matched cohort.</w:t>
            </w:r>
          </w:p>
        </w:tc>
        <w:tc>
          <w:tcPr>
            <w:tcW w:w="1134" w:type="dxa"/>
          </w:tcPr>
          <w:p w14:paraId="16072099"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A7A59C9" w14:textId="3E350A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2D34372" w14:textId="7C480F47" w:rsidR="006E5533" w:rsidRPr="00C701B8" w:rsidRDefault="00C701B8" w:rsidP="006E5533">
            <w:pPr>
              <w:spacing w:line="360" w:lineRule="auto"/>
              <w:contextualSpacing/>
              <w:rPr>
                <w:rFonts w:ascii="Arial" w:hAnsi="Arial" w:cs="Arial"/>
                <w:sz w:val="15"/>
                <w:szCs w:val="15"/>
              </w:rPr>
            </w:pPr>
            <w:r>
              <w:rPr>
                <w:rFonts w:ascii="Arial" w:hAnsi="Arial" w:cs="Arial"/>
                <w:sz w:val="15"/>
                <w:szCs w:val="15"/>
              </w:rPr>
              <w:t>Not defined</w:t>
            </w:r>
          </w:p>
        </w:tc>
        <w:tc>
          <w:tcPr>
            <w:tcW w:w="2693" w:type="dxa"/>
          </w:tcPr>
          <w:p w14:paraId="6DCF3491" w14:textId="21CFC0A2" w:rsidR="006E5533" w:rsidRPr="00251EA9" w:rsidRDefault="006E5533" w:rsidP="006E5533">
            <w:pPr>
              <w:rPr>
                <w:rFonts w:ascii="Arial" w:hAnsi="Arial" w:cs="Arial"/>
                <w:sz w:val="15"/>
                <w:szCs w:val="15"/>
              </w:rPr>
            </w:pPr>
            <w:r w:rsidRPr="00251EA9">
              <w:rPr>
                <w:rFonts w:ascii="Arial" w:hAnsi="Arial" w:cs="Arial"/>
                <w:sz w:val="15"/>
                <w:szCs w:val="15"/>
              </w:rPr>
              <w:t>SSI was reported in 3 (3.0%) patients in the inlay group and 4 (5.5%) patients in the no-inlay group. None of the SSIs were related to the use of the inlay graft.</w:t>
            </w:r>
          </w:p>
        </w:tc>
        <w:tc>
          <w:tcPr>
            <w:tcW w:w="1701" w:type="dxa"/>
          </w:tcPr>
          <w:p w14:paraId="41209BCE" w14:textId="266741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B8B884C" w14:textId="77777777" w:rsidTr="00A77951">
        <w:trPr>
          <w:trHeight w:val="586"/>
        </w:trPr>
        <w:tc>
          <w:tcPr>
            <w:tcW w:w="992" w:type="dxa"/>
          </w:tcPr>
          <w:p w14:paraId="748C470A" w14:textId="70CC43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Kim M.J. et al., 2021</w:t>
            </w:r>
          </w:p>
        </w:tc>
        <w:tc>
          <w:tcPr>
            <w:tcW w:w="851" w:type="dxa"/>
          </w:tcPr>
          <w:p w14:paraId="29787123" w14:textId="3015D749" w:rsidR="006E5533" w:rsidRPr="00A77951" w:rsidRDefault="006E5533" w:rsidP="006E5533">
            <w:pPr>
              <w:spacing w:line="360" w:lineRule="auto"/>
              <w:contextualSpacing/>
              <w:rPr>
                <w:rFonts w:ascii="Arial" w:hAnsi="Arial" w:cs="Arial"/>
                <w:sz w:val="15"/>
                <w:szCs w:val="15"/>
              </w:rPr>
            </w:pPr>
            <w:hyperlink r:id="rId225" w:history="1">
              <w:r w:rsidRPr="00A77951">
                <w:rPr>
                  <w:rStyle w:val="Hyperlink"/>
                  <w:rFonts w:ascii="Arial" w:hAnsi="Arial" w:cs="Arial"/>
                  <w:sz w:val="15"/>
                  <w:szCs w:val="15"/>
                </w:rPr>
                <w:t>10.3389/fneur.2021.745575</w:t>
              </w:r>
            </w:hyperlink>
          </w:p>
        </w:tc>
        <w:tc>
          <w:tcPr>
            <w:tcW w:w="851" w:type="dxa"/>
          </w:tcPr>
          <w:p w14:paraId="448E4A50" w14:textId="538817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Korea</w:t>
            </w:r>
          </w:p>
        </w:tc>
        <w:tc>
          <w:tcPr>
            <w:tcW w:w="1134" w:type="dxa"/>
          </w:tcPr>
          <w:p w14:paraId="21C5B1DC" w14:textId="46F917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84513BF" w14:textId="3F92E4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D136386" w14:textId="3C386E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7BDDDD0C" w14:textId="6EB947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predictive factors for SSI following cranioplasty by reviewing procedures performed over a 10-year period.</w:t>
            </w:r>
          </w:p>
        </w:tc>
        <w:tc>
          <w:tcPr>
            <w:tcW w:w="1134" w:type="dxa"/>
          </w:tcPr>
          <w:p w14:paraId="09761F9B" w14:textId="48B66467" w:rsidR="006E5533" w:rsidRPr="00251EA9" w:rsidRDefault="006E5533" w:rsidP="006E5533">
            <w:pPr>
              <w:spacing w:line="360" w:lineRule="auto"/>
              <w:contextualSpacing/>
              <w:rPr>
                <w:rFonts w:ascii="Arial" w:hAnsi="Arial" w:cs="Arial"/>
                <w:sz w:val="15"/>
                <w:szCs w:val="15"/>
              </w:rPr>
            </w:pPr>
          </w:p>
        </w:tc>
        <w:tc>
          <w:tcPr>
            <w:tcW w:w="992" w:type="dxa"/>
          </w:tcPr>
          <w:p w14:paraId="13A735BC" w14:textId="2B6B29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D7E80B3" w14:textId="734EB0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Requiring removal of</w:t>
            </w:r>
            <w:r w:rsidR="006E5D1F">
              <w:rPr>
                <w:rFonts w:ascii="Arial" w:hAnsi="Arial" w:cs="Arial"/>
                <w:sz w:val="15"/>
                <w:szCs w:val="15"/>
              </w:rPr>
              <w:t xml:space="preserve"> </w:t>
            </w:r>
            <w:r w:rsidRPr="00251EA9">
              <w:rPr>
                <w:rFonts w:ascii="Arial" w:hAnsi="Arial" w:cs="Arial"/>
                <w:sz w:val="15"/>
                <w:szCs w:val="15"/>
              </w:rPr>
              <w:t>bone flap or implant due to purulent discharge with signs of</w:t>
            </w:r>
            <w:r w:rsidR="006E5D1F">
              <w:rPr>
                <w:rFonts w:ascii="Arial" w:hAnsi="Arial" w:cs="Arial"/>
                <w:sz w:val="15"/>
                <w:szCs w:val="15"/>
              </w:rPr>
              <w:t xml:space="preserve"> </w:t>
            </w:r>
            <w:r w:rsidRPr="00251EA9">
              <w:rPr>
                <w:rFonts w:ascii="Arial" w:hAnsi="Arial" w:cs="Arial"/>
                <w:sz w:val="15"/>
                <w:szCs w:val="15"/>
              </w:rPr>
              <w:t>infection and complicated fluid collection, empyema, or abscess</w:t>
            </w:r>
            <w:r w:rsidR="006E5D1F">
              <w:rPr>
                <w:rFonts w:ascii="Arial" w:hAnsi="Arial" w:cs="Arial"/>
                <w:sz w:val="15"/>
                <w:szCs w:val="15"/>
              </w:rPr>
              <w:t xml:space="preserve"> </w:t>
            </w:r>
            <w:r w:rsidRPr="00251EA9">
              <w:rPr>
                <w:rFonts w:ascii="Arial" w:hAnsi="Arial" w:cs="Arial"/>
                <w:sz w:val="15"/>
                <w:szCs w:val="15"/>
              </w:rPr>
              <w:t>on CT scans</w:t>
            </w:r>
            <w:r w:rsidR="006E5D1F">
              <w:rPr>
                <w:rFonts w:ascii="Arial" w:hAnsi="Arial" w:cs="Arial"/>
                <w:sz w:val="15"/>
                <w:szCs w:val="15"/>
              </w:rPr>
              <w:t>.</w:t>
            </w:r>
          </w:p>
          <w:p w14:paraId="10C51829" w14:textId="380D5A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2. Wound dehiscence with flap exposure</w:t>
            </w:r>
            <w:r w:rsidRPr="00251EA9">
              <w:rPr>
                <w:rFonts w:ascii="Arial" w:hAnsi="Arial" w:cs="Arial"/>
                <w:sz w:val="15"/>
                <w:szCs w:val="15"/>
              </w:rPr>
              <w:br/>
              <w:t>requiring surgical revision without removal of bone flap or implant</w:t>
            </w:r>
            <w:r w:rsidR="006E5D1F">
              <w:rPr>
                <w:rFonts w:ascii="Arial" w:hAnsi="Arial" w:cs="Arial"/>
                <w:sz w:val="15"/>
                <w:szCs w:val="15"/>
              </w:rPr>
              <w:t>.</w:t>
            </w:r>
          </w:p>
        </w:tc>
        <w:tc>
          <w:tcPr>
            <w:tcW w:w="2693" w:type="dxa"/>
          </w:tcPr>
          <w:p w14:paraId="743C8C79" w14:textId="67CC0DC7" w:rsidR="006E5533" w:rsidRPr="00251EA9" w:rsidRDefault="006E5533" w:rsidP="006E5533">
            <w:pPr>
              <w:rPr>
                <w:rFonts w:ascii="Arial" w:hAnsi="Arial" w:cs="Arial"/>
                <w:sz w:val="15"/>
                <w:szCs w:val="15"/>
              </w:rPr>
            </w:pPr>
            <w:r w:rsidRPr="00251EA9">
              <w:rPr>
                <w:rFonts w:ascii="Arial" w:hAnsi="Arial" w:cs="Arial"/>
                <w:sz w:val="15"/>
                <w:szCs w:val="15"/>
              </w:rPr>
              <w:lastRenderedPageBreak/>
              <w:t>SSIs occurred in 17 patients (9.9%), of which 13 (7.6%) required removal of the bone graft, and 4 (2.3%) required wound revision without removal of implant due to wound dehiscence with flap</w:t>
            </w:r>
            <w:r w:rsidRPr="00251EA9">
              <w:rPr>
                <w:rFonts w:ascii="Arial" w:hAnsi="Arial" w:cs="Arial"/>
                <w:sz w:val="15"/>
                <w:szCs w:val="15"/>
              </w:rPr>
              <w:br/>
              <w:t xml:space="preserve">exposure. </w:t>
            </w:r>
          </w:p>
        </w:tc>
        <w:tc>
          <w:tcPr>
            <w:tcW w:w="1701" w:type="dxa"/>
          </w:tcPr>
          <w:p w14:paraId="51E5E4E8" w14:textId="27CCB0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042A93B" w14:textId="77777777" w:rsidTr="00A77951">
        <w:trPr>
          <w:trHeight w:val="586"/>
        </w:trPr>
        <w:tc>
          <w:tcPr>
            <w:tcW w:w="992" w:type="dxa"/>
          </w:tcPr>
          <w:p w14:paraId="2D80DAC1" w14:textId="23D8C2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Kim S.P. et al., 2014</w:t>
            </w:r>
          </w:p>
        </w:tc>
        <w:tc>
          <w:tcPr>
            <w:tcW w:w="851" w:type="dxa"/>
          </w:tcPr>
          <w:p w14:paraId="6620B9D9" w14:textId="50F0DF10" w:rsidR="006E5533" w:rsidRPr="00A77951" w:rsidRDefault="006E5533" w:rsidP="006E5533">
            <w:pPr>
              <w:spacing w:line="360" w:lineRule="auto"/>
              <w:contextualSpacing/>
              <w:rPr>
                <w:rFonts w:ascii="Arial" w:hAnsi="Arial" w:cs="Arial"/>
                <w:sz w:val="15"/>
                <w:szCs w:val="15"/>
              </w:rPr>
            </w:pPr>
            <w:hyperlink r:id="rId226" w:history="1">
              <w:r w:rsidRPr="00A77951">
                <w:rPr>
                  <w:rStyle w:val="Hyperlink"/>
                  <w:rFonts w:ascii="Arial" w:hAnsi="Arial" w:cs="Arial"/>
                  <w:sz w:val="15"/>
                  <w:szCs w:val="15"/>
                </w:rPr>
                <w:t>10.3340/jkns.2014.56.5.410</w:t>
              </w:r>
            </w:hyperlink>
          </w:p>
        </w:tc>
        <w:tc>
          <w:tcPr>
            <w:tcW w:w="851" w:type="dxa"/>
          </w:tcPr>
          <w:p w14:paraId="4354EF8F" w14:textId="27E185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2C772BCC" w14:textId="017112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2D80BB2" w14:textId="66FDA4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5459CA7" w14:textId="2F190E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3A97AF93" w14:textId="3FA54B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predictive factors for the development of epidural fluid collection as a complication of cranioplasty, and its outcomes.</w:t>
            </w:r>
          </w:p>
        </w:tc>
        <w:tc>
          <w:tcPr>
            <w:tcW w:w="1134" w:type="dxa"/>
          </w:tcPr>
          <w:p w14:paraId="68376C5F"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1456DC7" w14:textId="6265C6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F912909" w14:textId="462324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EE00B86" w14:textId="7952C99B" w:rsidR="006E5533" w:rsidRPr="00251EA9" w:rsidRDefault="006E5533" w:rsidP="006E5533">
            <w:pPr>
              <w:rPr>
                <w:rFonts w:ascii="Arial" w:hAnsi="Arial" w:cs="Arial"/>
                <w:sz w:val="15"/>
                <w:szCs w:val="15"/>
              </w:rPr>
            </w:pPr>
            <w:r w:rsidRPr="00251EA9">
              <w:rPr>
                <w:rFonts w:ascii="Arial" w:hAnsi="Arial" w:cs="Arial"/>
                <w:sz w:val="15"/>
                <w:szCs w:val="15"/>
              </w:rPr>
              <w:t>Reported infection in 5 patients.</w:t>
            </w:r>
          </w:p>
        </w:tc>
        <w:tc>
          <w:tcPr>
            <w:tcW w:w="1701" w:type="dxa"/>
          </w:tcPr>
          <w:p w14:paraId="4426D192" w14:textId="2F2D97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0C04424" w14:textId="77777777" w:rsidTr="00A77951">
        <w:trPr>
          <w:trHeight w:val="586"/>
        </w:trPr>
        <w:tc>
          <w:tcPr>
            <w:tcW w:w="992" w:type="dxa"/>
          </w:tcPr>
          <w:p w14:paraId="38D11817" w14:textId="7AFDE5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Kim T et al. 2013</w:t>
            </w:r>
          </w:p>
        </w:tc>
        <w:tc>
          <w:tcPr>
            <w:tcW w:w="851" w:type="dxa"/>
          </w:tcPr>
          <w:p w14:paraId="18D89CC2" w14:textId="43AA56F5" w:rsidR="006E5533" w:rsidRPr="00A77951" w:rsidRDefault="006E5533" w:rsidP="006E5533">
            <w:pPr>
              <w:spacing w:line="360" w:lineRule="auto"/>
              <w:contextualSpacing/>
              <w:rPr>
                <w:rFonts w:ascii="Arial" w:hAnsi="Arial" w:cs="Arial"/>
                <w:sz w:val="15"/>
                <w:szCs w:val="15"/>
              </w:rPr>
            </w:pPr>
            <w:hyperlink r:id="rId227" w:history="1">
              <w:r w:rsidRPr="00A77951">
                <w:rPr>
                  <w:rStyle w:val="Hyperlink"/>
                  <w:rFonts w:ascii="Arial" w:hAnsi="Arial" w:cs="Arial"/>
                  <w:sz w:val="15"/>
                  <w:szCs w:val="15"/>
                </w:rPr>
                <w:t>10.1007/s00701-013-1833-7</w:t>
              </w:r>
            </w:hyperlink>
          </w:p>
        </w:tc>
        <w:tc>
          <w:tcPr>
            <w:tcW w:w="851" w:type="dxa"/>
          </w:tcPr>
          <w:p w14:paraId="4895F3EF" w14:textId="5254F8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Korea</w:t>
            </w:r>
          </w:p>
        </w:tc>
        <w:tc>
          <w:tcPr>
            <w:tcW w:w="1134" w:type="dxa"/>
          </w:tcPr>
          <w:p w14:paraId="3BBBFFE6" w14:textId="603C96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654FFDC" w14:textId="196F0E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5E86493" w14:textId="21E5FB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F674A72" w14:textId="208372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risk factors</w:t>
            </w:r>
            <w:r w:rsidRPr="00251EA9">
              <w:rPr>
                <w:rFonts w:ascii="Arial" w:hAnsi="Arial" w:cs="Arial"/>
                <w:sz w:val="15"/>
                <w:szCs w:val="15"/>
              </w:rPr>
              <w:br/>
              <w:t>for SSIs and to assess the relationship between SSIs and the</w:t>
            </w:r>
            <w:r w:rsidRPr="00251EA9">
              <w:rPr>
                <w:rFonts w:ascii="Arial" w:hAnsi="Arial" w:cs="Arial"/>
                <w:sz w:val="15"/>
                <w:szCs w:val="15"/>
              </w:rPr>
              <w:br/>
              <w:t>results of wound-drain-tip culture after elective supratentorial craniotomy.</w:t>
            </w:r>
          </w:p>
        </w:tc>
        <w:tc>
          <w:tcPr>
            <w:tcW w:w="1134" w:type="dxa"/>
          </w:tcPr>
          <w:p w14:paraId="689FD8BE" w14:textId="1B323489" w:rsidR="006E5533" w:rsidRPr="00251EA9" w:rsidRDefault="006E5533" w:rsidP="006E5533">
            <w:pPr>
              <w:spacing w:line="360" w:lineRule="auto"/>
              <w:contextualSpacing/>
              <w:rPr>
                <w:rFonts w:ascii="Arial" w:hAnsi="Arial" w:cs="Arial"/>
                <w:sz w:val="15"/>
                <w:szCs w:val="15"/>
              </w:rPr>
            </w:pPr>
          </w:p>
        </w:tc>
        <w:tc>
          <w:tcPr>
            <w:tcW w:w="992" w:type="dxa"/>
          </w:tcPr>
          <w:p w14:paraId="574AEF6D" w14:textId="084CBE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0D012D8" w14:textId="12993F9B"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p>
        </w:tc>
        <w:tc>
          <w:tcPr>
            <w:tcW w:w="2693" w:type="dxa"/>
          </w:tcPr>
          <w:p w14:paraId="796FD809" w14:textId="4682DEA2" w:rsidR="006E5533" w:rsidRPr="00251EA9" w:rsidRDefault="006E5533" w:rsidP="006E5533">
            <w:pPr>
              <w:rPr>
                <w:rFonts w:ascii="Arial" w:hAnsi="Arial" w:cs="Arial"/>
                <w:sz w:val="15"/>
                <w:szCs w:val="15"/>
              </w:rPr>
            </w:pPr>
            <w:r w:rsidRPr="00251EA9">
              <w:rPr>
                <w:rFonts w:ascii="Arial" w:hAnsi="Arial" w:cs="Arial"/>
                <w:sz w:val="15"/>
                <w:szCs w:val="15"/>
              </w:rPr>
              <w:t>Reported 14 (2.62 %) patients suffered from</w:t>
            </w:r>
            <w:r w:rsidRPr="00251EA9">
              <w:rPr>
                <w:rFonts w:ascii="Arial" w:hAnsi="Arial" w:cs="Arial"/>
                <w:sz w:val="15"/>
                <w:szCs w:val="15"/>
              </w:rPr>
              <w:br/>
              <w:t xml:space="preserve">SSIs. Among the 21 patients with positive wound-drain-tip cultures, 8 (38.1 %) patients experienced SSIs. Underweight group, maintenance wound </w:t>
            </w:r>
            <w:proofErr w:type="gramStart"/>
            <w:r w:rsidRPr="00251EA9">
              <w:rPr>
                <w:rFonts w:ascii="Arial" w:hAnsi="Arial" w:cs="Arial"/>
                <w:sz w:val="15"/>
                <w:szCs w:val="15"/>
              </w:rPr>
              <w:t>drain</w:t>
            </w:r>
            <w:proofErr w:type="gramEnd"/>
            <w:r w:rsidRPr="00251EA9">
              <w:rPr>
                <w:rFonts w:ascii="Arial" w:hAnsi="Arial" w:cs="Arial"/>
                <w:sz w:val="15"/>
                <w:szCs w:val="15"/>
              </w:rPr>
              <w:t xml:space="preserve"> over 3 days, and positive wound-drain-tip culture were significantly associated with postoperative SSIs. </w:t>
            </w:r>
          </w:p>
        </w:tc>
        <w:tc>
          <w:tcPr>
            <w:tcW w:w="1701" w:type="dxa"/>
          </w:tcPr>
          <w:p w14:paraId="52BFBCF1" w14:textId="187195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200E8B8" w14:textId="77777777" w:rsidTr="00A77951">
        <w:trPr>
          <w:trHeight w:val="586"/>
        </w:trPr>
        <w:tc>
          <w:tcPr>
            <w:tcW w:w="992" w:type="dxa"/>
          </w:tcPr>
          <w:p w14:paraId="5CEF446D" w14:textId="05BE58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Kimmell K.T. et al., 2015</w:t>
            </w:r>
          </w:p>
        </w:tc>
        <w:tc>
          <w:tcPr>
            <w:tcW w:w="851" w:type="dxa"/>
          </w:tcPr>
          <w:p w14:paraId="003BD3E6" w14:textId="78D6CF4A" w:rsidR="006E5533" w:rsidRPr="00A77951" w:rsidRDefault="006E5533" w:rsidP="006E5533">
            <w:pPr>
              <w:spacing w:line="360" w:lineRule="auto"/>
              <w:contextualSpacing/>
              <w:rPr>
                <w:rFonts w:ascii="Arial" w:hAnsi="Arial" w:cs="Arial"/>
                <w:sz w:val="15"/>
                <w:szCs w:val="15"/>
              </w:rPr>
            </w:pPr>
            <w:hyperlink r:id="rId228"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10.JNS</w:t>
              </w:r>
              <w:proofErr w:type="gramEnd"/>
              <w:r w:rsidRPr="00A77951">
                <w:rPr>
                  <w:rStyle w:val="Hyperlink"/>
                  <w:rFonts w:ascii="Arial" w:hAnsi="Arial" w:cs="Arial"/>
                  <w:sz w:val="15"/>
                  <w:szCs w:val="15"/>
                </w:rPr>
                <w:t>14632</w:t>
              </w:r>
            </w:hyperlink>
          </w:p>
        </w:tc>
        <w:tc>
          <w:tcPr>
            <w:tcW w:w="851" w:type="dxa"/>
          </w:tcPr>
          <w:p w14:paraId="6220E53C" w14:textId="31C08E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3070E42" w14:textId="53218E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0BABD30" w14:textId="52D788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Both</w:t>
            </w:r>
          </w:p>
        </w:tc>
        <w:tc>
          <w:tcPr>
            <w:tcW w:w="1276" w:type="dxa"/>
          </w:tcPr>
          <w:p w14:paraId="76F8B1A7" w14:textId="46BD48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3DC43DFE" w14:textId="60BC92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risk factors predictive of venous thromboembolism (VTE) in patients undergoing craniotomy.</w:t>
            </w:r>
          </w:p>
        </w:tc>
        <w:tc>
          <w:tcPr>
            <w:tcW w:w="1134" w:type="dxa"/>
          </w:tcPr>
          <w:p w14:paraId="2C8B098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CF921C2" w14:textId="57133A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C9105A4" w14:textId="0946D8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2922949" w14:textId="773BDF7B" w:rsidR="006E5533" w:rsidRPr="00251EA9" w:rsidRDefault="006E5533" w:rsidP="006E5533">
            <w:pPr>
              <w:rPr>
                <w:rFonts w:ascii="Arial" w:hAnsi="Arial" w:cs="Arial"/>
                <w:sz w:val="15"/>
                <w:szCs w:val="15"/>
              </w:rPr>
            </w:pPr>
            <w:r w:rsidRPr="00251EA9">
              <w:rPr>
                <w:rFonts w:ascii="Arial" w:hAnsi="Arial" w:cs="Arial"/>
                <w:sz w:val="15"/>
                <w:szCs w:val="15"/>
              </w:rPr>
              <w:t>Superficial SSI was associated with VTE as a postoperative event.</w:t>
            </w:r>
          </w:p>
        </w:tc>
        <w:tc>
          <w:tcPr>
            <w:tcW w:w="1701" w:type="dxa"/>
          </w:tcPr>
          <w:p w14:paraId="4C46C503" w14:textId="53D4D4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50812BC" w14:textId="77777777" w:rsidTr="00A77951">
        <w:trPr>
          <w:trHeight w:val="586"/>
        </w:trPr>
        <w:tc>
          <w:tcPr>
            <w:tcW w:w="992" w:type="dxa"/>
          </w:tcPr>
          <w:p w14:paraId="1E2875FC" w14:textId="746E0DC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Kinaci</w:t>
            </w:r>
            <w:proofErr w:type="spellEnd"/>
            <w:r w:rsidRPr="00251EA9">
              <w:rPr>
                <w:rFonts w:ascii="Arial" w:hAnsi="Arial" w:cs="Arial"/>
                <w:sz w:val="15"/>
                <w:szCs w:val="15"/>
              </w:rPr>
              <w:t xml:space="preserve"> A. et al., 2023</w:t>
            </w:r>
          </w:p>
        </w:tc>
        <w:tc>
          <w:tcPr>
            <w:tcW w:w="851" w:type="dxa"/>
          </w:tcPr>
          <w:p w14:paraId="438E805B" w14:textId="63DB455D" w:rsidR="006E5533" w:rsidRPr="00A77951" w:rsidRDefault="006E5533" w:rsidP="006E5533">
            <w:pPr>
              <w:spacing w:line="360" w:lineRule="auto"/>
              <w:contextualSpacing/>
              <w:rPr>
                <w:rFonts w:ascii="Arial" w:hAnsi="Arial" w:cs="Arial"/>
                <w:sz w:val="15"/>
                <w:szCs w:val="15"/>
              </w:rPr>
            </w:pPr>
            <w:hyperlink r:id="rId229" w:history="1">
              <w:r w:rsidRPr="00A77951">
                <w:rPr>
                  <w:rStyle w:val="Hyperlink"/>
                  <w:rFonts w:ascii="Arial" w:hAnsi="Arial" w:cs="Arial"/>
                  <w:sz w:val="15"/>
                  <w:szCs w:val="15"/>
                </w:rPr>
                <w:t>10.1227/neu.0000000000002345</w:t>
              </w:r>
            </w:hyperlink>
          </w:p>
        </w:tc>
        <w:tc>
          <w:tcPr>
            <w:tcW w:w="851" w:type="dxa"/>
          </w:tcPr>
          <w:p w14:paraId="1143098F" w14:textId="23C84D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Europe and USA</w:t>
            </w:r>
          </w:p>
        </w:tc>
        <w:tc>
          <w:tcPr>
            <w:tcW w:w="1134" w:type="dxa"/>
          </w:tcPr>
          <w:p w14:paraId="53D27197" w14:textId="689535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 control</w:t>
            </w:r>
          </w:p>
        </w:tc>
        <w:tc>
          <w:tcPr>
            <w:tcW w:w="992" w:type="dxa"/>
          </w:tcPr>
          <w:p w14:paraId="4B5C8200" w14:textId="6CFBF9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6F4132A" w14:textId="7C1113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3FD6DED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incidence and risk factors of incisional CSF (</w:t>
            </w:r>
            <w:proofErr w:type="spellStart"/>
            <w:r w:rsidRPr="00251EA9">
              <w:rPr>
                <w:rFonts w:ascii="Arial" w:hAnsi="Arial" w:cs="Arial"/>
                <w:sz w:val="15"/>
                <w:szCs w:val="15"/>
              </w:rPr>
              <w:t>iCSF</w:t>
            </w:r>
            <w:proofErr w:type="spellEnd"/>
            <w:r w:rsidRPr="00251EA9">
              <w:rPr>
                <w:rFonts w:ascii="Arial" w:hAnsi="Arial" w:cs="Arial"/>
                <w:sz w:val="15"/>
                <w:szCs w:val="15"/>
              </w:rPr>
              <w:t xml:space="preserve">) leakage after craniotomy. </w:t>
            </w:r>
          </w:p>
          <w:p w14:paraId="4C9011F1" w14:textId="313015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complications after </w:t>
            </w:r>
            <w:proofErr w:type="spellStart"/>
            <w:r w:rsidRPr="00251EA9">
              <w:rPr>
                <w:rFonts w:ascii="Arial" w:hAnsi="Arial" w:cs="Arial"/>
                <w:sz w:val="15"/>
                <w:szCs w:val="15"/>
              </w:rPr>
              <w:t>iCSF</w:t>
            </w:r>
            <w:proofErr w:type="spellEnd"/>
            <w:r w:rsidRPr="00251EA9">
              <w:rPr>
                <w:rFonts w:ascii="Arial" w:hAnsi="Arial" w:cs="Arial"/>
                <w:sz w:val="15"/>
                <w:szCs w:val="15"/>
              </w:rPr>
              <w:t xml:space="preserve"> </w:t>
            </w:r>
            <w:r w:rsidRPr="00251EA9">
              <w:rPr>
                <w:rFonts w:ascii="Arial" w:hAnsi="Arial" w:cs="Arial"/>
                <w:sz w:val="15"/>
                <w:szCs w:val="15"/>
              </w:rPr>
              <w:lastRenderedPageBreak/>
              <w:t xml:space="preserve">leakage and the success rate of </w:t>
            </w:r>
            <w:proofErr w:type="spellStart"/>
            <w:r w:rsidRPr="00251EA9">
              <w:rPr>
                <w:rFonts w:ascii="Arial" w:hAnsi="Arial" w:cs="Arial"/>
                <w:sz w:val="15"/>
                <w:szCs w:val="15"/>
              </w:rPr>
              <w:t>iCSF</w:t>
            </w:r>
            <w:proofErr w:type="spellEnd"/>
            <w:r w:rsidRPr="00251EA9">
              <w:rPr>
                <w:rFonts w:ascii="Arial" w:hAnsi="Arial" w:cs="Arial"/>
                <w:sz w:val="15"/>
                <w:szCs w:val="15"/>
              </w:rPr>
              <w:t xml:space="preserve"> leakage treatment.</w:t>
            </w:r>
          </w:p>
        </w:tc>
        <w:tc>
          <w:tcPr>
            <w:tcW w:w="1134" w:type="dxa"/>
          </w:tcPr>
          <w:p w14:paraId="4E0D22A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8F7C4F9" w14:textId="168BC9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18190E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Wound infection was subdivided into 2 categories: </w:t>
            </w:r>
          </w:p>
          <w:p w14:paraId="72A1D4BF"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Superficial infection requiring only antibiotics</w:t>
            </w:r>
          </w:p>
          <w:p w14:paraId="044C6FE8" w14:textId="456B9E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2. Deep wound infection requiring revision surgery. Meningitis was defined as clinical suspicion for meningitis in combination with antibiotic treatment.</w:t>
            </w:r>
          </w:p>
        </w:tc>
        <w:tc>
          <w:tcPr>
            <w:tcW w:w="2693" w:type="dxa"/>
          </w:tcPr>
          <w:p w14:paraId="036DDCE5" w14:textId="2C736A52" w:rsidR="006E5533" w:rsidRPr="00251EA9" w:rsidRDefault="006E5533" w:rsidP="006E5533">
            <w:pPr>
              <w:rPr>
                <w:rFonts w:ascii="Arial" w:hAnsi="Arial" w:cs="Arial"/>
                <w:sz w:val="15"/>
                <w:szCs w:val="15"/>
              </w:rPr>
            </w:pPr>
            <w:r w:rsidRPr="00251EA9">
              <w:rPr>
                <w:rFonts w:ascii="Arial" w:hAnsi="Arial" w:cs="Arial"/>
                <w:sz w:val="15"/>
                <w:szCs w:val="15"/>
              </w:rPr>
              <w:lastRenderedPageBreak/>
              <w:t>The odds for developing a wound infection and/or</w:t>
            </w:r>
            <w:r w:rsidRPr="00251EA9">
              <w:rPr>
                <w:rFonts w:ascii="Arial" w:hAnsi="Arial" w:cs="Arial"/>
                <w:sz w:val="15"/>
                <w:szCs w:val="15"/>
              </w:rPr>
              <w:br/>
              <w:t xml:space="preserve">meningitis were 15 times higher in patients with </w:t>
            </w:r>
            <w:proofErr w:type="spellStart"/>
            <w:r w:rsidRPr="00251EA9">
              <w:rPr>
                <w:rFonts w:ascii="Arial" w:hAnsi="Arial" w:cs="Arial"/>
                <w:sz w:val="15"/>
                <w:szCs w:val="15"/>
              </w:rPr>
              <w:t>iCSF</w:t>
            </w:r>
            <w:proofErr w:type="spellEnd"/>
            <w:r w:rsidRPr="00251EA9">
              <w:rPr>
                <w:rFonts w:ascii="Arial" w:hAnsi="Arial" w:cs="Arial"/>
                <w:sz w:val="15"/>
                <w:szCs w:val="15"/>
              </w:rPr>
              <w:t xml:space="preserve"> leakage compared with patients without leakage. </w:t>
            </w:r>
          </w:p>
        </w:tc>
        <w:tc>
          <w:tcPr>
            <w:tcW w:w="1701" w:type="dxa"/>
          </w:tcPr>
          <w:p w14:paraId="28BFE6DA" w14:textId="60D19D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9EA6068" w14:textId="77777777" w:rsidTr="00A77951">
        <w:trPr>
          <w:trHeight w:val="586"/>
        </w:trPr>
        <w:tc>
          <w:tcPr>
            <w:tcW w:w="992" w:type="dxa"/>
          </w:tcPr>
          <w:p w14:paraId="2E90D2EA" w14:textId="58EE96D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Klekamp</w:t>
            </w:r>
            <w:proofErr w:type="spellEnd"/>
            <w:r w:rsidRPr="00251EA9">
              <w:rPr>
                <w:rFonts w:ascii="Arial" w:hAnsi="Arial" w:cs="Arial"/>
                <w:sz w:val="15"/>
                <w:szCs w:val="15"/>
              </w:rPr>
              <w:t xml:space="preserve"> J., 2012</w:t>
            </w:r>
          </w:p>
        </w:tc>
        <w:tc>
          <w:tcPr>
            <w:tcW w:w="851" w:type="dxa"/>
          </w:tcPr>
          <w:p w14:paraId="1EFD3B49" w14:textId="6E00E7CF" w:rsidR="006E5533" w:rsidRPr="00A77951" w:rsidRDefault="006E5533" w:rsidP="006E5533">
            <w:pPr>
              <w:spacing w:line="360" w:lineRule="auto"/>
              <w:contextualSpacing/>
              <w:rPr>
                <w:rFonts w:ascii="Arial" w:hAnsi="Arial" w:cs="Arial"/>
                <w:sz w:val="15"/>
                <w:szCs w:val="15"/>
              </w:rPr>
            </w:pPr>
            <w:hyperlink r:id="rId230" w:history="1">
              <w:r w:rsidRPr="00A77951">
                <w:rPr>
                  <w:rStyle w:val="Hyperlink"/>
                  <w:rFonts w:ascii="Arial" w:hAnsi="Arial" w:cs="Arial"/>
                  <w:sz w:val="15"/>
                  <w:szCs w:val="15"/>
                </w:rPr>
                <w:t>10.1227/NEU.0b013e31825c3426</w:t>
              </w:r>
            </w:hyperlink>
          </w:p>
        </w:tc>
        <w:tc>
          <w:tcPr>
            <w:tcW w:w="851" w:type="dxa"/>
          </w:tcPr>
          <w:p w14:paraId="04F82378" w14:textId="6F9868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3E755882" w14:textId="126681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36D1499F" w14:textId="5D5D3B4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6021CCD" w14:textId="11DC3B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(Chiari malformation decompression)</w:t>
            </w:r>
          </w:p>
        </w:tc>
        <w:tc>
          <w:tcPr>
            <w:tcW w:w="1843" w:type="dxa"/>
          </w:tcPr>
          <w:p w14:paraId="6A179540" w14:textId="7D0387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This study analyses 371 decompressions focusing on intraoperative findings, analysis of complications, and long-term outcomes.</w:t>
            </w:r>
          </w:p>
        </w:tc>
        <w:tc>
          <w:tcPr>
            <w:tcW w:w="1134" w:type="dxa"/>
          </w:tcPr>
          <w:p w14:paraId="25C59B9B" w14:textId="573DED43" w:rsidR="006E5533" w:rsidRPr="00251EA9" w:rsidRDefault="006E5533" w:rsidP="006E5533">
            <w:pPr>
              <w:spacing w:line="360" w:lineRule="auto"/>
              <w:contextualSpacing/>
              <w:rPr>
                <w:rFonts w:ascii="Arial" w:hAnsi="Arial" w:cs="Arial"/>
                <w:sz w:val="15"/>
                <w:szCs w:val="15"/>
              </w:rPr>
            </w:pPr>
          </w:p>
        </w:tc>
        <w:tc>
          <w:tcPr>
            <w:tcW w:w="992" w:type="dxa"/>
          </w:tcPr>
          <w:p w14:paraId="28EF5D9B" w14:textId="751846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1E6C40D" w14:textId="78BE24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CFBD7CE" w14:textId="4E360CE2" w:rsidR="006E5533" w:rsidRPr="00251EA9" w:rsidRDefault="006E5533" w:rsidP="006E5533">
            <w:pPr>
              <w:rPr>
                <w:rFonts w:ascii="Arial" w:hAnsi="Arial" w:cs="Arial"/>
                <w:sz w:val="15"/>
                <w:szCs w:val="15"/>
              </w:rPr>
            </w:pPr>
            <w:r w:rsidRPr="00251EA9">
              <w:rPr>
                <w:rFonts w:ascii="Arial" w:hAnsi="Arial" w:cs="Arial"/>
                <w:sz w:val="15"/>
                <w:szCs w:val="15"/>
              </w:rPr>
              <w:t>The rate of postoperative wound infections was 0.5%. Aseptic meningitis was reported in 3.8% cases postoperatively with a trend for a higher rate using autologous rather than alloplastic dura grafts.</w:t>
            </w:r>
          </w:p>
        </w:tc>
        <w:tc>
          <w:tcPr>
            <w:tcW w:w="1701" w:type="dxa"/>
          </w:tcPr>
          <w:p w14:paraId="3492AC57" w14:textId="2D84F7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C45866E" w14:textId="77777777" w:rsidTr="00A77951">
        <w:trPr>
          <w:trHeight w:val="586"/>
        </w:trPr>
        <w:tc>
          <w:tcPr>
            <w:tcW w:w="992" w:type="dxa"/>
          </w:tcPr>
          <w:p w14:paraId="775AE0E5" w14:textId="7DDFD89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Klieverik</w:t>
            </w:r>
            <w:proofErr w:type="spellEnd"/>
            <w:r w:rsidRPr="00251EA9">
              <w:rPr>
                <w:rFonts w:ascii="Arial" w:hAnsi="Arial" w:cs="Arial"/>
                <w:sz w:val="15"/>
                <w:szCs w:val="15"/>
              </w:rPr>
              <w:t xml:space="preserve"> V.M. et al., 2023</w:t>
            </w:r>
          </w:p>
        </w:tc>
        <w:tc>
          <w:tcPr>
            <w:tcW w:w="851" w:type="dxa"/>
          </w:tcPr>
          <w:p w14:paraId="4343B379" w14:textId="33C9E709" w:rsidR="006E5533" w:rsidRPr="00A77951" w:rsidRDefault="006E5533" w:rsidP="006E5533">
            <w:pPr>
              <w:spacing w:line="360" w:lineRule="auto"/>
              <w:contextualSpacing/>
              <w:rPr>
                <w:rFonts w:ascii="Arial" w:hAnsi="Arial" w:cs="Arial"/>
                <w:sz w:val="15"/>
                <w:szCs w:val="15"/>
              </w:rPr>
            </w:pPr>
            <w:hyperlink r:id="rId231" w:history="1">
              <w:r w:rsidRPr="00A77951">
                <w:rPr>
                  <w:rStyle w:val="Hyperlink"/>
                  <w:rFonts w:ascii="Arial" w:hAnsi="Arial" w:cs="Arial"/>
                  <w:sz w:val="15"/>
                  <w:szCs w:val="15"/>
                </w:rPr>
                <w:t>10.1016/j.wneu.2023.04.008</w:t>
              </w:r>
            </w:hyperlink>
          </w:p>
        </w:tc>
        <w:tc>
          <w:tcPr>
            <w:tcW w:w="851" w:type="dxa"/>
          </w:tcPr>
          <w:p w14:paraId="7472AB66" w14:textId="40B315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Netherlands</w:t>
            </w:r>
          </w:p>
        </w:tc>
        <w:tc>
          <w:tcPr>
            <w:tcW w:w="1134" w:type="dxa"/>
          </w:tcPr>
          <w:p w14:paraId="6E264BC8" w14:textId="4AEE0C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E362EDE" w14:textId="63991A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FB0D431" w14:textId="7514F9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DC9119A" w14:textId="729E6C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develop a prediction model for cranioplasty implant survival in patients undergoing cranioplasty following craniectomy.</w:t>
            </w:r>
          </w:p>
        </w:tc>
        <w:tc>
          <w:tcPr>
            <w:tcW w:w="1134" w:type="dxa"/>
          </w:tcPr>
          <w:p w14:paraId="75B50474" w14:textId="42AEA430" w:rsidR="006E5533" w:rsidRPr="00251EA9" w:rsidRDefault="006E5533" w:rsidP="006E5533">
            <w:pPr>
              <w:spacing w:line="360" w:lineRule="auto"/>
              <w:contextualSpacing/>
              <w:rPr>
                <w:rFonts w:ascii="Arial" w:hAnsi="Arial" w:cs="Arial"/>
                <w:sz w:val="15"/>
                <w:szCs w:val="15"/>
              </w:rPr>
            </w:pPr>
          </w:p>
        </w:tc>
        <w:tc>
          <w:tcPr>
            <w:tcW w:w="992" w:type="dxa"/>
          </w:tcPr>
          <w:p w14:paraId="3C78C93B" w14:textId="1128B8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0CCB647" w14:textId="624D5F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 culture-positive wound swab or underlying fluid tap requiring surgical removal of the implant and antibiotic therapy.</w:t>
            </w:r>
          </w:p>
        </w:tc>
        <w:tc>
          <w:tcPr>
            <w:tcW w:w="2693" w:type="dxa"/>
          </w:tcPr>
          <w:p w14:paraId="48796D1A" w14:textId="5A358B2F" w:rsidR="006E5533" w:rsidRPr="00251EA9" w:rsidRDefault="006E5533" w:rsidP="006E5533">
            <w:pPr>
              <w:rPr>
                <w:rFonts w:ascii="Arial" w:hAnsi="Arial" w:cs="Arial"/>
                <w:sz w:val="15"/>
                <w:szCs w:val="15"/>
              </w:rPr>
            </w:pPr>
            <w:r w:rsidRPr="00251EA9">
              <w:rPr>
                <w:rFonts w:ascii="Arial" w:hAnsi="Arial" w:cs="Arial"/>
                <w:sz w:val="15"/>
                <w:szCs w:val="15"/>
              </w:rPr>
              <w:t>The SSI rate differed significantly between those who had undergone skin closure with sutures or with staples (6.8% and 25.6% respectively).</w:t>
            </w:r>
          </w:p>
        </w:tc>
        <w:tc>
          <w:tcPr>
            <w:tcW w:w="1701" w:type="dxa"/>
          </w:tcPr>
          <w:p w14:paraId="755B57D5" w14:textId="7A7145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C4AAA0B" w14:textId="77777777" w:rsidTr="00A77951">
        <w:trPr>
          <w:trHeight w:val="586"/>
        </w:trPr>
        <w:tc>
          <w:tcPr>
            <w:tcW w:w="992" w:type="dxa"/>
          </w:tcPr>
          <w:p w14:paraId="66D0663C" w14:textId="06F5B7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Koch J. et al., 2023</w:t>
            </w:r>
          </w:p>
        </w:tc>
        <w:tc>
          <w:tcPr>
            <w:tcW w:w="851" w:type="dxa"/>
          </w:tcPr>
          <w:p w14:paraId="66BDE0A0" w14:textId="63B12167" w:rsidR="006E5533" w:rsidRPr="00A77951" w:rsidRDefault="006E5533" w:rsidP="006E5533">
            <w:pPr>
              <w:spacing w:line="360" w:lineRule="auto"/>
              <w:contextualSpacing/>
              <w:rPr>
                <w:rFonts w:ascii="Arial" w:hAnsi="Arial" w:cs="Arial"/>
                <w:sz w:val="15"/>
                <w:szCs w:val="15"/>
              </w:rPr>
            </w:pPr>
            <w:hyperlink r:id="rId232" w:history="1">
              <w:r w:rsidRPr="00A77951">
                <w:rPr>
                  <w:rStyle w:val="Hyperlink"/>
                  <w:rFonts w:ascii="Arial" w:hAnsi="Arial" w:cs="Arial"/>
                  <w:sz w:val="15"/>
                  <w:szCs w:val="15"/>
                </w:rPr>
                <w:t>10.1227/neu.0000000000002507</w:t>
              </w:r>
            </w:hyperlink>
          </w:p>
        </w:tc>
        <w:tc>
          <w:tcPr>
            <w:tcW w:w="851" w:type="dxa"/>
          </w:tcPr>
          <w:p w14:paraId="63EEF239" w14:textId="4F0B40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60CF7129" w14:textId="0C149F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113526C9" w14:textId="0ADAAD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F1DAE48" w14:textId="278441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0B3E203" w14:textId="2E881E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study the efficacy of an interdisciplinary infection prevention and control bundle (IPCB) in neurosurgery.</w:t>
            </w:r>
          </w:p>
        </w:tc>
        <w:tc>
          <w:tcPr>
            <w:tcW w:w="1134" w:type="dxa"/>
          </w:tcPr>
          <w:p w14:paraId="3FF26F79" w14:textId="26E056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Before, during vs after implementation of infection prevention and control bundle</w:t>
            </w:r>
          </w:p>
        </w:tc>
        <w:tc>
          <w:tcPr>
            <w:tcW w:w="992" w:type="dxa"/>
          </w:tcPr>
          <w:p w14:paraId="52AB3B77" w14:textId="1D2F2D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E151B27" w14:textId="35F88969" w:rsidR="006E5533" w:rsidRPr="00251EA9" w:rsidRDefault="006E5533" w:rsidP="006E5533">
            <w:pPr>
              <w:spacing w:line="360" w:lineRule="auto"/>
              <w:contextualSpacing/>
              <w:rPr>
                <w:rFonts w:ascii="Arial" w:hAnsi="Arial" w:cs="Arial"/>
                <w:sz w:val="15"/>
                <w:szCs w:val="15"/>
              </w:rPr>
            </w:pPr>
          </w:p>
        </w:tc>
        <w:tc>
          <w:tcPr>
            <w:tcW w:w="2693" w:type="dxa"/>
          </w:tcPr>
          <w:p w14:paraId="5ABF4F41" w14:textId="477401C9" w:rsidR="006E5533" w:rsidRPr="00251EA9" w:rsidRDefault="006E5533" w:rsidP="006E5533">
            <w:pPr>
              <w:rPr>
                <w:rFonts w:ascii="Arial" w:hAnsi="Arial" w:cs="Arial"/>
                <w:sz w:val="15"/>
                <w:szCs w:val="15"/>
              </w:rPr>
            </w:pPr>
            <w:r w:rsidRPr="00251EA9">
              <w:rPr>
                <w:rFonts w:ascii="Arial" w:hAnsi="Arial" w:cs="Arial"/>
                <w:sz w:val="15"/>
                <w:szCs w:val="15"/>
              </w:rPr>
              <w:t>SSIs were identified in 4.58% of patients undergoing a neurosurgical intervention before the implementation of IPCB in 2014. Following the introduction of IPCB in 2017, SSI rate remained stable at 4.43% and decreased to 4.04% after the full implementation of IPCB.</w:t>
            </w:r>
          </w:p>
        </w:tc>
        <w:tc>
          <w:tcPr>
            <w:tcW w:w="1701" w:type="dxa"/>
          </w:tcPr>
          <w:p w14:paraId="78505145" w14:textId="5B290B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3C29EF4" w14:textId="77777777" w:rsidTr="00A77951">
        <w:trPr>
          <w:trHeight w:val="586"/>
        </w:trPr>
        <w:tc>
          <w:tcPr>
            <w:tcW w:w="992" w:type="dxa"/>
          </w:tcPr>
          <w:p w14:paraId="68BDDB09" w14:textId="53423C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Kochanski R. et al., 2018</w:t>
            </w:r>
          </w:p>
        </w:tc>
        <w:tc>
          <w:tcPr>
            <w:tcW w:w="851" w:type="dxa"/>
          </w:tcPr>
          <w:p w14:paraId="6A5EC51F" w14:textId="1D5B6428"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w:t>
            </w:r>
            <w:proofErr w:type="spellStart"/>
            <w:r w:rsidRPr="00A77951">
              <w:rPr>
                <w:rFonts w:ascii="Arial" w:hAnsi="Arial" w:cs="Arial"/>
                <w:sz w:val="15"/>
                <w:szCs w:val="15"/>
              </w:rPr>
              <w:t>ons</w:t>
            </w:r>
            <w:proofErr w:type="spellEnd"/>
            <w:r w:rsidRPr="00A77951">
              <w:rPr>
                <w:rFonts w:ascii="Arial" w:hAnsi="Arial" w:cs="Arial"/>
                <w:sz w:val="15"/>
                <w:szCs w:val="15"/>
              </w:rPr>
              <w:t>/opx293</w:t>
            </w:r>
          </w:p>
        </w:tc>
        <w:tc>
          <w:tcPr>
            <w:tcW w:w="851" w:type="dxa"/>
          </w:tcPr>
          <w:p w14:paraId="5688D5F7" w14:textId="249C3A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A853B92" w14:textId="5609C6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444B3DE2" w14:textId="35FFED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591EBE2" w14:textId="7956C5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1A12FC58" w14:textId="369851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use of vancomycin powder as an adjunct to the </w:t>
            </w:r>
            <w:r w:rsidRPr="00251EA9">
              <w:rPr>
                <w:rFonts w:ascii="Arial" w:hAnsi="Arial" w:cs="Arial"/>
                <w:sz w:val="15"/>
                <w:szCs w:val="15"/>
              </w:rPr>
              <w:lastRenderedPageBreak/>
              <w:t>current antibiotic prophylaxis regimen in DBS surgery.</w:t>
            </w:r>
          </w:p>
        </w:tc>
        <w:tc>
          <w:tcPr>
            <w:tcW w:w="1134" w:type="dxa"/>
          </w:tcPr>
          <w:p w14:paraId="65677B22" w14:textId="3F6BBB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Pre-treatment group vs post-</w:t>
            </w:r>
            <w:r w:rsidRPr="00251EA9">
              <w:rPr>
                <w:rFonts w:ascii="Arial" w:hAnsi="Arial" w:cs="Arial"/>
                <w:sz w:val="15"/>
                <w:szCs w:val="15"/>
              </w:rPr>
              <w:lastRenderedPageBreak/>
              <w:t>treatment group. Use of vancomycin powder alongside current antibiotic prophylaxis.</w:t>
            </w:r>
          </w:p>
        </w:tc>
        <w:tc>
          <w:tcPr>
            <w:tcW w:w="992" w:type="dxa"/>
          </w:tcPr>
          <w:p w14:paraId="4DEBA5E9" w14:textId="6A62AB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Yes</w:t>
            </w:r>
          </w:p>
        </w:tc>
        <w:tc>
          <w:tcPr>
            <w:tcW w:w="1701" w:type="dxa"/>
          </w:tcPr>
          <w:p w14:paraId="64B50E3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Fever, redness, warmth, tenderness, </w:t>
            </w:r>
            <w:r w:rsidRPr="00251EA9">
              <w:rPr>
                <w:rFonts w:ascii="Arial" w:hAnsi="Arial" w:cs="Arial"/>
                <w:sz w:val="15"/>
                <w:szCs w:val="15"/>
              </w:rPr>
              <w:lastRenderedPageBreak/>
              <w:t xml:space="preserve">or drainage resulting in antibiotic therapy. </w:t>
            </w:r>
          </w:p>
          <w:p w14:paraId="10EFAE53" w14:textId="134119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White blood</w:t>
            </w:r>
            <w:r w:rsidRPr="00251EA9">
              <w:rPr>
                <w:rFonts w:ascii="Arial" w:hAnsi="Arial" w:cs="Arial"/>
                <w:sz w:val="15"/>
                <w:szCs w:val="15"/>
              </w:rPr>
              <w:br/>
              <w:t>cell count, C reactive protein levels, and estimated sedimentation</w:t>
            </w:r>
            <w:r w:rsidR="005242B5">
              <w:rPr>
                <w:rFonts w:ascii="Arial" w:hAnsi="Arial" w:cs="Arial"/>
                <w:sz w:val="15"/>
                <w:szCs w:val="15"/>
              </w:rPr>
              <w:t xml:space="preserve"> </w:t>
            </w:r>
            <w:r w:rsidRPr="00251EA9">
              <w:rPr>
                <w:rFonts w:ascii="Arial" w:hAnsi="Arial" w:cs="Arial"/>
                <w:sz w:val="15"/>
                <w:szCs w:val="15"/>
              </w:rPr>
              <w:t xml:space="preserve">rate </w:t>
            </w:r>
          </w:p>
          <w:p w14:paraId="55FF652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3. Positive wound cultures</w:t>
            </w:r>
          </w:p>
          <w:p w14:paraId="6448BE53" w14:textId="41D8F3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4. Device </w:t>
            </w:r>
            <w:proofErr w:type="spellStart"/>
            <w:r w:rsidRPr="00251EA9">
              <w:rPr>
                <w:rFonts w:ascii="Arial" w:hAnsi="Arial" w:cs="Arial"/>
                <w:sz w:val="15"/>
                <w:szCs w:val="15"/>
              </w:rPr>
              <w:t>explantation</w:t>
            </w:r>
            <w:proofErr w:type="spellEnd"/>
            <w:r w:rsidRPr="00251EA9">
              <w:rPr>
                <w:rFonts w:ascii="Arial" w:hAnsi="Arial" w:cs="Arial"/>
                <w:sz w:val="15"/>
                <w:szCs w:val="15"/>
              </w:rPr>
              <w:t xml:space="preserve"> </w:t>
            </w:r>
          </w:p>
        </w:tc>
        <w:tc>
          <w:tcPr>
            <w:tcW w:w="2693" w:type="dxa"/>
          </w:tcPr>
          <w:p w14:paraId="55BA5875" w14:textId="69CB02F8" w:rsidR="006E5533" w:rsidRPr="00251EA9" w:rsidRDefault="006E5533" w:rsidP="006E5533">
            <w:pPr>
              <w:rPr>
                <w:rFonts w:ascii="Arial" w:hAnsi="Arial" w:cs="Arial"/>
                <w:sz w:val="15"/>
                <w:szCs w:val="15"/>
              </w:rPr>
            </w:pPr>
            <w:r w:rsidRPr="00251EA9">
              <w:rPr>
                <w:rFonts w:ascii="Arial" w:hAnsi="Arial" w:cs="Arial"/>
                <w:sz w:val="15"/>
                <w:szCs w:val="15"/>
              </w:rPr>
              <w:lastRenderedPageBreak/>
              <w:t>The rate of SSI prior to</w:t>
            </w:r>
            <w:r w:rsidRPr="00251EA9">
              <w:rPr>
                <w:rFonts w:ascii="Arial" w:hAnsi="Arial" w:cs="Arial"/>
                <w:sz w:val="15"/>
                <w:szCs w:val="15"/>
              </w:rPr>
              <w:br/>
              <w:t>implementation of intrawound vancomycin was 3.1% (5 cases), which was reduced to 0.38%</w:t>
            </w:r>
            <w:r w:rsidRPr="00251EA9">
              <w:rPr>
                <w:rFonts w:ascii="Arial" w:hAnsi="Arial" w:cs="Arial"/>
                <w:sz w:val="15"/>
                <w:szCs w:val="15"/>
              </w:rPr>
              <w:br/>
              <w:t xml:space="preserve">(1 case) in the post-treatment group. </w:t>
            </w:r>
          </w:p>
        </w:tc>
        <w:tc>
          <w:tcPr>
            <w:tcW w:w="1701" w:type="dxa"/>
          </w:tcPr>
          <w:p w14:paraId="68E06654" w14:textId="5A866A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C6DEBED" w14:textId="77777777" w:rsidTr="00A77951">
        <w:trPr>
          <w:trHeight w:val="586"/>
        </w:trPr>
        <w:tc>
          <w:tcPr>
            <w:tcW w:w="992" w:type="dxa"/>
          </w:tcPr>
          <w:p w14:paraId="42AC8AF6" w14:textId="0C7255EB"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Kogeichi</w:t>
            </w:r>
            <w:proofErr w:type="spellEnd"/>
            <w:r w:rsidRPr="00251EA9">
              <w:rPr>
                <w:rFonts w:ascii="Arial" w:hAnsi="Arial" w:cs="Arial"/>
                <w:sz w:val="15"/>
                <w:szCs w:val="15"/>
              </w:rPr>
              <w:t xml:space="preserve"> Y. et al., 2022</w:t>
            </w:r>
          </w:p>
        </w:tc>
        <w:tc>
          <w:tcPr>
            <w:tcW w:w="851" w:type="dxa"/>
          </w:tcPr>
          <w:p w14:paraId="03DF9BED" w14:textId="561E100C" w:rsidR="006E5533" w:rsidRPr="00A77951" w:rsidRDefault="006E5533" w:rsidP="006E5533">
            <w:pPr>
              <w:spacing w:line="360" w:lineRule="auto"/>
              <w:contextualSpacing/>
              <w:rPr>
                <w:rFonts w:ascii="Arial" w:hAnsi="Arial" w:cs="Arial"/>
                <w:sz w:val="15"/>
                <w:szCs w:val="15"/>
              </w:rPr>
            </w:pPr>
            <w:hyperlink r:id="rId233" w:tooltip="Persistent link using digital object identifier" w:history="1">
              <w:r w:rsidRPr="00A77951">
                <w:rPr>
                  <w:rStyle w:val="Hyperlink"/>
                  <w:rFonts w:ascii="Arial" w:hAnsi="Arial" w:cs="Arial"/>
                  <w:sz w:val="15"/>
                  <w:szCs w:val="15"/>
                </w:rPr>
                <w:t>10.1016/j.inat.2022.101489</w:t>
              </w:r>
            </w:hyperlink>
          </w:p>
        </w:tc>
        <w:tc>
          <w:tcPr>
            <w:tcW w:w="851" w:type="dxa"/>
          </w:tcPr>
          <w:p w14:paraId="705BD8E7" w14:textId="75793C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0E9D1872" w14:textId="46EE71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BBF9113" w14:textId="358A1F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F2D6091" w14:textId="701138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ADE6C46" w14:textId="1CD95C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risk of SSI following cranioplasty in terms of the preservation method of autogenous bone graft (ABG), comparing preservation in 80% ethanol versus the standard method of subcutaneous ABG preservation.</w:t>
            </w:r>
          </w:p>
        </w:tc>
        <w:tc>
          <w:tcPr>
            <w:tcW w:w="1134" w:type="dxa"/>
          </w:tcPr>
          <w:p w14:paraId="51EC8BDA" w14:textId="59C374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Bone graft preserved in 80% </w:t>
            </w:r>
            <w:proofErr w:type="spellStart"/>
            <w:r w:rsidRPr="00251EA9">
              <w:rPr>
                <w:rFonts w:ascii="Arial" w:hAnsi="Arial" w:cs="Arial"/>
                <w:sz w:val="15"/>
                <w:szCs w:val="15"/>
              </w:rPr>
              <w:t>ehtanol</w:t>
            </w:r>
            <w:proofErr w:type="spellEnd"/>
            <w:r w:rsidRPr="00251EA9">
              <w:rPr>
                <w:rFonts w:ascii="Arial" w:hAnsi="Arial" w:cs="Arial"/>
                <w:sz w:val="15"/>
                <w:szCs w:val="15"/>
              </w:rPr>
              <w:t xml:space="preserve"> vs those that were preserved subcutaneously.</w:t>
            </w:r>
          </w:p>
        </w:tc>
        <w:tc>
          <w:tcPr>
            <w:tcW w:w="992" w:type="dxa"/>
          </w:tcPr>
          <w:p w14:paraId="7ABDFC8A" w14:textId="1CE742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58E2BDF" w14:textId="3303F7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Local inflammation that required surgical removal of the bone flap.</w:t>
            </w:r>
          </w:p>
        </w:tc>
        <w:tc>
          <w:tcPr>
            <w:tcW w:w="2693" w:type="dxa"/>
          </w:tcPr>
          <w:p w14:paraId="1A360007" w14:textId="34DE6313" w:rsidR="006E5533" w:rsidRPr="00251EA9" w:rsidRDefault="006E5533" w:rsidP="006E5533">
            <w:pPr>
              <w:rPr>
                <w:rFonts w:ascii="Arial" w:hAnsi="Arial" w:cs="Arial"/>
                <w:sz w:val="15"/>
                <w:szCs w:val="15"/>
              </w:rPr>
            </w:pPr>
            <w:r w:rsidRPr="00251EA9">
              <w:rPr>
                <w:rFonts w:ascii="Arial" w:hAnsi="Arial" w:cs="Arial"/>
                <w:sz w:val="15"/>
                <w:szCs w:val="15"/>
              </w:rPr>
              <w:t>Reported a total of 10 patients developed SSI. The timing of development of SSI after cranioplasty ranged from 4 to 240 days, with a mean of SSI development within 20 days.</w:t>
            </w:r>
            <w:r w:rsidRPr="00251EA9">
              <w:rPr>
                <w:rFonts w:ascii="Arial" w:hAnsi="Arial" w:cs="Arial"/>
                <w:sz w:val="15"/>
                <w:szCs w:val="15"/>
              </w:rPr>
              <w:br/>
              <w:t>80% ethanol was not significantly associated with SSI.</w:t>
            </w:r>
          </w:p>
        </w:tc>
        <w:tc>
          <w:tcPr>
            <w:tcW w:w="1701" w:type="dxa"/>
          </w:tcPr>
          <w:p w14:paraId="24ABC33E" w14:textId="51ED7B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3124CA9" w14:textId="77777777" w:rsidTr="00A77951">
        <w:trPr>
          <w:trHeight w:val="586"/>
        </w:trPr>
        <w:tc>
          <w:tcPr>
            <w:tcW w:w="992" w:type="dxa"/>
          </w:tcPr>
          <w:p w14:paraId="7D9D4418" w14:textId="31613AC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Koipapi</w:t>
            </w:r>
            <w:proofErr w:type="spellEnd"/>
            <w:r w:rsidRPr="00251EA9">
              <w:rPr>
                <w:rFonts w:ascii="Arial" w:hAnsi="Arial" w:cs="Arial"/>
                <w:sz w:val="15"/>
                <w:szCs w:val="15"/>
              </w:rPr>
              <w:t xml:space="preserve"> S. et al., 2023</w:t>
            </w:r>
          </w:p>
        </w:tc>
        <w:tc>
          <w:tcPr>
            <w:tcW w:w="851" w:type="dxa"/>
          </w:tcPr>
          <w:p w14:paraId="69717FD4" w14:textId="5A5A7B11" w:rsidR="006E5533" w:rsidRPr="00A77951" w:rsidRDefault="006E5533" w:rsidP="006E5533">
            <w:pPr>
              <w:spacing w:line="360" w:lineRule="auto"/>
              <w:contextualSpacing/>
              <w:rPr>
                <w:rFonts w:ascii="Arial" w:hAnsi="Arial" w:cs="Arial"/>
                <w:sz w:val="15"/>
                <w:szCs w:val="15"/>
              </w:rPr>
            </w:pPr>
            <w:hyperlink r:id="rId234" w:history="1">
              <w:r w:rsidRPr="00A77951">
                <w:rPr>
                  <w:rStyle w:val="Hyperlink"/>
                  <w:rFonts w:ascii="Arial" w:hAnsi="Arial" w:cs="Arial"/>
                  <w:sz w:val="15"/>
                  <w:szCs w:val="15"/>
                </w:rPr>
                <w:t>10.1016/j.wnsx.2023.100257</w:t>
              </w:r>
            </w:hyperlink>
          </w:p>
        </w:tc>
        <w:tc>
          <w:tcPr>
            <w:tcW w:w="851" w:type="dxa"/>
          </w:tcPr>
          <w:p w14:paraId="154A5A09" w14:textId="291889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Tanzania</w:t>
            </w:r>
          </w:p>
        </w:tc>
        <w:tc>
          <w:tcPr>
            <w:tcW w:w="1134" w:type="dxa"/>
          </w:tcPr>
          <w:p w14:paraId="606CD4EC" w14:textId="60E710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cross-sectional</w:t>
            </w:r>
          </w:p>
        </w:tc>
        <w:tc>
          <w:tcPr>
            <w:tcW w:w="992" w:type="dxa"/>
          </w:tcPr>
          <w:p w14:paraId="4A3150C7" w14:textId="76053D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0F4C379" w14:textId="260DF1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8FBE95A" w14:textId="1FAEA3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outcomes and factors associated with burr hole surgery as definitive management of traumatic</w:t>
            </w:r>
            <w:r w:rsidRPr="00251EA9">
              <w:rPr>
                <w:rFonts w:ascii="Arial" w:hAnsi="Arial" w:cs="Arial"/>
                <w:sz w:val="15"/>
                <w:szCs w:val="15"/>
              </w:rPr>
              <w:br/>
              <w:t xml:space="preserve">extra-axial hematomas. </w:t>
            </w:r>
          </w:p>
        </w:tc>
        <w:tc>
          <w:tcPr>
            <w:tcW w:w="1134" w:type="dxa"/>
          </w:tcPr>
          <w:p w14:paraId="6333E6DA" w14:textId="0D77075A" w:rsidR="006E5533" w:rsidRPr="00251EA9" w:rsidRDefault="006E5533" w:rsidP="006E5533">
            <w:pPr>
              <w:spacing w:line="360" w:lineRule="auto"/>
              <w:contextualSpacing/>
              <w:rPr>
                <w:rFonts w:ascii="Arial" w:hAnsi="Arial" w:cs="Arial"/>
                <w:sz w:val="15"/>
                <w:szCs w:val="15"/>
              </w:rPr>
            </w:pPr>
          </w:p>
        </w:tc>
        <w:tc>
          <w:tcPr>
            <w:tcW w:w="992" w:type="dxa"/>
          </w:tcPr>
          <w:p w14:paraId="592C2C22" w14:textId="503F52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EA6069F" w14:textId="665F0B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258B551" w14:textId="4A1CB9C4" w:rsidR="006E5533" w:rsidRPr="00251EA9" w:rsidRDefault="006E5533" w:rsidP="006E5533">
            <w:pPr>
              <w:rPr>
                <w:rFonts w:ascii="Arial" w:hAnsi="Arial" w:cs="Arial"/>
                <w:sz w:val="15"/>
                <w:szCs w:val="15"/>
              </w:rPr>
            </w:pPr>
            <w:r w:rsidRPr="00251EA9">
              <w:rPr>
                <w:rFonts w:ascii="Arial" w:hAnsi="Arial" w:cs="Arial"/>
                <w:sz w:val="15"/>
                <w:szCs w:val="15"/>
              </w:rPr>
              <w:t>The SSI rate was 7.7% and the re-operation rate</w:t>
            </w:r>
            <w:r w:rsidRPr="00251EA9">
              <w:rPr>
                <w:rFonts w:ascii="Arial" w:hAnsi="Arial" w:cs="Arial"/>
                <w:sz w:val="15"/>
                <w:szCs w:val="15"/>
              </w:rPr>
              <w:br/>
              <w:t>was 21%. SSI was associated with a long length of hospital stay.</w:t>
            </w:r>
          </w:p>
        </w:tc>
        <w:tc>
          <w:tcPr>
            <w:tcW w:w="1701" w:type="dxa"/>
          </w:tcPr>
          <w:p w14:paraId="703096B3" w14:textId="2CFA0B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EA462FC" w14:textId="77777777" w:rsidTr="00A77951">
        <w:trPr>
          <w:trHeight w:val="586"/>
        </w:trPr>
        <w:tc>
          <w:tcPr>
            <w:tcW w:w="992" w:type="dxa"/>
          </w:tcPr>
          <w:p w14:paraId="0B9D057C" w14:textId="4CC2E68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Kolpa</w:t>
            </w:r>
            <w:proofErr w:type="spellEnd"/>
            <w:r w:rsidRPr="00251EA9">
              <w:rPr>
                <w:rFonts w:ascii="Arial" w:hAnsi="Arial" w:cs="Arial"/>
                <w:sz w:val="15"/>
                <w:szCs w:val="15"/>
              </w:rPr>
              <w:t xml:space="preserve"> M. et al., 2019</w:t>
            </w:r>
          </w:p>
        </w:tc>
        <w:tc>
          <w:tcPr>
            <w:tcW w:w="851" w:type="dxa"/>
          </w:tcPr>
          <w:p w14:paraId="754E3FD3" w14:textId="5C302BCB" w:rsidR="006E5533" w:rsidRPr="00A77951" w:rsidRDefault="006E5533" w:rsidP="006E5533">
            <w:pPr>
              <w:spacing w:line="360" w:lineRule="auto"/>
              <w:contextualSpacing/>
              <w:rPr>
                <w:rFonts w:ascii="Arial" w:hAnsi="Arial" w:cs="Arial"/>
                <w:sz w:val="15"/>
                <w:szCs w:val="15"/>
              </w:rPr>
            </w:pPr>
            <w:hyperlink r:id="rId235" w:history="1">
              <w:r w:rsidRPr="00A77951">
                <w:rPr>
                  <w:rStyle w:val="Hyperlink"/>
                  <w:rFonts w:ascii="Arial" w:hAnsi="Arial" w:cs="Arial"/>
                  <w:sz w:val="15"/>
                  <w:szCs w:val="15"/>
                </w:rPr>
                <w:t>10.3390/ijerph16060911</w:t>
              </w:r>
            </w:hyperlink>
          </w:p>
        </w:tc>
        <w:tc>
          <w:tcPr>
            <w:tcW w:w="851" w:type="dxa"/>
          </w:tcPr>
          <w:p w14:paraId="21E81BC6" w14:textId="7FCF4F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Poland</w:t>
            </w:r>
          </w:p>
        </w:tc>
        <w:tc>
          <w:tcPr>
            <w:tcW w:w="1134" w:type="dxa"/>
          </w:tcPr>
          <w:p w14:paraId="607E3778" w14:textId="00306E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522EDCD" w14:textId="7A39B0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809D14E" w14:textId="7EE1CD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7BAF4C2A" w14:textId="3BBC95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both the epidemiology and microbiology of neurosurgical patients’ infections, as well as </w:t>
            </w:r>
            <w:r w:rsidRPr="00251EA9">
              <w:rPr>
                <w:rFonts w:ascii="Arial" w:hAnsi="Arial" w:cs="Arial"/>
                <w:sz w:val="15"/>
                <w:szCs w:val="15"/>
              </w:rPr>
              <w:lastRenderedPageBreak/>
              <w:t>trends in their occurrence.</w:t>
            </w:r>
          </w:p>
        </w:tc>
        <w:tc>
          <w:tcPr>
            <w:tcW w:w="1134" w:type="dxa"/>
          </w:tcPr>
          <w:p w14:paraId="0F09D54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746EAF8" w14:textId="2743C3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6B0E317" w14:textId="007032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B04CFA3" w14:textId="68C29247" w:rsidR="006E5533" w:rsidRPr="00251EA9" w:rsidRDefault="006E5533" w:rsidP="006E5533">
            <w:pPr>
              <w:rPr>
                <w:rFonts w:ascii="Arial" w:hAnsi="Arial" w:cs="Arial"/>
                <w:sz w:val="15"/>
                <w:szCs w:val="15"/>
              </w:rPr>
            </w:pPr>
            <w:r w:rsidRPr="00251EA9">
              <w:rPr>
                <w:rFonts w:ascii="Arial" w:hAnsi="Arial" w:cs="Arial"/>
                <w:sz w:val="15"/>
                <w:szCs w:val="15"/>
              </w:rPr>
              <w:t xml:space="preserve">157 patients developed SSI in total. </w:t>
            </w:r>
          </w:p>
        </w:tc>
        <w:tc>
          <w:tcPr>
            <w:tcW w:w="1701" w:type="dxa"/>
          </w:tcPr>
          <w:p w14:paraId="529E515E" w14:textId="48BAEA9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96FE65C" w14:textId="77777777" w:rsidTr="00A77951">
        <w:trPr>
          <w:trHeight w:val="586"/>
        </w:trPr>
        <w:tc>
          <w:tcPr>
            <w:tcW w:w="992" w:type="dxa"/>
          </w:tcPr>
          <w:p w14:paraId="273DD2A5" w14:textId="1E8A319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Kombogiorgas</w:t>
            </w:r>
            <w:proofErr w:type="spellEnd"/>
            <w:r w:rsidRPr="00251EA9">
              <w:rPr>
                <w:rFonts w:ascii="Arial" w:hAnsi="Arial" w:cs="Arial"/>
                <w:sz w:val="15"/>
                <w:szCs w:val="15"/>
              </w:rPr>
              <w:t xml:space="preserve"> D. et al., 2006</w:t>
            </w:r>
          </w:p>
        </w:tc>
        <w:tc>
          <w:tcPr>
            <w:tcW w:w="851" w:type="dxa"/>
          </w:tcPr>
          <w:p w14:paraId="76DE21ED" w14:textId="3F0CE4CF" w:rsidR="006E5533" w:rsidRPr="00A77951" w:rsidRDefault="006E5533" w:rsidP="006E5533">
            <w:pPr>
              <w:spacing w:line="360" w:lineRule="auto"/>
              <w:contextualSpacing/>
              <w:rPr>
                <w:rFonts w:ascii="Arial" w:hAnsi="Arial" w:cs="Arial"/>
                <w:sz w:val="15"/>
                <w:szCs w:val="15"/>
              </w:rPr>
            </w:pPr>
            <w:hyperlink r:id="rId236" w:history="1">
              <w:r w:rsidRPr="00A77951">
                <w:rPr>
                  <w:rStyle w:val="Hyperlink"/>
                  <w:rFonts w:ascii="Arial" w:hAnsi="Arial" w:cs="Arial"/>
                  <w:sz w:val="15"/>
                  <w:szCs w:val="15"/>
                </w:rPr>
                <w:t>10.1007/s00381-006-0117-4</w:t>
              </w:r>
            </w:hyperlink>
          </w:p>
        </w:tc>
        <w:tc>
          <w:tcPr>
            <w:tcW w:w="851" w:type="dxa"/>
          </w:tcPr>
          <w:p w14:paraId="09C6BF23" w14:textId="17104A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289F6839" w14:textId="53DD7C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66E29A1" w14:textId="682181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4B3FAD93" w14:textId="06D02F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w:t>
            </w:r>
          </w:p>
        </w:tc>
        <w:tc>
          <w:tcPr>
            <w:tcW w:w="1843" w:type="dxa"/>
          </w:tcPr>
          <w:p w14:paraId="64F2C10F" w14:textId="761517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possible risk factors for postoperative epilepsy and the need for prophylactic anticonvulsant therapy.</w:t>
            </w:r>
          </w:p>
        </w:tc>
        <w:tc>
          <w:tcPr>
            <w:tcW w:w="1134" w:type="dxa"/>
          </w:tcPr>
          <w:p w14:paraId="4FE5426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932319B" w14:textId="5E9367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5A5D144" w14:textId="65F490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559DBE5" w14:textId="7862861C" w:rsidR="006E5533" w:rsidRPr="00251EA9" w:rsidRDefault="006E5533" w:rsidP="006E5533">
            <w:pPr>
              <w:rPr>
                <w:rFonts w:ascii="Arial" w:hAnsi="Arial" w:cs="Arial"/>
                <w:sz w:val="15"/>
                <w:szCs w:val="15"/>
              </w:rPr>
            </w:pPr>
            <w:r w:rsidRPr="00251EA9">
              <w:rPr>
                <w:rFonts w:ascii="Arial" w:hAnsi="Arial" w:cs="Arial"/>
                <w:sz w:val="15"/>
                <w:szCs w:val="15"/>
              </w:rPr>
              <w:t>The one patient who developed postoperative</w:t>
            </w:r>
            <w:r w:rsidRPr="00251EA9">
              <w:rPr>
                <w:rFonts w:ascii="Arial" w:hAnsi="Arial" w:cs="Arial"/>
                <w:sz w:val="15"/>
                <w:szCs w:val="15"/>
              </w:rPr>
              <w:br/>
              <w:t xml:space="preserve">infection did not develop epilepsy. </w:t>
            </w:r>
          </w:p>
        </w:tc>
        <w:tc>
          <w:tcPr>
            <w:tcW w:w="1701" w:type="dxa"/>
          </w:tcPr>
          <w:p w14:paraId="2355B0E4" w14:textId="3871A7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E52775D" w14:textId="77777777" w:rsidTr="00A77951">
        <w:trPr>
          <w:trHeight w:val="586"/>
        </w:trPr>
        <w:tc>
          <w:tcPr>
            <w:tcW w:w="992" w:type="dxa"/>
          </w:tcPr>
          <w:p w14:paraId="1571F428" w14:textId="62463B4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Kondapavulur</w:t>
            </w:r>
            <w:proofErr w:type="spellEnd"/>
            <w:r w:rsidRPr="00251EA9">
              <w:rPr>
                <w:rFonts w:ascii="Arial" w:hAnsi="Arial" w:cs="Arial"/>
                <w:sz w:val="15"/>
                <w:szCs w:val="15"/>
              </w:rPr>
              <w:t xml:space="preserve"> S. et al., 2022</w:t>
            </w:r>
          </w:p>
        </w:tc>
        <w:tc>
          <w:tcPr>
            <w:tcW w:w="851" w:type="dxa"/>
          </w:tcPr>
          <w:p w14:paraId="21A7D233" w14:textId="6CB2BFC6" w:rsidR="006E5533" w:rsidRPr="00A77951" w:rsidRDefault="006E5533" w:rsidP="006E5533">
            <w:pPr>
              <w:spacing w:line="360" w:lineRule="auto"/>
              <w:contextualSpacing/>
              <w:rPr>
                <w:rFonts w:ascii="Arial" w:hAnsi="Arial" w:cs="Arial"/>
                <w:sz w:val="15"/>
                <w:szCs w:val="15"/>
              </w:rPr>
            </w:pPr>
            <w:hyperlink r:id="rId237" w:history="1">
              <w:r w:rsidRPr="00A77951">
                <w:rPr>
                  <w:rStyle w:val="Hyperlink"/>
                  <w:rFonts w:ascii="Arial" w:hAnsi="Arial" w:cs="Arial"/>
                  <w:sz w:val="15"/>
                  <w:szCs w:val="15"/>
                </w:rPr>
                <w:t>10.1159/000520197</w:t>
              </w:r>
            </w:hyperlink>
          </w:p>
        </w:tc>
        <w:tc>
          <w:tcPr>
            <w:tcW w:w="851" w:type="dxa"/>
          </w:tcPr>
          <w:p w14:paraId="4FB06D89" w14:textId="11B3CA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E66F3CA" w14:textId="677272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EA3701E" w14:textId="6F2D93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F10D94F" w14:textId="2BBDF7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3E6A8CC2"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efficacy of topical, intrawound vancomycin</w:t>
            </w:r>
            <w:r w:rsidRPr="00251EA9">
              <w:rPr>
                <w:rFonts w:ascii="Arial" w:hAnsi="Arial" w:cs="Arial"/>
                <w:sz w:val="15"/>
                <w:szCs w:val="15"/>
              </w:rPr>
              <w:br/>
              <w:t xml:space="preserve">powder (VP) in reducing SSI for DBS surgery. </w:t>
            </w:r>
          </w:p>
          <w:p w14:paraId="346D7E32" w14:textId="18A6C4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examine the effect of topical vancomycin on SSI in patients after DBS surgery. </w:t>
            </w:r>
          </w:p>
        </w:tc>
        <w:tc>
          <w:tcPr>
            <w:tcW w:w="1134" w:type="dxa"/>
          </w:tcPr>
          <w:p w14:paraId="678F1D7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86ABEF0" w14:textId="1D2D30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22BF36D" w14:textId="6E2EE5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Infection of hardware</w:t>
            </w:r>
            <w:r w:rsidRPr="00251EA9">
              <w:rPr>
                <w:rFonts w:ascii="Arial" w:hAnsi="Arial" w:cs="Arial"/>
                <w:sz w:val="15"/>
                <w:szCs w:val="15"/>
              </w:rPr>
              <w:br/>
              <w:t>within 6 months of implantation surgery, requiring partial, or complete hardware removal, with a positive culture.</w:t>
            </w:r>
          </w:p>
        </w:tc>
        <w:tc>
          <w:tcPr>
            <w:tcW w:w="2693" w:type="dxa"/>
          </w:tcPr>
          <w:p w14:paraId="5B266859" w14:textId="1C2420F9" w:rsidR="006E5533" w:rsidRPr="00251EA9" w:rsidRDefault="006E5533" w:rsidP="006E5533">
            <w:pPr>
              <w:rPr>
                <w:rFonts w:ascii="Arial" w:hAnsi="Arial" w:cs="Arial"/>
                <w:sz w:val="15"/>
                <w:szCs w:val="15"/>
              </w:rPr>
            </w:pPr>
            <w:r w:rsidRPr="00251EA9">
              <w:rPr>
                <w:rFonts w:ascii="Arial" w:hAnsi="Arial" w:cs="Arial"/>
                <w:sz w:val="15"/>
                <w:szCs w:val="15"/>
              </w:rPr>
              <w:t>368 patients met inclusion criteria; 195 patients received topical VP (VP group) and 173 did not (control). There were 10</w:t>
            </w:r>
            <w:r w:rsidRPr="00251EA9">
              <w:rPr>
                <w:rFonts w:ascii="Arial" w:hAnsi="Arial" w:cs="Arial"/>
                <w:sz w:val="15"/>
                <w:szCs w:val="15"/>
              </w:rPr>
              <w:br/>
              <w:t>total cases of SSI: 4 patients from the VP group and 6 patients from the control group, resulting in SSI rates of 2.1 and 3.5%, respectively. Topical VP application did not</w:t>
            </w:r>
            <w:r w:rsidRPr="00251EA9">
              <w:rPr>
                <w:rFonts w:ascii="Arial" w:hAnsi="Arial" w:cs="Arial"/>
                <w:sz w:val="15"/>
                <w:szCs w:val="15"/>
              </w:rPr>
              <w:br/>
              <w:t xml:space="preserve">significantly </w:t>
            </w:r>
            <w:proofErr w:type="gramStart"/>
            <w:r w:rsidRPr="00251EA9">
              <w:rPr>
                <w:rFonts w:ascii="Arial" w:hAnsi="Arial" w:cs="Arial"/>
                <w:sz w:val="15"/>
                <w:szCs w:val="15"/>
              </w:rPr>
              <w:t>decrease</w:t>
            </w:r>
            <w:proofErr w:type="gramEnd"/>
            <w:r w:rsidRPr="00251EA9">
              <w:rPr>
                <w:rFonts w:ascii="Arial" w:hAnsi="Arial" w:cs="Arial"/>
                <w:sz w:val="15"/>
                <w:szCs w:val="15"/>
              </w:rPr>
              <w:t xml:space="preserve"> risk of SSI.</w:t>
            </w:r>
          </w:p>
        </w:tc>
        <w:tc>
          <w:tcPr>
            <w:tcW w:w="1701" w:type="dxa"/>
          </w:tcPr>
          <w:p w14:paraId="6B7E10AC" w14:textId="105450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E93DBBB" w14:textId="77777777" w:rsidTr="00A77951">
        <w:trPr>
          <w:trHeight w:val="586"/>
        </w:trPr>
        <w:tc>
          <w:tcPr>
            <w:tcW w:w="992" w:type="dxa"/>
          </w:tcPr>
          <w:p w14:paraId="70CA58B3" w14:textId="1D66D9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Korhonen T.K. et al., 2019</w:t>
            </w:r>
          </w:p>
        </w:tc>
        <w:tc>
          <w:tcPr>
            <w:tcW w:w="851" w:type="dxa"/>
          </w:tcPr>
          <w:p w14:paraId="7C53B839" w14:textId="20740252" w:rsidR="006E5533" w:rsidRPr="00A77951" w:rsidRDefault="006E5533" w:rsidP="006E5533">
            <w:pPr>
              <w:spacing w:line="360" w:lineRule="auto"/>
              <w:contextualSpacing/>
              <w:rPr>
                <w:rFonts w:ascii="Arial" w:hAnsi="Arial" w:cs="Arial"/>
                <w:sz w:val="15"/>
                <w:szCs w:val="15"/>
              </w:rPr>
            </w:pPr>
            <w:hyperlink r:id="rId238" w:history="1">
              <w:r w:rsidRPr="00A77951">
                <w:rPr>
                  <w:rStyle w:val="Hyperlink"/>
                  <w:rFonts w:ascii="Arial" w:hAnsi="Arial" w:cs="Arial"/>
                  <w:sz w:val="15"/>
                  <w:szCs w:val="15"/>
                </w:rPr>
                <w:t>10.3171/2017.</w:t>
              </w:r>
              <w:proofErr w:type="gramStart"/>
              <w:r w:rsidRPr="00A77951">
                <w:rPr>
                  <w:rStyle w:val="Hyperlink"/>
                  <w:rFonts w:ascii="Arial" w:hAnsi="Arial" w:cs="Arial"/>
                  <w:sz w:val="15"/>
                  <w:szCs w:val="15"/>
                </w:rPr>
                <w:t>12.JNS</w:t>
              </w:r>
              <w:proofErr w:type="gramEnd"/>
              <w:r w:rsidRPr="00A77951">
                <w:rPr>
                  <w:rStyle w:val="Hyperlink"/>
                  <w:rFonts w:ascii="Arial" w:hAnsi="Arial" w:cs="Arial"/>
                  <w:sz w:val="15"/>
                  <w:szCs w:val="15"/>
                </w:rPr>
                <w:t>172013</w:t>
              </w:r>
            </w:hyperlink>
          </w:p>
        </w:tc>
        <w:tc>
          <w:tcPr>
            <w:tcW w:w="851" w:type="dxa"/>
          </w:tcPr>
          <w:p w14:paraId="1DB9CD68" w14:textId="747BD72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FInland</w:t>
            </w:r>
            <w:proofErr w:type="spellEnd"/>
          </w:p>
        </w:tc>
        <w:tc>
          <w:tcPr>
            <w:tcW w:w="1134" w:type="dxa"/>
          </w:tcPr>
          <w:p w14:paraId="7C09C45A" w14:textId="705A90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DBEAC08" w14:textId="494FFB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6DA61C9" w14:textId="5BD964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(Craniectomy)</w:t>
            </w:r>
          </w:p>
        </w:tc>
        <w:tc>
          <w:tcPr>
            <w:tcW w:w="1843" w:type="dxa"/>
          </w:tcPr>
          <w:p w14:paraId="72E61C4E" w14:textId="4A2E4F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factors affecting the outcome of primary autologous cranioplasty, with special emphasis on bone flap resorption.</w:t>
            </w:r>
          </w:p>
        </w:tc>
        <w:tc>
          <w:tcPr>
            <w:tcW w:w="1134" w:type="dxa"/>
          </w:tcPr>
          <w:p w14:paraId="00D8D6B3"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9B135F8" w14:textId="46003F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E7033A0" w14:textId="3D9CA1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1795FDE" w14:textId="03E5F4BA" w:rsidR="006E5533" w:rsidRPr="00251EA9" w:rsidRDefault="006E5533" w:rsidP="006E5533">
            <w:pPr>
              <w:rPr>
                <w:rFonts w:ascii="Arial" w:hAnsi="Arial" w:cs="Arial"/>
                <w:sz w:val="15"/>
                <w:szCs w:val="15"/>
              </w:rPr>
            </w:pPr>
            <w:r w:rsidRPr="00251EA9">
              <w:rPr>
                <w:rFonts w:ascii="Arial" w:hAnsi="Arial" w:cs="Arial"/>
                <w:sz w:val="15"/>
                <w:szCs w:val="15"/>
              </w:rPr>
              <w:t>The rate of SSI was higher in smokers than non-smokers. Deep SSI occurred in 19 patients (9.2%</w:t>
            </w:r>
            <w:proofErr w:type="gramStart"/>
            <w:r w:rsidRPr="00251EA9">
              <w:rPr>
                <w:rFonts w:ascii="Arial" w:hAnsi="Arial" w:cs="Arial"/>
                <w:sz w:val="15"/>
                <w:szCs w:val="15"/>
              </w:rPr>
              <w:t>),</w:t>
            </w:r>
            <w:proofErr w:type="gramEnd"/>
            <w:r w:rsidRPr="00251EA9">
              <w:rPr>
                <w:rFonts w:ascii="Arial" w:hAnsi="Arial" w:cs="Arial"/>
                <w:sz w:val="15"/>
                <w:szCs w:val="15"/>
              </w:rPr>
              <w:t xml:space="preserve"> superficial SSI was reported in 2 patients (1%).</w:t>
            </w:r>
          </w:p>
        </w:tc>
        <w:tc>
          <w:tcPr>
            <w:tcW w:w="1701" w:type="dxa"/>
          </w:tcPr>
          <w:p w14:paraId="585FCEF8" w14:textId="5D5A6F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8500D85" w14:textId="77777777" w:rsidTr="00A77951">
        <w:trPr>
          <w:trHeight w:val="586"/>
        </w:trPr>
        <w:tc>
          <w:tcPr>
            <w:tcW w:w="992" w:type="dxa"/>
          </w:tcPr>
          <w:p w14:paraId="3B1BA26F" w14:textId="5CABC1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Korinek A.M. et al., 2005</w:t>
            </w:r>
          </w:p>
        </w:tc>
        <w:tc>
          <w:tcPr>
            <w:tcW w:w="851" w:type="dxa"/>
          </w:tcPr>
          <w:p w14:paraId="58E73841" w14:textId="1D89D324" w:rsidR="006E5533" w:rsidRPr="00A77951" w:rsidRDefault="006E5533" w:rsidP="006E5533">
            <w:pPr>
              <w:spacing w:line="360" w:lineRule="auto"/>
              <w:contextualSpacing/>
              <w:rPr>
                <w:rFonts w:ascii="Arial" w:hAnsi="Arial" w:cs="Arial"/>
                <w:sz w:val="15"/>
                <w:szCs w:val="15"/>
              </w:rPr>
            </w:pPr>
            <w:hyperlink r:id="rId239" w:history="1">
              <w:r w:rsidRPr="00A77951">
                <w:rPr>
                  <w:rStyle w:val="Hyperlink"/>
                  <w:rFonts w:ascii="Arial" w:hAnsi="Arial" w:cs="Arial"/>
                  <w:sz w:val="15"/>
                  <w:szCs w:val="15"/>
                </w:rPr>
                <w:t>10.1080/02688690500145639</w:t>
              </w:r>
            </w:hyperlink>
          </w:p>
        </w:tc>
        <w:tc>
          <w:tcPr>
            <w:tcW w:w="851" w:type="dxa"/>
          </w:tcPr>
          <w:p w14:paraId="2E3354D1" w14:textId="49C72B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02499D43" w14:textId="124A01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D22C3D1" w14:textId="5B1A3C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9BF16C7" w14:textId="46AE81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52D97F59" w14:textId="19A506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incidence and risk factors of postoperative infections, with emphasis on antibiotic</w:t>
            </w:r>
            <w:r w:rsidRPr="00251EA9">
              <w:rPr>
                <w:rFonts w:ascii="Arial" w:hAnsi="Arial" w:cs="Arial"/>
                <w:sz w:val="15"/>
                <w:szCs w:val="15"/>
              </w:rPr>
              <w:br/>
              <w:t>prophylaxis, in a series of 4578 craniotomies.</w:t>
            </w:r>
          </w:p>
        </w:tc>
        <w:tc>
          <w:tcPr>
            <w:tcW w:w="1134" w:type="dxa"/>
          </w:tcPr>
          <w:p w14:paraId="7CF755D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7A60C00" w14:textId="62F99C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8273AA2" w14:textId="0A7249BF" w:rsidR="006E5533" w:rsidRPr="00251EA9" w:rsidRDefault="003C282B" w:rsidP="006E5533">
            <w:pPr>
              <w:spacing w:line="360" w:lineRule="auto"/>
              <w:contextualSpacing/>
              <w:rPr>
                <w:rFonts w:ascii="Arial" w:hAnsi="Arial" w:cs="Arial"/>
                <w:sz w:val="15"/>
                <w:szCs w:val="15"/>
              </w:rPr>
            </w:pPr>
            <w:r>
              <w:rPr>
                <w:rFonts w:ascii="Arial" w:hAnsi="Arial" w:cs="Arial"/>
                <w:color w:val="000000" w:themeColor="text1"/>
                <w:sz w:val="15"/>
                <w:szCs w:val="15"/>
              </w:rPr>
              <w:t>CDC guidelines</w:t>
            </w:r>
            <w:r w:rsidR="006E5533" w:rsidRPr="00251EA9">
              <w:rPr>
                <w:rFonts w:ascii="Arial" w:hAnsi="Arial" w:cs="Arial"/>
                <w:sz w:val="15"/>
                <w:szCs w:val="15"/>
              </w:rPr>
              <w:t xml:space="preserve"> </w:t>
            </w:r>
          </w:p>
        </w:tc>
        <w:tc>
          <w:tcPr>
            <w:tcW w:w="2693" w:type="dxa"/>
          </w:tcPr>
          <w:p w14:paraId="14014281" w14:textId="177659D9" w:rsidR="006E5533" w:rsidRPr="00251EA9" w:rsidRDefault="006E5533" w:rsidP="006E5533">
            <w:pPr>
              <w:rPr>
                <w:rFonts w:ascii="Arial" w:hAnsi="Arial" w:cs="Arial"/>
                <w:sz w:val="15"/>
                <w:szCs w:val="15"/>
              </w:rPr>
            </w:pPr>
            <w:r w:rsidRPr="00251EA9">
              <w:rPr>
                <w:rFonts w:ascii="Arial" w:hAnsi="Arial" w:cs="Arial"/>
                <w:sz w:val="15"/>
                <w:szCs w:val="15"/>
              </w:rPr>
              <w:t>The overall infection rate was 6.6%. Antibiotic prophylaxis decreased infection rate from 9.7% down to 5.8% in the entire population.</w:t>
            </w:r>
          </w:p>
        </w:tc>
        <w:tc>
          <w:tcPr>
            <w:tcW w:w="1701" w:type="dxa"/>
          </w:tcPr>
          <w:p w14:paraId="0F6106D7" w14:textId="670EB7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3DCA597" w14:textId="77777777" w:rsidTr="00A77951">
        <w:trPr>
          <w:trHeight w:val="586"/>
        </w:trPr>
        <w:tc>
          <w:tcPr>
            <w:tcW w:w="992" w:type="dxa"/>
          </w:tcPr>
          <w:p w14:paraId="6D1B592C" w14:textId="70D164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Korinek A.M. et al., 2006</w:t>
            </w:r>
          </w:p>
        </w:tc>
        <w:tc>
          <w:tcPr>
            <w:tcW w:w="851" w:type="dxa"/>
          </w:tcPr>
          <w:p w14:paraId="1A127F1D" w14:textId="4B75CD44" w:rsidR="006E5533" w:rsidRPr="00A77951" w:rsidRDefault="006E5533" w:rsidP="006E5533">
            <w:pPr>
              <w:spacing w:line="360" w:lineRule="auto"/>
              <w:contextualSpacing/>
              <w:rPr>
                <w:rFonts w:ascii="Arial" w:hAnsi="Arial" w:cs="Arial"/>
                <w:sz w:val="15"/>
                <w:szCs w:val="15"/>
              </w:rPr>
            </w:pPr>
            <w:hyperlink r:id="rId240" w:history="1">
              <w:r w:rsidRPr="00A77951">
                <w:rPr>
                  <w:rStyle w:val="Hyperlink"/>
                  <w:rFonts w:ascii="Arial" w:hAnsi="Arial" w:cs="Arial"/>
                  <w:sz w:val="15"/>
                  <w:szCs w:val="15"/>
                </w:rPr>
                <w:t>10.1227/01.neu.</w:t>
              </w:r>
              <w:proofErr w:type="gramStart"/>
              <w:r w:rsidRPr="00A77951">
                <w:rPr>
                  <w:rStyle w:val="Hyperlink"/>
                  <w:rFonts w:ascii="Arial" w:hAnsi="Arial" w:cs="Arial"/>
                  <w:sz w:val="15"/>
                  <w:szCs w:val="15"/>
                </w:rPr>
                <w:t>0000316256.44349.b</w:t>
              </w:r>
              <w:proofErr w:type="gramEnd"/>
              <w:r w:rsidRPr="00A77951">
                <w:rPr>
                  <w:rStyle w:val="Hyperlink"/>
                  <w:rFonts w:ascii="Arial" w:hAnsi="Arial" w:cs="Arial"/>
                  <w:sz w:val="15"/>
                  <w:szCs w:val="15"/>
                </w:rPr>
                <w:t>1</w:t>
              </w:r>
            </w:hyperlink>
          </w:p>
        </w:tc>
        <w:tc>
          <w:tcPr>
            <w:tcW w:w="851" w:type="dxa"/>
          </w:tcPr>
          <w:p w14:paraId="4D38CFD0" w14:textId="53FBF7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17894EE2" w14:textId="3FF76D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9A3F24C" w14:textId="38A44D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192F7F1" w14:textId="2B0BD4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2E3ECA71" w14:textId="3C1FD2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incidence and risk factors of postoperative meningitis, with emphasis on antibiotic </w:t>
            </w:r>
            <w:r w:rsidRPr="00251EA9">
              <w:rPr>
                <w:rFonts w:ascii="Arial" w:hAnsi="Arial" w:cs="Arial"/>
                <w:sz w:val="15"/>
                <w:szCs w:val="15"/>
              </w:rPr>
              <w:lastRenderedPageBreak/>
              <w:t>prophylaxis, in a series of 6243 consecutive craniotomies.</w:t>
            </w:r>
          </w:p>
        </w:tc>
        <w:tc>
          <w:tcPr>
            <w:tcW w:w="1134" w:type="dxa"/>
          </w:tcPr>
          <w:p w14:paraId="39E92E7D" w14:textId="2BD3705F" w:rsidR="006E5533" w:rsidRPr="00251EA9" w:rsidRDefault="006E5533" w:rsidP="006E5533">
            <w:pPr>
              <w:spacing w:line="360" w:lineRule="auto"/>
              <w:contextualSpacing/>
              <w:rPr>
                <w:rFonts w:ascii="Arial" w:hAnsi="Arial" w:cs="Arial"/>
                <w:sz w:val="15"/>
                <w:szCs w:val="15"/>
              </w:rPr>
            </w:pPr>
          </w:p>
        </w:tc>
        <w:tc>
          <w:tcPr>
            <w:tcW w:w="992" w:type="dxa"/>
          </w:tcPr>
          <w:p w14:paraId="41A9384B" w14:textId="0AFF66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3E168A5" w14:textId="79E20A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9783BC9" w14:textId="3F5099FB" w:rsidR="006E5533" w:rsidRPr="00251EA9" w:rsidRDefault="006E5533" w:rsidP="006E5533">
            <w:pPr>
              <w:rPr>
                <w:rFonts w:ascii="Arial" w:hAnsi="Arial" w:cs="Arial"/>
                <w:sz w:val="15"/>
                <w:szCs w:val="15"/>
              </w:rPr>
            </w:pPr>
            <w:r w:rsidRPr="00251EA9">
              <w:rPr>
                <w:rFonts w:ascii="Arial" w:hAnsi="Arial" w:cs="Arial"/>
                <w:sz w:val="15"/>
                <w:szCs w:val="15"/>
              </w:rPr>
              <w:t>The overall meningitis rate was 1.52%. Antibiotic prophylaxis reduced incision infections from 8.8% down to 4.6% but did not prevent meningitis.</w:t>
            </w:r>
          </w:p>
        </w:tc>
        <w:tc>
          <w:tcPr>
            <w:tcW w:w="1701" w:type="dxa"/>
          </w:tcPr>
          <w:p w14:paraId="249A708D" w14:textId="594CC8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453470A" w14:textId="77777777" w:rsidTr="00A77951">
        <w:trPr>
          <w:trHeight w:val="586"/>
        </w:trPr>
        <w:tc>
          <w:tcPr>
            <w:tcW w:w="992" w:type="dxa"/>
          </w:tcPr>
          <w:p w14:paraId="448D21C1" w14:textId="305DC7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Kose G. et al., 2015</w:t>
            </w:r>
          </w:p>
        </w:tc>
        <w:tc>
          <w:tcPr>
            <w:tcW w:w="851" w:type="dxa"/>
          </w:tcPr>
          <w:p w14:paraId="595DB71D" w14:textId="01508498" w:rsidR="006E5533" w:rsidRPr="00A77951" w:rsidRDefault="006E5533" w:rsidP="006E5533">
            <w:pPr>
              <w:spacing w:line="360" w:lineRule="auto"/>
              <w:contextualSpacing/>
              <w:rPr>
                <w:rFonts w:ascii="Arial" w:hAnsi="Arial" w:cs="Arial"/>
                <w:sz w:val="15"/>
                <w:szCs w:val="15"/>
              </w:rPr>
            </w:pPr>
            <w:hyperlink r:id="rId241" w:history="1">
              <w:r w:rsidRPr="00A77951">
                <w:rPr>
                  <w:rStyle w:val="Hyperlink"/>
                  <w:rFonts w:ascii="Arial" w:hAnsi="Arial" w:cs="Arial"/>
                  <w:sz w:val="15"/>
                  <w:szCs w:val="15"/>
                </w:rPr>
                <w:t>10.1111/jocn.13149</w:t>
              </w:r>
            </w:hyperlink>
          </w:p>
        </w:tc>
        <w:tc>
          <w:tcPr>
            <w:tcW w:w="851" w:type="dxa"/>
          </w:tcPr>
          <w:p w14:paraId="7554C6EC" w14:textId="144859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Turkey</w:t>
            </w:r>
          </w:p>
        </w:tc>
        <w:tc>
          <w:tcPr>
            <w:tcW w:w="1134" w:type="dxa"/>
          </w:tcPr>
          <w:p w14:paraId="50603575" w14:textId="22B8C3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control</w:t>
            </w:r>
          </w:p>
        </w:tc>
        <w:tc>
          <w:tcPr>
            <w:tcW w:w="992" w:type="dxa"/>
          </w:tcPr>
          <w:p w14:paraId="15EFAEBC" w14:textId="0EB26F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70F24FC" w14:textId="218C2C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0B0AA45A" w14:textId="2CC6D2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effects of different types of shaving on body image and surgical site infection in elective cranial surgery.</w:t>
            </w:r>
          </w:p>
        </w:tc>
        <w:tc>
          <w:tcPr>
            <w:tcW w:w="1134" w:type="dxa"/>
          </w:tcPr>
          <w:p w14:paraId="324FCB24" w14:textId="6280EF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Strip shaving (2cm strip) vs regional shaving (5cm strip).</w:t>
            </w:r>
          </w:p>
        </w:tc>
        <w:tc>
          <w:tcPr>
            <w:tcW w:w="992" w:type="dxa"/>
          </w:tcPr>
          <w:p w14:paraId="3A30F1A1" w14:textId="635D0E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2B28742" w14:textId="1DFCFB3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Centre for Disease Control and Prevention Guidelines/ National Healthcare Safety Network Surveillance </w:t>
            </w:r>
            <w:r w:rsidR="005242B5">
              <w:rPr>
                <w:rFonts w:ascii="Arial" w:hAnsi="Arial" w:cs="Arial"/>
                <w:sz w:val="15"/>
                <w:szCs w:val="15"/>
              </w:rPr>
              <w:t>D</w:t>
            </w:r>
            <w:r w:rsidRPr="00251EA9">
              <w:rPr>
                <w:rFonts w:ascii="Arial" w:hAnsi="Arial" w:cs="Arial"/>
                <w:sz w:val="15"/>
                <w:szCs w:val="15"/>
              </w:rPr>
              <w:t>efinitions</w:t>
            </w:r>
          </w:p>
        </w:tc>
        <w:tc>
          <w:tcPr>
            <w:tcW w:w="2693" w:type="dxa"/>
          </w:tcPr>
          <w:p w14:paraId="15FB9352" w14:textId="331B27CE" w:rsidR="006E5533" w:rsidRPr="00251EA9" w:rsidRDefault="006E5533" w:rsidP="006E5533">
            <w:pPr>
              <w:rPr>
                <w:rFonts w:ascii="Arial" w:hAnsi="Arial" w:cs="Arial"/>
                <w:sz w:val="15"/>
                <w:szCs w:val="15"/>
              </w:rPr>
            </w:pPr>
            <w:r w:rsidRPr="00251EA9">
              <w:rPr>
                <w:rFonts w:ascii="Arial" w:hAnsi="Arial" w:cs="Arial"/>
                <w:sz w:val="15"/>
                <w:szCs w:val="15"/>
              </w:rPr>
              <w:t xml:space="preserve">Rate of SSI was 1% for each group and for all the patients. No difference between groups for rates of SSI. </w:t>
            </w:r>
          </w:p>
        </w:tc>
        <w:tc>
          <w:tcPr>
            <w:tcW w:w="1701" w:type="dxa"/>
          </w:tcPr>
          <w:p w14:paraId="6F4F67F0" w14:textId="3C0ADA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7FDE32A" w14:textId="77777777" w:rsidTr="00A77951">
        <w:trPr>
          <w:trHeight w:val="586"/>
        </w:trPr>
        <w:tc>
          <w:tcPr>
            <w:tcW w:w="992" w:type="dxa"/>
          </w:tcPr>
          <w:p w14:paraId="3DDBE646" w14:textId="5F40EE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Koskinen L.D. et al., 2013</w:t>
            </w:r>
          </w:p>
        </w:tc>
        <w:tc>
          <w:tcPr>
            <w:tcW w:w="851" w:type="dxa"/>
          </w:tcPr>
          <w:p w14:paraId="640E0FAC" w14:textId="08FB7B5C" w:rsidR="006E5533" w:rsidRPr="00A77951" w:rsidRDefault="006E5533" w:rsidP="006E5533">
            <w:pPr>
              <w:spacing w:line="360" w:lineRule="auto"/>
              <w:contextualSpacing/>
              <w:rPr>
                <w:rFonts w:ascii="Arial" w:hAnsi="Arial" w:cs="Arial"/>
                <w:sz w:val="15"/>
                <w:szCs w:val="15"/>
              </w:rPr>
            </w:pPr>
            <w:hyperlink r:id="rId242" w:history="1">
              <w:r w:rsidRPr="00A77951">
                <w:rPr>
                  <w:rStyle w:val="Hyperlink"/>
                  <w:rFonts w:ascii="Arial" w:hAnsi="Arial" w:cs="Arial"/>
                  <w:sz w:val="15"/>
                  <w:szCs w:val="15"/>
                </w:rPr>
                <w:t>10.1007/s00701-013-1856-0</w:t>
              </w:r>
            </w:hyperlink>
          </w:p>
        </w:tc>
        <w:tc>
          <w:tcPr>
            <w:tcW w:w="851" w:type="dxa"/>
          </w:tcPr>
          <w:p w14:paraId="381DF1C8" w14:textId="64BA3E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Sweden</w:t>
            </w:r>
          </w:p>
        </w:tc>
        <w:tc>
          <w:tcPr>
            <w:tcW w:w="1134" w:type="dxa"/>
          </w:tcPr>
          <w:p w14:paraId="6FD16423" w14:textId="6C9A1C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EFB94CA" w14:textId="60BB3F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487EFD0" w14:textId="13B38A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(ICP device insertion)</w:t>
            </w:r>
          </w:p>
        </w:tc>
        <w:tc>
          <w:tcPr>
            <w:tcW w:w="1843" w:type="dxa"/>
          </w:tcPr>
          <w:p w14:paraId="0E07BDA8" w14:textId="493111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study complications and the insertion depth of the CMS (Codman </w:t>
            </w:r>
            <w:proofErr w:type="spellStart"/>
            <w:r w:rsidRPr="00251EA9">
              <w:rPr>
                <w:rFonts w:ascii="Arial" w:hAnsi="Arial" w:cs="Arial"/>
                <w:sz w:val="15"/>
                <w:szCs w:val="15"/>
              </w:rPr>
              <w:t>MicroSensor</w:t>
            </w:r>
            <w:proofErr w:type="spellEnd"/>
            <w:r w:rsidRPr="00251EA9">
              <w:rPr>
                <w:rFonts w:ascii="Arial" w:hAnsi="Arial" w:cs="Arial"/>
                <w:sz w:val="15"/>
                <w:szCs w:val="15"/>
              </w:rPr>
              <w:t>) in a clinical setting.</w:t>
            </w:r>
          </w:p>
        </w:tc>
        <w:tc>
          <w:tcPr>
            <w:tcW w:w="1134" w:type="dxa"/>
          </w:tcPr>
          <w:p w14:paraId="5A038742" w14:textId="7A856C8B" w:rsidR="006E5533" w:rsidRPr="00251EA9" w:rsidRDefault="006E5533" w:rsidP="006E5533">
            <w:pPr>
              <w:spacing w:line="360" w:lineRule="auto"/>
              <w:contextualSpacing/>
              <w:rPr>
                <w:rFonts w:ascii="Arial" w:hAnsi="Arial" w:cs="Arial"/>
                <w:sz w:val="15"/>
                <w:szCs w:val="15"/>
              </w:rPr>
            </w:pPr>
          </w:p>
        </w:tc>
        <w:tc>
          <w:tcPr>
            <w:tcW w:w="992" w:type="dxa"/>
          </w:tcPr>
          <w:p w14:paraId="5468D5C7" w14:textId="41E926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4DE1539" w14:textId="5AD66FC7"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 xml:space="preserve">Need of treatment with antibiotics. </w:t>
            </w:r>
          </w:p>
        </w:tc>
        <w:tc>
          <w:tcPr>
            <w:tcW w:w="2693" w:type="dxa"/>
          </w:tcPr>
          <w:p w14:paraId="66E1150E" w14:textId="46C01B1B" w:rsidR="006E5533" w:rsidRPr="00251EA9" w:rsidRDefault="006E5533" w:rsidP="006E5533">
            <w:pPr>
              <w:rPr>
                <w:rFonts w:ascii="Arial" w:hAnsi="Arial" w:cs="Arial"/>
                <w:sz w:val="15"/>
                <w:szCs w:val="15"/>
              </w:rPr>
            </w:pPr>
            <w:r w:rsidRPr="00251EA9">
              <w:rPr>
                <w:rFonts w:ascii="Arial" w:hAnsi="Arial" w:cs="Arial"/>
                <w:sz w:val="15"/>
                <w:szCs w:val="15"/>
              </w:rPr>
              <w:t>The infection rate was 0.6% and the calculated infection rate per 1,000 catheter days was 0.8. In only one of</w:t>
            </w:r>
            <w:r w:rsidRPr="00251EA9">
              <w:rPr>
                <w:rFonts w:ascii="Arial" w:hAnsi="Arial" w:cs="Arial"/>
                <w:sz w:val="15"/>
                <w:szCs w:val="15"/>
              </w:rPr>
              <w:br/>
              <w:t xml:space="preserve">these three patients, a severe infection resulting in an abscess was noted. </w:t>
            </w:r>
          </w:p>
        </w:tc>
        <w:tc>
          <w:tcPr>
            <w:tcW w:w="1701" w:type="dxa"/>
          </w:tcPr>
          <w:p w14:paraId="63F1A2C2" w14:textId="754DB5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FD1F35F" w14:textId="77777777" w:rsidTr="00A77951">
        <w:trPr>
          <w:trHeight w:val="586"/>
        </w:trPr>
        <w:tc>
          <w:tcPr>
            <w:tcW w:w="992" w:type="dxa"/>
          </w:tcPr>
          <w:p w14:paraId="171C445B" w14:textId="132685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Kothari S.N. et al., 2017</w:t>
            </w:r>
          </w:p>
        </w:tc>
        <w:tc>
          <w:tcPr>
            <w:tcW w:w="851" w:type="dxa"/>
          </w:tcPr>
          <w:p w14:paraId="5600DD2F" w14:textId="32B83E7B"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10.1016/j.jamcollsurg.2017.07.574</w:t>
            </w:r>
          </w:p>
        </w:tc>
        <w:tc>
          <w:tcPr>
            <w:tcW w:w="851" w:type="dxa"/>
          </w:tcPr>
          <w:p w14:paraId="3277262F" w14:textId="69B401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000ABB9" w14:textId="03FBBF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54C89918" w14:textId="267A3F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EA61319" w14:textId="325FD5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343776B5" w14:textId="676595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influence of surgical cap choice on SSIs.</w:t>
            </w:r>
          </w:p>
        </w:tc>
        <w:tc>
          <w:tcPr>
            <w:tcW w:w="1134" w:type="dxa"/>
          </w:tcPr>
          <w:p w14:paraId="4ED1C250" w14:textId="3F35A8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Bouffant cap vs skull cap</w:t>
            </w:r>
          </w:p>
        </w:tc>
        <w:tc>
          <w:tcPr>
            <w:tcW w:w="992" w:type="dxa"/>
          </w:tcPr>
          <w:p w14:paraId="6018589E" w14:textId="45E3E7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10C9245" w14:textId="54A235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A5437FB" w14:textId="707442A2" w:rsidR="006E5533" w:rsidRPr="00251EA9" w:rsidRDefault="006E5533" w:rsidP="006E5533">
            <w:pPr>
              <w:rPr>
                <w:rFonts w:ascii="Arial" w:hAnsi="Arial" w:cs="Arial"/>
                <w:sz w:val="15"/>
                <w:szCs w:val="15"/>
              </w:rPr>
            </w:pPr>
            <w:r w:rsidRPr="00251EA9">
              <w:rPr>
                <w:rFonts w:ascii="Arial" w:hAnsi="Arial" w:cs="Arial"/>
                <w:sz w:val="15"/>
                <w:szCs w:val="15"/>
              </w:rPr>
              <w:t>SSI was observed in 96 (6.2%) patients; 8.1% in the bouffant group and 5% in the skullcap group.</w:t>
            </w:r>
          </w:p>
        </w:tc>
        <w:tc>
          <w:tcPr>
            <w:tcW w:w="1701" w:type="dxa"/>
          </w:tcPr>
          <w:p w14:paraId="0BF48D00" w14:textId="5AD2AE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77717FF" w14:textId="77777777" w:rsidTr="00A77951">
        <w:trPr>
          <w:trHeight w:val="586"/>
        </w:trPr>
        <w:tc>
          <w:tcPr>
            <w:tcW w:w="992" w:type="dxa"/>
          </w:tcPr>
          <w:p w14:paraId="286A6873" w14:textId="17909E7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Kourbeti</w:t>
            </w:r>
            <w:proofErr w:type="spellEnd"/>
            <w:r w:rsidRPr="00251EA9">
              <w:rPr>
                <w:rFonts w:ascii="Arial" w:hAnsi="Arial" w:cs="Arial"/>
                <w:sz w:val="15"/>
                <w:szCs w:val="15"/>
              </w:rPr>
              <w:t xml:space="preserve"> I. et </w:t>
            </w:r>
            <w:proofErr w:type="spellStart"/>
            <w:r w:rsidRPr="00251EA9">
              <w:rPr>
                <w:rFonts w:ascii="Arial" w:hAnsi="Arial" w:cs="Arial"/>
                <w:sz w:val="15"/>
                <w:szCs w:val="15"/>
              </w:rPr>
              <w:t>a.l</w:t>
            </w:r>
            <w:proofErr w:type="spellEnd"/>
            <w:r w:rsidRPr="00251EA9">
              <w:rPr>
                <w:rFonts w:ascii="Arial" w:hAnsi="Arial" w:cs="Arial"/>
                <w:sz w:val="15"/>
                <w:szCs w:val="15"/>
              </w:rPr>
              <w:t>, 2012</w:t>
            </w:r>
          </w:p>
        </w:tc>
        <w:tc>
          <w:tcPr>
            <w:tcW w:w="851" w:type="dxa"/>
          </w:tcPr>
          <w:p w14:paraId="73EFA678" w14:textId="6141D3A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10.1111/j.1469-0691.</w:t>
            </w:r>
            <w:proofErr w:type="gramStart"/>
            <w:r w:rsidRPr="00A77951">
              <w:rPr>
                <w:rFonts w:ascii="Arial" w:hAnsi="Arial" w:cs="Arial"/>
                <w:sz w:val="15"/>
                <w:szCs w:val="15"/>
              </w:rPr>
              <w:t>2011.03625.x</w:t>
            </w:r>
            <w:proofErr w:type="gramEnd"/>
          </w:p>
        </w:tc>
        <w:tc>
          <w:tcPr>
            <w:tcW w:w="851" w:type="dxa"/>
          </w:tcPr>
          <w:p w14:paraId="1535D215" w14:textId="29761E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Greece</w:t>
            </w:r>
          </w:p>
        </w:tc>
        <w:tc>
          <w:tcPr>
            <w:tcW w:w="1134" w:type="dxa"/>
          </w:tcPr>
          <w:p w14:paraId="4CC91BFC" w14:textId="43EEF2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A4380C4" w14:textId="4DAEA4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AAFC075" w14:textId="5429E1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3773FDD" w14:textId="1787B7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further define the risk factors and microbiology of infections in this population.</w:t>
            </w:r>
          </w:p>
        </w:tc>
        <w:tc>
          <w:tcPr>
            <w:tcW w:w="1134" w:type="dxa"/>
          </w:tcPr>
          <w:p w14:paraId="40D9E8B0" w14:textId="655444F6" w:rsidR="006E5533" w:rsidRPr="00251EA9" w:rsidRDefault="006E5533" w:rsidP="006E5533">
            <w:pPr>
              <w:spacing w:line="360" w:lineRule="auto"/>
              <w:contextualSpacing/>
              <w:rPr>
                <w:rFonts w:ascii="Arial" w:hAnsi="Arial" w:cs="Arial"/>
                <w:sz w:val="15"/>
                <w:szCs w:val="15"/>
              </w:rPr>
            </w:pPr>
          </w:p>
        </w:tc>
        <w:tc>
          <w:tcPr>
            <w:tcW w:w="992" w:type="dxa"/>
          </w:tcPr>
          <w:p w14:paraId="02C074E5" w14:textId="3DB262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C511736" w14:textId="611F57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DF437EE" w14:textId="0DA329CC" w:rsidR="006E5533" w:rsidRPr="00251EA9" w:rsidRDefault="006E5533" w:rsidP="006E5533">
            <w:pPr>
              <w:rPr>
                <w:rFonts w:ascii="Arial" w:hAnsi="Arial" w:cs="Arial"/>
                <w:sz w:val="15"/>
                <w:szCs w:val="15"/>
              </w:rPr>
            </w:pPr>
            <w:r w:rsidRPr="00251EA9">
              <w:rPr>
                <w:rFonts w:ascii="Arial" w:hAnsi="Arial" w:cs="Arial"/>
                <w:sz w:val="15"/>
                <w:szCs w:val="15"/>
              </w:rPr>
              <w:t xml:space="preserve">The most common SSI was wound infection (2.2%), followed by meningitis/ ventriculitis (2.0%). However, shunt infections (0.8%), bone flap/ osteomyelitis or </w:t>
            </w:r>
            <w:proofErr w:type="spellStart"/>
            <w:r w:rsidRPr="00251EA9">
              <w:rPr>
                <w:rFonts w:ascii="Arial" w:hAnsi="Arial" w:cs="Arial"/>
                <w:sz w:val="15"/>
                <w:szCs w:val="15"/>
              </w:rPr>
              <w:t>Palacos</w:t>
            </w:r>
            <w:proofErr w:type="spellEnd"/>
            <w:r w:rsidRPr="00251EA9">
              <w:rPr>
                <w:rFonts w:ascii="Arial" w:hAnsi="Arial" w:cs="Arial"/>
                <w:sz w:val="15"/>
                <w:szCs w:val="15"/>
              </w:rPr>
              <w:t xml:space="preserve"> infections (0.4%), abscesses (0.1%) and epidural empyema (0.2%) were extremely rare. </w:t>
            </w:r>
          </w:p>
        </w:tc>
        <w:tc>
          <w:tcPr>
            <w:tcW w:w="1701" w:type="dxa"/>
          </w:tcPr>
          <w:p w14:paraId="5D12709D" w14:textId="2A706C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5B5309D" w14:textId="77777777" w:rsidTr="00A77951">
        <w:trPr>
          <w:trHeight w:val="586"/>
        </w:trPr>
        <w:tc>
          <w:tcPr>
            <w:tcW w:w="992" w:type="dxa"/>
          </w:tcPr>
          <w:p w14:paraId="0F5D9B8C" w14:textId="01905B5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Kourbeti</w:t>
            </w:r>
            <w:proofErr w:type="spellEnd"/>
            <w:r w:rsidRPr="00251EA9">
              <w:rPr>
                <w:rFonts w:ascii="Arial" w:hAnsi="Arial" w:cs="Arial"/>
                <w:sz w:val="15"/>
                <w:szCs w:val="15"/>
              </w:rPr>
              <w:t xml:space="preserve"> I. et al., 2015</w:t>
            </w:r>
          </w:p>
        </w:tc>
        <w:tc>
          <w:tcPr>
            <w:tcW w:w="851" w:type="dxa"/>
          </w:tcPr>
          <w:p w14:paraId="59CE123D" w14:textId="3561A37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10.3171/2014.</w:t>
            </w:r>
            <w:proofErr w:type="gramStart"/>
            <w:r w:rsidRPr="00A77951">
              <w:rPr>
                <w:rFonts w:ascii="Arial" w:hAnsi="Arial" w:cs="Arial"/>
                <w:sz w:val="15"/>
                <w:szCs w:val="15"/>
              </w:rPr>
              <w:t>8.JNS</w:t>
            </w:r>
            <w:proofErr w:type="gramEnd"/>
            <w:r w:rsidRPr="00A77951">
              <w:rPr>
                <w:rFonts w:ascii="Arial" w:hAnsi="Arial" w:cs="Arial"/>
                <w:sz w:val="15"/>
                <w:szCs w:val="15"/>
              </w:rPr>
              <w:t>132557</w:t>
            </w:r>
          </w:p>
        </w:tc>
        <w:tc>
          <w:tcPr>
            <w:tcW w:w="851" w:type="dxa"/>
          </w:tcPr>
          <w:p w14:paraId="15251145" w14:textId="5D6AF6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Greece</w:t>
            </w:r>
          </w:p>
        </w:tc>
        <w:tc>
          <w:tcPr>
            <w:tcW w:w="1134" w:type="dxa"/>
          </w:tcPr>
          <w:p w14:paraId="4A143B83" w14:textId="0A2D89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053BFA51" w14:textId="275B09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8FEB437" w14:textId="089CAD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E548411" w14:textId="211A1E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define the prevalence and microbiological characteristics of infections in patients undergoing craniotomy and to clarify the risk factors for post-craniotomy meningitis.</w:t>
            </w:r>
          </w:p>
        </w:tc>
        <w:tc>
          <w:tcPr>
            <w:tcW w:w="1134" w:type="dxa"/>
          </w:tcPr>
          <w:p w14:paraId="5B5B2ABC" w14:textId="0214D92F" w:rsidR="006E5533" w:rsidRPr="00251EA9" w:rsidRDefault="006E5533" w:rsidP="006E5533">
            <w:pPr>
              <w:spacing w:line="360" w:lineRule="auto"/>
              <w:contextualSpacing/>
              <w:rPr>
                <w:rFonts w:ascii="Arial" w:hAnsi="Arial" w:cs="Arial"/>
                <w:sz w:val="15"/>
                <w:szCs w:val="15"/>
              </w:rPr>
            </w:pPr>
          </w:p>
        </w:tc>
        <w:tc>
          <w:tcPr>
            <w:tcW w:w="992" w:type="dxa"/>
          </w:tcPr>
          <w:p w14:paraId="53834EBB" w14:textId="4C4F02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F702D01" w14:textId="4ADA1F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D7B6DBC" w14:textId="11B6403F" w:rsidR="006E5533" w:rsidRPr="00251EA9" w:rsidRDefault="006E5533" w:rsidP="006E5533">
            <w:pPr>
              <w:rPr>
                <w:rFonts w:ascii="Arial" w:hAnsi="Arial" w:cs="Arial"/>
                <w:sz w:val="15"/>
                <w:szCs w:val="15"/>
              </w:rPr>
            </w:pPr>
            <w:r w:rsidRPr="00251EA9">
              <w:rPr>
                <w:rFonts w:ascii="Arial" w:hAnsi="Arial" w:cs="Arial"/>
                <w:sz w:val="15"/>
                <w:szCs w:val="15"/>
              </w:rPr>
              <w:t xml:space="preserve">SSIs developed after 9% of the procedures. </w:t>
            </w:r>
          </w:p>
        </w:tc>
        <w:tc>
          <w:tcPr>
            <w:tcW w:w="1701" w:type="dxa"/>
          </w:tcPr>
          <w:p w14:paraId="432D8E34" w14:textId="74796B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No </w:t>
            </w:r>
          </w:p>
        </w:tc>
      </w:tr>
      <w:tr w:rsidR="006E5533" w:rsidRPr="00251EA9" w14:paraId="4D3B07C9" w14:textId="77777777" w:rsidTr="00A77951">
        <w:trPr>
          <w:trHeight w:val="586"/>
        </w:trPr>
        <w:tc>
          <w:tcPr>
            <w:tcW w:w="992" w:type="dxa"/>
          </w:tcPr>
          <w:p w14:paraId="4A842AEF" w14:textId="526EE3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Krafft P. et al., 2022</w:t>
            </w:r>
          </w:p>
        </w:tc>
        <w:tc>
          <w:tcPr>
            <w:tcW w:w="851" w:type="dxa"/>
          </w:tcPr>
          <w:p w14:paraId="4CF63597" w14:textId="7DC9F7A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10.1016/j.clineuro.2022.107206</w:t>
            </w:r>
          </w:p>
        </w:tc>
        <w:tc>
          <w:tcPr>
            <w:tcW w:w="851" w:type="dxa"/>
          </w:tcPr>
          <w:p w14:paraId="4B6FF667" w14:textId="74CB5B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14CB69F" w14:textId="264822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706A624" w14:textId="1D2288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5206547" w14:textId="070F32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6DA4974" w14:textId="0FA4A9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rate of SSI in primary brain tumours, to analyse risk factors, and to evaluate effectiveness of topical vancomycin in reducing SSIs.</w:t>
            </w:r>
          </w:p>
        </w:tc>
        <w:tc>
          <w:tcPr>
            <w:tcW w:w="1134" w:type="dxa"/>
          </w:tcPr>
          <w:p w14:paraId="2F40E04D" w14:textId="3B05FC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w:t>
            </w:r>
          </w:p>
        </w:tc>
        <w:tc>
          <w:tcPr>
            <w:tcW w:w="992" w:type="dxa"/>
          </w:tcPr>
          <w:p w14:paraId="66E9B8DF" w14:textId="5EEEE3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F66271E" w14:textId="4F16F6A9"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Clinical findings and symptoms meriting antibiotics treatment or re-operation for wound exploration and revision.</w:t>
            </w:r>
          </w:p>
        </w:tc>
        <w:tc>
          <w:tcPr>
            <w:tcW w:w="2693" w:type="dxa"/>
          </w:tcPr>
          <w:p w14:paraId="7CF77725" w14:textId="3AC2BD66" w:rsidR="006E5533" w:rsidRPr="00251EA9" w:rsidRDefault="006E5533" w:rsidP="006E5533">
            <w:pPr>
              <w:rPr>
                <w:rFonts w:ascii="Arial" w:hAnsi="Arial" w:cs="Arial"/>
                <w:sz w:val="15"/>
                <w:szCs w:val="15"/>
              </w:rPr>
            </w:pPr>
            <w:r w:rsidRPr="00251EA9">
              <w:rPr>
                <w:rFonts w:ascii="Arial" w:hAnsi="Arial" w:cs="Arial"/>
                <w:sz w:val="15"/>
                <w:szCs w:val="15"/>
              </w:rPr>
              <w:t>Topical vancomycin was associated with a significantly lower rate of SSI (0.8%) compared to standard care (5%). Narcotic use, previous brain radiation, length of hospitalisation and 30-day re-operation were associated with increased risk for SSI.</w:t>
            </w:r>
          </w:p>
        </w:tc>
        <w:tc>
          <w:tcPr>
            <w:tcW w:w="1701" w:type="dxa"/>
          </w:tcPr>
          <w:p w14:paraId="3CA2D10F" w14:textId="0BC92E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r>
      <w:tr w:rsidR="006E5533" w:rsidRPr="00251EA9" w14:paraId="0DAC4A15" w14:textId="77777777" w:rsidTr="00A77951">
        <w:trPr>
          <w:trHeight w:val="586"/>
        </w:trPr>
        <w:tc>
          <w:tcPr>
            <w:tcW w:w="992" w:type="dxa"/>
          </w:tcPr>
          <w:p w14:paraId="2C776879" w14:textId="72C1E5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Kraus D. et al., 2005</w:t>
            </w:r>
          </w:p>
        </w:tc>
        <w:tc>
          <w:tcPr>
            <w:tcW w:w="851" w:type="dxa"/>
          </w:tcPr>
          <w:p w14:paraId="78B14C2B" w14:textId="482DDA0B"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10.1097/01.mlg.0000172201.61487.69</w:t>
            </w:r>
          </w:p>
        </w:tc>
        <w:tc>
          <w:tcPr>
            <w:tcW w:w="851" w:type="dxa"/>
          </w:tcPr>
          <w:p w14:paraId="7BEFA3A6" w14:textId="078C6B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3661243" w14:textId="6D1D47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DD77106" w14:textId="1E745F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D17E777" w14:textId="2792FE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Skull base</w:t>
            </w:r>
          </w:p>
        </w:tc>
        <w:tc>
          <w:tcPr>
            <w:tcW w:w="1843" w:type="dxa"/>
          </w:tcPr>
          <w:p w14:paraId="7F90109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w:t>
            </w:r>
          </w:p>
          <w:p w14:paraId="54D9843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The incidence and severity of infection in a group of patients treated with a non-standardised antibiotic regimen undergoing craniofacial resection</w:t>
            </w:r>
          </w:p>
          <w:p w14:paraId="1917BCD7" w14:textId="37B2FD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2. Whether the use of a </w:t>
            </w:r>
            <w:proofErr w:type="gramStart"/>
            <w:r w:rsidRPr="00251EA9">
              <w:rPr>
                <w:rFonts w:ascii="Arial" w:hAnsi="Arial" w:cs="Arial"/>
                <w:sz w:val="15"/>
                <w:szCs w:val="15"/>
              </w:rPr>
              <w:t>broad spectrum</w:t>
            </w:r>
            <w:proofErr w:type="gramEnd"/>
            <w:r w:rsidRPr="00251EA9">
              <w:rPr>
                <w:rFonts w:ascii="Arial" w:hAnsi="Arial" w:cs="Arial"/>
                <w:sz w:val="15"/>
                <w:szCs w:val="15"/>
              </w:rPr>
              <w:t xml:space="preserve"> antibiotic is associated with a reduced incidence and severity of infections.</w:t>
            </w:r>
          </w:p>
        </w:tc>
        <w:tc>
          <w:tcPr>
            <w:tcW w:w="1134" w:type="dxa"/>
          </w:tcPr>
          <w:p w14:paraId="3EB43A47"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32C9C26" w14:textId="7CB3C6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16F15EE" w14:textId="2DC663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Major infectious complications: abscess,</w:t>
            </w:r>
            <w:r w:rsidRPr="00251EA9">
              <w:rPr>
                <w:rFonts w:ascii="Arial" w:hAnsi="Arial" w:cs="Arial"/>
                <w:sz w:val="15"/>
                <w:szCs w:val="15"/>
              </w:rPr>
              <w:br/>
              <w:t xml:space="preserve">osteomyelitis, frontal bone flap infection, meningitis, deep soft tissue infection, subdural empyema, and C. </w:t>
            </w:r>
            <w:proofErr w:type="spellStart"/>
            <w:r w:rsidRPr="00251EA9">
              <w:rPr>
                <w:rFonts w:ascii="Arial" w:hAnsi="Arial" w:cs="Arial"/>
                <w:sz w:val="15"/>
                <w:szCs w:val="15"/>
              </w:rPr>
              <w:t>dificile</w:t>
            </w:r>
            <w:proofErr w:type="spellEnd"/>
            <w:r w:rsidRPr="00251EA9">
              <w:rPr>
                <w:rFonts w:ascii="Arial" w:hAnsi="Arial" w:cs="Arial"/>
                <w:sz w:val="15"/>
                <w:szCs w:val="15"/>
              </w:rPr>
              <w:t xml:space="preserve"> enterocolitis.</w:t>
            </w:r>
            <w:r w:rsidRPr="00251EA9">
              <w:rPr>
                <w:rFonts w:ascii="Arial" w:hAnsi="Arial" w:cs="Arial"/>
                <w:sz w:val="15"/>
                <w:szCs w:val="15"/>
              </w:rPr>
              <w:br/>
              <w:t>Minor wound infections: cellulitis, hardware infection,</w:t>
            </w:r>
            <w:r w:rsidRPr="00251EA9">
              <w:rPr>
                <w:rFonts w:ascii="Arial" w:hAnsi="Arial" w:cs="Arial"/>
                <w:sz w:val="15"/>
                <w:szCs w:val="15"/>
              </w:rPr>
              <w:br/>
              <w:t>donor site infection, and dacryocystitis. Culture results were also used.</w:t>
            </w:r>
          </w:p>
        </w:tc>
        <w:tc>
          <w:tcPr>
            <w:tcW w:w="2693" w:type="dxa"/>
          </w:tcPr>
          <w:p w14:paraId="1DA900D0" w14:textId="62EBC11A" w:rsidR="006E5533" w:rsidRPr="00251EA9" w:rsidRDefault="006E5533" w:rsidP="006E5533">
            <w:pPr>
              <w:rPr>
                <w:rFonts w:ascii="Arial" w:hAnsi="Arial" w:cs="Arial"/>
                <w:sz w:val="15"/>
                <w:szCs w:val="15"/>
              </w:rPr>
            </w:pPr>
            <w:r w:rsidRPr="00251EA9">
              <w:rPr>
                <w:rFonts w:ascii="Arial" w:hAnsi="Arial" w:cs="Arial"/>
                <w:sz w:val="15"/>
                <w:szCs w:val="15"/>
              </w:rPr>
              <w:t>The standardised antibiotic therapy (CMV) was used in 90 patients, and</w:t>
            </w:r>
            <w:r w:rsidRPr="00251EA9">
              <w:rPr>
                <w:rFonts w:ascii="Arial" w:hAnsi="Arial" w:cs="Arial"/>
                <w:sz w:val="15"/>
                <w:szCs w:val="15"/>
              </w:rPr>
              <w:br/>
              <w:t>the non-standardized antibiotics (</w:t>
            </w:r>
            <w:proofErr w:type="spellStart"/>
            <w:r w:rsidRPr="00251EA9">
              <w:rPr>
                <w:rFonts w:ascii="Arial" w:hAnsi="Arial" w:cs="Arial"/>
                <w:sz w:val="15"/>
                <w:szCs w:val="15"/>
              </w:rPr>
              <w:t>nonCMV</w:t>
            </w:r>
            <w:proofErr w:type="spellEnd"/>
            <w:r w:rsidRPr="00251EA9">
              <w:rPr>
                <w:rFonts w:ascii="Arial" w:hAnsi="Arial" w:cs="Arial"/>
                <w:sz w:val="15"/>
                <w:szCs w:val="15"/>
              </w:rPr>
              <w:t>) were used in 107 patients. Infectious wound complications were</w:t>
            </w:r>
            <w:r w:rsidRPr="00251EA9">
              <w:rPr>
                <w:rFonts w:ascii="Arial" w:hAnsi="Arial" w:cs="Arial"/>
                <w:sz w:val="15"/>
                <w:szCs w:val="15"/>
              </w:rPr>
              <w:br/>
              <w:t xml:space="preserve">11% within the CMV group versus 29% in the </w:t>
            </w:r>
            <w:proofErr w:type="spellStart"/>
            <w:r w:rsidRPr="00251EA9">
              <w:rPr>
                <w:rFonts w:ascii="Arial" w:hAnsi="Arial" w:cs="Arial"/>
                <w:sz w:val="15"/>
                <w:szCs w:val="15"/>
              </w:rPr>
              <w:t>nonCMV</w:t>
            </w:r>
            <w:proofErr w:type="spellEnd"/>
            <w:r w:rsidRPr="00251EA9">
              <w:rPr>
                <w:rFonts w:ascii="Arial" w:hAnsi="Arial" w:cs="Arial"/>
                <w:sz w:val="15"/>
                <w:szCs w:val="15"/>
              </w:rPr>
              <w:br/>
              <w:t xml:space="preserve">regimen. Severity of infections was greatly reduced in the CMV group. </w:t>
            </w:r>
          </w:p>
        </w:tc>
        <w:tc>
          <w:tcPr>
            <w:tcW w:w="1701" w:type="dxa"/>
          </w:tcPr>
          <w:p w14:paraId="7790EBA0" w14:textId="2979D0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Kind of</w:t>
            </w:r>
          </w:p>
        </w:tc>
      </w:tr>
      <w:tr w:rsidR="006E5533" w:rsidRPr="00251EA9" w14:paraId="43C074FF" w14:textId="77777777" w:rsidTr="00A77951">
        <w:trPr>
          <w:trHeight w:val="586"/>
        </w:trPr>
        <w:tc>
          <w:tcPr>
            <w:tcW w:w="992" w:type="dxa"/>
          </w:tcPr>
          <w:p w14:paraId="392E74AD" w14:textId="6F490F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Kretschmer T. et al., 2009</w:t>
            </w:r>
          </w:p>
        </w:tc>
        <w:tc>
          <w:tcPr>
            <w:tcW w:w="851" w:type="dxa"/>
          </w:tcPr>
          <w:p w14:paraId="3072C80D" w14:textId="2212A9E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10.1080/026886900417342</w:t>
            </w:r>
          </w:p>
        </w:tc>
        <w:tc>
          <w:tcPr>
            <w:tcW w:w="851" w:type="dxa"/>
          </w:tcPr>
          <w:p w14:paraId="463EDD33" w14:textId="6A6E01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74B8CAE3" w14:textId="26552A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704C4CBD" w14:textId="2928FA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reported</w:t>
            </w:r>
          </w:p>
        </w:tc>
        <w:tc>
          <w:tcPr>
            <w:tcW w:w="1276" w:type="dxa"/>
          </w:tcPr>
          <w:p w14:paraId="3A28EC9E" w14:textId="0A333B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4F0A29E9" w14:textId="36F049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prevent the stigmatising effect of a totally or partially shaved head with openly visible signs of a head operation, easing the reintegration of the patient into his daily life.</w:t>
            </w:r>
          </w:p>
        </w:tc>
        <w:tc>
          <w:tcPr>
            <w:tcW w:w="1134" w:type="dxa"/>
          </w:tcPr>
          <w:p w14:paraId="53F6B88B" w14:textId="7BB0D47B" w:rsidR="006E5533" w:rsidRPr="00251EA9" w:rsidRDefault="006E5533" w:rsidP="006E5533">
            <w:pPr>
              <w:spacing w:line="360" w:lineRule="auto"/>
              <w:contextualSpacing/>
              <w:rPr>
                <w:rFonts w:ascii="Arial" w:hAnsi="Arial" w:cs="Arial"/>
                <w:sz w:val="15"/>
                <w:szCs w:val="15"/>
              </w:rPr>
            </w:pPr>
          </w:p>
        </w:tc>
        <w:tc>
          <w:tcPr>
            <w:tcW w:w="992" w:type="dxa"/>
          </w:tcPr>
          <w:p w14:paraId="3B1291BA" w14:textId="359445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26D4F41" w14:textId="60099F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68663C7" w14:textId="5303C4AA" w:rsidR="006E5533" w:rsidRPr="00251EA9" w:rsidRDefault="006E5533" w:rsidP="006E5533">
            <w:pPr>
              <w:rPr>
                <w:rFonts w:ascii="Arial" w:hAnsi="Arial" w:cs="Arial"/>
                <w:sz w:val="15"/>
                <w:szCs w:val="15"/>
              </w:rPr>
            </w:pPr>
            <w:r w:rsidRPr="00251EA9">
              <w:rPr>
                <w:rFonts w:ascii="Arial" w:hAnsi="Arial" w:cs="Arial"/>
                <w:sz w:val="15"/>
                <w:szCs w:val="15"/>
              </w:rPr>
              <w:t>Reported one wound infection (0.5%) out of the 215 total cases.</w:t>
            </w:r>
          </w:p>
        </w:tc>
        <w:tc>
          <w:tcPr>
            <w:tcW w:w="1701" w:type="dxa"/>
          </w:tcPr>
          <w:p w14:paraId="2CAEAA1A" w14:textId="5C60AF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4091CB" w14:textId="77777777" w:rsidTr="00A77951">
        <w:trPr>
          <w:trHeight w:val="586"/>
        </w:trPr>
        <w:tc>
          <w:tcPr>
            <w:tcW w:w="992" w:type="dxa"/>
          </w:tcPr>
          <w:p w14:paraId="44182D20" w14:textId="341699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Krishnan S.S. et al., 2020</w:t>
            </w:r>
          </w:p>
        </w:tc>
        <w:tc>
          <w:tcPr>
            <w:tcW w:w="851" w:type="dxa"/>
          </w:tcPr>
          <w:p w14:paraId="228B9EBC" w14:textId="410C7E1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10.1055/s-0039-1678602</w:t>
            </w:r>
          </w:p>
        </w:tc>
        <w:tc>
          <w:tcPr>
            <w:tcW w:w="851" w:type="dxa"/>
          </w:tcPr>
          <w:p w14:paraId="6E87F58C" w14:textId="5A4793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70E3DC4A" w14:textId="21EE36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086FA64" w14:textId="38DC03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540C3BF" w14:textId="2EF885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0A21BC7" w14:textId="781F09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share experience of a novel and simple alternative to standard post-craniectomy bony defect closure techniques.</w:t>
            </w:r>
          </w:p>
        </w:tc>
        <w:tc>
          <w:tcPr>
            <w:tcW w:w="1134" w:type="dxa"/>
          </w:tcPr>
          <w:p w14:paraId="06106D46" w14:textId="49D45E0E" w:rsidR="006E5533" w:rsidRPr="00251EA9" w:rsidRDefault="006E5533" w:rsidP="006E5533">
            <w:pPr>
              <w:spacing w:line="360" w:lineRule="auto"/>
              <w:contextualSpacing/>
              <w:rPr>
                <w:rFonts w:ascii="Arial" w:hAnsi="Arial" w:cs="Arial"/>
                <w:sz w:val="15"/>
                <w:szCs w:val="15"/>
              </w:rPr>
            </w:pPr>
          </w:p>
        </w:tc>
        <w:tc>
          <w:tcPr>
            <w:tcW w:w="992" w:type="dxa"/>
          </w:tcPr>
          <w:p w14:paraId="3F3CD0F3" w14:textId="6A3022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B28CECD" w14:textId="04550E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7923DC2" w14:textId="668B1608" w:rsidR="006E5533" w:rsidRPr="00251EA9" w:rsidRDefault="006E5533" w:rsidP="006E5533">
            <w:pPr>
              <w:rPr>
                <w:rFonts w:ascii="Arial" w:hAnsi="Arial" w:cs="Arial"/>
                <w:sz w:val="15"/>
                <w:szCs w:val="15"/>
              </w:rPr>
            </w:pPr>
            <w:r w:rsidRPr="00251EA9">
              <w:rPr>
                <w:rFonts w:ascii="Arial" w:hAnsi="Arial" w:cs="Arial"/>
                <w:sz w:val="15"/>
                <w:szCs w:val="15"/>
              </w:rPr>
              <w:t>Reported 11 patients had a wound infection.</w:t>
            </w:r>
          </w:p>
        </w:tc>
        <w:tc>
          <w:tcPr>
            <w:tcW w:w="1701" w:type="dxa"/>
          </w:tcPr>
          <w:p w14:paraId="1057E032" w14:textId="2307E1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484B36A" w14:textId="77777777" w:rsidTr="00A77951">
        <w:trPr>
          <w:trHeight w:val="586"/>
        </w:trPr>
        <w:tc>
          <w:tcPr>
            <w:tcW w:w="992" w:type="dxa"/>
          </w:tcPr>
          <w:p w14:paraId="616FBD1C" w14:textId="4A019A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Kumar S. et al., 2022</w:t>
            </w:r>
          </w:p>
        </w:tc>
        <w:tc>
          <w:tcPr>
            <w:tcW w:w="851" w:type="dxa"/>
          </w:tcPr>
          <w:p w14:paraId="2314440E" w14:textId="174F537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10.4103/0028-3886.344635</w:t>
            </w:r>
          </w:p>
        </w:tc>
        <w:tc>
          <w:tcPr>
            <w:tcW w:w="851" w:type="dxa"/>
          </w:tcPr>
          <w:p w14:paraId="16B6BC22" w14:textId="7E13A0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7B5C1979" w14:textId="34F386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74A2ED8" w14:textId="6D564D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3F3DFED" w14:textId="7C7573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DE23734" w14:textId="09BB64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two methods of hematoma aspiration, craniotomy, and stereotactic aspiration.</w:t>
            </w:r>
          </w:p>
        </w:tc>
        <w:tc>
          <w:tcPr>
            <w:tcW w:w="1134" w:type="dxa"/>
          </w:tcPr>
          <w:p w14:paraId="3A6C90E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1FF7436" w14:textId="0909D9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01A1F58" w14:textId="0939CA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5316A2E" w14:textId="241C5798" w:rsidR="006E5533" w:rsidRPr="00251EA9" w:rsidRDefault="006E5533" w:rsidP="006E5533">
            <w:pPr>
              <w:rPr>
                <w:rFonts w:ascii="Arial" w:hAnsi="Arial" w:cs="Arial"/>
                <w:sz w:val="15"/>
                <w:szCs w:val="15"/>
              </w:rPr>
            </w:pPr>
            <w:r w:rsidRPr="00251EA9">
              <w:rPr>
                <w:rFonts w:ascii="Arial" w:hAnsi="Arial" w:cs="Arial"/>
                <w:sz w:val="15"/>
                <w:szCs w:val="15"/>
              </w:rPr>
              <w:t>No difference in surgical site infections between the two methods described.</w:t>
            </w:r>
          </w:p>
        </w:tc>
        <w:tc>
          <w:tcPr>
            <w:tcW w:w="1701" w:type="dxa"/>
          </w:tcPr>
          <w:p w14:paraId="43C34040" w14:textId="6CE6C5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142F613" w14:textId="77777777" w:rsidTr="00A77951">
        <w:trPr>
          <w:trHeight w:val="586"/>
        </w:trPr>
        <w:tc>
          <w:tcPr>
            <w:tcW w:w="992" w:type="dxa"/>
          </w:tcPr>
          <w:p w14:paraId="31168ED1" w14:textId="1E7B915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Kuwano</w:t>
            </w:r>
            <w:proofErr w:type="spellEnd"/>
            <w:r w:rsidRPr="00251EA9">
              <w:rPr>
                <w:rFonts w:ascii="Arial" w:hAnsi="Arial" w:cs="Arial"/>
                <w:sz w:val="15"/>
                <w:szCs w:val="15"/>
              </w:rPr>
              <w:t xml:space="preserve"> A. et al., 2023</w:t>
            </w:r>
          </w:p>
        </w:tc>
        <w:tc>
          <w:tcPr>
            <w:tcW w:w="851" w:type="dxa"/>
          </w:tcPr>
          <w:p w14:paraId="629F5B2D" w14:textId="5942AF4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10.1007/s00701-022-05474-6</w:t>
            </w:r>
          </w:p>
        </w:tc>
        <w:tc>
          <w:tcPr>
            <w:tcW w:w="851" w:type="dxa"/>
          </w:tcPr>
          <w:p w14:paraId="4971BD6B" w14:textId="6ACB01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2B7C9561" w14:textId="71B9D7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57B661B" w14:textId="7282E7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A08F8AB" w14:textId="3CBDAE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5389050" w14:textId="08536A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relationship</w:t>
            </w:r>
            <w:r w:rsidRPr="00251EA9">
              <w:rPr>
                <w:rFonts w:ascii="Arial" w:hAnsi="Arial" w:cs="Arial"/>
                <w:sz w:val="15"/>
                <w:szCs w:val="15"/>
              </w:rPr>
              <w:br/>
              <w:t>between SSIs and glioma treatment characteristics, such as reoperations, radiation therapy, and chemotherapy.</w:t>
            </w:r>
          </w:p>
        </w:tc>
        <w:tc>
          <w:tcPr>
            <w:tcW w:w="1134" w:type="dxa"/>
          </w:tcPr>
          <w:p w14:paraId="76051EE2" w14:textId="0136CA32" w:rsidR="006E5533" w:rsidRPr="00251EA9" w:rsidRDefault="006E5533" w:rsidP="006E5533">
            <w:pPr>
              <w:spacing w:line="360" w:lineRule="auto"/>
              <w:contextualSpacing/>
              <w:rPr>
                <w:rFonts w:ascii="Arial" w:hAnsi="Arial" w:cs="Arial"/>
                <w:sz w:val="15"/>
                <w:szCs w:val="15"/>
              </w:rPr>
            </w:pPr>
          </w:p>
        </w:tc>
        <w:tc>
          <w:tcPr>
            <w:tcW w:w="992" w:type="dxa"/>
          </w:tcPr>
          <w:p w14:paraId="3D7EAB6E" w14:textId="74A62A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F836105" w14:textId="0FFD55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Requirement of reoperation. SSIs were suspected </w:t>
            </w:r>
            <w:proofErr w:type="gramStart"/>
            <w:r w:rsidRPr="00251EA9">
              <w:rPr>
                <w:rFonts w:ascii="Arial" w:hAnsi="Arial" w:cs="Arial"/>
                <w:sz w:val="15"/>
                <w:szCs w:val="15"/>
              </w:rPr>
              <w:t>on the basis of</w:t>
            </w:r>
            <w:proofErr w:type="gramEnd"/>
            <w:r w:rsidRPr="00251EA9">
              <w:rPr>
                <w:rFonts w:ascii="Arial" w:hAnsi="Arial" w:cs="Arial"/>
                <w:sz w:val="15"/>
                <w:szCs w:val="15"/>
              </w:rPr>
              <w:t xml:space="preserve"> the postoperative wound conditions and MRI findings.</w:t>
            </w:r>
          </w:p>
        </w:tc>
        <w:tc>
          <w:tcPr>
            <w:tcW w:w="2693" w:type="dxa"/>
          </w:tcPr>
          <w:p w14:paraId="2E2DD04A" w14:textId="2EC1C16E" w:rsidR="006E5533" w:rsidRPr="00251EA9" w:rsidRDefault="006E5533" w:rsidP="006E5533">
            <w:pPr>
              <w:rPr>
                <w:rFonts w:ascii="Arial" w:hAnsi="Arial" w:cs="Arial"/>
                <w:sz w:val="15"/>
                <w:szCs w:val="15"/>
              </w:rPr>
            </w:pPr>
            <w:r w:rsidRPr="00251EA9">
              <w:rPr>
                <w:rFonts w:ascii="Arial" w:hAnsi="Arial" w:cs="Arial"/>
                <w:sz w:val="15"/>
                <w:szCs w:val="15"/>
              </w:rPr>
              <w:t xml:space="preserve">During the observation period, SSIs occurred in 3.1% (31/1012). Three or more surgeries and radiation therapy were associated with SSIs. Intraoperative magnetic resonance imaging was not significantly associated with SSI. </w:t>
            </w:r>
          </w:p>
        </w:tc>
        <w:tc>
          <w:tcPr>
            <w:tcW w:w="1701" w:type="dxa"/>
          </w:tcPr>
          <w:p w14:paraId="2E9C67B2" w14:textId="0C1841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6EBAD36" w14:textId="77777777" w:rsidTr="00A77951">
        <w:trPr>
          <w:trHeight w:val="586"/>
        </w:trPr>
        <w:tc>
          <w:tcPr>
            <w:tcW w:w="992" w:type="dxa"/>
          </w:tcPr>
          <w:p w14:paraId="7B0E535C" w14:textId="3B1FC4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Lam F.C. et al., 2012</w:t>
            </w:r>
          </w:p>
        </w:tc>
        <w:tc>
          <w:tcPr>
            <w:tcW w:w="851" w:type="dxa"/>
          </w:tcPr>
          <w:p w14:paraId="568AF187" w14:textId="6E4B6B4B" w:rsidR="006E5533" w:rsidRPr="00A77951" w:rsidRDefault="006E5533" w:rsidP="006E5533">
            <w:pPr>
              <w:spacing w:line="360" w:lineRule="auto"/>
              <w:contextualSpacing/>
              <w:rPr>
                <w:rFonts w:ascii="Arial" w:hAnsi="Arial" w:cs="Arial"/>
                <w:sz w:val="15"/>
                <w:szCs w:val="15"/>
              </w:rPr>
            </w:pPr>
            <w:hyperlink r:id="rId243" w:history="1">
              <w:r w:rsidRPr="00A77951">
                <w:rPr>
                  <w:rStyle w:val="Hyperlink"/>
                  <w:rFonts w:ascii="Arial" w:hAnsi="Arial" w:cs="Arial"/>
                  <w:sz w:val="15"/>
                  <w:szCs w:val="15"/>
                </w:rPr>
                <w:t>10.1227/NEU.0b013e31826a8ab0</w:t>
              </w:r>
            </w:hyperlink>
          </w:p>
        </w:tc>
        <w:tc>
          <w:tcPr>
            <w:tcW w:w="851" w:type="dxa"/>
          </w:tcPr>
          <w:p w14:paraId="6FA0F677" w14:textId="515A0A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D1C31CA" w14:textId="4E9686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DAEBDEB" w14:textId="576769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3B8A84E" w14:textId="428B06D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5E1D7A32" w14:textId="70B2C1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report our experience using locally harvested autologous pericranium as a dural substitute in patients who underwent posterior fossa surgeries.</w:t>
            </w:r>
          </w:p>
        </w:tc>
        <w:tc>
          <w:tcPr>
            <w:tcW w:w="1134" w:type="dxa"/>
          </w:tcPr>
          <w:p w14:paraId="2BE5C368"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8862E32" w14:textId="5D8A8C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EA6FD98" w14:textId="232E8F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75B8A5C" w14:textId="1403E8F6" w:rsidR="006E5533" w:rsidRPr="00251EA9" w:rsidRDefault="006E5533" w:rsidP="006E5533">
            <w:pPr>
              <w:rPr>
                <w:rFonts w:ascii="Arial" w:hAnsi="Arial" w:cs="Arial"/>
                <w:sz w:val="15"/>
                <w:szCs w:val="15"/>
              </w:rPr>
            </w:pPr>
            <w:r w:rsidRPr="00251EA9">
              <w:rPr>
                <w:rFonts w:ascii="Arial" w:hAnsi="Arial" w:cs="Arial"/>
                <w:sz w:val="15"/>
                <w:szCs w:val="15"/>
              </w:rPr>
              <w:t>No patients experienced surgical site infection.</w:t>
            </w:r>
          </w:p>
        </w:tc>
        <w:tc>
          <w:tcPr>
            <w:tcW w:w="1701" w:type="dxa"/>
          </w:tcPr>
          <w:p w14:paraId="7DD7B29A" w14:textId="08CDC9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0480476" w14:textId="77777777" w:rsidTr="00A77951">
        <w:trPr>
          <w:trHeight w:val="586"/>
        </w:trPr>
        <w:tc>
          <w:tcPr>
            <w:tcW w:w="992" w:type="dxa"/>
          </w:tcPr>
          <w:p w14:paraId="2F1164AB" w14:textId="7A6B3C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Lan M. et al., 2019</w:t>
            </w:r>
          </w:p>
        </w:tc>
        <w:tc>
          <w:tcPr>
            <w:tcW w:w="851" w:type="dxa"/>
          </w:tcPr>
          <w:p w14:paraId="369C3C5A" w14:textId="5E600C0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10.1016/j.wneu.2019.09.148</w:t>
            </w:r>
          </w:p>
        </w:tc>
        <w:tc>
          <w:tcPr>
            <w:tcW w:w="851" w:type="dxa"/>
          </w:tcPr>
          <w:p w14:paraId="494FBC80" w14:textId="653245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2FF662D" w14:textId="5C034B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 control</w:t>
            </w:r>
          </w:p>
        </w:tc>
        <w:tc>
          <w:tcPr>
            <w:tcW w:w="992" w:type="dxa"/>
          </w:tcPr>
          <w:p w14:paraId="6AFF807F" w14:textId="13C1CD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6F17229" w14:textId="09C1F2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47226330"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the population of patients undergoing decompressive craniectomy for traumatic intracranial </w:t>
            </w:r>
            <w:r w:rsidRPr="00251EA9">
              <w:rPr>
                <w:rFonts w:ascii="Arial" w:hAnsi="Arial" w:cs="Arial"/>
                <w:sz w:val="15"/>
                <w:szCs w:val="15"/>
              </w:rPr>
              <w:lastRenderedPageBreak/>
              <w:t xml:space="preserve">haemorrhage requiring repeat surgery </w:t>
            </w:r>
          </w:p>
          <w:p w14:paraId="0D44152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outcomes of those requiring repeat surgery to those who did not.</w:t>
            </w:r>
          </w:p>
          <w:p w14:paraId="57B569A2" w14:textId="07EC8E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discern predictors of repeat surgery.</w:t>
            </w:r>
          </w:p>
        </w:tc>
        <w:tc>
          <w:tcPr>
            <w:tcW w:w="1134" w:type="dxa"/>
          </w:tcPr>
          <w:p w14:paraId="65A2446A" w14:textId="2DF78268" w:rsidR="006E5533" w:rsidRPr="00251EA9" w:rsidRDefault="006E5533" w:rsidP="006E5533">
            <w:pPr>
              <w:spacing w:line="360" w:lineRule="auto"/>
              <w:contextualSpacing/>
              <w:rPr>
                <w:rFonts w:ascii="Arial" w:hAnsi="Arial" w:cs="Arial"/>
                <w:sz w:val="15"/>
                <w:szCs w:val="15"/>
              </w:rPr>
            </w:pPr>
          </w:p>
        </w:tc>
        <w:tc>
          <w:tcPr>
            <w:tcW w:w="992" w:type="dxa"/>
          </w:tcPr>
          <w:p w14:paraId="1D278B2C" w14:textId="2DECB2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112E9B5" w14:textId="6EEA11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D9C8C9D" w14:textId="532C3EAB" w:rsidR="006E5533" w:rsidRPr="00251EA9" w:rsidRDefault="006E5533" w:rsidP="006E5533">
            <w:pPr>
              <w:rPr>
                <w:rFonts w:ascii="Arial" w:hAnsi="Arial" w:cs="Arial"/>
                <w:sz w:val="15"/>
                <w:szCs w:val="15"/>
              </w:rPr>
            </w:pPr>
            <w:r w:rsidRPr="00251EA9">
              <w:rPr>
                <w:rFonts w:ascii="Arial" w:hAnsi="Arial" w:cs="Arial"/>
                <w:sz w:val="15"/>
                <w:szCs w:val="15"/>
              </w:rPr>
              <w:t>Reported 1 case of SSI out of 173 patients.</w:t>
            </w:r>
          </w:p>
        </w:tc>
        <w:tc>
          <w:tcPr>
            <w:tcW w:w="1701" w:type="dxa"/>
          </w:tcPr>
          <w:p w14:paraId="19CB1DEE" w14:textId="6836EB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10EA228" w14:textId="77777777" w:rsidTr="00A77951">
        <w:trPr>
          <w:trHeight w:val="586"/>
        </w:trPr>
        <w:tc>
          <w:tcPr>
            <w:tcW w:w="992" w:type="dxa"/>
          </w:tcPr>
          <w:p w14:paraId="57A1AD91" w14:textId="1DC5411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Langness</w:t>
            </w:r>
            <w:proofErr w:type="spellEnd"/>
            <w:r w:rsidRPr="00251EA9">
              <w:rPr>
                <w:rFonts w:ascii="Arial" w:hAnsi="Arial" w:cs="Arial"/>
                <w:sz w:val="15"/>
                <w:szCs w:val="15"/>
              </w:rPr>
              <w:t xml:space="preserve"> S. et al., 2017</w:t>
            </w:r>
          </w:p>
        </w:tc>
        <w:tc>
          <w:tcPr>
            <w:tcW w:w="851" w:type="dxa"/>
          </w:tcPr>
          <w:p w14:paraId="55AABEC4" w14:textId="25BAB5C6" w:rsidR="006E5533" w:rsidRPr="00A77951" w:rsidRDefault="006E5533" w:rsidP="006E5533">
            <w:pPr>
              <w:spacing w:line="360" w:lineRule="auto"/>
              <w:contextualSpacing/>
              <w:rPr>
                <w:rFonts w:ascii="Arial" w:hAnsi="Arial" w:cs="Arial"/>
                <w:sz w:val="15"/>
                <w:szCs w:val="15"/>
              </w:rPr>
            </w:pPr>
            <w:hyperlink r:id="rId244" w:history="1">
              <w:r w:rsidRPr="00A77951">
                <w:rPr>
                  <w:rStyle w:val="Hyperlink"/>
                  <w:rFonts w:ascii="Arial" w:hAnsi="Arial" w:cs="Arial"/>
                  <w:sz w:val="15"/>
                  <w:szCs w:val="15"/>
                </w:rPr>
                <w:t>10.1016/j.amjsurg.2016.06.001</w:t>
              </w:r>
            </w:hyperlink>
          </w:p>
        </w:tc>
        <w:tc>
          <w:tcPr>
            <w:tcW w:w="851" w:type="dxa"/>
          </w:tcPr>
          <w:p w14:paraId="708C7E5F" w14:textId="173C65C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8D8F587" w14:textId="50D0E7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6500EFE" w14:textId="79FDA0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85BDCAD" w14:textId="13A3D8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172D8762" w14:textId="0A2CF7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validate the mortality risk in a larger patient cohort, stratify risk based on cirrhosis severity, and evaluate the effect of cirrhosis on TBI management.</w:t>
            </w:r>
          </w:p>
        </w:tc>
        <w:tc>
          <w:tcPr>
            <w:tcW w:w="1134" w:type="dxa"/>
          </w:tcPr>
          <w:p w14:paraId="48AF665C"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BF6B443" w14:textId="20D437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26E23D7" w14:textId="69C6F8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661BD1C" w14:textId="4E032DA1" w:rsidR="006E5533" w:rsidRPr="00251EA9" w:rsidRDefault="006E5533" w:rsidP="006E5533">
            <w:pPr>
              <w:rPr>
                <w:rFonts w:ascii="Arial" w:hAnsi="Arial" w:cs="Arial"/>
                <w:sz w:val="15"/>
                <w:szCs w:val="15"/>
              </w:rPr>
            </w:pPr>
            <w:r w:rsidRPr="00251EA9">
              <w:rPr>
                <w:rFonts w:ascii="Arial" w:hAnsi="Arial" w:cs="Arial"/>
                <w:sz w:val="15"/>
                <w:szCs w:val="15"/>
              </w:rPr>
              <w:t>Reported 1 wound infection in non-cirrhosis group and no infections in cirrhosis group.</w:t>
            </w:r>
          </w:p>
        </w:tc>
        <w:tc>
          <w:tcPr>
            <w:tcW w:w="1701" w:type="dxa"/>
          </w:tcPr>
          <w:p w14:paraId="0EA09206" w14:textId="214D04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5AC7574" w14:textId="77777777" w:rsidTr="00A77951">
        <w:trPr>
          <w:trHeight w:val="586"/>
        </w:trPr>
        <w:tc>
          <w:tcPr>
            <w:tcW w:w="992" w:type="dxa"/>
          </w:tcPr>
          <w:p w14:paraId="1EE20FB4" w14:textId="39DCF4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Lannon M. et al., 2022</w:t>
            </w:r>
          </w:p>
        </w:tc>
        <w:tc>
          <w:tcPr>
            <w:tcW w:w="851" w:type="dxa"/>
          </w:tcPr>
          <w:p w14:paraId="510AFC59" w14:textId="06DC341E" w:rsidR="006E5533" w:rsidRPr="00A77951" w:rsidRDefault="006E5533" w:rsidP="006E5533">
            <w:pPr>
              <w:spacing w:line="360" w:lineRule="auto"/>
              <w:contextualSpacing/>
              <w:rPr>
                <w:rFonts w:ascii="Arial" w:hAnsi="Arial" w:cs="Arial"/>
                <w:sz w:val="15"/>
                <w:szCs w:val="15"/>
              </w:rPr>
            </w:pPr>
            <w:hyperlink r:id="rId245" w:history="1">
              <w:r w:rsidRPr="00A77951">
                <w:rPr>
                  <w:rStyle w:val="Hyperlink"/>
                  <w:rFonts w:ascii="Arial" w:hAnsi="Arial" w:cs="Arial"/>
                  <w:sz w:val="15"/>
                  <w:szCs w:val="15"/>
                </w:rPr>
                <w:t>10.1097/TA.0000000000003385</w:t>
              </w:r>
            </w:hyperlink>
          </w:p>
        </w:tc>
        <w:tc>
          <w:tcPr>
            <w:tcW w:w="851" w:type="dxa"/>
          </w:tcPr>
          <w:p w14:paraId="61813106" w14:textId="31768D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Canada</w:t>
            </w:r>
          </w:p>
        </w:tc>
        <w:tc>
          <w:tcPr>
            <w:tcW w:w="1134" w:type="dxa"/>
          </w:tcPr>
          <w:p w14:paraId="34429BB5" w14:textId="7B8B5E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A5C3123" w14:textId="302132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DD6095F" w14:textId="1BF3C0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Trauma</w:t>
            </w:r>
          </w:p>
        </w:tc>
        <w:tc>
          <w:tcPr>
            <w:tcW w:w="1843" w:type="dxa"/>
          </w:tcPr>
          <w:p w14:paraId="57324C84" w14:textId="1416F9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the outcomes and prognostic factors in paediatric craniocerebral gunshot injury (CGI) patients. </w:t>
            </w:r>
          </w:p>
        </w:tc>
        <w:tc>
          <w:tcPr>
            <w:tcW w:w="1134" w:type="dxa"/>
          </w:tcPr>
          <w:p w14:paraId="3FAE36F9" w14:textId="506D04E6" w:rsidR="006E5533" w:rsidRPr="00251EA9" w:rsidRDefault="006E5533" w:rsidP="006E5533">
            <w:pPr>
              <w:spacing w:line="360" w:lineRule="auto"/>
              <w:contextualSpacing/>
              <w:rPr>
                <w:rFonts w:ascii="Arial" w:hAnsi="Arial" w:cs="Arial"/>
                <w:sz w:val="15"/>
                <w:szCs w:val="15"/>
              </w:rPr>
            </w:pPr>
          </w:p>
        </w:tc>
        <w:tc>
          <w:tcPr>
            <w:tcW w:w="992" w:type="dxa"/>
          </w:tcPr>
          <w:p w14:paraId="197FD230" w14:textId="202916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7AF4C36" w14:textId="28D411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B0B861C" w14:textId="66A5DBE6" w:rsidR="006E5533" w:rsidRPr="00251EA9" w:rsidRDefault="006E5533" w:rsidP="006E5533">
            <w:pPr>
              <w:rPr>
                <w:rFonts w:ascii="Arial" w:hAnsi="Arial" w:cs="Arial"/>
                <w:sz w:val="15"/>
                <w:szCs w:val="15"/>
              </w:rPr>
            </w:pPr>
            <w:r w:rsidRPr="00251EA9">
              <w:rPr>
                <w:rFonts w:ascii="Arial" w:hAnsi="Arial" w:cs="Arial"/>
                <w:sz w:val="15"/>
                <w:szCs w:val="15"/>
              </w:rPr>
              <w:t xml:space="preserve">Rates of infection not directly reported in discussion. </w:t>
            </w:r>
          </w:p>
        </w:tc>
        <w:tc>
          <w:tcPr>
            <w:tcW w:w="1701" w:type="dxa"/>
          </w:tcPr>
          <w:p w14:paraId="0424DFDB" w14:textId="758183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D6F90AC" w14:textId="77777777" w:rsidTr="00A77951">
        <w:trPr>
          <w:trHeight w:val="586"/>
        </w:trPr>
        <w:tc>
          <w:tcPr>
            <w:tcW w:w="992" w:type="dxa"/>
          </w:tcPr>
          <w:p w14:paraId="3D40660A" w14:textId="59DC40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Lawrence J. et al., 2016</w:t>
            </w:r>
          </w:p>
        </w:tc>
        <w:tc>
          <w:tcPr>
            <w:tcW w:w="851" w:type="dxa"/>
          </w:tcPr>
          <w:p w14:paraId="1A98FC2E" w14:textId="48C80571" w:rsidR="006E5533" w:rsidRPr="00A77951" w:rsidRDefault="006E5533" w:rsidP="006E5533">
            <w:pPr>
              <w:spacing w:line="360" w:lineRule="auto"/>
              <w:contextualSpacing/>
              <w:rPr>
                <w:rFonts w:ascii="Arial" w:hAnsi="Arial" w:cs="Arial"/>
                <w:sz w:val="15"/>
                <w:szCs w:val="15"/>
              </w:rPr>
            </w:pPr>
            <w:hyperlink r:id="rId246" w:history="1">
              <w:r w:rsidRPr="00A77951">
                <w:rPr>
                  <w:rStyle w:val="Hyperlink"/>
                  <w:rFonts w:ascii="Arial" w:hAnsi="Arial" w:cs="Arial"/>
                  <w:sz w:val="15"/>
                  <w:szCs w:val="15"/>
                </w:rPr>
                <w:t>10.3171/2016.</w:t>
              </w:r>
              <w:proofErr w:type="gramStart"/>
              <w:r w:rsidRPr="00A77951">
                <w:rPr>
                  <w:rStyle w:val="Hyperlink"/>
                  <w:rFonts w:ascii="Arial" w:hAnsi="Arial" w:cs="Arial"/>
                  <w:sz w:val="15"/>
                  <w:szCs w:val="15"/>
                </w:rPr>
                <w:t>5.JNS</w:t>
              </w:r>
              <w:proofErr w:type="gramEnd"/>
              <w:r w:rsidRPr="00A77951">
                <w:rPr>
                  <w:rStyle w:val="Hyperlink"/>
                  <w:rFonts w:ascii="Arial" w:hAnsi="Arial" w:cs="Arial"/>
                  <w:sz w:val="15"/>
                  <w:szCs w:val="15"/>
                </w:rPr>
                <w:t>152118</w:t>
              </w:r>
            </w:hyperlink>
          </w:p>
        </w:tc>
        <w:tc>
          <w:tcPr>
            <w:tcW w:w="851" w:type="dxa"/>
          </w:tcPr>
          <w:p w14:paraId="6A976718" w14:textId="7907E2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D5AFF46" w14:textId="6B7745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7000E6D" w14:textId="50A99F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83637F4" w14:textId="63A331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1531B17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complication rates of patients with and without a postoperative ICU stay following microvascular decompression. </w:t>
            </w:r>
          </w:p>
          <w:p w14:paraId="730D42A3" w14:textId="2E7230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identify predictors of complications, to analyse variables of health care resource utilisation, and to estimate the cost of </w:t>
            </w:r>
            <w:r w:rsidRPr="00251EA9">
              <w:rPr>
                <w:rFonts w:ascii="Arial" w:hAnsi="Arial" w:cs="Arial"/>
                <w:sz w:val="15"/>
                <w:szCs w:val="15"/>
              </w:rPr>
              <w:lastRenderedPageBreak/>
              <w:t>postoperative management.</w:t>
            </w:r>
          </w:p>
        </w:tc>
        <w:tc>
          <w:tcPr>
            <w:tcW w:w="1134" w:type="dxa"/>
          </w:tcPr>
          <w:p w14:paraId="5EC24D7E" w14:textId="41043B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w:t>
            </w:r>
          </w:p>
        </w:tc>
        <w:tc>
          <w:tcPr>
            <w:tcW w:w="992" w:type="dxa"/>
          </w:tcPr>
          <w:p w14:paraId="5F23B25D" w14:textId="21B708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77E8095" w14:textId="4472F1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B17DC6C" w14:textId="44DF593C" w:rsidR="006E5533" w:rsidRPr="00251EA9" w:rsidRDefault="006E5533" w:rsidP="006E5533">
            <w:pPr>
              <w:rPr>
                <w:rFonts w:ascii="Arial" w:hAnsi="Arial" w:cs="Arial"/>
                <w:sz w:val="15"/>
                <w:szCs w:val="15"/>
              </w:rPr>
            </w:pPr>
            <w:r w:rsidRPr="00251EA9">
              <w:rPr>
                <w:rFonts w:ascii="Arial" w:hAnsi="Arial" w:cs="Arial"/>
                <w:sz w:val="15"/>
                <w:szCs w:val="15"/>
              </w:rPr>
              <w:t>Reported 1 case of infection in patients with ICU stay (1.1%) along with 1 wound infection with osteomyelitis.</w:t>
            </w:r>
          </w:p>
        </w:tc>
        <w:tc>
          <w:tcPr>
            <w:tcW w:w="1701" w:type="dxa"/>
          </w:tcPr>
          <w:p w14:paraId="6D7004A8" w14:textId="10BF67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807E3B7" w14:textId="77777777" w:rsidTr="00A77951">
        <w:trPr>
          <w:trHeight w:val="586"/>
        </w:trPr>
        <w:tc>
          <w:tcPr>
            <w:tcW w:w="992" w:type="dxa"/>
          </w:tcPr>
          <w:p w14:paraId="2ACCBED2" w14:textId="1177E9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Le </w:t>
            </w:r>
            <w:proofErr w:type="spellStart"/>
            <w:r w:rsidRPr="00251EA9">
              <w:rPr>
                <w:rFonts w:ascii="Arial" w:hAnsi="Arial" w:cs="Arial"/>
                <w:sz w:val="15"/>
                <w:szCs w:val="15"/>
              </w:rPr>
              <w:t>Guen</w:t>
            </w:r>
            <w:proofErr w:type="spellEnd"/>
            <w:r w:rsidRPr="00251EA9">
              <w:rPr>
                <w:rFonts w:ascii="Arial" w:hAnsi="Arial" w:cs="Arial"/>
                <w:sz w:val="15"/>
                <w:szCs w:val="15"/>
              </w:rPr>
              <w:t xml:space="preserve"> M. et al., 2023</w:t>
            </w:r>
          </w:p>
        </w:tc>
        <w:tc>
          <w:tcPr>
            <w:tcW w:w="851" w:type="dxa"/>
          </w:tcPr>
          <w:p w14:paraId="36AC0068" w14:textId="3C858FC6" w:rsidR="006E5533" w:rsidRPr="00A77951" w:rsidRDefault="006E5533" w:rsidP="006E5533">
            <w:pPr>
              <w:spacing w:line="360" w:lineRule="auto"/>
              <w:contextualSpacing/>
              <w:rPr>
                <w:rFonts w:ascii="Arial" w:hAnsi="Arial" w:cs="Arial"/>
                <w:sz w:val="15"/>
                <w:szCs w:val="15"/>
              </w:rPr>
            </w:pPr>
            <w:hyperlink r:id="rId247" w:history="1">
              <w:r w:rsidRPr="00A77951">
                <w:rPr>
                  <w:rStyle w:val="Hyperlink"/>
                  <w:rFonts w:ascii="Arial" w:hAnsi="Arial" w:cs="Arial"/>
                  <w:sz w:val="15"/>
                  <w:szCs w:val="15"/>
                </w:rPr>
                <w:t>10.1186/s12871-022-01962-5</w:t>
              </w:r>
            </w:hyperlink>
          </w:p>
        </w:tc>
        <w:tc>
          <w:tcPr>
            <w:tcW w:w="851" w:type="dxa"/>
          </w:tcPr>
          <w:p w14:paraId="0BC143E7" w14:textId="734871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10569E95" w14:textId="49C52F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60E6D4E" w14:textId="5ACAE0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284257F" w14:textId="4B938E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329F6303" w14:textId="005015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efficacy of a goal directed fluid therapy on post-operative major complications, in a before-after multicentric study.</w:t>
            </w:r>
          </w:p>
        </w:tc>
        <w:tc>
          <w:tcPr>
            <w:tcW w:w="1134" w:type="dxa"/>
          </w:tcPr>
          <w:p w14:paraId="27A636D1" w14:textId="1B5B91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Before vs after the implementation of study’s protocol.</w:t>
            </w:r>
          </w:p>
        </w:tc>
        <w:tc>
          <w:tcPr>
            <w:tcW w:w="992" w:type="dxa"/>
          </w:tcPr>
          <w:p w14:paraId="2E91C9C4" w14:textId="14B19C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9F635E0" w14:textId="34E97A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57DABC3" w14:textId="63ACD605" w:rsidR="006E5533" w:rsidRPr="00251EA9" w:rsidRDefault="006E5533" w:rsidP="006E5533">
            <w:pPr>
              <w:rPr>
                <w:rFonts w:ascii="Arial" w:hAnsi="Arial" w:cs="Arial"/>
                <w:sz w:val="15"/>
                <w:szCs w:val="15"/>
              </w:rPr>
            </w:pPr>
            <w:r w:rsidRPr="00251EA9">
              <w:rPr>
                <w:rFonts w:ascii="Arial" w:hAnsi="Arial" w:cs="Arial"/>
                <w:sz w:val="15"/>
                <w:szCs w:val="15"/>
              </w:rPr>
              <w:t>Reported an SSI rate of 1.2% in the before group, and 0.6% rate of infection in the after group (after the protocol was established).</w:t>
            </w:r>
          </w:p>
        </w:tc>
        <w:tc>
          <w:tcPr>
            <w:tcW w:w="1701" w:type="dxa"/>
          </w:tcPr>
          <w:p w14:paraId="21334C6E" w14:textId="7D52F9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9D501D5" w14:textId="77777777" w:rsidTr="00A77951">
        <w:trPr>
          <w:trHeight w:val="586"/>
        </w:trPr>
        <w:tc>
          <w:tcPr>
            <w:tcW w:w="992" w:type="dxa"/>
          </w:tcPr>
          <w:p w14:paraId="1C9F2EF8" w14:textId="64375C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Lee C.H. et al., 2012</w:t>
            </w:r>
          </w:p>
        </w:tc>
        <w:tc>
          <w:tcPr>
            <w:tcW w:w="851" w:type="dxa"/>
          </w:tcPr>
          <w:p w14:paraId="1369D62E" w14:textId="6AE982F5" w:rsidR="006E5533" w:rsidRPr="00A77951" w:rsidRDefault="006E5533" w:rsidP="006E5533">
            <w:pPr>
              <w:spacing w:line="360" w:lineRule="auto"/>
              <w:contextualSpacing/>
              <w:rPr>
                <w:rFonts w:ascii="Arial" w:hAnsi="Arial" w:cs="Arial"/>
                <w:sz w:val="15"/>
                <w:szCs w:val="15"/>
              </w:rPr>
            </w:pPr>
            <w:hyperlink r:id="rId248" w:history="1">
              <w:r w:rsidRPr="00A77951">
                <w:rPr>
                  <w:rStyle w:val="Hyperlink"/>
                  <w:rFonts w:ascii="Arial" w:hAnsi="Arial" w:cs="Arial"/>
                  <w:sz w:val="15"/>
                  <w:szCs w:val="15"/>
                </w:rPr>
                <w:t>10.1097/TA.0b013e318256a150</w:t>
              </w:r>
            </w:hyperlink>
          </w:p>
        </w:tc>
        <w:tc>
          <w:tcPr>
            <w:tcW w:w="851" w:type="dxa"/>
          </w:tcPr>
          <w:p w14:paraId="21D9A27B" w14:textId="6C4DE4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353B1FFA" w14:textId="0F4742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84684C0" w14:textId="57299D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45F85CE" w14:textId="23455A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F9CF152" w14:textId="260174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factors that are related to bone graft infection after cranioplasty.</w:t>
            </w:r>
          </w:p>
        </w:tc>
        <w:tc>
          <w:tcPr>
            <w:tcW w:w="1134" w:type="dxa"/>
          </w:tcPr>
          <w:p w14:paraId="22E2CD8D" w14:textId="5636CADF" w:rsidR="006E5533" w:rsidRPr="00251EA9" w:rsidRDefault="006E5533" w:rsidP="006E5533">
            <w:pPr>
              <w:spacing w:line="360" w:lineRule="auto"/>
              <w:contextualSpacing/>
              <w:rPr>
                <w:rFonts w:ascii="Arial" w:hAnsi="Arial" w:cs="Arial"/>
                <w:sz w:val="15"/>
                <w:szCs w:val="15"/>
              </w:rPr>
            </w:pPr>
          </w:p>
        </w:tc>
        <w:tc>
          <w:tcPr>
            <w:tcW w:w="992" w:type="dxa"/>
          </w:tcPr>
          <w:p w14:paraId="71F4703D" w14:textId="49C88A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982C214" w14:textId="74A1F6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Requirement the removal of the infected bone graft.</w:t>
            </w:r>
          </w:p>
        </w:tc>
        <w:tc>
          <w:tcPr>
            <w:tcW w:w="2693" w:type="dxa"/>
          </w:tcPr>
          <w:p w14:paraId="385C6517" w14:textId="5B6F5FE1" w:rsidR="006E5533" w:rsidRPr="00251EA9" w:rsidRDefault="006E5533" w:rsidP="006E5533">
            <w:pPr>
              <w:rPr>
                <w:rFonts w:ascii="Arial" w:hAnsi="Arial" w:cs="Arial"/>
                <w:sz w:val="15"/>
                <w:szCs w:val="15"/>
              </w:rPr>
            </w:pPr>
            <w:r w:rsidRPr="00251EA9">
              <w:rPr>
                <w:rFonts w:ascii="Arial" w:hAnsi="Arial" w:cs="Arial"/>
                <w:sz w:val="15"/>
                <w:szCs w:val="15"/>
              </w:rPr>
              <w:t>The overall infection rate after cranioplasty was 7.86%.</w:t>
            </w:r>
          </w:p>
        </w:tc>
        <w:tc>
          <w:tcPr>
            <w:tcW w:w="1701" w:type="dxa"/>
          </w:tcPr>
          <w:p w14:paraId="4B9EE571" w14:textId="4A3F16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AD06906" w14:textId="77777777" w:rsidTr="00A77951">
        <w:trPr>
          <w:trHeight w:val="586"/>
        </w:trPr>
        <w:tc>
          <w:tcPr>
            <w:tcW w:w="992" w:type="dxa"/>
          </w:tcPr>
          <w:p w14:paraId="20157A52" w14:textId="044F11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Lee J.K. et al., 2012</w:t>
            </w:r>
          </w:p>
        </w:tc>
        <w:tc>
          <w:tcPr>
            <w:tcW w:w="851" w:type="dxa"/>
          </w:tcPr>
          <w:p w14:paraId="68D89311" w14:textId="1B51DDA7" w:rsidR="006E5533" w:rsidRPr="00A77951" w:rsidRDefault="006E5533" w:rsidP="006E5533">
            <w:pPr>
              <w:spacing w:line="360" w:lineRule="auto"/>
              <w:contextualSpacing/>
              <w:rPr>
                <w:rFonts w:ascii="Arial" w:hAnsi="Arial" w:cs="Arial"/>
                <w:sz w:val="15"/>
                <w:szCs w:val="15"/>
              </w:rPr>
            </w:pPr>
            <w:hyperlink r:id="rId249" w:history="1">
              <w:r w:rsidRPr="00A77951">
                <w:rPr>
                  <w:rStyle w:val="Hyperlink"/>
                  <w:rFonts w:ascii="Arial" w:hAnsi="Arial" w:cs="Arial"/>
                  <w:sz w:val="15"/>
                  <w:szCs w:val="15"/>
                </w:rPr>
                <w:t>10.3346/jkms.2012.27.12.1563</w:t>
              </w:r>
            </w:hyperlink>
          </w:p>
        </w:tc>
        <w:tc>
          <w:tcPr>
            <w:tcW w:w="851" w:type="dxa"/>
          </w:tcPr>
          <w:p w14:paraId="73026E5B" w14:textId="41DDA6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3F509FB5" w14:textId="75CBEB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30BA5F8" w14:textId="661E5F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40EACBF3" w14:textId="6B7767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0A9EED3E" w14:textId="1FBE1C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estimate the infection rate of the consecutive shunt series in children over 6-years at a single centre and investigated the risk factors, bacterial pathogens and their antimicrobial susceptibility patterns, the treatment modalities, and clinical outcome.</w:t>
            </w:r>
          </w:p>
        </w:tc>
        <w:tc>
          <w:tcPr>
            <w:tcW w:w="1134" w:type="dxa"/>
          </w:tcPr>
          <w:p w14:paraId="0E000D56" w14:textId="2ED255EA" w:rsidR="006E5533" w:rsidRPr="00251EA9" w:rsidRDefault="006E5533" w:rsidP="006E5533">
            <w:pPr>
              <w:spacing w:line="360" w:lineRule="auto"/>
              <w:contextualSpacing/>
              <w:rPr>
                <w:rFonts w:ascii="Arial" w:hAnsi="Arial" w:cs="Arial"/>
                <w:sz w:val="15"/>
                <w:szCs w:val="15"/>
              </w:rPr>
            </w:pPr>
          </w:p>
        </w:tc>
        <w:tc>
          <w:tcPr>
            <w:tcW w:w="992" w:type="dxa"/>
          </w:tcPr>
          <w:p w14:paraId="330C5D5B" w14:textId="27CBF3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3BCAE8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Identification of a bacterial pathogen from the reservoir CSF/ reservoir CSF pleocytosis (more than 50 leukocytes per cubic millimetre) </w:t>
            </w:r>
          </w:p>
          <w:p w14:paraId="4880AD1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2. Positive blood culture </w:t>
            </w:r>
          </w:p>
          <w:p w14:paraId="0B7E083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3. Fever</w:t>
            </w:r>
          </w:p>
          <w:p w14:paraId="7D0E78F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4. Neurologic symptoms</w:t>
            </w:r>
          </w:p>
          <w:p w14:paraId="2F43FBD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5. Abdominal symptoms</w:t>
            </w:r>
          </w:p>
          <w:p w14:paraId="7C663FFA" w14:textId="5E214C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6. Shunt malfunction</w:t>
            </w:r>
          </w:p>
        </w:tc>
        <w:tc>
          <w:tcPr>
            <w:tcW w:w="2693" w:type="dxa"/>
          </w:tcPr>
          <w:p w14:paraId="79B14471" w14:textId="3A266CB3" w:rsidR="006E5533" w:rsidRPr="00251EA9" w:rsidRDefault="006E5533" w:rsidP="006E5533">
            <w:pPr>
              <w:rPr>
                <w:rFonts w:ascii="Arial" w:hAnsi="Arial" w:cs="Arial"/>
                <w:sz w:val="15"/>
                <w:szCs w:val="15"/>
              </w:rPr>
            </w:pPr>
            <w:r w:rsidRPr="00251EA9">
              <w:rPr>
                <w:rFonts w:ascii="Arial" w:hAnsi="Arial" w:cs="Arial"/>
                <w:sz w:val="15"/>
                <w:szCs w:val="15"/>
              </w:rPr>
              <w:t xml:space="preserve">Of the 333 inserted shunts, 35 shunts (10.5%) became infected, which represented an infection rate of 0.075 infection cases per shunt per year. </w:t>
            </w:r>
          </w:p>
        </w:tc>
        <w:tc>
          <w:tcPr>
            <w:tcW w:w="1701" w:type="dxa"/>
          </w:tcPr>
          <w:p w14:paraId="209B8F2D" w14:textId="76D834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5902EB9" w14:textId="77777777" w:rsidTr="00A77951">
        <w:trPr>
          <w:trHeight w:val="586"/>
        </w:trPr>
        <w:tc>
          <w:tcPr>
            <w:tcW w:w="992" w:type="dxa"/>
          </w:tcPr>
          <w:p w14:paraId="5F4D6565" w14:textId="752823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Lee J.A. et al., 2022</w:t>
            </w:r>
          </w:p>
        </w:tc>
        <w:tc>
          <w:tcPr>
            <w:tcW w:w="851" w:type="dxa"/>
          </w:tcPr>
          <w:p w14:paraId="20A5F2BA" w14:textId="2EB111D5" w:rsidR="006E5533" w:rsidRPr="00A77951" w:rsidRDefault="006E5533" w:rsidP="006E5533">
            <w:pPr>
              <w:spacing w:line="360" w:lineRule="auto"/>
              <w:contextualSpacing/>
              <w:rPr>
                <w:rFonts w:ascii="Arial" w:hAnsi="Arial" w:cs="Arial"/>
                <w:sz w:val="15"/>
                <w:szCs w:val="15"/>
              </w:rPr>
            </w:pPr>
            <w:hyperlink r:id="rId250" w:history="1">
              <w:r w:rsidRPr="00A77951">
                <w:rPr>
                  <w:rStyle w:val="Hyperlink"/>
                  <w:rFonts w:ascii="Arial" w:hAnsi="Arial" w:cs="Arial"/>
                  <w:sz w:val="15"/>
                  <w:szCs w:val="15"/>
                </w:rPr>
                <w:t>10.1016/j.wneu.2022.07.013</w:t>
              </w:r>
            </w:hyperlink>
          </w:p>
        </w:tc>
        <w:tc>
          <w:tcPr>
            <w:tcW w:w="851" w:type="dxa"/>
          </w:tcPr>
          <w:p w14:paraId="3737CA61" w14:textId="1F92F6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725BBA49" w14:textId="192A60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406748F" w14:textId="0F5333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6B27D79" w14:textId="734394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48845789" w14:textId="144E37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analyse the clinical outcomes from 1 to ≥5 years after microvascular decompression in </w:t>
            </w:r>
            <w:r w:rsidRPr="00251EA9">
              <w:rPr>
                <w:rFonts w:ascii="Arial" w:hAnsi="Arial" w:cs="Arial"/>
                <w:sz w:val="15"/>
                <w:szCs w:val="15"/>
              </w:rPr>
              <w:lastRenderedPageBreak/>
              <w:t>patients with hemifacial spasm.</w:t>
            </w:r>
          </w:p>
        </w:tc>
        <w:tc>
          <w:tcPr>
            <w:tcW w:w="1134" w:type="dxa"/>
          </w:tcPr>
          <w:p w14:paraId="181EEEA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5B71665" w14:textId="112421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BE31FB3" w14:textId="0DA326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343C502" w14:textId="2C2F3910" w:rsidR="006E5533" w:rsidRPr="00251EA9" w:rsidRDefault="006E5533" w:rsidP="006E5533">
            <w:pPr>
              <w:rPr>
                <w:rFonts w:ascii="Arial" w:hAnsi="Arial" w:cs="Arial"/>
                <w:sz w:val="15"/>
                <w:szCs w:val="15"/>
              </w:rPr>
            </w:pPr>
            <w:r w:rsidRPr="00251EA9">
              <w:rPr>
                <w:rFonts w:ascii="Arial" w:hAnsi="Arial" w:cs="Arial"/>
                <w:sz w:val="15"/>
                <w:szCs w:val="15"/>
              </w:rPr>
              <w:t>Reported a total of 4 cases of wound infections.</w:t>
            </w:r>
          </w:p>
        </w:tc>
        <w:tc>
          <w:tcPr>
            <w:tcW w:w="1701" w:type="dxa"/>
          </w:tcPr>
          <w:p w14:paraId="79E9B34B" w14:textId="4341B5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84DD0A5" w14:textId="77777777" w:rsidTr="00A77951">
        <w:trPr>
          <w:trHeight w:val="586"/>
        </w:trPr>
        <w:tc>
          <w:tcPr>
            <w:tcW w:w="992" w:type="dxa"/>
          </w:tcPr>
          <w:p w14:paraId="1D439AF4" w14:textId="1C38A8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Lee M.H. et al., 2015</w:t>
            </w:r>
          </w:p>
        </w:tc>
        <w:tc>
          <w:tcPr>
            <w:tcW w:w="851" w:type="dxa"/>
          </w:tcPr>
          <w:p w14:paraId="324E0A23" w14:textId="5A05DAC4" w:rsidR="006E5533" w:rsidRPr="00A77951" w:rsidRDefault="006E5533" w:rsidP="006E5533">
            <w:pPr>
              <w:spacing w:line="360" w:lineRule="auto"/>
              <w:contextualSpacing/>
              <w:rPr>
                <w:rFonts w:ascii="Arial" w:hAnsi="Arial" w:cs="Arial"/>
                <w:sz w:val="15"/>
                <w:szCs w:val="15"/>
              </w:rPr>
            </w:pPr>
            <w:hyperlink r:id="rId251" w:history="1">
              <w:r w:rsidRPr="00A77951">
                <w:rPr>
                  <w:rStyle w:val="Hyperlink"/>
                  <w:rFonts w:ascii="Arial" w:hAnsi="Arial" w:cs="Arial"/>
                  <w:sz w:val="15"/>
                  <w:szCs w:val="15"/>
                </w:rPr>
                <w:t>10.1007/s10143-015-0666-7</w:t>
              </w:r>
            </w:hyperlink>
          </w:p>
        </w:tc>
        <w:tc>
          <w:tcPr>
            <w:tcW w:w="851" w:type="dxa"/>
          </w:tcPr>
          <w:p w14:paraId="459C451A" w14:textId="192BA1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Korea</w:t>
            </w:r>
          </w:p>
        </w:tc>
        <w:tc>
          <w:tcPr>
            <w:tcW w:w="1134" w:type="dxa"/>
          </w:tcPr>
          <w:p w14:paraId="1713D4B5" w14:textId="23E418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ED3EA8F" w14:textId="492E91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2DA62BD" w14:textId="437A8C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1F0AD0FE" w14:textId="22B9AA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clinical characteristics of possible complications after microvascular decompression</w:t>
            </w:r>
            <w:r w:rsidRPr="00251EA9">
              <w:rPr>
                <w:rFonts w:ascii="Arial" w:hAnsi="Arial" w:cs="Arial"/>
                <w:sz w:val="15"/>
                <w:szCs w:val="15"/>
              </w:rPr>
              <w:br/>
              <w:t xml:space="preserve">for hemifacial spasm and to establish appropriate management concept of these complications. </w:t>
            </w:r>
          </w:p>
        </w:tc>
        <w:tc>
          <w:tcPr>
            <w:tcW w:w="1134" w:type="dxa"/>
          </w:tcPr>
          <w:p w14:paraId="7D005C10" w14:textId="47C1C6CD" w:rsidR="006E5533" w:rsidRPr="00251EA9" w:rsidRDefault="006E5533" w:rsidP="006E5533">
            <w:pPr>
              <w:spacing w:line="360" w:lineRule="auto"/>
              <w:contextualSpacing/>
              <w:rPr>
                <w:rFonts w:ascii="Arial" w:hAnsi="Arial" w:cs="Arial"/>
                <w:sz w:val="15"/>
                <w:szCs w:val="15"/>
              </w:rPr>
            </w:pPr>
          </w:p>
        </w:tc>
        <w:tc>
          <w:tcPr>
            <w:tcW w:w="992" w:type="dxa"/>
          </w:tcPr>
          <w:p w14:paraId="11D8D012" w14:textId="14CB2D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5B2F890" w14:textId="587830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DF684B9" w14:textId="042D0787" w:rsidR="006E5533" w:rsidRPr="00251EA9" w:rsidRDefault="006E5533" w:rsidP="006E5533">
            <w:pPr>
              <w:rPr>
                <w:rFonts w:ascii="Arial" w:hAnsi="Arial" w:cs="Arial"/>
                <w:sz w:val="15"/>
                <w:szCs w:val="15"/>
              </w:rPr>
            </w:pPr>
            <w:r w:rsidRPr="00251EA9">
              <w:rPr>
                <w:rFonts w:ascii="Arial" w:hAnsi="Arial" w:cs="Arial"/>
                <w:sz w:val="15"/>
                <w:szCs w:val="15"/>
              </w:rPr>
              <w:t xml:space="preserve">Five cases had wound infections. </w:t>
            </w:r>
          </w:p>
        </w:tc>
        <w:tc>
          <w:tcPr>
            <w:tcW w:w="1701" w:type="dxa"/>
          </w:tcPr>
          <w:p w14:paraId="754EBA4B" w14:textId="1510D6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24A5316" w14:textId="77777777" w:rsidTr="00A77951">
        <w:trPr>
          <w:trHeight w:val="586"/>
        </w:trPr>
        <w:tc>
          <w:tcPr>
            <w:tcW w:w="992" w:type="dxa"/>
          </w:tcPr>
          <w:p w14:paraId="25E8CCE6" w14:textId="647C42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Lee S. et al., 2019</w:t>
            </w:r>
          </w:p>
        </w:tc>
        <w:tc>
          <w:tcPr>
            <w:tcW w:w="851" w:type="dxa"/>
          </w:tcPr>
          <w:p w14:paraId="306E87F8" w14:textId="2DA6687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 xml:space="preserve"> 10.1016/j.wneu.2019.06.155</w:t>
            </w:r>
          </w:p>
        </w:tc>
        <w:tc>
          <w:tcPr>
            <w:tcW w:w="851" w:type="dxa"/>
          </w:tcPr>
          <w:p w14:paraId="6F095557" w14:textId="060C4F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Korea</w:t>
            </w:r>
          </w:p>
        </w:tc>
        <w:tc>
          <w:tcPr>
            <w:tcW w:w="1134" w:type="dxa"/>
          </w:tcPr>
          <w:p w14:paraId="541BD6E0" w14:textId="483B39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B0F3B59" w14:textId="4A4B44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264955C" w14:textId="7B9928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07C29D9A" w14:textId="0B3FA1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vascular complications in posterior fossa surgery to determine the incidence, risk factors, prognosis, and preventive measures involved.</w:t>
            </w:r>
          </w:p>
        </w:tc>
        <w:tc>
          <w:tcPr>
            <w:tcW w:w="1134" w:type="dxa"/>
          </w:tcPr>
          <w:p w14:paraId="5024D2BE" w14:textId="3A21D8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2FB5ACE6" w14:textId="6D4D19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7B6C047" w14:textId="6A70BD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8FB63FE" w14:textId="4A1945AD" w:rsidR="006E5533" w:rsidRPr="00251EA9" w:rsidRDefault="006E5533" w:rsidP="006E5533">
            <w:pPr>
              <w:rPr>
                <w:rFonts w:ascii="Arial" w:hAnsi="Arial" w:cs="Arial"/>
                <w:sz w:val="15"/>
                <w:szCs w:val="15"/>
              </w:rPr>
            </w:pPr>
            <w:r w:rsidRPr="00251EA9">
              <w:rPr>
                <w:rFonts w:ascii="Arial" w:hAnsi="Arial" w:cs="Arial"/>
                <w:sz w:val="15"/>
                <w:szCs w:val="15"/>
              </w:rPr>
              <w:t>Surgical wound infection occurred in 1 patient who then underwent a revision surgery.</w:t>
            </w:r>
          </w:p>
        </w:tc>
        <w:tc>
          <w:tcPr>
            <w:tcW w:w="1701" w:type="dxa"/>
          </w:tcPr>
          <w:p w14:paraId="0F37FF50" w14:textId="0B5239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6C08A62" w14:textId="77777777" w:rsidTr="00A77951">
        <w:trPr>
          <w:trHeight w:val="586"/>
        </w:trPr>
        <w:tc>
          <w:tcPr>
            <w:tcW w:w="992" w:type="dxa"/>
          </w:tcPr>
          <w:p w14:paraId="4A35472A" w14:textId="6F7A33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Lefebvre J. et al., 2017</w:t>
            </w:r>
          </w:p>
        </w:tc>
        <w:tc>
          <w:tcPr>
            <w:tcW w:w="851" w:type="dxa"/>
          </w:tcPr>
          <w:p w14:paraId="414F435C" w14:textId="64039B10" w:rsidR="006E5533" w:rsidRPr="00A77951" w:rsidRDefault="006E5533" w:rsidP="006E5533">
            <w:pPr>
              <w:spacing w:line="360" w:lineRule="auto"/>
              <w:contextualSpacing/>
              <w:rPr>
                <w:rFonts w:ascii="Arial" w:hAnsi="Arial" w:cs="Arial"/>
                <w:sz w:val="15"/>
                <w:szCs w:val="15"/>
              </w:rPr>
            </w:pPr>
            <w:hyperlink r:id="rId252" w:history="1">
              <w:r w:rsidRPr="00A77951">
                <w:rPr>
                  <w:rStyle w:val="Hyperlink"/>
                  <w:rFonts w:ascii="Arial" w:hAnsi="Arial" w:cs="Arial"/>
                  <w:sz w:val="15"/>
                  <w:szCs w:val="15"/>
                </w:rPr>
                <w:t>10.1016/j.jhin.2016.11.019</w:t>
              </w:r>
            </w:hyperlink>
          </w:p>
        </w:tc>
        <w:tc>
          <w:tcPr>
            <w:tcW w:w="851" w:type="dxa"/>
          </w:tcPr>
          <w:p w14:paraId="78F7EAC6" w14:textId="3F334E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59F6A9EF" w14:textId="2E9054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66E22757" w14:textId="566355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D0C1591" w14:textId="1C656C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23A410CD" w14:textId="6849C7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whether identification of Staphylococcus aureus (SA) nasal carriers followed by nasal mupirocin ointment and chlorhexidine soap reduced SSI among 182 patients undergoing deep brain stimulation.</w:t>
            </w:r>
          </w:p>
        </w:tc>
        <w:tc>
          <w:tcPr>
            <w:tcW w:w="1134" w:type="dxa"/>
          </w:tcPr>
          <w:p w14:paraId="682559FE" w14:textId="71726E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Control group vs screening group.</w:t>
            </w:r>
          </w:p>
        </w:tc>
        <w:tc>
          <w:tcPr>
            <w:tcW w:w="992" w:type="dxa"/>
          </w:tcPr>
          <w:p w14:paraId="7BFA5716" w14:textId="55F793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DEBE3D2" w14:textId="5CBE86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6D8FE0CE" w14:textId="3A0C7357" w:rsidR="006E5533" w:rsidRPr="00251EA9" w:rsidRDefault="006E5533" w:rsidP="006E5533">
            <w:pPr>
              <w:rPr>
                <w:rFonts w:ascii="Arial" w:hAnsi="Arial" w:cs="Arial"/>
                <w:sz w:val="15"/>
                <w:szCs w:val="15"/>
              </w:rPr>
            </w:pPr>
            <w:r w:rsidRPr="00251EA9">
              <w:rPr>
                <w:rFonts w:ascii="Arial" w:hAnsi="Arial" w:cs="Arial"/>
                <w:sz w:val="15"/>
                <w:szCs w:val="15"/>
              </w:rPr>
              <w:t>Results demonstrated significant differences between the two groups: one SSI occurred in the screening group (1.6%) compared to 13 infections in the control group (10.9%).  SSIs in the control group were due to SA in eight patients (61.5%).</w:t>
            </w:r>
          </w:p>
        </w:tc>
        <w:tc>
          <w:tcPr>
            <w:tcW w:w="1701" w:type="dxa"/>
          </w:tcPr>
          <w:p w14:paraId="43B01FCB" w14:textId="5BFBD3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17B1C46" w14:textId="77777777" w:rsidTr="00A77951">
        <w:trPr>
          <w:trHeight w:val="586"/>
        </w:trPr>
        <w:tc>
          <w:tcPr>
            <w:tcW w:w="992" w:type="dxa"/>
          </w:tcPr>
          <w:p w14:paraId="177C9115" w14:textId="591686F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Lemee</w:t>
            </w:r>
            <w:proofErr w:type="spellEnd"/>
            <w:r w:rsidRPr="00251EA9">
              <w:rPr>
                <w:rFonts w:ascii="Arial" w:hAnsi="Arial" w:cs="Arial"/>
                <w:sz w:val="15"/>
                <w:szCs w:val="15"/>
              </w:rPr>
              <w:t xml:space="preserve"> J.-M. et al., 2019</w:t>
            </w:r>
          </w:p>
        </w:tc>
        <w:tc>
          <w:tcPr>
            <w:tcW w:w="851" w:type="dxa"/>
          </w:tcPr>
          <w:p w14:paraId="30B9ED3D" w14:textId="7960A73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10.1016/j.wneu.2019.05.010</w:t>
            </w:r>
          </w:p>
        </w:tc>
        <w:tc>
          <w:tcPr>
            <w:tcW w:w="851" w:type="dxa"/>
          </w:tcPr>
          <w:p w14:paraId="20D696BE" w14:textId="219F3F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Norway</w:t>
            </w:r>
          </w:p>
        </w:tc>
        <w:tc>
          <w:tcPr>
            <w:tcW w:w="1134" w:type="dxa"/>
          </w:tcPr>
          <w:p w14:paraId="6361AEC5" w14:textId="20234D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57A9ACD" w14:textId="49297F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B917F24" w14:textId="1938DC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7C76BA8" w14:textId="75B714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the early complications after surgery intervening in a large population-based </w:t>
            </w:r>
            <w:r w:rsidRPr="00251EA9">
              <w:rPr>
                <w:rFonts w:ascii="Arial" w:hAnsi="Arial" w:cs="Arial"/>
                <w:sz w:val="15"/>
                <w:szCs w:val="15"/>
              </w:rPr>
              <w:lastRenderedPageBreak/>
              <w:t>cohort of consecutive patients undergoing resection of intracranial meningiomas.</w:t>
            </w:r>
          </w:p>
        </w:tc>
        <w:tc>
          <w:tcPr>
            <w:tcW w:w="1134" w:type="dxa"/>
          </w:tcPr>
          <w:p w14:paraId="1879F53C" w14:textId="0B887504" w:rsidR="006E5533" w:rsidRPr="00251EA9" w:rsidRDefault="006E5533" w:rsidP="006E5533">
            <w:pPr>
              <w:spacing w:line="360" w:lineRule="auto"/>
              <w:contextualSpacing/>
              <w:rPr>
                <w:rFonts w:ascii="Arial" w:hAnsi="Arial" w:cs="Arial"/>
                <w:sz w:val="15"/>
                <w:szCs w:val="15"/>
              </w:rPr>
            </w:pPr>
          </w:p>
        </w:tc>
        <w:tc>
          <w:tcPr>
            <w:tcW w:w="992" w:type="dxa"/>
          </w:tcPr>
          <w:p w14:paraId="19C1B32D" w14:textId="7E1D08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703778D" w14:textId="4DDE92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B0E2A86" w14:textId="1EE11274" w:rsidR="006E5533" w:rsidRPr="00251EA9" w:rsidRDefault="006E5533" w:rsidP="006E5533">
            <w:pPr>
              <w:rPr>
                <w:rFonts w:ascii="Arial" w:hAnsi="Arial" w:cs="Arial"/>
                <w:sz w:val="15"/>
                <w:szCs w:val="15"/>
              </w:rPr>
            </w:pPr>
            <w:r w:rsidRPr="00251EA9">
              <w:rPr>
                <w:rFonts w:ascii="Arial" w:hAnsi="Arial" w:cs="Arial"/>
                <w:sz w:val="15"/>
                <w:szCs w:val="15"/>
              </w:rPr>
              <w:t>A total of 38 patients (2.6%) had a postoperative infection of any type requiring reoperation.</w:t>
            </w:r>
          </w:p>
        </w:tc>
        <w:tc>
          <w:tcPr>
            <w:tcW w:w="1701" w:type="dxa"/>
          </w:tcPr>
          <w:p w14:paraId="09822967" w14:textId="47A38E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11107D5" w14:textId="77777777" w:rsidTr="00A77951">
        <w:trPr>
          <w:trHeight w:val="586"/>
        </w:trPr>
        <w:tc>
          <w:tcPr>
            <w:tcW w:w="992" w:type="dxa"/>
          </w:tcPr>
          <w:p w14:paraId="6256A8AF" w14:textId="14ADB2F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Lepanluoma</w:t>
            </w:r>
            <w:proofErr w:type="spellEnd"/>
            <w:r w:rsidRPr="00251EA9">
              <w:rPr>
                <w:rFonts w:ascii="Arial" w:hAnsi="Arial" w:cs="Arial"/>
                <w:sz w:val="15"/>
                <w:szCs w:val="15"/>
              </w:rPr>
              <w:t xml:space="preserve"> M. et al., 2015</w:t>
            </w:r>
          </w:p>
        </w:tc>
        <w:tc>
          <w:tcPr>
            <w:tcW w:w="851" w:type="dxa"/>
          </w:tcPr>
          <w:p w14:paraId="0AEC5821" w14:textId="0BFC43E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10.3171/2014.</w:t>
            </w:r>
            <w:proofErr w:type="gramStart"/>
            <w:r w:rsidRPr="00A77951">
              <w:rPr>
                <w:rFonts w:ascii="Arial" w:hAnsi="Arial" w:cs="Arial"/>
                <w:sz w:val="15"/>
                <w:szCs w:val="15"/>
              </w:rPr>
              <w:t>12.JNS</w:t>
            </w:r>
            <w:proofErr w:type="gramEnd"/>
            <w:r w:rsidRPr="00A77951">
              <w:rPr>
                <w:rFonts w:ascii="Arial" w:hAnsi="Arial" w:cs="Arial"/>
                <w:sz w:val="15"/>
                <w:szCs w:val="15"/>
              </w:rPr>
              <w:t>141077</w:t>
            </w:r>
          </w:p>
        </w:tc>
        <w:tc>
          <w:tcPr>
            <w:tcW w:w="851" w:type="dxa"/>
          </w:tcPr>
          <w:p w14:paraId="31922DEC" w14:textId="35EAD9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Finland</w:t>
            </w:r>
          </w:p>
        </w:tc>
        <w:tc>
          <w:tcPr>
            <w:tcW w:w="1134" w:type="dxa"/>
          </w:tcPr>
          <w:p w14:paraId="4FF8833C" w14:textId="1A4441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BCF8019" w14:textId="2A0F84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271F6C1" w14:textId="115561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59142261" w14:textId="5A6A88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the use of the WHO surgical checklist would have an impact on the number and causes of neurosurgical complications leading to a reoperation.</w:t>
            </w:r>
          </w:p>
        </w:tc>
        <w:tc>
          <w:tcPr>
            <w:tcW w:w="1134" w:type="dxa"/>
          </w:tcPr>
          <w:p w14:paraId="7477BC07" w14:textId="440FE7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vs without the use of the WHO surgical checklist</w:t>
            </w:r>
          </w:p>
        </w:tc>
        <w:tc>
          <w:tcPr>
            <w:tcW w:w="992" w:type="dxa"/>
          </w:tcPr>
          <w:p w14:paraId="30753BC0" w14:textId="5B3F3C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C81FB1C" w14:textId="7AA750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18B2A27" w14:textId="105E624C" w:rsidR="006E5533" w:rsidRPr="00251EA9" w:rsidRDefault="006E5533" w:rsidP="006E5533">
            <w:pPr>
              <w:rPr>
                <w:rFonts w:ascii="Arial" w:hAnsi="Arial" w:cs="Arial"/>
                <w:sz w:val="15"/>
                <w:szCs w:val="15"/>
              </w:rPr>
            </w:pPr>
            <w:r w:rsidRPr="00251EA9">
              <w:rPr>
                <w:rFonts w:ascii="Arial" w:hAnsi="Arial" w:cs="Arial"/>
                <w:sz w:val="15"/>
                <w:szCs w:val="15"/>
              </w:rPr>
              <w:t>There was a significant decrease in the rate of preventable infections associated with reoperations with the use of the WHO surgical checklist.</w:t>
            </w:r>
          </w:p>
        </w:tc>
        <w:tc>
          <w:tcPr>
            <w:tcW w:w="1701" w:type="dxa"/>
          </w:tcPr>
          <w:p w14:paraId="12DCF0DD" w14:textId="2BBDF5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55534D3" w14:textId="77777777" w:rsidTr="00A77951">
        <w:trPr>
          <w:trHeight w:val="586"/>
        </w:trPr>
        <w:tc>
          <w:tcPr>
            <w:tcW w:w="992" w:type="dxa"/>
          </w:tcPr>
          <w:p w14:paraId="5893C4D2" w14:textId="26E4BFB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Lepski</w:t>
            </w:r>
            <w:proofErr w:type="spellEnd"/>
            <w:r w:rsidRPr="00251EA9">
              <w:rPr>
                <w:rFonts w:ascii="Arial" w:hAnsi="Arial" w:cs="Arial"/>
                <w:sz w:val="15"/>
                <w:szCs w:val="15"/>
              </w:rPr>
              <w:t xml:space="preserve"> G. et al., 2021</w:t>
            </w:r>
          </w:p>
        </w:tc>
        <w:tc>
          <w:tcPr>
            <w:tcW w:w="851" w:type="dxa"/>
          </w:tcPr>
          <w:p w14:paraId="48076A78" w14:textId="67C68548"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10.1016/j.clineuro.2021.106599</w:t>
            </w:r>
          </w:p>
        </w:tc>
        <w:tc>
          <w:tcPr>
            <w:tcW w:w="851" w:type="dxa"/>
          </w:tcPr>
          <w:p w14:paraId="37F28C93" w14:textId="40428F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Brazil</w:t>
            </w:r>
          </w:p>
        </w:tc>
        <w:tc>
          <w:tcPr>
            <w:tcW w:w="1134" w:type="dxa"/>
          </w:tcPr>
          <w:p w14:paraId="6F07A689" w14:textId="5BDB1A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38CCC62" w14:textId="71F0C0AB" w:rsidR="006E5533" w:rsidRPr="00251EA9" w:rsidRDefault="006E5533" w:rsidP="006E5533">
            <w:pPr>
              <w:tabs>
                <w:tab w:val="left" w:pos="804"/>
              </w:tabs>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B8993C3" w14:textId="24A5C4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7F6503F" w14:textId="70C768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risk factors for infection and categorize patients according to risk rate.</w:t>
            </w:r>
          </w:p>
        </w:tc>
        <w:tc>
          <w:tcPr>
            <w:tcW w:w="1134" w:type="dxa"/>
          </w:tcPr>
          <w:p w14:paraId="0F714167" w14:textId="1A07599D" w:rsidR="006E5533" w:rsidRPr="00251EA9" w:rsidRDefault="006E5533" w:rsidP="006E5533">
            <w:pPr>
              <w:spacing w:line="360" w:lineRule="auto"/>
              <w:contextualSpacing/>
              <w:rPr>
                <w:rFonts w:ascii="Arial" w:hAnsi="Arial" w:cs="Arial"/>
                <w:sz w:val="15"/>
                <w:szCs w:val="15"/>
              </w:rPr>
            </w:pPr>
          </w:p>
        </w:tc>
        <w:tc>
          <w:tcPr>
            <w:tcW w:w="992" w:type="dxa"/>
          </w:tcPr>
          <w:p w14:paraId="06E6CEF5" w14:textId="215AE2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52969F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Within 30 days after surgery, divided into 3 major categories: </w:t>
            </w:r>
          </w:p>
          <w:p w14:paraId="00D37BB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Superficial/ wound infections</w:t>
            </w:r>
          </w:p>
          <w:p w14:paraId="4C3E7B9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2. Meningitis </w:t>
            </w:r>
          </w:p>
          <w:p w14:paraId="5F9E4BDE" w14:textId="57230461"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3. Deep/</w:t>
            </w:r>
            <w:r w:rsidRPr="00251EA9">
              <w:rPr>
                <w:rFonts w:ascii="Arial" w:hAnsi="Arial" w:cs="Arial"/>
                <w:sz w:val="15"/>
                <w:szCs w:val="15"/>
              </w:rPr>
              <w:br/>
              <w:t>intracranial (empyema or intracerebral abscess). Meningitis was</w:t>
            </w:r>
            <w:r w:rsidR="00153FDE">
              <w:rPr>
                <w:rFonts w:ascii="Arial" w:hAnsi="Arial" w:cs="Arial"/>
                <w:sz w:val="15"/>
                <w:szCs w:val="15"/>
              </w:rPr>
              <w:t xml:space="preserve"> </w:t>
            </w:r>
            <w:r w:rsidRPr="00251EA9">
              <w:rPr>
                <w:rFonts w:ascii="Arial" w:hAnsi="Arial" w:cs="Arial"/>
                <w:sz w:val="15"/>
                <w:szCs w:val="15"/>
              </w:rPr>
              <w:t>confirmed if the patient had a</w:t>
            </w:r>
            <w:r w:rsidR="00153FDE">
              <w:rPr>
                <w:rFonts w:ascii="Arial" w:hAnsi="Arial" w:cs="Arial"/>
                <w:sz w:val="15"/>
                <w:szCs w:val="15"/>
              </w:rPr>
              <w:t xml:space="preserve"> </w:t>
            </w:r>
            <w:r w:rsidRPr="00251EA9">
              <w:rPr>
                <w:rFonts w:ascii="Arial" w:hAnsi="Arial" w:cs="Arial"/>
                <w:sz w:val="15"/>
                <w:szCs w:val="15"/>
              </w:rPr>
              <w:t>confirmed or probable diagnosis.</w:t>
            </w:r>
          </w:p>
        </w:tc>
        <w:tc>
          <w:tcPr>
            <w:tcW w:w="2693" w:type="dxa"/>
          </w:tcPr>
          <w:p w14:paraId="56D16CB2" w14:textId="5D8A4DC5" w:rsidR="006E5533" w:rsidRPr="00251EA9" w:rsidRDefault="006E5533" w:rsidP="006E5533">
            <w:pPr>
              <w:rPr>
                <w:rFonts w:ascii="Arial" w:hAnsi="Arial" w:cs="Arial"/>
                <w:sz w:val="15"/>
                <w:szCs w:val="15"/>
              </w:rPr>
            </w:pPr>
            <w:r w:rsidRPr="00251EA9">
              <w:rPr>
                <w:rFonts w:ascii="Arial" w:hAnsi="Arial" w:cs="Arial"/>
                <w:sz w:val="15"/>
                <w:szCs w:val="15"/>
              </w:rPr>
              <w:t>SSI or meningitis was</w:t>
            </w:r>
            <w:r w:rsidRPr="00251EA9">
              <w:rPr>
                <w:rFonts w:ascii="Arial" w:hAnsi="Arial" w:cs="Arial"/>
                <w:sz w:val="15"/>
                <w:szCs w:val="15"/>
              </w:rPr>
              <w:br/>
              <w:t>observed in 53 of the 987 enrolled patients (5.37%). 16% were superficial or wound infections, 40% meningitis and 44% deep or intracranial infections.</w:t>
            </w:r>
          </w:p>
        </w:tc>
        <w:tc>
          <w:tcPr>
            <w:tcW w:w="1701" w:type="dxa"/>
          </w:tcPr>
          <w:p w14:paraId="3B43DBD4" w14:textId="470F71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C2C8C00" w14:textId="77777777" w:rsidTr="00A77951">
        <w:trPr>
          <w:trHeight w:val="586"/>
        </w:trPr>
        <w:tc>
          <w:tcPr>
            <w:tcW w:w="992" w:type="dxa"/>
          </w:tcPr>
          <w:p w14:paraId="57043C22" w14:textId="6B9C8C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Leung G.K. et al., 2007</w:t>
            </w:r>
          </w:p>
        </w:tc>
        <w:tc>
          <w:tcPr>
            <w:tcW w:w="851" w:type="dxa"/>
          </w:tcPr>
          <w:p w14:paraId="28C06F71" w14:textId="45F3FF1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10.1080/02688690701392881</w:t>
            </w:r>
          </w:p>
        </w:tc>
        <w:tc>
          <w:tcPr>
            <w:tcW w:w="851" w:type="dxa"/>
          </w:tcPr>
          <w:p w14:paraId="5883D4E5" w14:textId="3ADE5E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Hong Kong</w:t>
            </w:r>
          </w:p>
        </w:tc>
        <w:tc>
          <w:tcPr>
            <w:tcW w:w="1134" w:type="dxa"/>
          </w:tcPr>
          <w:p w14:paraId="548B2849" w14:textId="2369BD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9956337" w14:textId="45B958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30C27FE" w14:textId="6C1D31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34673495" w14:textId="18A80A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report experience of external ventricular drainage (EVD) with extended subcutaneous tunnel (‘long EVD’) in terms of infection rate and predisposing risk factors.</w:t>
            </w:r>
          </w:p>
        </w:tc>
        <w:tc>
          <w:tcPr>
            <w:tcW w:w="1134" w:type="dxa"/>
          </w:tcPr>
          <w:p w14:paraId="765914F6" w14:textId="0195FA34" w:rsidR="006E5533" w:rsidRPr="00251EA9" w:rsidRDefault="006E5533" w:rsidP="006E5533">
            <w:pPr>
              <w:spacing w:line="360" w:lineRule="auto"/>
              <w:contextualSpacing/>
              <w:rPr>
                <w:rFonts w:ascii="Arial" w:hAnsi="Arial" w:cs="Arial"/>
                <w:sz w:val="15"/>
                <w:szCs w:val="15"/>
              </w:rPr>
            </w:pPr>
          </w:p>
        </w:tc>
        <w:tc>
          <w:tcPr>
            <w:tcW w:w="992" w:type="dxa"/>
          </w:tcPr>
          <w:p w14:paraId="52862397" w14:textId="78D94BB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F104C5E" w14:textId="58A0AA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CSF culture</w:t>
            </w:r>
          </w:p>
        </w:tc>
        <w:tc>
          <w:tcPr>
            <w:tcW w:w="2693" w:type="dxa"/>
          </w:tcPr>
          <w:p w14:paraId="2F4E9D4C" w14:textId="7F75CD8D" w:rsidR="006E5533" w:rsidRPr="00251EA9" w:rsidRDefault="006E5533" w:rsidP="006E5533">
            <w:pPr>
              <w:rPr>
                <w:rFonts w:ascii="Arial" w:hAnsi="Arial" w:cs="Arial"/>
                <w:sz w:val="15"/>
                <w:szCs w:val="15"/>
              </w:rPr>
            </w:pPr>
            <w:r w:rsidRPr="00251EA9">
              <w:rPr>
                <w:rFonts w:ascii="Arial" w:hAnsi="Arial" w:cs="Arial"/>
                <w:sz w:val="15"/>
                <w:szCs w:val="15"/>
              </w:rPr>
              <w:t>7 cases of infection were reported.</w:t>
            </w:r>
          </w:p>
        </w:tc>
        <w:tc>
          <w:tcPr>
            <w:tcW w:w="1701" w:type="dxa"/>
          </w:tcPr>
          <w:p w14:paraId="75F53CDB" w14:textId="0396D8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BE57AE2" w14:textId="77777777" w:rsidTr="00A77951">
        <w:trPr>
          <w:trHeight w:val="586"/>
        </w:trPr>
        <w:tc>
          <w:tcPr>
            <w:tcW w:w="992" w:type="dxa"/>
          </w:tcPr>
          <w:p w14:paraId="476D5699" w14:textId="1300F2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Levi V. et al., 2020</w:t>
            </w:r>
          </w:p>
        </w:tc>
        <w:tc>
          <w:tcPr>
            <w:tcW w:w="851" w:type="dxa"/>
          </w:tcPr>
          <w:p w14:paraId="41731A3E" w14:textId="3C8EBAD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w:t>
            </w:r>
            <w:proofErr w:type="spellStart"/>
            <w:r w:rsidRPr="00A77951">
              <w:rPr>
                <w:rFonts w:ascii="Arial" w:hAnsi="Arial" w:cs="Arial"/>
                <w:sz w:val="15"/>
                <w:szCs w:val="15"/>
              </w:rPr>
              <w:t>ons</w:t>
            </w:r>
            <w:proofErr w:type="spellEnd"/>
            <w:r w:rsidRPr="00A77951">
              <w:rPr>
                <w:rFonts w:ascii="Arial" w:hAnsi="Arial" w:cs="Arial"/>
                <w:sz w:val="15"/>
                <w:szCs w:val="15"/>
              </w:rPr>
              <w:t>/opz118</w:t>
            </w:r>
          </w:p>
        </w:tc>
        <w:tc>
          <w:tcPr>
            <w:tcW w:w="851" w:type="dxa"/>
          </w:tcPr>
          <w:p w14:paraId="48A01455" w14:textId="1459FB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4038D82C" w14:textId="223DB5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5FC9DAE9" w14:textId="1341E4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E00F0F" w14:textId="4735F2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77AE9A4C" w14:textId="5B9895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w:t>
            </w:r>
            <w:proofErr w:type="gramStart"/>
            <w:r w:rsidRPr="00251EA9">
              <w:rPr>
                <w:rFonts w:ascii="Arial" w:hAnsi="Arial" w:cs="Arial"/>
                <w:sz w:val="15"/>
                <w:szCs w:val="15"/>
              </w:rPr>
              <w:t>whether or not</w:t>
            </w:r>
            <w:proofErr w:type="gramEnd"/>
            <w:r w:rsidRPr="00251EA9">
              <w:rPr>
                <w:rFonts w:ascii="Arial" w:hAnsi="Arial" w:cs="Arial"/>
                <w:sz w:val="15"/>
                <w:szCs w:val="15"/>
              </w:rPr>
              <w:t xml:space="preserve"> this novel technique involving IPG catheterisation was more effective than the previous infection management strategy in increasing the rate of intracranial lead salvage after initial partial DBS hardware removal.</w:t>
            </w:r>
          </w:p>
        </w:tc>
        <w:tc>
          <w:tcPr>
            <w:tcW w:w="1134" w:type="dxa"/>
          </w:tcPr>
          <w:p w14:paraId="00624C60" w14:textId="632568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vs without IPG catheter</w:t>
            </w:r>
          </w:p>
        </w:tc>
        <w:tc>
          <w:tcPr>
            <w:tcW w:w="992" w:type="dxa"/>
          </w:tcPr>
          <w:p w14:paraId="5618AE9A" w14:textId="12D12E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BEF3ED7" w14:textId="2C1DF9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Guideline for Prevention of Surgical Site Infection</w:t>
            </w:r>
          </w:p>
        </w:tc>
        <w:tc>
          <w:tcPr>
            <w:tcW w:w="2693" w:type="dxa"/>
          </w:tcPr>
          <w:p w14:paraId="744A6763" w14:textId="0172E853" w:rsidR="006E5533" w:rsidRPr="00251EA9" w:rsidRDefault="006E5533" w:rsidP="006E5533">
            <w:pPr>
              <w:rPr>
                <w:rFonts w:ascii="Arial" w:hAnsi="Arial" w:cs="Arial"/>
                <w:sz w:val="15"/>
                <w:szCs w:val="15"/>
              </w:rPr>
            </w:pPr>
            <w:r w:rsidRPr="00251EA9">
              <w:rPr>
                <w:rFonts w:ascii="Arial" w:hAnsi="Arial" w:cs="Arial"/>
                <w:sz w:val="15"/>
                <w:szCs w:val="15"/>
              </w:rPr>
              <w:t>Twenty-three patients (4%) met the inclusion criteria for DBS hardware-related infections.</w:t>
            </w:r>
          </w:p>
        </w:tc>
        <w:tc>
          <w:tcPr>
            <w:tcW w:w="1701" w:type="dxa"/>
          </w:tcPr>
          <w:p w14:paraId="656D4463" w14:textId="3CD6A9B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36E7151" w14:textId="77777777" w:rsidTr="00A77951">
        <w:trPr>
          <w:trHeight w:val="586"/>
        </w:trPr>
        <w:tc>
          <w:tcPr>
            <w:tcW w:w="992" w:type="dxa"/>
          </w:tcPr>
          <w:p w14:paraId="21472CEF" w14:textId="77BC93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Lewis A. et al., 2017</w:t>
            </w:r>
          </w:p>
        </w:tc>
        <w:tc>
          <w:tcPr>
            <w:tcW w:w="851" w:type="dxa"/>
          </w:tcPr>
          <w:p w14:paraId="00682FF1" w14:textId="4AA3035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10.3171/2016.</w:t>
            </w:r>
            <w:proofErr w:type="gramStart"/>
            <w:r w:rsidRPr="00A77951">
              <w:rPr>
                <w:rFonts w:ascii="Arial" w:hAnsi="Arial" w:cs="Arial"/>
                <w:sz w:val="15"/>
                <w:szCs w:val="15"/>
              </w:rPr>
              <w:t>4.JNS</w:t>
            </w:r>
            <w:proofErr w:type="gramEnd"/>
            <w:r w:rsidRPr="00A77951">
              <w:rPr>
                <w:rFonts w:ascii="Arial" w:hAnsi="Arial" w:cs="Arial"/>
                <w:sz w:val="15"/>
                <w:szCs w:val="15"/>
              </w:rPr>
              <w:t>16275</w:t>
            </w:r>
          </w:p>
        </w:tc>
        <w:tc>
          <w:tcPr>
            <w:tcW w:w="851" w:type="dxa"/>
          </w:tcPr>
          <w:p w14:paraId="42937F1A" w14:textId="6470D3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F7FDDB7" w14:textId="407278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57698414" w14:textId="2A81E3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5FCE1DD" w14:textId="3CDF5E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17192A8" w14:textId="6A7AF4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the effects of eliminating the use of prolonged prophylactic systemic antibiotics (PPSAs) in patients with subdural and </w:t>
            </w:r>
            <w:proofErr w:type="spellStart"/>
            <w:r w:rsidRPr="00251EA9">
              <w:rPr>
                <w:rFonts w:ascii="Arial" w:hAnsi="Arial" w:cs="Arial"/>
                <w:sz w:val="15"/>
                <w:szCs w:val="15"/>
              </w:rPr>
              <w:t>subgaleal</w:t>
            </w:r>
            <w:proofErr w:type="spellEnd"/>
            <w:r w:rsidRPr="00251EA9">
              <w:rPr>
                <w:rFonts w:ascii="Arial" w:hAnsi="Arial" w:cs="Arial"/>
                <w:sz w:val="15"/>
                <w:szCs w:val="15"/>
              </w:rPr>
              <w:t xml:space="preserve"> drains.</w:t>
            </w:r>
          </w:p>
        </w:tc>
        <w:tc>
          <w:tcPr>
            <w:tcW w:w="1134" w:type="dxa"/>
          </w:tcPr>
          <w:p w14:paraId="0D1419CA" w14:textId="7C4777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PPSA vs non PPSA group</w:t>
            </w:r>
          </w:p>
        </w:tc>
        <w:tc>
          <w:tcPr>
            <w:tcW w:w="992" w:type="dxa"/>
          </w:tcPr>
          <w:p w14:paraId="572E1D4B" w14:textId="59FD2A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F26A7F4" w14:textId="136D8E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9061016" w14:textId="2FB29968" w:rsidR="006E5533" w:rsidRPr="00251EA9" w:rsidRDefault="006E5533" w:rsidP="006E5533">
            <w:pPr>
              <w:rPr>
                <w:rFonts w:ascii="Arial" w:hAnsi="Arial" w:cs="Arial"/>
                <w:sz w:val="15"/>
                <w:szCs w:val="15"/>
              </w:rPr>
            </w:pPr>
            <w:r w:rsidRPr="00251EA9">
              <w:rPr>
                <w:rFonts w:ascii="Arial" w:hAnsi="Arial" w:cs="Arial"/>
                <w:sz w:val="15"/>
                <w:szCs w:val="15"/>
              </w:rPr>
              <w:t>The discontinuation of PPSAs did not result in an increase in the frequency of SSI.</w:t>
            </w:r>
          </w:p>
        </w:tc>
        <w:tc>
          <w:tcPr>
            <w:tcW w:w="1701" w:type="dxa"/>
          </w:tcPr>
          <w:p w14:paraId="68A3EAAA" w14:textId="2119A5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9C1F7BD" w14:textId="77777777" w:rsidTr="00A77951">
        <w:trPr>
          <w:trHeight w:val="586"/>
        </w:trPr>
        <w:tc>
          <w:tcPr>
            <w:tcW w:w="992" w:type="dxa"/>
          </w:tcPr>
          <w:p w14:paraId="16DABCFF" w14:textId="7D7D76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Li S. et al., 2024</w:t>
            </w:r>
          </w:p>
        </w:tc>
        <w:tc>
          <w:tcPr>
            <w:tcW w:w="851" w:type="dxa"/>
          </w:tcPr>
          <w:p w14:paraId="08E52B7F" w14:textId="6AC387F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10.1016/j.jclinane.2023.111285</w:t>
            </w:r>
          </w:p>
        </w:tc>
        <w:tc>
          <w:tcPr>
            <w:tcW w:w="851" w:type="dxa"/>
          </w:tcPr>
          <w:p w14:paraId="6091404D" w14:textId="45F377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3F5CB69E" w14:textId="595954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62D6B3C6" w14:textId="1F64A0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1BB8DBE" w14:textId="6AC662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339918E" w14:textId="1957D4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test the hypothesis that tranexamic acid (TXA) does not meaningfully increase the risk of postoperative seizures within 7 days after intracranial tumour resections.</w:t>
            </w:r>
          </w:p>
        </w:tc>
        <w:tc>
          <w:tcPr>
            <w:tcW w:w="1134" w:type="dxa"/>
          </w:tcPr>
          <w:p w14:paraId="0291E522" w14:textId="5989DC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and without TXA</w:t>
            </w:r>
          </w:p>
        </w:tc>
        <w:tc>
          <w:tcPr>
            <w:tcW w:w="992" w:type="dxa"/>
          </w:tcPr>
          <w:p w14:paraId="320FF63C" w14:textId="7AFFC4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9662E12" w14:textId="0D3FC9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00243F3" w14:textId="7D1AD07E" w:rsidR="006E5533" w:rsidRPr="00251EA9" w:rsidRDefault="006E5533" w:rsidP="006E5533">
            <w:pPr>
              <w:rPr>
                <w:rFonts w:ascii="Arial" w:hAnsi="Arial" w:cs="Arial"/>
                <w:sz w:val="15"/>
                <w:szCs w:val="15"/>
              </w:rPr>
            </w:pPr>
            <w:r w:rsidRPr="00251EA9">
              <w:rPr>
                <w:rFonts w:ascii="Arial" w:hAnsi="Arial" w:cs="Arial"/>
                <w:sz w:val="15"/>
                <w:szCs w:val="15"/>
              </w:rPr>
              <w:t>Reported 28 infections in the normal saline group, 26 in the TXA group.</w:t>
            </w:r>
          </w:p>
        </w:tc>
        <w:tc>
          <w:tcPr>
            <w:tcW w:w="1701" w:type="dxa"/>
          </w:tcPr>
          <w:p w14:paraId="01F5B233" w14:textId="68BB9F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713C2E5" w14:textId="77777777" w:rsidTr="00A77951">
        <w:trPr>
          <w:trHeight w:val="586"/>
        </w:trPr>
        <w:tc>
          <w:tcPr>
            <w:tcW w:w="992" w:type="dxa"/>
          </w:tcPr>
          <w:p w14:paraId="79F1F6FB" w14:textId="3D2883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Li T. et al., 2024</w:t>
            </w:r>
          </w:p>
        </w:tc>
        <w:tc>
          <w:tcPr>
            <w:tcW w:w="851" w:type="dxa"/>
          </w:tcPr>
          <w:p w14:paraId="6BD35973" w14:textId="6A437EB2"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10.1007/s10143-024-02287-2</w:t>
            </w:r>
          </w:p>
        </w:tc>
        <w:tc>
          <w:tcPr>
            <w:tcW w:w="851" w:type="dxa"/>
          </w:tcPr>
          <w:p w14:paraId="529CF697" w14:textId="668BF8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6AACDEFC" w14:textId="737953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4F36B7A" w14:textId="3053D1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96ED973" w14:textId="1979BB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C98D81B" w14:textId="2EC91D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impact of postoperative changes in natremia on outcomes specifically in patients undergoing craniotomy.</w:t>
            </w:r>
          </w:p>
        </w:tc>
        <w:tc>
          <w:tcPr>
            <w:tcW w:w="1134" w:type="dxa"/>
          </w:tcPr>
          <w:p w14:paraId="0EA78104"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B0D3E02" w14:textId="53A584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610BE79" w14:textId="3209BC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B680970" w14:textId="3DC45660" w:rsidR="006E5533" w:rsidRPr="00251EA9" w:rsidRDefault="006E5533" w:rsidP="006E5533">
            <w:pPr>
              <w:rPr>
                <w:rFonts w:ascii="Arial" w:hAnsi="Arial" w:cs="Arial"/>
                <w:sz w:val="15"/>
                <w:szCs w:val="15"/>
              </w:rPr>
            </w:pPr>
            <w:r w:rsidRPr="00251EA9">
              <w:rPr>
                <w:rFonts w:ascii="Arial" w:hAnsi="Arial" w:cs="Arial"/>
                <w:sz w:val="15"/>
                <w:szCs w:val="15"/>
              </w:rPr>
              <w:t>No association between postoperative sodium increase and SSI.</w:t>
            </w:r>
          </w:p>
        </w:tc>
        <w:tc>
          <w:tcPr>
            <w:tcW w:w="1701" w:type="dxa"/>
          </w:tcPr>
          <w:p w14:paraId="413EF397" w14:textId="1AEE17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A559472" w14:textId="77777777" w:rsidTr="00A77951">
        <w:trPr>
          <w:trHeight w:val="586"/>
        </w:trPr>
        <w:tc>
          <w:tcPr>
            <w:tcW w:w="992" w:type="dxa"/>
          </w:tcPr>
          <w:p w14:paraId="4FA2864E" w14:textId="2664DD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Li Y. et al., 2020</w:t>
            </w:r>
          </w:p>
        </w:tc>
        <w:tc>
          <w:tcPr>
            <w:tcW w:w="851" w:type="dxa"/>
          </w:tcPr>
          <w:p w14:paraId="062EF1A1" w14:textId="3A60517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10.1016/j.bj.2020.06.004</w:t>
            </w:r>
          </w:p>
        </w:tc>
        <w:tc>
          <w:tcPr>
            <w:tcW w:w="851" w:type="dxa"/>
          </w:tcPr>
          <w:p w14:paraId="29073794" w14:textId="29FACD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Taiwan</w:t>
            </w:r>
          </w:p>
        </w:tc>
        <w:tc>
          <w:tcPr>
            <w:tcW w:w="1134" w:type="dxa"/>
          </w:tcPr>
          <w:p w14:paraId="14EBE90F" w14:textId="75A046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9589215" w14:textId="74C630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5E8FADC" w14:textId="448065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5EC8B7C" w14:textId="0E2A5D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general performance and neurological outcomes of patients with recurrent gliomas who underwent awake craniotomy for</w:t>
            </w:r>
            <w:r w:rsidRPr="00251EA9">
              <w:rPr>
                <w:rFonts w:ascii="Arial" w:hAnsi="Arial" w:cs="Arial"/>
                <w:sz w:val="15"/>
                <w:szCs w:val="15"/>
              </w:rPr>
              <w:br/>
              <w:t>glioma resection.</w:t>
            </w:r>
          </w:p>
        </w:tc>
        <w:tc>
          <w:tcPr>
            <w:tcW w:w="1134" w:type="dxa"/>
          </w:tcPr>
          <w:p w14:paraId="7EAFEB69"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DE71368" w14:textId="2512E9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4E044C9" w14:textId="1D299D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ABBC237" w14:textId="036B4193" w:rsidR="006E5533" w:rsidRPr="00251EA9" w:rsidRDefault="006E5533" w:rsidP="006E5533">
            <w:pPr>
              <w:rPr>
                <w:rFonts w:ascii="Arial" w:hAnsi="Arial" w:cs="Arial"/>
                <w:sz w:val="15"/>
                <w:szCs w:val="15"/>
              </w:rPr>
            </w:pPr>
            <w:r w:rsidRPr="00251EA9">
              <w:rPr>
                <w:rFonts w:ascii="Arial" w:hAnsi="Arial" w:cs="Arial"/>
                <w:sz w:val="15"/>
                <w:szCs w:val="15"/>
              </w:rPr>
              <w:t xml:space="preserve">Five (out of 225) patients in the general </w:t>
            </w:r>
            <w:proofErr w:type="spellStart"/>
            <w:r w:rsidRPr="00251EA9">
              <w:rPr>
                <w:rFonts w:ascii="Arial" w:hAnsi="Arial" w:cs="Arial"/>
                <w:sz w:val="15"/>
                <w:szCs w:val="15"/>
              </w:rPr>
              <w:t>anesthesia</w:t>
            </w:r>
            <w:proofErr w:type="spellEnd"/>
            <w:r w:rsidRPr="00251EA9">
              <w:rPr>
                <w:rFonts w:ascii="Arial" w:hAnsi="Arial" w:cs="Arial"/>
                <w:sz w:val="15"/>
                <w:szCs w:val="15"/>
              </w:rPr>
              <w:t xml:space="preserve"> group developed SSI postoperatively.</w:t>
            </w:r>
          </w:p>
        </w:tc>
        <w:tc>
          <w:tcPr>
            <w:tcW w:w="1701" w:type="dxa"/>
          </w:tcPr>
          <w:p w14:paraId="601680BC" w14:textId="7DA08D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E1D1A61" w14:textId="77777777" w:rsidTr="00A77951">
        <w:trPr>
          <w:trHeight w:val="586"/>
        </w:trPr>
        <w:tc>
          <w:tcPr>
            <w:tcW w:w="992" w:type="dxa"/>
          </w:tcPr>
          <w:p w14:paraId="3E1347B7" w14:textId="24D033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Lieber B.A. et al., 2016</w:t>
            </w:r>
          </w:p>
        </w:tc>
        <w:tc>
          <w:tcPr>
            <w:tcW w:w="851" w:type="dxa"/>
          </w:tcPr>
          <w:p w14:paraId="4247C2E9" w14:textId="1C217A0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10.3171/2015.</w:t>
            </w:r>
            <w:proofErr w:type="gramStart"/>
            <w:r w:rsidRPr="00A77951">
              <w:rPr>
                <w:rFonts w:ascii="Arial" w:hAnsi="Arial" w:cs="Arial"/>
                <w:sz w:val="15"/>
                <w:szCs w:val="15"/>
              </w:rPr>
              <w:t>4.JNS</w:t>
            </w:r>
            <w:proofErr w:type="gramEnd"/>
            <w:r w:rsidRPr="00A77951">
              <w:rPr>
                <w:rFonts w:ascii="Arial" w:hAnsi="Arial" w:cs="Arial"/>
                <w:sz w:val="15"/>
                <w:szCs w:val="15"/>
              </w:rPr>
              <w:t>142719</w:t>
            </w:r>
          </w:p>
        </w:tc>
        <w:tc>
          <w:tcPr>
            <w:tcW w:w="851" w:type="dxa"/>
          </w:tcPr>
          <w:p w14:paraId="04B31A3D" w14:textId="76AD1F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6025912" w14:textId="392501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31FE940" w14:textId="50E73F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A43EA54" w14:textId="55C55B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1A818D8F" w14:textId="51C33C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chemotherapy and prolonged steroid use before surgery increase the risk of an SSI at postoperative Day 30.</w:t>
            </w:r>
          </w:p>
        </w:tc>
        <w:tc>
          <w:tcPr>
            <w:tcW w:w="1134" w:type="dxa"/>
          </w:tcPr>
          <w:p w14:paraId="772066DC" w14:textId="3A11A83B" w:rsidR="006E5533" w:rsidRPr="00251EA9" w:rsidRDefault="006E5533" w:rsidP="006E5533">
            <w:pPr>
              <w:spacing w:line="360" w:lineRule="auto"/>
              <w:contextualSpacing/>
              <w:rPr>
                <w:rFonts w:ascii="Arial" w:hAnsi="Arial" w:cs="Arial"/>
                <w:sz w:val="15"/>
                <w:szCs w:val="15"/>
              </w:rPr>
            </w:pPr>
          </w:p>
        </w:tc>
        <w:tc>
          <w:tcPr>
            <w:tcW w:w="992" w:type="dxa"/>
          </w:tcPr>
          <w:p w14:paraId="311703CD" w14:textId="6737F2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AF9AF4E" w14:textId="49FE19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37C72964" w14:textId="37DEE7BD" w:rsidR="006E5533" w:rsidRPr="00251EA9" w:rsidRDefault="006E5533" w:rsidP="006E5533">
            <w:pPr>
              <w:rPr>
                <w:rFonts w:ascii="Arial" w:hAnsi="Arial" w:cs="Arial"/>
                <w:sz w:val="15"/>
                <w:szCs w:val="15"/>
              </w:rPr>
            </w:pPr>
            <w:r w:rsidRPr="00251EA9">
              <w:rPr>
                <w:rFonts w:ascii="Arial" w:hAnsi="Arial" w:cs="Arial"/>
                <w:sz w:val="15"/>
                <w:szCs w:val="15"/>
              </w:rPr>
              <w:t xml:space="preserve">Reported 158 SSIs (out of 8215 patients) at 30 days, of which 52 were superficial, 27 were deep-incisional, and 79 were organ-space infections. Preoperative chemotherapy was an independent predictor of organ-space SSIs along corticosteroid use. Longer duration of operation, wound class of ≥ 2 (clean-contaminated and further contaminated) and morbid obesity were also predictors of organ-space SSIs. </w:t>
            </w:r>
          </w:p>
        </w:tc>
        <w:tc>
          <w:tcPr>
            <w:tcW w:w="1701" w:type="dxa"/>
          </w:tcPr>
          <w:p w14:paraId="6E8BA3F0" w14:textId="5BF209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9913FAB" w14:textId="77777777" w:rsidTr="00A77951">
        <w:trPr>
          <w:trHeight w:val="586"/>
        </w:trPr>
        <w:tc>
          <w:tcPr>
            <w:tcW w:w="992" w:type="dxa"/>
          </w:tcPr>
          <w:p w14:paraId="537D0714" w14:textId="7E6B177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Linzey</w:t>
            </w:r>
            <w:proofErr w:type="spellEnd"/>
            <w:r w:rsidRPr="00251EA9">
              <w:rPr>
                <w:rFonts w:ascii="Arial" w:hAnsi="Arial" w:cs="Arial"/>
                <w:sz w:val="15"/>
                <w:szCs w:val="15"/>
              </w:rPr>
              <w:t xml:space="preserve"> J.R. et al., 2017</w:t>
            </w:r>
          </w:p>
        </w:tc>
        <w:tc>
          <w:tcPr>
            <w:tcW w:w="851" w:type="dxa"/>
          </w:tcPr>
          <w:p w14:paraId="52FDE56B" w14:textId="4B5227F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10.1093/neuros/nyx046</w:t>
            </w:r>
          </w:p>
        </w:tc>
        <w:tc>
          <w:tcPr>
            <w:tcW w:w="851" w:type="dxa"/>
          </w:tcPr>
          <w:p w14:paraId="7E85794E" w14:textId="7AAF6A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18BACE1" w14:textId="415E89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46742435" w14:textId="4F23A7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09DD161" w14:textId="61F142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7176650E" w14:textId="531F65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if frontal sinus breach is a risk factor for developing</w:t>
            </w:r>
            <w:r w:rsidRPr="00251EA9">
              <w:rPr>
                <w:rFonts w:ascii="Arial" w:hAnsi="Arial" w:cs="Arial"/>
                <w:sz w:val="15"/>
                <w:szCs w:val="15"/>
              </w:rPr>
              <w:br/>
              <w:t>cranial SSIs in patients undergoing craniotomies for clip ligation</w:t>
            </w:r>
            <w:r w:rsidRPr="00251EA9">
              <w:rPr>
                <w:rFonts w:ascii="Arial" w:hAnsi="Arial" w:cs="Arial"/>
                <w:sz w:val="15"/>
                <w:szCs w:val="15"/>
              </w:rPr>
              <w:br/>
              <w:t>of anterior circulation aneurysms.</w:t>
            </w:r>
          </w:p>
        </w:tc>
        <w:tc>
          <w:tcPr>
            <w:tcW w:w="1134" w:type="dxa"/>
          </w:tcPr>
          <w:p w14:paraId="660FBCCD" w14:textId="7695010B" w:rsidR="006E5533" w:rsidRPr="00251EA9" w:rsidRDefault="006E5533" w:rsidP="006E5533">
            <w:pPr>
              <w:spacing w:line="360" w:lineRule="auto"/>
              <w:contextualSpacing/>
              <w:rPr>
                <w:rFonts w:ascii="Arial" w:hAnsi="Arial" w:cs="Arial"/>
                <w:sz w:val="15"/>
                <w:szCs w:val="15"/>
              </w:rPr>
            </w:pPr>
          </w:p>
        </w:tc>
        <w:tc>
          <w:tcPr>
            <w:tcW w:w="992" w:type="dxa"/>
          </w:tcPr>
          <w:p w14:paraId="04CAE1EA" w14:textId="74FF8D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3C2C1A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Erythema, </w:t>
            </w:r>
          </w:p>
          <w:p w14:paraId="418C63EF"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Purulent</w:t>
            </w:r>
          </w:p>
          <w:p w14:paraId="41E2A51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discharge </w:t>
            </w:r>
          </w:p>
          <w:p w14:paraId="2EE5027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 Tenderness, </w:t>
            </w:r>
          </w:p>
          <w:p w14:paraId="229D0453"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4. Fever and other common signs of infection </w:t>
            </w:r>
          </w:p>
          <w:p w14:paraId="7CBB9D3F"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5.Prescription of antibiotics</w:t>
            </w:r>
          </w:p>
          <w:p w14:paraId="76496E86" w14:textId="448C63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for a wound infection</w:t>
            </w:r>
          </w:p>
        </w:tc>
        <w:tc>
          <w:tcPr>
            <w:tcW w:w="2693" w:type="dxa"/>
          </w:tcPr>
          <w:p w14:paraId="7A22046F" w14:textId="515E58D2" w:rsidR="006E5533" w:rsidRPr="00251EA9" w:rsidRDefault="006E5533" w:rsidP="006E5533">
            <w:pPr>
              <w:rPr>
                <w:rFonts w:ascii="Arial" w:hAnsi="Arial" w:cs="Arial"/>
                <w:sz w:val="15"/>
                <w:szCs w:val="15"/>
              </w:rPr>
            </w:pPr>
            <w:r w:rsidRPr="00251EA9">
              <w:rPr>
                <w:rFonts w:ascii="Arial" w:hAnsi="Arial" w:cs="Arial"/>
                <w:sz w:val="15"/>
                <w:szCs w:val="15"/>
              </w:rPr>
              <w:t>78 (8.6%) of the 910 craniotomies developed cranial SSIs. Cranial SSIs</w:t>
            </w:r>
            <w:r w:rsidRPr="00251EA9">
              <w:rPr>
                <w:rFonts w:ascii="Arial" w:hAnsi="Arial" w:cs="Arial"/>
                <w:sz w:val="15"/>
                <w:szCs w:val="15"/>
              </w:rPr>
              <w:br/>
              <w:t>were significantly associated with increased length of surgery and an increased duration of clinical follow-up.</w:t>
            </w:r>
          </w:p>
        </w:tc>
        <w:tc>
          <w:tcPr>
            <w:tcW w:w="1701" w:type="dxa"/>
          </w:tcPr>
          <w:p w14:paraId="06111CF9" w14:textId="44117B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DCECB2F" w14:textId="77777777" w:rsidTr="00A77951">
        <w:trPr>
          <w:trHeight w:val="586"/>
        </w:trPr>
        <w:tc>
          <w:tcPr>
            <w:tcW w:w="992" w:type="dxa"/>
          </w:tcPr>
          <w:p w14:paraId="07E3523E" w14:textId="77B351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Liu B. et al., 2018</w:t>
            </w:r>
          </w:p>
        </w:tc>
        <w:tc>
          <w:tcPr>
            <w:tcW w:w="851" w:type="dxa"/>
          </w:tcPr>
          <w:p w14:paraId="37847D4B" w14:textId="29D32F8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10.1016/j.clnu.2018.11.008</w:t>
            </w:r>
          </w:p>
        </w:tc>
        <w:tc>
          <w:tcPr>
            <w:tcW w:w="851" w:type="dxa"/>
          </w:tcPr>
          <w:p w14:paraId="36D6CC32" w14:textId="589C38C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6964726D" w14:textId="59DE8A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controlled study</w:t>
            </w:r>
          </w:p>
        </w:tc>
        <w:tc>
          <w:tcPr>
            <w:tcW w:w="992" w:type="dxa"/>
          </w:tcPr>
          <w:p w14:paraId="4D86BEC0" w14:textId="261BBF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550AEF4" w14:textId="6221BB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354B35D" w14:textId="0DCEA3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effect of preoperative oral carbohydrate loading versus fasting on the outcomes of patients undergoing elective craniotomy.</w:t>
            </w:r>
          </w:p>
        </w:tc>
        <w:tc>
          <w:tcPr>
            <w:tcW w:w="1134" w:type="dxa"/>
          </w:tcPr>
          <w:p w14:paraId="2371BFC4" w14:textId="4B4FF4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Use of pre-operative oral carbohydrate loading vs fasting.</w:t>
            </w:r>
          </w:p>
        </w:tc>
        <w:tc>
          <w:tcPr>
            <w:tcW w:w="992" w:type="dxa"/>
          </w:tcPr>
          <w:p w14:paraId="5DD698E5" w14:textId="039126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CB4691A" w14:textId="385A8D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030D11B" w14:textId="6B6582BA" w:rsidR="006E5533" w:rsidRPr="00251EA9" w:rsidRDefault="006E5533" w:rsidP="006E5533">
            <w:pPr>
              <w:rPr>
                <w:rFonts w:ascii="Arial" w:hAnsi="Arial" w:cs="Arial"/>
                <w:sz w:val="15"/>
                <w:szCs w:val="15"/>
              </w:rPr>
            </w:pPr>
            <w:r w:rsidRPr="00251EA9">
              <w:rPr>
                <w:rFonts w:ascii="Arial" w:hAnsi="Arial" w:cs="Arial"/>
                <w:sz w:val="15"/>
                <w:szCs w:val="15"/>
              </w:rPr>
              <w:t>Reported 1 case SSI in intervention group and 2 cases in control group with no significant difference between the two groups.</w:t>
            </w:r>
          </w:p>
        </w:tc>
        <w:tc>
          <w:tcPr>
            <w:tcW w:w="1701" w:type="dxa"/>
          </w:tcPr>
          <w:p w14:paraId="6BD2B74C" w14:textId="477AC4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ECD7E41" w14:textId="77777777" w:rsidTr="00A77951">
        <w:trPr>
          <w:trHeight w:val="586"/>
        </w:trPr>
        <w:tc>
          <w:tcPr>
            <w:tcW w:w="992" w:type="dxa"/>
          </w:tcPr>
          <w:p w14:paraId="1CAB1BCF" w14:textId="2349B7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Liu L. et al., 2018</w:t>
            </w:r>
          </w:p>
        </w:tc>
        <w:tc>
          <w:tcPr>
            <w:tcW w:w="851" w:type="dxa"/>
          </w:tcPr>
          <w:p w14:paraId="3180D28B" w14:textId="25D2315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10.1016/j.wneu.2018.06.238</w:t>
            </w:r>
          </w:p>
        </w:tc>
        <w:tc>
          <w:tcPr>
            <w:tcW w:w="851" w:type="dxa"/>
          </w:tcPr>
          <w:p w14:paraId="6B569F5A" w14:textId="45F988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752C20A6" w14:textId="52E2B4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8ED824E" w14:textId="1070C2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AACC9E0" w14:textId="23A5A9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21C93A31" w14:textId="259A3E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potential prognostic factors of hemifacial spasm (HFS) after microvascular decompression (MVD), to establish the</w:t>
            </w:r>
            <w:r w:rsidRPr="00251EA9">
              <w:rPr>
                <w:rFonts w:ascii="Arial" w:hAnsi="Arial" w:cs="Arial"/>
                <w:sz w:val="15"/>
                <w:szCs w:val="15"/>
              </w:rPr>
              <w:br/>
              <w:t>appropriate way to tackle post-procedure symptoms and</w:t>
            </w:r>
            <w:r w:rsidRPr="00251EA9">
              <w:rPr>
                <w:rFonts w:ascii="Arial" w:hAnsi="Arial" w:cs="Arial"/>
                <w:sz w:val="15"/>
                <w:szCs w:val="15"/>
              </w:rPr>
              <w:br/>
              <w:t>complications (PPSCs), and to find the incidence and duration of PPSCs.</w:t>
            </w:r>
          </w:p>
        </w:tc>
        <w:tc>
          <w:tcPr>
            <w:tcW w:w="1134" w:type="dxa"/>
          </w:tcPr>
          <w:p w14:paraId="3FCA3CE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C8F07E4" w14:textId="5151F5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62E827B" w14:textId="6E2B3A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1507B8D" w14:textId="38748D07" w:rsidR="006E5533" w:rsidRPr="00251EA9" w:rsidRDefault="006E5533" w:rsidP="006E5533">
            <w:pPr>
              <w:rPr>
                <w:rFonts w:ascii="Arial" w:hAnsi="Arial" w:cs="Arial"/>
                <w:sz w:val="15"/>
                <w:szCs w:val="15"/>
              </w:rPr>
            </w:pPr>
            <w:r w:rsidRPr="00251EA9">
              <w:rPr>
                <w:rFonts w:ascii="Arial" w:hAnsi="Arial" w:cs="Arial"/>
                <w:sz w:val="15"/>
                <w:szCs w:val="15"/>
              </w:rPr>
              <w:t>The incidence of infection was 2.0%.</w:t>
            </w:r>
          </w:p>
        </w:tc>
        <w:tc>
          <w:tcPr>
            <w:tcW w:w="1701" w:type="dxa"/>
          </w:tcPr>
          <w:p w14:paraId="67A0CC60" w14:textId="1257DF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0C52314" w14:textId="77777777" w:rsidTr="00A77951">
        <w:trPr>
          <w:trHeight w:val="586"/>
        </w:trPr>
        <w:tc>
          <w:tcPr>
            <w:tcW w:w="992" w:type="dxa"/>
          </w:tcPr>
          <w:p w14:paraId="34B8E6D2" w14:textId="7066DB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Liu M. et al., 2020</w:t>
            </w:r>
          </w:p>
        </w:tc>
        <w:tc>
          <w:tcPr>
            <w:tcW w:w="851" w:type="dxa"/>
          </w:tcPr>
          <w:p w14:paraId="1BE8DD78" w14:textId="0BBCC442"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10.1055/s-0040-1710520</w:t>
            </w:r>
          </w:p>
        </w:tc>
        <w:tc>
          <w:tcPr>
            <w:tcW w:w="851" w:type="dxa"/>
          </w:tcPr>
          <w:p w14:paraId="347BDA5C" w14:textId="50B7A0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0E74CD9F" w14:textId="158C2C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Retrospective </w:t>
            </w:r>
          </w:p>
        </w:tc>
        <w:tc>
          <w:tcPr>
            <w:tcW w:w="992" w:type="dxa"/>
          </w:tcPr>
          <w:p w14:paraId="32010A34" w14:textId="0BD456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reported</w:t>
            </w:r>
          </w:p>
        </w:tc>
        <w:tc>
          <w:tcPr>
            <w:tcW w:w="1276" w:type="dxa"/>
          </w:tcPr>
          <w:p w14:paraId="6CF144A1" w14:textId="1E88FE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7EE2C939" w14:textId="5AC485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and suggest improvements for the postoperative outcome of microvascular decompression (MVD).</w:t>
            </w:r>
          </w:p>
        </w:tc>
        <w:tc>
          <w:tcPr>
            <w:tcW w:w="1134" w:type="dxa"/>
          </w:tcPr>
          <w:p w14:paraId="5D4E8FE8"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9F3AF65" w14:textId="496B8B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49C6FB1" w14:textId="4B1092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0757D0C" w14:textId="36F2CBE5" w:rsidR="006E5533" w:rsidRPr="00251EA9" w:rsidRDefault="006E5533" w:rsidP="006E5533">
            <w:pPr>
              <w:rPr>
                <w:rFonts w:ascii="Arial" w:hAnsi="Arial" w:cs="Arial"/>
                <w:sz w:val="15"/>
                <w:szCs w:val="15"/>
              </w:rPr>
            </w:pPr>
            <w:r w:rsidRPr="00251EA9">
              <w:rPr>
                <w:rFonts w:ascii="Arial" w:hAnsi="Arial" w:cs="Arial"/>
                <w:sz w:val="15"/>
                <w:szCs w:val="15"/>
              </w:rPr>
              <w:t>Incisional infection occurred in 7 cases (1%) of traditional MVD group and 5 cases (0.87%) in MVD plus group.</w:t>
            </w:r>
          </w:p>
        </w:tc>
        <w:tc>
          <w:tcPr>
            <w:tcW w:w="1701" w:type="dxa"/>
          </w:tcPr>
          <w:p w14:paraId="364ADB20" w14:textId="552FC5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C36F2C5" w14:textId="77777777" w:rsidTr="00A77951">
        <w:trPr>
          <w:trHeight w:val="586"/>
        </w:trPr>
        <w:tc>
          <w:tcPr>
            <w:tcW w:w="992" w:type="dxa"/>
          </w:tcPr>
          <w:p w14:paraId="5FF8FC79" w14:textId="3090DA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Liu W. et al., 2021</w:t>
            </w:r>
          </w:p>
        </w:tc>
        <w:tc>
          <w:tcPr>
            <w:tcW w:w="851" w:type="dxa"/>
          </w:tcPr>
          <w:p w14:paraId="3F6C2B53" w14:textId="63C1DB0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10.1055/s-0040-1719138</w:t>
            </w:r>
          </w:p>
        </w:tc>
        <w:tc>
          <w:tcPr>
            <w:tcW w:w="851" w:type="dxa"/>
          </w:tcPr>
          <w:p w14:paraId="6DFAA5D7" w14:textId="1C2F2F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43B91AEC" w14:textId="60B51B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F4AA647" w14:textId="5AAC99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D9C3C3" w14:textId="4BE757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0638051B" w14:textId="12A66B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effect of using autologous particulate bone to reconstruct the cranial defect produced by microvascular decompression.</w:t>
            </w:r>
          </w:p>
        </w:tc>
        <w:tc>
          <w:tcPr>
            <w:tcW w:w="1134" w:type="dxa"/>
          </w:tcPr>
          <w:p w14:paraId="2E289A8D" w14:textId="73BF63E3" w:rsidR="006E5533" w:rsidRPr="00251EA9" w:rsidRDefault="006E5533" w:rsidP="006E5533">
            <w:pPr>
              <w:spacing w:line="360" w:lineRule="auto"/>
              <w:contextualSpacing/>
              <w:rPr>
                <w:rFonts w:ascii="Arial" w:hAnsi="Arial" w:cs="Arial"/>
                <w:sz w:val="15"/>
                <w:szCs w:val="15"/>
              </w:rPr>
            </w:pPr>
          </w:p>
        </w:tc>
        <w:tc>
          <w:tcPr>
            <w:tcW w:w="992" w:type="dxa"/>
          </w:tcPr>
          <w:p w14:paraId="66BDE079" w14:textId="15ED21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D596637" w14:textId="32C83D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Wound redness, pain, suppuration, or subcutaneous tissue necrosis at the surgical site. </w:t>
            </w:r>
          </w:p>
        </w:tc>
        <w:tc>
          <w:tcPr>
            <w:tcW w:w="2693" w:type="dxa"/>
          </w:tcPr>
          <w:p w14:paraId="4E82CBFA" w14:textId="77777777" w:rsidR="006E5533" w:rsidRPr="00251EA9" w:rsidRDefault="006E5533" w:rsidP="006E5533">
            <w:pPr>
              <w:rPr>
                <w:rFonts w:ascii="Arial" w:hAnsi="Arial" w:cs="Arial"/>
                <w:sz w:val="15"/>
                <w:szCs w:val="15"/>
              </w:rPr>
            </w:pPr>
            <w:r w:rsidRPr="00251EA9">
              <w:rPr>
                <w:rFonts w:ascii="Arial" w:hAnsi="Arial" w:cs="Arial"/>
                <w:sz w:val="15"/>
                <w:szCs w:val="15"/>
              </w:rPr>
              <w:t>A total of 15 patients developed SSIs. The SSI rate of the first group was 9.92%, while that of</w:t>
            </w:r>
            <w:r w:rsidRPr="00251EA9">
              <w:rPr>
                <w:rFonts w:ascii="Arial" w:hAnsi="Arial" w:cs="Arial"/>
                <w:sz w:val="15"/>
                <w:szCs w:val="15"/>
              </w:rPr>
              <w:br/>
              <w:t>the second group was 1.79% hence bone dust may</w:t>
            </w:r>
          </w:p>
          <w:p w14:paraId="09B300CF" w14:textId="0AD803F9" w:rsidR="006E5533" w:rsidRPr="00251EA9" w:rsidRDefault="006E5533" w:rsidP="006E5533">
            <w:pPr>
              <w:rPr>
                <w:rFonts w:ascii="Arial" w:hAnsi="Arial" w:cs="Arial"/>
                <w:sz w:val="15"/>
                <w:szCs w:val="15"/>
              </w:rPr>
            </w:pPr>
            <w:r w:rsidRPr="00251EA9">
              <w:rPr>
                <w:rFonts w:ascii="Arial" w:hAnsi="Arial" w:cs="Arial"/>
                <w:sz w:val="15"/>
                <w:szCs w:val="15"/>
              </w:rPr>
              <w:t>result in a higher incidence of SSI.</w:t>
            </w:r>
          </w:p>
        </w:tc>
        <w:tc>
          <w:tcPr>
            <w:tcW w:w="1701" w:type="dxa"/>
          </w:tcPr>
          <w:p w14:paraId="3332BAD9" w14:textId="263716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FFB222D" w14:textId="77777777" w:rsidTr="00A77951">
        <w:trPr>
          <w:trHeight w:val="586"/>
        </w:trPr>
        <w:tc>
          <w:tcPr>
            <w:tcW w:w="992" w:type="dxa"/>
          </w:tcPr>
          <w:p w14:paraId="0F844D30" w14:textId="3EA9B3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Liu Y. et al., 2014</w:t>
            </w:r>
          </w:p>
        </w:tc>
        <w:tc>
          <w:tcPr>
            <w:tcW w:w="851" w:type="dxa"/>
          </w:tcPr>
          <w:p w14:paraId="73189098" w14:textId="1EFCD7E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10.1016/j.clineuro.2014.08.002</w:t>
            </w:r>
          </w:p>
        </w:tc>
        <w:tc>
          <w:tcPr>
            <w:tcW w:w="851" w:type="dxa"/>
          </w:tcPr>
          <w:p w14:paraId="6191DC0A" w14:textId="00A2D9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33B34EEA" w14:textId="15CDC7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0E73457" w14:textId="1F0152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0CF8C1A" w14:textId="19FDFF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53E9883" w14:textId="1D8B7D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elucidate clinical and prognostic characteristics of the midline suprasellar meningiomas based on their origin and growth pattern.</w:t>
            </w:r>
          </w:p>
        </w:tc>
        <w:tc>
          <w:tcPr>
            <w:tcW w:w="1134" w:type="dxa"/>
          </w:tcPr>
          <w:p w14:paraId="7D6DC170"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6A2DC98" w14:textId="022B44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0F5BD9C" w14:textId="4D056E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E77F664" w14:textId="4E62677E" w:rsidR="006E5533" w:rsidRPr="00251EA9" w:rsidRDefault="006E5533" w:rsidP="006E5533">
            <w:pPr>
              <w:rPr>
                <w:rFonts w:ascii="Arial" w:hAnsi="Arial" w:cs="Arial"/>
                <w:sz w:val="15"/>
                <w:szCs w:val="15"/>
              </w:rPr>
            </w:pPr>
            <w:r w:rsidRPr="00251EA9">
              <w:rPr>
                <w:rFonts w:ascii="Arial" w:hAnsi="Arial" w:cs="Arial"/>
                <w:sz w:val="15"/>
                <w:szCs w:val="15"/>
              </w:rPr>
              <w:t>15 intracranial infections recorded.</w:t>
            </w:r>
          </w:p>
        </w:tc>
        <w:tc>
          <w:tcPr>
            <w:tcW w:w="1701" w:type="dxa"/>
          </w:tcPr>
          <w:p w14:paraId="6B3449AB" w14:textId="3467F5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587014B" w14:textId="77777777" w:rsidTr="00A77951">
        <w:trPr>
          <w:trHeight w:val="586"/>
        </w:trPr>
        <w:tc>
          <w:tcPr>
            <w:tcW w:w="992" w:type="dxa"/>
          </w:tcPr>
          <w:p w14:paraId="0D7C5208" w14:textId="0CF140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Loayza R. et al., 2023</w:t>
            </w:r>
          </w:p>
        </w:tc>
        <w:tc>
          <w:tcPr>
            <w:tcW w:w="851" w:type="dxa"/>
          </w:tcPr>
          <w:p w14:paraId="36DDA061" w14:textId="64F3F83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w:t>
            </w:r>
            <w:r w:rsidRPr="00A77951">
              <w:rPr>
                <w:rFonts w:ascii="Arial" w:hAnsi="Arial" w:cs="Arial"/>
                <w:sz w:val="15"/>
                <w:szCs w:val="15"/>
              </w:rPr>
              <w:lastRenderedPageBreak/>
              <w:t>023-05642-2</w:t>
            </w:r>
          </w:p>
        </w:tc>
        <w:tc>
          <w:tcPr>
            <w:tcW w:w="851" w:type="dxa"/>
          </w:tcPr>
          <w:p w14:paraId="7563B879" w14:textId="175FAC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Sweden</w:t>
            </w:r>
          </w:p>
        </w:tc>
        <w:tc>
          <w:tcPr>
            <w:tcW w:w="1134" w:type="dxa"/>
          </w:tcPr>
          <w:p w14:paraId="0DA8E34F" w14:textId="686329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325102A" w14:textId="5A8116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FE9D327" w14:textId="2D5227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28566C57" w14:textId="09EA43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outcome after microvascular </w:t>
            </w:r>
            <w:r w:rsidRPr="00251EA9">
              <w:rPr>
                <w:rFonts w:ascii="Arial" w:hAnsi="Arial" w:cs="Arial"/>
                <w:sz w:val="15"/>
                <w:szCs w:val="15"/>
              </w:rPr>
              <w:lastRenderedPageBreak/>
              <w:t>decompression and whether it is affected by neurovascular conflict severity and sex.</w:t>
            </w:r>
          </w:p>
        </w:tc>
        <w:tc>
          <w:tcPr>
            <w:tcW w:w="1134" w:type="dxa"/>
          </w:tcPr>
          <w:p w14:paraId="16871209" w14:textId="7B3060CE" w:rsidR="006E5533" w:rsidRPr="00251EA9" w:rsidRDefault="006E5533" w:rsidP="006E5533">
            <w:pPr>
              <w:spacing w:line="360" w:lineRule="auto"/>
              <w:contextualSpacing/>
              <w:rPr>
                <w:rFonts w:ascii="Arial" w:hAnsi="Arial" w:cs="Arial"/>
                <w:sz w:val="15"/>
                <w:szCs w:val="15"/>
              </w:rPr>
            </w:pPr>
          </w:p>
        </w:tc>
        <w:tc>
          <w:tcPr>
            <w:tcW w:w="992" w:type="dxa"/>
          </w:tcPr>
          <w:p w14:paraId="56CBA13C" w14:textId="0B58A6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CF55CF4" w14:textId="2303F9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BFBD488" w14:textId="242AC9A5" w:rsidR="006E5533" w:rsidRPr="00251EA9" w:rsidRDefault="006E5533" w:rsidP="006E5533">
            <w:pPr>
              <w:rPr>
                <w:rFonts w:ascii="Arial" w:hAnsi="Arial" w:cs="Arial"/>
                <w:sz w:val="15"/>
                <w:szCs w:val="15"/>
              </w:rPr>
            </w:pPr>
            <w:r w:rsidRPr="00251EA9">
              <w:rPr>
                <w:rFonts w:ascii="Arial" w:hAnsi="Arial" w:cs="Arial"/>
                <w:sz w:val="15"/>
                <w:szCs w:val="15"/>
              </w:rPr>
              <w:t>Out of 109 patients, two wound infections</w:t>
            </w:r>
            <w:r w:rsidRPr="00251EA9">
              <w:rPr>
                <w:rFonts w:ascii="Arial" w:hAnsi="Arial" w:cs="Arial"/>
                <w:sz w:val="15"/>
                <w:szCs w:val="15"/>
              </w:rPr>
              <w:br/>
              <w:t>(1.8%).</w:t>
            </w:r>
          </w:p>
        </w:tc>
        <w:tc>
          <w:tcPr>
            <w:tcW w:w="1701" w:type="dxa"/>
          </w:tcPr>
          <w:p w14:paraId="171541B9" w14:textId="7A0857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AB8346A" w14:textId="77777777" w:rsidTr="00A77951">
        <w:trPr>
          <w:trHeight w:val="586"/>
        </w:trPr>
        <w:tc>
          <w:tcPr>
            <w:tcW w:w="992" w:type="dxa"/>
          </w:tcPr>
          <w:p w14:paraId="613680AB" w14:textId="5875A91B"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Logghe</w:t>
            </w:r>
            <w:proofErr w:type="spellEnd"/>
            <w:r w:rsidRPr="00251EA9">
              <w:rPr>
                <w:rFonts w:ascii="Arial" w:hAnsi="Arial" w:cs="Arial"/>
                <w:sz w:val="15"/>
                <w:szCs w:val="15"/>
              </w:rPr>
              <w:t xml:space="preserve"> H. et al., 2015</w:t>
            </w:r>
          </w:p>
        </w:tc>
        <w:tc>
          <w:tcPr>
            <w:tcW w:w="851" w:type="dxa"/>
          </w:tcPr>
          <w:p w14:paraId="16D1D3B5" w14:textId="7E85FF0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PMID: 25760209</w:t>
            </w:r>
          </w:p>
        </w:tc>
        <w:tc>
          <w:tcPr>
            <w:tcW w:w="851" w:type="dxa"/>
          </w:tcPr>
          <w:p w14:paraId="02F2F82A" w14:textId="001654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E272725" w14:textId="5EB961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F157FA5" w14:textId="682330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6CEDF8A" w14:textId="528954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962A20C" w14:textId="6CE5E9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laparoscopic-assisted shunt revision with first-time shunt placement, focusing on operative time and complications.</w:t>
            </w:r>
          </w:p>
        </w:tc>
        <w:tc>
          <w:tcPr>
            <w:tcW w:w="1134" w:type="dxa"/>
          </w:tcPr>
          <w:p w14:paraId="57EF9C5F" w14:textId="4B36CC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Shunt revision vs first-time shunt placement</w:t>
            </w:r>
          </w:p>
        </w:tc>
        <w:tc>
          <w:tcPr>
            <w:tcW w:w="992" w:type="dxa"/>
          </w:tcPr>
          <w:p w14:paraId="1E4EC5A6" w14:textId="0CFE47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F0142AD" w14:textId="003099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E67CAB9" w14:textId="7107DA28" w:rsidR="006E5533" w:rsidRPr="00251EA9" w:rsidRDefault="006E5533" w:rsidP="006E5533">
            <w:pPr>
              <w:rPr>
                <w:rFonts w:ascii="Arial" w:hAnsi="Arial" w:cs="Arial"/>
                <w:sz w:val="15"/>
                <w:szCs w:val="15"/>
              </w:rPr>
            </w:pPr>
            <w:r w:rsidRPr="00251EA9">
              <w:rPr>
                <w:rFonts w:ascii="Arial" w:hAnsi="Arial" w:cs="Arial"/>
                <w:sz w:val="15"/>
                <w:szCs w:val="15"/>
              </w:rPr>
              <w:t>No cases of SSI were reported in the first-time shunt group, but 1 case occurred in the revision group.</w:t>
            </w:r>
          </w:p>
        </w:tc>
        <w:tc>
          <w:tcPr>
            <w:tcW w:w="1701" w:type="dxa"/>
          </w:tcPr>
          <w:p w14:paraId="6ED92047" w14:textId="71C8C6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582052A" w14:textId="77777777" w:rsidTr="00A77951">
        <w:trPr>
          <w:trHeight w:val="586"/>
        </w:trPr>
        <w:tc>
          <w:tcPr>
            <w:tcW w:w="992" w:type="dxa"/>
          </w:tcPr>
          <w:p w14:paraId="3752B4E0" w14:textId="5BEEEE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Lopez D.T. et al., 2023</w:t>
            </w:r>
          </w:p>
        </w:tc>
        <w:tc>
          <w:tcPr>
            <w:tcW w:w="851" w:type="dxa"/>
          </w:tcPr>
          <w:p w14:paraId="26CBC869" w14:textId="7596112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10.25259/SNI_673_2023</w:t>
            </w:r>
          </w:p>
        </w:tc>
        <w:tc>
          <w:tcPr>
            <w:tcW w:w="851" w:type="dxa"/>
          </w:tcPr>
          <w:p w14:paraId="7AF1D14F" w14:textId="327633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Multiple</w:t>
            </w:r>
          </w:p>
        </w:tc>
        <w:tc>
          <w:tcPr>
            <w:tcW w:w="1134" w:type="dxa"/>
          </w:tcPr>
          <w:p w14:paraId="29F7BF08" w14:textId="5A045D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0686F26" w14:textId="5AAF2D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17CC517" w14:textId="56D566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0AA1FDB8" w14:textId="6FF719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long-term outcome of Parkinsonian patients, including the duration of improvement after DBS surgery, operated on using an image-guided </w:t>
            </w:r>
            <w:proofErr w:type="spellStart"/>
            <w:r w:rsidRPr="00251EA9">
              <w:rPr>
                <w:rFonts w:ascii="Arial" w:hAnsi="Arial" w:cs="Arial"/>
                <w:sz w:val="15"/>
                <w:szCs w:val="15"/>
              </w:rPr>
              <w:t>stereotaxys</w:t>
            </w:r>
            <w:proofErr w:type="spellEnd"/>
            <w:r w:rsidRPr="00251EA9">
              <w:rPr>
                <w:rFonts w:ascii="Arial" w:hAnsi="Arial" w:cs="Arial"/>
                <w:sz w:val="15"/>
                <w:szCs w:val="15"/>
              </w:rPr>
              <w:t xml:space="preserve"> followed by intraoperative macrostimulation. </w:t>
            </w:r>
          </w:p>
        </w:tc>
        <w:tc>
          <w:tcPr>
            <w:tcW w:w="1134" w:type="dxa"/>
          </w:tcPr>
          <w:p w14:paraId="038F20B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4E6A7AE" w14:textId="436379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FBB9594" w14:textId="120917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A6620AA" w14:textId="487DE7B3" w:rsidR="006E5533" w:rsidRPr="00251EA9" w:rsidRDefault="006E5533" w:rsidP="006E5533">
            <w:pPr>
              <w:rPr>
                <w:rFonts w:ascii="Arial" w:hAnsi="Arial" w:cs="Arial"/>
                <w:sz w:val="15"/>
                <w:szCs w:val="15"/>
              </w:rPr>
            </w:pPr>
            <w:r w:rsidRPr="00251EA9">
              <w:rPr>
                <w:rFonts w:ascii="Arial" w:hAnsi="Arial" w:cs="Arial"/>
                <w:sz w:val="15"/>
                <w:szCs w:val="15"/>
              </w:rPr>
              <w:t>Reported one patient developed infection of the surgical scar.</w:t>
            </w:r>
          </w:p>
        </w:tc>
        <w:tc>
          <w:tcPr>
            <w:tcW w:w="1701" w:type="dxa"/>
          </w:tcPr>
          <w:p w14:paraId="5AFFE1B0" w14:textId="145F7E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691BAF1" w14:textId="77777777" w:rsidTr="00A77951">
        <w:trPr>
          <w:trHeight w:val="586"/>
        </w:trPr>
        <w:tc>
          <w:tcPr>
            <w:tcW w:w="992" w:type="dxa"/>
          </w:tcPr>
          <w:p w14:paraId="523BCF37" w14:textId="643579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Lu Y. et al., 2022</w:t>
            </w:r>
          </w:p>
        </w:tc>
        <w:tc>
          <w:tcPr>
            <w:tcW w:w="851" w:type="dxa"/>
          </w:tcPr>
          <w:p w14:paraId="52A8863C" w14:textId="191CDC03" w:rsidR="006E5533" w:rsidRPr="00A77951" w:rsidRDefault="006E5533" w:rsidP="006E5533">
            <w:pPr>
              <w:spacing w:line="360" w:lineRule="auto"/>
              <w:contextualSpacing/>
              <w:rPr>
                <w:rFonts w:ascii="Arial" w:hAnsi="Arial" w:cs="Arial"/>
                <w:sz w:val="15"/>
                <w:szCs w:val="15"/>
              </w:rPr>
            </w:pPr>
            <w:hyperlink r:id="rId253" w:history="1">
              <w:r w:rsidRPr="00A77951">
                <w:rPr>
                  <w:rStyle w:val="Hyperlink"/>
                  <w:rFonts w:ascii="Arial" w:hAnsi="Arial" w:cs="Arial"/>
                  <w:sz w:val="15"/>
                  <w:szCs w:val="15"/>
                </w:rPr>
                <w:t>10.3389/fnins.2022.917752</w:t>
              </w:r>
            </w:hyperlink>
          </w:p>
        </w:tc>
        <w:tc>
          <w:tcPr>
            <w:tcW w:w="851" w:type="dxa"/>
          </w:tcPr>
          <w:p w14:paraId="5B893F6E" w14:textId="2FCE6E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3B533F9E" w14:textId="5527B8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3BC7661" w14:textId="5329EA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01622E1" w14:textId="43BF74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1C45020F" w14:textId="7B0191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effects of local anaesthetic and general anaesthetic operation methods on clinical improvement in patients with Parkinson’s Disease, after DBS surgery.</w:t>
            </w:r>
          </w:p>
        </w:tc>
        <w:tc>
          <w:tcPr>
            <w:tcW w:w="1134" w:type="dxa"/>
          </w:tcPr>
          <w:p w14:paraId="1E6CB7B8" w14:textId="063CF974" w:rsidR="006E5533" w:rsidRPr="00251EA9" w:rsidRDefault="006E5533" w:rsidP="006E5533">
            <w:pPr>
              <w:spacing w:line="360" w:lineRule="auto"/>
              <w:contextualSpacing/>
              <w:rPr>
                <w:rFonts w:ascii="Arial" w:hAnsi="Arial" w:cs="Arial"/>
                <w:sz w:val="15"/>
                <w:szCs w:val="15"/>
              </w:rPr>
            </w:pPr>
          </w:p>
        </w:tc>
        <w:tc>
          <w:tcPr>
            <w:tcW w:w="992" w:type="dxa"/>
          </w:tcPr>
          <w:p w14:paraId="4BD0BF25" w14:textId="1C2129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241DC37" w14:textId="7797D2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3A9E16D" w14:textId="2E2D2C1F" w:rsidR="006E5533" w:rsidRPr="00251EA9" w:rsidRDefault="006E5533" w:rsidP="006E5533">
            <w:pPr>
              <w:rPr>
                <w:rFonts w:ascii="Arial" w:hAnsi="Arial" w:cs="Arial"/>
                <w:sz w:val="15"/>
                <w:szCs w:val="15"/>
              </w:rPr>
            </w:pPr>
            <w:r w:rsidRPr="00251EA9">
              <w:rPr>
                <w:rFonts w:ascii="Arial" w:hAnsi="Arial" w:cs="Arial"/>
                <w:sz w:val="15"/>
                <w:szCs w:val="15"/>
              </w:rPr>
              <w:t>No intracranial infection occurred in either group after DBS lead placement. Delayed skin incision infection occurred in two cases in each</w:t>
            </w:r>
            <w:r w:rsidRPr="00251EA9">
              <w:rPr>
                <w:rFonts w:ascii="Arial" w:hAnsi="Arial" w:cs="Arial"/>
                <w:sz w:val="15"/>
                <w:szCs w:val="15"/>
              </w:rPr>
              <w:br/>
              <w:t>group.</w:t>
            </w:r>
          </w:p>
        </w:tc>
        <w:tc>
          <w:tcPr>
            <w:tcW w:w="1701" w:type="dxa"/>
          </w:tcPr>
          <w:p w14:paraId="3739FC53" w14:textId="776D4F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7BF7003" w14:textId="77777777" w:rsidTr="00A77951">
        <w:trPr>
          <w:trHeight w:val="586"/>
        </w:trPr>
        <w:tc>
          <w:tcPr>
            <w:tcW w:w="992" w:type="dxa"/>
          </w:tcPr>
          <w:p w14:paraId="7C5224D4" w14:textId="55449B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Luther E. et al., 2020</w:t>
            </w:r>
          </w:p>
        </w:tc>
        <w:tc>
          <w:tcPr>
            <w:tcW w:w="851" w:type="dxa"/>
          </w:tcPr>
          <w:p w14:paraId="7EF7E4F2" w14:textId="033126A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10.1007/s00701-020-04239-3</w:t>
            </w:r>
          </w:p>
        </w:tc>
        <w:tc>
          <w:tcPr>
            <w:tcW w:w="851" w:type="dxa"/>
          </w:tcPr>
          <w:p w14:paraId="765BD53E" w14:textId="78A9B4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C10B205" w14:textId="1DEB49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78A4574" w14:textId="3B96D9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E97529A" w14:textId="5F7F59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E48A128" w14:textId="0ECBEA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SSIs and perioperative complications associated with the use of an absorbable intradermal barbed </w:t>
            </w:r>
            <w:r w:rsidRPr="00251EA9">
              <w:rPr>
                <w:rFonts w:ascii="Arial" w:hAnsi="Arial" w:cs="Arial"/>
                <w:sz w:val="15"/>
                <w:szCs w:val="15"/>
              </w:rPr>
              <w:lastRenderedPageBreak/>
              <w:t>suture as a means for skin closure in hair-sparing supratentorial craniotomies for tumour.</w:t>
            </w:r>
          </w:p>
        </w:tc>
        <w:tc>
          <w:tcPr>
            <w:tcW w:w="1134" w:type="dxa"/>
          </w:tcPr>
          <w:p w14:paraId="535B52BF" w14:textId="63AA39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Absorbable intradermal barbed suture vs other </w:t>
            </w:r>
            <w:r w:rsidRPr="00251EA9">
              <w:rPr>
                <w:rFonts w:ascii="Arial" w:hAnsi="Arial" w:cs="Arial"/>
                <w:sz w:val="15"/>
                <w:szCs w:val="15"/>
              </w:rPr>
              <w:lastRenderedPageBreak/>
              <w:t>methods of closure</w:t>
            </w:r>
          </w:p>
        </w:tc>
        <w:tc>
          <w:tcPr>
            <w:tcW w:w="992" w:type="dxa"/>
          </w:tcPr>
          <w:p w14:paraId="718253B5" w14:textId="46FCDD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Yes</w:t>
            </w:r>
          </w:p>
        </w:tc>
        <w:tc>
          <w:tcPr>
            <w:tcW w:w="1701" w:type="dxa"/>
          </w:tcPr>
          <w:p w14:paraId="540855E1"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Wound breakdown</w:t>
            </w:r>
          </w:p>
          <w:p w14:paraId="2FD23D4B" w14:textId="5ED373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CSF leak requiring readmission for antibiotics or reoperation.</w:t>
            </w:r>
          </w:p>
        </w:tc>
        <w:tc>
          <w:tcPr>
            <w:tcW w:w="2693" w:type="dxa"/>
          </w:tcPr>
          <w:p w14:paraId="2F862783" w14:textId="2A436554" w:rsidR="006E5533" w:rsidRPr="00251EA9" w:rsidRDefault="006E5533" w:rsidP="006E5533">
            <w:pPr>
              <w:rPr>
                <w:rFonts w:ascii="Arial" w:hAnsi="Arial" w:cs="Arial"/>
                <w:sz w:val="15"/>
                <w:szCs w:val="15"/>
              </w:rPr>
            </w:pPr>
            <w:r w:rsidRPr="00251EA9">
              <w:rPr>
                <w:rFonts w:ascii="Arial" w:hAnsi="Arial" w:cs="Arial"/>
                <w:sz w:val="15"/>
                <w:szCs w:val="15"/>
              </w:rPr>
              <w:t xml:space="preserve">The hair-sparing technique with </w:t>
            </w:r>
            <w:proofErr w:type="spellStart"/>
            <w:r w:rsidRPr="00251EA9">
              <w:rPr>
                <w:rFonts w:ascii="Arial" w:hAnsi="Arial" w:cs="Arial"/>
                <w:sz w:val="15"/>
                <w:szCs w:val="15"/>
              </w:rPr>
              <w:t>Stratafix</w:t>
            </w:r>
            <w:proofErr w:type="spellEnd"/>
            <w:r w:rsidRPr="00251EA9">
              <w:rPr>
                <w:rFonts w:ascii="Arial" w:hAnsi="Arial" w:cs="Arial"/>
                <w:sz w:val="15"/>
                <w:szCs w:val="15"/>
              </w:rPr>
              <w:t xml:space="preserve"> was not significantly correlated with surgical complications on univariable or multivariable analysis.</w:t>
            </w:r>
          </w:p>
        </w:tc>
        <w:tc>
          <w:tcPr>
            <w:tcW w:w="1701" w:type="dxa"/>
          </w:tcPr>
          <w:p w14:paraId="48A68815" w14:textId="76931B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4B4A259" w14:textId="77777777" w:rsidTr="00A77951">
        <w:trPr>
          <w:trHeight w:val="586"/>
        </w:trPr>
        <w:tc>
          <w:tcPr>
            <w:tcW w:w="992" w:type="dxa"/>
          </w:tcPr>
          <w:p w14:paraId="08CED831" w14:textId="10D63CC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Lv</w:t>
            </w:r>
            <w:proofErr w:type="spellEnd"/>
            <w:r w:rsidRPr="00251EA9">
              <w:rPr>
                <w:rFonts w:ascii="Arial" w:hAnsi="Arial" w:cs="Arial"/>
                <w:sz w:val="15"/>
                <w:szCs w:val="15"/>
              </w:rPr>
              <w:t xml:space="preserve"> Y. et al., 2023</w:t>
            </w:r>
          </w:p>
        </w:tc>
        <w:tc>
          <w:tcPr>
            <w:tcW w:w="851" w:type="dxa"/>
          </w:tcPr>
          <w:p w14:paraId="1DE2332E" w14:textId="0FA473B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10.1186/s41016-023-00336-1</w:t>
            </w:r>
          </w:p>
        </w:tc>
        <w:tc>
          <w:tcPr>
            <w:tcW w:w="851" w:type="dxa"/>
          </w:tcPr>
          <w:p w14:paraId="02488D9F" w14:textId="588450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346DBA9E" w14:textId="173FE5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 study</w:t>
            </w:r>
          </w:p>
        </w:tc>
        <w:tc>
          <w:tcPr>
            <w:tcW w:w="992" w:type="dxa"/>
          </w:tcPr>
          <w:p w14:paraId="709D1F88" w14:textId="0F92AE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6CF96F8" w14:textId="378019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4DF9DF4" w14:textId="2DD59F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relevant risk factors associated with SSI after elective craniotomy for brain tumour and analyse the treatments for SSI.</w:t>
            </w:r>
          </w:p>
        </w:tc>
        <w:tc>
          <w:tcPr>
            <w:tcW w:w="1134" w:type="dxa"/>
          </w:tcPr>
          <w:p w14:paraId="41BB8F21" w14:textId="775CB5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w:t>
            </w:r>
          </w:p>
        </w:tc>
        <w:tc>
          <w:tcPr>
            <w:tcW w:w="992" w:type="dxa"/>
          </w:tcPr>
          <w:p w14:paraId="536EB7A2" w14:textId="308111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987A91A" w14:textId="52BCE0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 purulent discharge requiring local debridement or osteomyelitis/ abscess requiring reoperation, as well as positive</w:t>
            </w:r>
            <w:r w:rsidRPr="00251EA9">
              <w:rPr>
                <w:rFonts w:ascii="Arial" w:hAnsi="Arial" w:cs="Arial"/>
                <w:sz w:val="15"/>
                <w:szCs w:val="15"/>
              </w:rPr>
              <w:br/>
              <w:t>cultures from secretion samples or CSF.</w:t>
            </w:r>
          </w:p>
        </w:tc>
        <w:tc>
          <w:tcPr>
            <w:tcW w:w="2693" w:type="dxa"/>
          </w:tcPr>
          <w:p w14:paraId="446F2FD3" w14:textId="3F85FADC" w:rsidR="006E5533" w:rsidRPr="00251EA9" w:rsidRDefault="006E5533" w:rsidP="006E5533">
            <w:pPr>
              <w:rPr>
                <w:rFonts w:ascii="Arial" w:hAnsi="Arial" w:cs="Arial"/>
                <w:sz w:val="15"/>
                <w:szCs w:val="15"/>
              </w:rPr>
            </w:pPr>
            <w:r w:rsidRPr="00251EA9">
              <w:rPr>
                <w:rFonts w:ascii="Arial" w:hAnsi="Arial" w:cs="Arial"/>
                <w:sz w:val="15"/>
                <w:szCs w:val="15"/>
              </w:rPr>
              <w:t xml:space="preserve">Reported 31 out of 2061 patients had SSI (1.50%). Body mass index and operative duration were identified as independent risk factors for SSI. </w:t>
            </w:r>
          </w:p>
        </w:tc>
        <w:tc>
          <w:tcPr>
            <w:tcW w:w="1701" w:type="dxa"/>
          </w:tcPr>
          <w:p w14:paraId="15C3B69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“In numerous studies, the rates of SSI after neurosurgery</w:t>
            </w:r>
          </w:p>
          <w:p w14:paraId="1040ABC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varied due to differences in patient characteristics, operation indication, follow-up time, and SSI criteria. Consequently, comparing SSI incidence across studies with different criteria and demographics</w:t>
            </w:r>
          </w:p>
          <w:p w14:paraId="1C0BB55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should be done with caution. </w:t>
            </w:r>
            <w:proofErr w:type="spellStart"/>
            <w:r w:rsidRPr="00251EA9">
              <w:rPr>
                <w:rFonts w:ascii="Arial" w:hAnsi="Arial" w:cs="Arial"/>
                <w:sz w:val="15"/>
                <w:szCs w:val="15"/>
              </w:rPr>
              <w:t>Defning</w:t>
            </w:r>
            <w:proofErr w:type="spellEnd"/>
            <w:r w:rsidRPr="00251EA9">
              <w:rPr>
                <w:rFonts w:ascii="Arial" w:hAnsi="Arial" w:cs="Arial"/>
                <w:sz w:val="15"/>
                <w:szCs w:val="15"/>
              </w:rPr>
              <w:t xml:space="preserve"> a universal diagnostic criterion for SSI after craniotomy is both worthwhile and urgent. Researchers have debated the classification and definition of SSIs.”</w:t>
            </w:r>
          </w:p>
          <w:p w14:paraId="788A8246" w14:textId="11F5978D" w:rsidR="006E5533" w:rsidRPr="00251EA9" w:rsidRDefault="006E5533" w:rsidP="006E5533">
            <w:pPr>
              <w:spacing w:line="360" w:lineRule="auto"/>
              <w:contextualSpacing/>
              <w:rPr>
                <w:rFonts w:ascii="Arial" w:hAnsi="Arial" w:cs="Arial"/>
                <w:sz w:val="15"/>
                <w:szCs w:val="15"/>
              </w:rPr>
            </w:pPr>
          </w:p>
        </w:tc>
      </w:tr>
      <w:tr w:rsidR="006E5533" w:rsidRPr="00251EA9" w14:paraId="7FDB324C" w14:textId="77777777" w:rsidTr="00A77951">
        <w:trPr>
          <w:trHeight w:val="586"/>
        </w:trPr>
        <w:tc>
          <w:tcPr>
            <w:tcW w:w="992" w:type="dxa"/>
          </w:tcPr>
          <w:p w14:paraId="262859B9" w14:textId="64118C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Lwin S. et al., 2012</w:t>
            </w:r>
          </w:p>
        </w:tc>
        <w:tc>
          <w:tcPr>
            <w:tcW w:w="851" w:type="dxa"/>
          </w:tcPr>
          <w:p w14:paraId="5EF48FBC" w14:textId="32F7086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PMID: 22511048</w:t>
            </w:r>
          </w:p>
        </w:tc>
        <w:tc>
          <w:tcPr>
            <w:tcW w:w="851" w:type="dxa"/>
          </w:tcPr>
          <w:p w14:paraId="7506DDDA" w14:textId="1A752A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Singapore</w:t>
            </w:r>
          </w:p>
        </w:tc>
        <w:tc>
          <w:tcPr>
            <w:tcW w:w="1134" w:type="dxa"/>
          </w:tcPr>
          <w:p w14:paraId="2379F79F" w14:textId="7224AE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91D5951" w14:textId="3DF8E1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5F84801" w14:textId="676940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70EEFE17" w14:textId="3312BA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reduce the incidence of external ventricular drain-related infection, </w:t>
            </w:r>
            <w:r w:rsidRPr="00251EA9">
              <w:rPr>
                <w:rFonts w:ascii="Arial" w:hAnsi="Arial" w:cs="Arial"/>
                <w:sz w:val="15"/>
                <w:szCs w:val="15"/>
              </w:rPr>
              <w:lastRenderedPageBreak/>
              <w:t>including ventriculitis in neurosurgical patients.</w:t>
            </w:r>
          </w:p>
        </w:tc>
        <w:tc>
          <w:tcPr>
            <w:tcW w:w="1134" w:type="dxa"/>
          </w:tcPr>
          <w:p w14:paraId="1B96AD3F" w14:textId="709C0B0B" w:rsidR="006E5533" w:rsidRPr="00251EA9" w:rsidRDefault="006E5533" w:rsidP="006E5533">
            <w:pPr>
              <w:spacing w:line="360" w:lineRule="auto"/>
              <w:contextualSpacing/>
              <w:rPr>
                <w:rFonts w:ascii="Arial" w:hAnsi="Arial" w:cs="Arial"/>
                <w:sz w:val="15"/>
                <w:szCs w:val="15"/>
              </w:rPr>
            </w:pPr>
          </w:p>
        </w:tc>
        <w:tc>
          <w:tcPr>
            <w:tcW w:w="992" w:type="dxa"/>
          </w:tcPr>
          <w:p w14:paraId="7E810B25" w14:textId="6DE83B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9592A9" w14:textId="2C5637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CSF culture</w:t>
            </w:r>
          </w:p>
        </w:tc>
        <w:tc>
          <w:tcPr>
            <w:tcW w:w="2693" w:type="dxa"/>
          </w:tcPr>
          <w:p w14:paraId="00283FEE" w14:textId="6C53F0DF" w:rsidR="006E5533" w:rsidRPr="00251EA9" w:rsidRDefault="006E5533" w:rsidP="006E5533">
            <w:pPr>
              <w:rPr>
                <w:rFonts w:ascii="Arial" w:hAnsi="Arial" w:cs="Arial"/>
                <w:sz w:val="15"/>
                <w:szCs w:val="15"/>
              </w:rPr>
            </w:pPr>
            <w:r w:rsidRPr="00251EA9">
              <w:rPr>
                <w:rFonts w:ascii="Arial" w:hAnsi="Arial" w:cs="Arial"/>
                <w:sz w:val="15"/>
                <w:szCs w:val="15"/>
              </w:rPr>
              <w:t>Following the institution of the new protocols, the EVD infection rate was reduced to 3.8% (three out of 79 patients).</w:t>
            </w:r>
          </w:p>
        </w:tc>
        <w:tc>
          <w:tcPr>
            <w:tcW w:w="1701" w:type="dxa"/>
          </w:tcPr>
          <w:p w14:paraId="23293B78" w14:textId="70F913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BC2496E" w14:textId="77777777" w:rsidTr="00A77951">
        <w:trPr>
          <w:trHeight w:val="586"/>
        </w:trPr>
        <w:tc>
          <w:tcPr>
            <w:tcW w:w="992" w:type="dxa"/>
          </w:tcPr>
          <w:p w14:paraId="204C914F" w14:textId="7DECC7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Maayan O. et al., 2022</w:t>
            </w:r>
          </w:p>
        </w:tc>
        <w:tc>
          <w:tcPr>
            <w:tcW w:w="851" w:type="dxa"/>
          </w:tcPr>
          <w:p w14:paraId="5EC78A9D" w14:textId="4A0AEDC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10.1007/s00701-021-05075-9</w:t>
            </w:r>
          </w:p>
        </w:tc>
        <w:tc>
          <w:tcPr>
            <w:tcW w:w="851" w:type="dxa"/>
          </w:tcPr>
          <w:p w14:paraId="346F38D3" w14:textId="66D997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9E3C82D" w14:textId="71A370B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228331CD" w14:textId="07219D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E1A5BF1" w14:textId="64A4B2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445F78D" w14:textId="023F03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risk factors for infection and assess the efficacy of prophylactic betadine irrigation and vancomycin powder in addition to standard antibiotic irrigation.</w:t>
            </w:r>
          </w:p>
        </w:tc>
        <w:tc>
          <w:tcPr>
            <w:tcW w:w="1134" w:type="dxa"/>
          </w:tcPr>
          <w:p w14:paraId="3B36D59B" w14:textId="467D42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Group 1: antibiotic irrigation, Group 2: antibiotic irrigation and betadine irrigation, Group 3: antibiotic irrigation, betadine irrigation, and vancomycin powder.</w:t>
            </w:r>
          </w:p>
        </w:tc>
        <w:tc>
          <w:tcPr>
            <w:tcW w:w="992" w:type="dxa"/>
          </w:tcPr>
          <w:p w14:paraId="41AD7F0A" w14:textId="7E257E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EF7368" w14:textId="612E93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bacterial culture</w:t>
            </w:r>
          </w:p>
        </w:tc>
        <w:tc>
          <w:tcPr>
            <w:tcW w:w="2693" w:type="dxa"/>
          </w:tcPr>
          <w:p w14:paraId="782B2F46" w14:textId="038EB730" w:rsidR="006E5533" w:rsidRPr="00251EA9" w:rsidRDefault="006E5533" w:rsidP="006E5533">
            <w:pPr>
              <w:rPr>
                <w:rFonts w:ascii="Arial" w:hAnsi="Arial" w:cs="Arial"/>
                <w:sz w:val="15"/>
                <w:szCs w:val="15"/>
              </w:rPr>
            </w:pPr>
            <w:r w:rsidRPr="00251EA9">
              <w:rPr>
                <w:rFonts w:ascii="Arial" w:hAnsi="Arial" w:cs="Arial"/>
                <w:sz w:val="15"/>
                <w:szCs w:val="15"/>
              </w:rPr>
              <w:t>Of the 7 patients who received preoperative bevacizumab 4 (57.1%) had a postoperative infection. Other factors significantly associated with wound infection were foreign body placement with an infection rate of 9.9%</w:t>
            </w:r>
          </w:p>
        </w:tc>
        <w:tc>
          <w:tcPr>
            <w:tcW w:w="1701" w:type="dxa"/>
          </w:tcPr>
          <w:p w14:paraId="2BC1901C" w14:textId="182511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65219B2" w14:textId="77777777" w:rsidTr="00A77951">
        <w:trPr>
          <w:trHeight w:val="586"/>
        </w:trPr>
        <w:tc>
          <w:tcPr>
            <w:tcW w:w="992" w:type="dxa"/>
          </w:tcPr>
          <w:p w14:paraId="6021CEDE" w14:textId="1D19E8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Maayan O. et al., 2023</w:t>
            </w:r>
          </w:p>
        </w:tc>
        <w:tc>
          <w:tcPr>
            <w:tcW w:w="851" w:type="dxa"/>
          </w:tcPr>
          <w:p w14:paraId="13854B42" w14:textId="2050BD4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10.1007/s11060-023-04294-7</w:t>
            </w:r>
          </w:p>
        </w:tc>
        <w:tc>
          <w:tcPr>
            <w:tcW w:w="851" w:type="dxa"/>
          </w:tcPr>
          <w:p w14:paraId="0C09F2C5" w14:textId="3C522A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4B3140E" w14:textId="7A12D8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5154889" w14:textId="12CD47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C8C7586" w14:textId="6C0B85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63859A00" w14:textId="1F74B0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risk factor aetiologies for SSI and investigate their combinatorial effects on infection rate following craniotomy for neuro-oncologic pathology.</w:t>
            </w:r>
          </w:p>
        </w:tc>
        <w:tc>
          <w:tcPr>
            <w:tcW w:w="1134" w:type="dxa"/>
          </w:tcPr>
          <w:p w14:paraId="1771E9D0" w14:textId="1B7DD88E" w:rsidR="006E5533" w:rsidRPr="00251EA9" w:rsidRDefault="006E5533" w:rsidP="006E5533">
            <w:pPr>
              <w:spacing w:line="360" w:lineRule="auto"/>
              <w:contextualSpacing/>
              <w:rPr>
                <w:rFonts w:ascii="Arial" w:hAnsi="Arial" w:cs="Arial"/>
                <w:sz w:val="15"/>
                <w:szCs w:val="15"/>
              </w:rPr>
            </w:pPr>
          </w:p>
        </w:tc>
        <w:tc>
          <w:tcPr>
            <w:tcW w:w="992" w:type="dxa"/>
          </w:tcPr>
          <w:p w14:paraId="0823950D" w14:textId="4B4C3D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819C7F2" w14:textId="741789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0187FE7" w14:textId="5403AD66" w:rsidR="006E5533" w:rsidRPr="00251EA9" w:rsidRDefault="006E5533" w:rsidP="006E5533">
            <w:pPr>
              <w:rPr>
                <w:rFonts w:ascii="Arial" w:hAnsi="Arial" w:cs="Arial"/>
                <w:sz w:val="15"/>
                <w:szCs w:val="15"/>
              </w:rPr>
            </w:pPr>
            <w:r w:rsidRPr="00251EA9">
              <w:rPr>
                <w:rFonts w:ascii="Arial" w:hAnsi="Arial" w:cs="Arial"/>
                <w:sz w:val="15"/>
                <w:szCs w:val="15"/>
              </w:rPr>
              <w:t>Postoperative SSI occurred in 20 patients (1.7%) within 30 days and 42 patients (3.5%) by 90 days.</w:t>
            </w:r>
          </w:p>
        </w:tc>
        <w:tc>
          <w:tcPr>
            <w:tcW w:w="1701" w:type="dxa"/>
          </w:tcPr>
          <w:p w14:paraId="76EFBDD2" w14:textId="62FDE7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051A450" w14:textId="77777777" w:rsidTr="00A77951">
        <w:trPr>
          <w:trHeight w:val="586"/>
        </w:trPr>
        <w:tc>
          <w:tcPr>
            <w:tcW w:w="992" w:type="dxa"/>
          </w:tcPr>
          <w:p w14:paraId="47F83B59" w14:textId="688EB61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Madhugiri</w:t>
            </w:r>
            <w:proofErr w:type="spellEnd"/>
            <w:r w:rsidRPr="00251EA9">
              <w:rPr>
                <w:rFonts w:ascii="Arial" w:hAnsi="Arial" w:cs="Arial"/>
                <w:sz w:val="15"/>
                <w:szCs w:val="15"/>
              </w:rPr>
              <w:t xml:space="preserve"> V.S. et al., 2011</w:t>
            </w:r>
          </w:p>
        </w:tc>
        <w:tc>
          <w:tcPr>
            <w:tcW w:w="851" w:type="dxa"/>
          </w:tcPr>
          <w:p w14:paraId="0164680B" w14:textId="5479A89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10.1159/000330542</w:t>
            </w:r>
          </w:p>
        </w:tc>
        <w:tc>
          <w:tcPr>
            <w:tcW w:w="851" w:type="dxa"/>
          </w:tcPr>
          <w:p w14:paraId="19099582" w14:textId="1B150F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1FB95D57" w14:textId="07C205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53EA687" w14:textId="4CE092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6F874D4D" w14:textId="132696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34AD6F05" w14:textId="3F1E07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conduct a comprehensive analysis of factors affecting recurrence and outcome of all the focal intracranial infections in children.</w:t>
            </w:r>
          </w:p>
        </w:tc>
        <w:tc>
          <w:tcPr>
            <w:tcW w:w="1134" w:type="dxa"/>
          </w:tcPr>
          <w:p w14:paraId="7C88E9F4" w14:textId="2D66AFC5" w:rsidR="006E5533" w:rsidRPr="00251EA9" w:rsidRDefault="006E5533" w:rsidP="006E5533">
            <w:pPr>
              <w:spacing w:line="360" w:lineRule="auto"/>
              <w:contextualSpacing/>
              <w:rPr>
                <w:rFonts w:ascii="Arial" w:hAnsi="Arial" w:cs="Arial"/>
                <w:sz w:val="15"/>
                <w:szCs w:val="15"/>
              </w:rPr>
            </w:pPr>
          </w:p>
        </w:tc>
        <w:tc>
          <w:tcPr>
            <w:tcW w:w="992" w:type="dxa"/>
          </w:tcPr>
          <w:p w14:paraId="2B843F5C" w14:textId="481FBC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B7F80DF" w14:textId="5C7DE0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57F9353" w14:textId="48996062" w:rsidR="006E5533" w:rsidRPr="00251EA9" w:rsidRDefault="006E5533" w:rsidP="006E5533">
            <w:pPr>
              <w:rPr>
                <w:rFonts w:ascii="Arial" w:hAnsi="Arial" w:cs="Arial"/>
                <w:sz w:val="15"/>
                <w:szCs w:val="15"/>
              </w:rPr>
            </w:pPr>
            <w:r w:rsidRPr="00251EA9">
              <w:rPr>
                <w:rFonts w:ascii="Arial" w:hAnsi="Arial" w:cs="Arial"/>
                <w:sz w:val="15"/>
                <w:szCs w:val="15"/>
              </w:rPr>
              <w:t>There was a wound infection rate of 7% in the infratentorial empyema group and 2 patients developed wound infection in the supratentorial empyema group.</w:t>
            </w:r>
          </w:p>
        </w:tc>
        <w:tc>
          <w:tcPr>
            <w:tcW w:w="1701" w:type="dxa"/>
          </w:tcPr>
          <w:p w14:paraId="7A43A659" w14:textId="68FA0C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F02F7C8" w14:textId="77777777" w:rsidTr="00A77951">
        <w:trPr>
          <w:trHeight w:val="586"/>
        </w:trPr>
        <w:tc>
          <w:tcPr>
            <w:tcW w:w="992" w:type="dxa"/>
          </w:tcPr>
          <w:p w14:paraId="3B28B1F3" w14:textId="7AC0B64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Magil</w:t>
            </w:r>
            <w:proofErr w:type="spellEnd"/>
            <w:r w:rsidRPr="00251EA9">
              <w:rPr>
                <w:rFonts w:ascii="Arial" w:hAnsi="Arial" w:cs="Arial"/>
                <w:sz w:val="15"/>
                <w:szCs w:val="15"/>
              </w:rPr>
              <w:t xml:space="preserve"> S.T. et al., 2023</w:t>
            </w:r>
          </w:p>
        </w:tc>
        <w:tc>
          <w:tcPr>
            <w:tcW w:w="851" w:type="dxa"/>
          </w:tcPr>
          <w:p w14:paraId="62D81D3B" w14:textId="5A46000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10.1227/neu.0000</w:t>
            </w:r>
            <w:r w:rsidRPr="00A77951">
              <w:rPr>
                <w:rFonts w:ascii="Arial" w:hAnsi="Arial" w:cs="Arial"/>
                <w:sz w:val="15"/>
                <w:szCs w:val="15"/>
              </w:rPr>
              <w:lastRenderedPageBreak/>
              <w:t>000000002569</w:t>
            </w:r>
          </w:p>
        </w:tc>
        <w:tc>
          <w:tcPr>
            <w:tcW w:w="851" w:type="dxa"/>
          </w:tcPr>
          <w:p w14:paraId="233F7B50" w14:textId="7D179A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USA</w:t>
            </w:r>
          </w:p>
        </w:tc>
        <w:tc>
          <w:tcPr>
            <w:tcW w:w="1134" w:type="dxa"/>
          </w:tcPr>
          <w:p w14:paraId="556A8334" w14:textId="5EA94E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238453E" w14:textId="51F7DB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3C5562E" w14:textId="096FE6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48809E2" w14:textId="7C8A88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collect data on trends in approach selection and surgical </w:t>
            </w:r>
            <w:r w:rsidRPr="00251EA9">
              <w:rPr>
                <w:rFonts w:ascii="Arial" w:hAnsi="Arial" w:cs="Arial"/>
                <w:sz w:val="15"/>
                <w:szCs w:val="15"/>
              </w:rPr>
              <w:lastRenderedPageBreak/>
              <w:t>outcomes of visual worsening, extent of resection, surgical complications, and recurrence rates</w:t>
            </w:r>
          </w:p>
        </w:tc>
        <w:tc>
          <w:tcPr>
            <w:tcW w:w="1134" w:type="dxa"/>
          </w:tcPr>
          <w:p w14:paraId="21F027F4"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5397111" w14:textId="242351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7B36035" w14:textId="0E8AA3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77EB297" w14:textId="1F45C069" w:rsidR="006E5533" w:rsidRPr="00251EA9" w:rsidRDefault="006E5533" w:rsidP="006E5533">
            <w:pPr>
              <w:rPr>
                <w:rFonts w:ascii="Arial" w:hAnsi="Arial" w:cs="Arial"/>
                <w:sz w:val="15"/>
                <w:szCs w:val="15"/>
              </w:rPr>
            </w:pPr>
            <w:r w:rsidRPr="00251EA9">
              <w:rPr>
                <w:rFonts w:ascii="Arial" w:hAnsi="Arial" w:cs="Arial"/>
                <w:sz w:val="15"/>
                <w:szCs w:val="15"/>
              </w:rPr>
              <w:t>29 patients had a wound infection requiring surgery. 3 patients had superficial infection treated with antibiotics.</w:t>
            </w:r>
          </w:p>
        </w:tc>
        <w:tc>
          <w:tcPr>
            <w:tcW w:w="1701" w:type="dxa"/>
          </w:tcPr>
          <w:p w14:paraId="7295FC75" w14:textId="7B70A1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9D24CB1" w14:textId="77777777" w:rsidTr="00A77951">
        <w:trPr>
          <w:trHeight w:val="586"/>
        </w:trPr>
        <w:tc>
          <w:tcPr>
            <w:tcW w:w="992" w:type="dxa"/>
          </w:tcPr>
          <w:p w14:paraId="57537F75" w14:textId="4468EFD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Mahboubi</w:t>
            </w:r>
            <w:proofErr w:type="spellEnd"/>
            <w:r w:rsidRPr="00251EA9">
              <w:rPr>
                <w:rFonts w:ascii="Arial" w:hAnsi="Arial" w:cs="Arial"/>
                <w:sz w:val="15"/>
                <w:szCs w:val="15"/>
              </w:rPr>
              <w:t xml:space="preserve"> H. et al., 2016</w:t>
            </w:r>
          </w:p>
        </w:tc>
        <w:tc>
          <w:tcPr>
            <w:tcW w:w="851" w:type="dxa"/>
          </w:tcPr>
          <w:p w14:paraId="7757778E" w14:textId="4A7CBFF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10.1097/MAO.0000000000001178</w:t>
            </w:r>
          </w:p>
        </w:tc>
        <w:tc>
          <w:tcPr>
            <w:tcW w:w="851" w:type="dxa"/>
          </w:tcPr>
          <w:p w14:paraId="394D9AD9" w14:textId="65A585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13A4D85" w14:textId="441E38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cross-sectional</w:t>
            </w:r>
          </w:p>
        </w:tc>
        <w:tc>
          <w:tcPr>
            <w:tcW w:w="992" w:type="dxa"/>
          </w:tcPr>
          <w:p w14:paraId="64BCED96" w14:textId="067CE0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EF38083" w14:textId="626951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E960672" w14:textId="18713F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30-day postoperative complication, readmission, and reoperation rates following surgery for cerebellopontine angle (CPA) schwannomas.</w:t>
            </w:r>
          </w:p>
        </w:tc>
        <w:tc>
          <w:tcPr>
            <w:tcW w:w="1134" w:type="dxa"/>
          </w:tcPr>
          <w:p w14:paraId="7C82099E" w14:textId="5C88521F" w:rsidR="006E5533" w:rsidRPr="00251EA9" w:rsidRDefault="006E5533" w:rsidP="006E5533">
            <w:pPr>
              <w:spacing w:line="360" w:lineRule="auto"/>
              <w:contextualSpacing/>
              <w:rPr>
                <w:rFonts w:ascii="Arial" w:hAnsi="Arial" w:cs="Arial"/>
                <w:sz w:val="15"/>
                <w:szCs w:val="15"/>
              </w:rPr>
            </w:pPr>
          </w:p>
        </w:tc>
        <w:tc>
          <w:tcPr>
            <w:tcW w:w="992" w:type="dxa"/>
          </w:tcPr>
          <w:p w14:paraId="23B7FA2C" w14:textId="771F499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405228E" w14:textId="02603B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40B80BF" w14:textId="41BC728A" w:rsidR="006E5533" w:rsidRPr="00251EA9" w:rsidRDefault="006E5533" w:rsidP="006E5533">
            <w:pPr>
              <w:rPr>
                <w:rFonts w:ascii="Arial" w:hAnsi="Arial" w:cs="Arial"/>
                <w:sz w:val="15"/>
                <w:szCs w:val="15"/>
              </w:rPr>
            </w:pPr>
            <w:r w:rsidRPr="00251EA9">
              <w:rPr>
                <w:rFonts w:ascii="Arial" w:hAnsi="Arial" w:cs="Arial"/>
                <w:sz w:val="15"/>
                <w:szCs w:val="15"/>
              </w:rPr>
              <w:t>Reported wound infections being a common complication including surgical-site infection and wound dehiscence (11 patients, 2.7%).</w:t>
            </w:r>
          </w:p>
        </w:tc>
        <w:tc>
          <w:tcPr>
            <w:tcW w:w="1701" w:type="dxa"/>
          </w:tcPr>
          <w:p w14:paraId="3856ED17" w14:textId="3A0880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55B5400" w14:textId="77777777" w:rsidTr="00A77951">
        <w:trPr>
          <w:trHeight w:val="586"/>
        </w:trPr>
        <w:tc>
          <w:tcPr>
            <w:tcW w:w="992" w:type="dxa"/>
          </w:tcPr>
          <w:p w14:paraId="64AFDDC4" w14:textId="18911D0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Makoshi</w:t>
            </w:r>
            <w:proofErr w:type="spellEnd"/>
            <w:r w:rsidRPr="00251EA9">
              <w:rPr>
                <w:rFonts w:ascii="Arial" w:hAnsi="Arial" w:cs="Arial"/>
                <w:sz w:val="15"/>
                <w:szCs w:val="15"/>
              </w:rPr>
              <w:t xml:space="preserve"> Z. et al., 2022</w:t>
            </w:r>
          </w:p>
        </w:tc>
        <w:tc>
          <w:tcPr>
            <w:tcW w:w="851" w:type="dxa"/>
          </w:tcPr>
          <w:p w14:paraId="1C545545" w14:textId="2EDD97B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10.3171/2022.</w:t>
            </w:r>
            <w:proofErr w:type="gramStart"/>
            <w:r w:rsidRPr="00A77951">
              <w:rPr>
                <w:rFonts w:ascii="Arial" w:hAnsi="Arial" w:cs="Arial"/>
                <w:sz w:val="15"/>
                <w:szCs w:val="15"/>
              </w:rPr>
              <w:t>7.PEDS</w:t>
            </w:r>
            <w:proofErr w:type="gramEnd"/>
            <w:r w:rsidRPr="00A77951">
              <w:rPr>
                <w:rFonts w:ascii="Arial" w:hAnsi="Arial" w:cs="Arial"/>
                <w:sz w:val="15"/>
                <w:szCs w:val="15"/>
              </w:rPr>
              <w:t>22231</w:t>
            </w:r>
          </w:p>
        </w:tc>
        <w:tc>
          <w:tcPr>
            <w:tcW w:w="851" w:type="dxa"/>
          </w:tcPr>
          <w:p w14:paraId="49DBA08A" w14:textId="510F82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9AA9D09" w14:textId="1C058E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and prospective.</w:t>
            </w:r>
          </w:p>
        </w:tc>
        <w:tc>
          <w:tcPr>
            <w:tcW w:w="992" w:type="dxa"/>
          </w:tcPr>
          <w:p w14:paraId="71572002" w14:textId="003DFA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673E058" w14:textId="6BECD15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16724DF0" w14:textId="75ACE7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test the hypothesis that complication rates increase with the use or combination of certain sealants and grafts.</w:t>
            </w:r>
          </w:p>
        </w:tc>
        <w:tc>
          <w:tcPr>
            <w:tcW w:w="1134" w:type="dxa"/>
          </w:tcPr>
          <w:p w14:paraId="3A24ABFB" w14:textId="0549E4B0" w:rsidR="006E5533" w:rsidRPr="00251EA9" w:rsidRDefault="006E5533" w:rsidP="006E5533">
            <w:pPr>
              <w:spacing w:line="360" w:lineRule="auto"/>
              <w:contextualSpacing/>
              <w:rPr>
                <w:rFonts w:ascii="Arial" w:hAnsi="Arial" w:cs="Arial"/>
                <w:sz w:val="15"/>
                <w:szCs w:val="15"/>
              </w:rPr>
            </w:pPr>
          </w:p>
        </w:tc>
        <w:tc>
          <w:tcPr>
            <w:tcW w:w="992" w:type="dxa"/>
          </w:tcPr>
          <w:p w14:paraId="2BE69413" w14:textId="140E6F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7CB7937" w14:textId="49F917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3F6046D" w14:textId="2DF91BED" w:rsidR="006E5533" w:rsidRPr="00251EA9" w:rsidRDefault="006E5533" w:rsidP="006E5533">
            <w:pPr>
              <w:rPr>
                <w:rFonts w:ascii="Arial" w:hAnsi="Arial" w:cs="Arial"/>
                <w:sz w:val="15"/>
                <w:szCs w:val="15"/>
              </w:rPr>
            </w:pPr>
            <w:r w:rsidRPr="00251EA9">
              <w:rPr>
                <w:rFonts w:ascii="Arial" w:hAnsi="Arial" w:cs="Arial"/>
                <w:sz w:val="15"/>
                <w:szCs w:val="15"/>
              </w:rPr>
              <w:t xml:space="preserve">Higher rates of SSI were reported in </w:t>
            </w:r>
            <w:proofErr w:type="spellStart"/>
            <w:r w:rsidRPr="00251EA9">
              <w:rPr>
                <w:rFonts w:ascii="Arial" w:hAnsi="Arial" w:cs="Arial"/>
                <w:sz w:val="15"/>
                <w:szCs w:val="15"/>
              </w:rPr>
              <w:t>DuraSeal</w:t>
            </w:r>
            <w:proofErr w:type="spellEnd"/>
            <w:r w:rsidRPr="00251EA9">
              <w:rPr>
                <w:rFonts w:ascii="Arial" w:hAnsi="Arial" w:cs="Arial"/>
                <w:sz w:val="15"/>
                <w:szCs w:val="15"/>
              </w:rPr>
              <w:t xml:space="preserve"> group.</w:t>
            </w:r>
          </w:p>
        </w:tc>
        <w:tc>
          <w:tcPr>
            <w:tcW w:w="1701" w:type="dxa"/>
          </w:tcPr>
          <w:p w14:paraId="7014B471" w14:textId="5043C2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0E506D7" w14:textId="77777777" w:rsidTr="00A77951">
        <w:trPr>
          <w:trHeight w:val="586"/>
        </w:trPr>
        <w:tc>
          <w:tcPr>
            <w:tcW w:w="992" w:type="dxa"/>
          </w:tcPr>
          <w:p w14:paraId="537F9E8A" w14:textId="17F988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Mallela A. et al., 2017</w:t>
            </w:r>
          </w:p>
        </w:tc>
        <w:tc>
          <w:tcPr>
            <w:tcW w:w="851" w:type="dxa"/>
          </w:tcPr>
          <w:p w14:paraId="4D74DCD1" w14:textId="0611FC4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10.1093/neuros/nyx559</w:t>
            </w:r>
          </w:p>
        </w:tc>
        <w:tc>
          <w:tcPr>
            <w:tcW w:w="851" w:type="dxa"/>
          </w:tcPr>
          <w:p w14:paraId="61F1F803" w14:textId="2B539F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AC469CD" w14:textId="47E6FD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7C1BA7B9" w14:textId="1651BB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BFE64A2" w14:textId="2F5C8D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9678193" w14:textId="415637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examine the efficacy of topical vancomycin applied within the wound during craniotomy.</w:t>
            </w:r>
          </w:p>
        </w:tc>
        <w:tc>
          <w:tcPr>
            <w:tcW w:w="1134" w:type="dxa"/>
          </w:tcPr>
          <w:p w14:paraId="12E2E5BB" w14:textId="238D39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Application of topical vancomycin.</w:t>
            </w:r>
          </w:p>
        </w:tc>
        <w:tc>
          <w:tcPr>
            <w:tcW w:w="992" w:type="dxa"/>
          </w:tcPr>
          <w:p w14:paraId="2593FE31" w14:textId="67B594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98B6DAD" w14:textId="59DE17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culture</w:t>
            </w:r>
            <w:r w:rsidRPr="00251EA9">
              <w:rPr>
                <w:rFonts w:ascii="Arial" w:hAnsi="Arial" w:cs="Arial"/>
                <w:sz w:val="15"/>
                <w:szCs w:val="15"/>
              </w:rPr>
              <w:br/>
              <w:t>within 120 days of surgery.</w:t>
            </w:r>
          </w:p>
        </w:tc>
        <w:tc>
          <w:tcPr>
            <w:tcW w:w="2693" w:type="dxa"/>
          </w:tcPr>
          <w:p w14:paraId="34FB5174" w14:textId="704BDEEA" w:rsidR="006E5533" w:rsidRPr="00251EA9" w:rsidRDefault="006E5533" w:rsidP="006E5533">
            <w:pPr>
              <w:rPr>
                <w:rFonts w:ascii="Arial" w:hAnsi="Arial" w:cs="Arial"/>
                <w:sz w:val="15"/>
                <w:szCs w:val="15"/>
              </w:rPr>
            </w:pPr>
            <w:r w:rsidRPr="00251EA9">
              <w:rPr>
                <w:rFonts w:ascii="Arial" w:hAnsi="Arial" w:cs="Arial"/>
                <w:sz w:val="15"/>
                <w:szCs w:val="15"/>
              </w:rPr>
              <w:t xml:space="preserve">The addition of topical vancomycin was associated with a significantly lower rate of SSI than standard of care alone (0.49% [1/205] vs 6% [9/150]). </w:t>
            </w:r>
          </w:p>
        </w:tc>
        <w:tc>
          <w:tcPr>
            <w:tcW w:w="1701" w:type="dxa"/>
          </w:tcPr>
          <w:p w14:paraId="28708D2F" w14:textId="6F7F99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5D6AD4C" w14:textId="77777777" w:rsidTr="00A77951">
        <w:trPr>
          <w:trHeight w:val="586"/>
        </w:trPr>
        <w:tc>
          <w:tcPr>
            <w:tcW w:w="992" w:type="dxa"/>
          </w:tcPr>
          <w:p w14:paraId="1539101B" w14:textId="7A1151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Mallela A.N. et al., 2020</w:t>
            </w:r>
          </w:p>
        </w:tc>
        <w:tc>
          <w:tcPr>
            <w:tcW w:w="851" w:type="dxa"/>
          </w:tcPr>
          <w:p w14:paraId="467C2C94" w14:textId="7B091858" w:rsidR="006E5533" w:rsidRPr="00A77951" w:rsidRDefault="006E5533" w:rsidP="006E5533">
            <w:pPr>
              <w:spacing w:line="360" w:lineRule="auto"/>
              <w:contextualSpacing/>
              <w:rPr>
                <w:rFonts w:ascii="Arial" w:hAnsi="Arial" w:cs="Arial"/>
                <w:sz w:val="15"/>
                <w:szCs w:val="15"/>
              </w:rPr>
            </w:pPr>
            <w:hyperlink r:id="rId254" w:history="1">
              <w:r w:rsidRPr="00A77951">
                <w:rPr>
                  <w:rStyle w:val="Hyperlink"/>
                  <w:rFonts w:ascii="Arial" w:hAnsi="Arial" w:cs="Arial"/>
                  <w:sz w:val="15"/>
                  <w:szCs w:val="15"/>
                </w:rPr>
                <w:t>10.1016/j.jocn.2020.07.048</w:t>
              </w:r>
            </w:hyperlink>
          </w:p>
        </w:tc>
        <w:tc>
          <w:tcPr>
            <w:tcW w:w="851" w:type="dxa"/>
          </w:tcPr>
          <w:p w14:paraId="492B91D5" w14:textId="213D5A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78670CC" w14:textId="08F78B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BA20278" w14:textId="2E90B6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145B6EC" w14:textId="31AC70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A8742FE" w14:textId="62C825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pre-operative and post-operative risk factors are predictive of 30-day readmission and develop a user-friendly, additive readmission risk score.</w:t>
            </w:r>
          </w:p>
        </w:tc>
        <w:tc>
          <w:tcPr>
            <w:tcW w:w="1134" w:type="dxa"/>
          </w:tcPr>
          <w:p w14:paraId="2221DA2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7BAAF69" w14:textId="37D8C4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FE80D30" w14:textId="48F386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44EAD33" w14:textId="7B78B8B7" w:rsidR="006E5533" w:rsidRPr="00251EA9" w:rsidRDefault="006E5533" w:rsidP="006E5533">
            <w:pPr>
              <w:rPr>
                <w:rFonts w:ascii="Arial" w:hAnsi="Arial" w:cs="Arial"/>
                <w:sz w:val="15"/>
                <w:szCs w:val="15"/>
              </w:rPr>
            </w:pPr>
            <w:r w:rsidRPr="00251EA9">
              <w:rPr>
                <w:rFonts w:ascii="Arial" w:hAnsi="Arial" w:cs="Arial"/>
                <w:sz w:val="15"/>
                <w:szCs w:val="15"/>
              </w:rPr>
              <w:t>Reported an SSI rate of 6.9%.</w:t>
            </w:r>
          </w:p>
        </w:tc>
        <w:tc>
          <w:tcPr>
            <w:tcW w:w="1701" w:type="dxa"/>
          </w:tcPr>
          <w:p w14:paraId="7957514B" w14:textId="51F7A5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03279B0" w14:textId="77777777" w:rsidTr="00A77951">
        <w:trPr>
          <w:trHeight w:val="586"/>
        </w:trPr>
        <w:tc>
          <w:tcPr>
            <w:tcW w:w="992" w:type="dxa"/>
          </w:tcPr>
          <w:p w14:paraId="33D00944" w14:textId="79B53A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Mann C. et al., 2021</w:t>
            </w:r>
          </w:p>
        </w:tc>
        <w:tc>
          <w:tcPr>
            <w:tcW w:w="851" w:type="dxa"/>
          </w:tcPr>
          <w:p w14:paraId="01D6A380" w14:textId="26F7EA4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10.1016/j.yebeh.2020.107715</w:t>
            </w:r>
          </w:p>
        </w:tc>
        <w:tc>
          <w:tcPr>
            <w:tcW w:w="851" w:type="dxa"/>
          </w:tcPr>
          <w:p w14:paraId="4F00352B" w14:textId="7FB091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560486B1" w14:textId="710EC6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6B00680" w14:textId="1E9611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Both</w:t>
            </w:r>
          </w:p>
        </w:tc>
        <w:tc>
          <w:tcPr>
            <w:tcW w:w="1276" w:type="dxa"/>
          </w:tcPr>
          <w:p w14:paraId="29F619F1" w14:textId="59860F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w:t>
            </w:r>
            <w:proofErr w:type="spellStart"/>
            <w:r w:rsidRPr="00251EA9">
              <w:rPr>
                <w:rFonts w:ascii="Arial" w:hAnsi="Arial" w:cs="Arial"/>
                <w:sz w:val="15"/>
                <w:szCs w:val="15"/>
              </w:rPr>
              <w:t>Resective</w:t>
            </w:r>
            <w:proofErr w:type="spellEnd"/>
            <w:r w:rsidRPr="00251EA9">
              <w:rPr>
                <w:rFonts w:ascii="Arial" w:hAnsi="Arial" w:cs="Arial"/>
                <w:sz w:val="15"/>
                <w:szCs w:val="15"/>
              </w:rPr>
              <w:t xml:space="preserve"> or ablative surgical </w:t>
            </w:r>
            <w:r w:rsidRPr="00251EA9">
              <w:rPr>
                <w:rFonts w:ascii="Arial" w:hAnsi="Arial" w:cs="Arial"/>
                <w:sz w:val="15"/>
                <w:szCs w:val="15"/>
              </w:rPr>
              <w:lastRenderedPageBreak/>
              <w:t>treatment for epilepsy)</w:t>
            </w:r>
          </w:p>
        </w:tc>
        <w:tc>
          <w:tcPr>
            <w:tcW w:w="1843" w:type="dxa"/>
          </w:tcPr>
          <w:p w14:paraId="614E0A4A" w14:textId="0696AE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To describe the patients’ characteristics, surgical ratio, and outcomes following </w:t>
            </w:r>
            <w:r w:rsidRPr="00251EA9">
              <w:rPr>
                <w:rFonts w:ascii="Arial" w:hAnsi="Arial" w:cs="Arial"/>
                <w:sz w:val="15"/>
                <w:szCs w:val="15"/>
              </w:rPr>
              <w:lastRenderedPageBreak/>
              <w:t>epilepsy surgery</w:t>
            </w:r>
            <w:r w:rsidRPr="00251EA9">
              <w:rPr>
                <w:rFonts w:ascii="Arial" w:hAnsi="Arial" w:cs="Arial"/>
                <w:sz w:val="15"/>
                <w:szCs w:val="15"/>
              </w:rPr>
              <w:br/>
              <w:t xml:space="preserve">at the newly established Epilepsy </w:t>
            </w:r>
            <w:proofErr w:type="spellStart"/>
            <w:r w:rsidRPr="00251EA9">
              <w:rPr>
                <w:rFonts w:ascii="Arial" w:hAnsi="Arial" w:cs="Arial"/>
                <w:sz w:val="15"/>
                <w:szCs w:val="15"/>
              </w:rPr>
              <w:t>Center</w:t>
            </w:r>
            <w:proofErr w:type="spellEnd"/>
            <w:r w:rsidRPr="00251EA9">
              <w:rPr>
                <w:rFonts w:ascii="Arial" w:hAnsi="Arial" w:cs="Arial"/>
                <w:sz w:val="15"/>
                <w:szCs w:val="15"/>
              </w:rPr>
              <w:t xml:space="preserve"> Frankfurt Rhine-Main.</w:t>
            </w:r>
          </w:p>
        </w:tc>
        <w:tc>
          <w:tcPr>
            <w:tcW w:w="1134" w:type="dxa"/>
          </w:tcPr>
          <w:p w14:paraId="09EDADA0" w14:textId="4254C6D3" w:rsidR="006E5533" w:rsidRPr="00251EA9" w:rsidRDefault="006E5533" w:rsidP="006E5533">
            <w:pPr>
              <w:spacing w:line="360" w:lineRule="auto"/>
              <w:contextualSpacing/>
              <w:rPr>
                <w:rFonts w:ascii="Arial" w:hAnsi="Arial" w:cs="Arial"/>
                <w:sz w:val="15"/>
                <w:szCs w:val="15"/>
              </w:rPr>
            </w:pPr>
          </w:p>
        </w:tc>
        <w:tc>
          <w:tcPr>
            <w:tcW w:w="992" w:type="dxa"/>
          </w:tcPr>
          <w:p w14:paraId="7E2A8673" w14:textId="093DED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074D3E0" w14:textId="18BEE1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CF11A01" w14:textId="25AB8111" w:rsidR="006E5533" w:rsidRPr="00251EA9" w:rsidRDefault="006E5533" w:rsidP="006E5533">
            <w:pPr>
              <w:rPr>
                <w:rFonts w:ascii="Arial" w:hAnsi="Arial" w:cs="Arial"/>
                <w:sz w:val="15"/>
                <w:szCs w:val="15"/>
              </w:rPr>
            </w:pPr>
            <w:r w:rsidRPr="00251EA9">
              <w:rPr>
                <w:rFonts w:ascii="Arial" w:hAnsi="Arial" w:cs="Arial"/>
                <w:sz w:val="15"/>
                <w:szCs w:val="15"/>
              </w:rPr>
              <w:t>In 21 cases, perioperative complications occurred. 7 of these cases were of postoperative surgical site</w:t>
            </w:r>
            <w:r w:rsidRPr="00251EA9">
              <w:rPr>
                <w:rFonts w:ascii="Arial" w:hAnsi="Arial" w:cs="Arial"/>
                <w:sz w:val="15"/>
                <w:szCs w:val="15"/>
              </w:rPr>
              <w:br/>
              <w:t>infections or delayed wound healing.</w:t>
            </w:r>
          </w:p>
        </w:tc>
        <w:tc>
          <w:tcPr>
            <w:tcW w:w="1701" w:type="dxa"/>
          </w:tcPr>
          <w:p w14:paraId="287F8C34" w14:textId="27B4D8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C7F3383" w14:textId="77777777" w:rsidTr="00A77951">
        <w:trPr>
          <w:trHeight w:val="586"/>
        </w:trPr>
        <w:tc>
          <w:tcPr>
            <w:tcW w:w="992" w:type="dxa"/>
          </w:tcPr>
          <w:p w14:paraId="7E53F8E8" w14:textId="3C56B5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Marcus L.P. et al., 2014</w:t>
            </w:r>
          </w:p>
        </w:tc>
        <w:tc>
          <w:tcPr>
            <w:tcW w:w="851" w:type="dxa"/>
          </w:tcPr>
          <w:p w14:paraId="387124D2" w14:textId="0FE32E1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10.3171/2014.</w:t>
            </w:r>
            <w:proofErr w:type="gramStart"/>
            <w:r w:rsidRPr="00A77951">
              <w:rPr>
                <w:rFonts w:ascii="Arial" w:hAnsi="Arial" w:cs="Arial"/>
                <w:sz w:val="15"/>
                <w:szCs w:val="15"/>
              </w:rPr>
              <w:t>1.JNS</w:t>
            </w:r>
            <w:proofErr w:type="gramEnd"/>
            <w:r w:rsidRPr="00A77951">
              <w:rPr>
                <w:rFonts w:ascii="Arial" w:hAnsi="Arial" w:cs="Arial"/>
                <w:sz w:val="15"/>
                <w:szCs w:val="15"/>
              </w:rPr>
              <w:t>131264</w:t>
            </w:r>
          </w:p>
        </w:tc>
        <w:tc>
          <w:tcPr>
            <w:tcW w:w="851" w:type="dxa"/>
          </w:tcPr>
          <w:p w14:paraId="7680CBD9" w14:textId="47ED86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6192F81" w14:textId="5981F0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F404273" w14:textId="1CA1C6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F4226C4" w14:textId="08A87A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7D62A1C" w14:textId="207D2C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30-day readmission rate for patients undergoing the resection of primary brain tumours and to identify which factors predispose certain patient groups to rehospitalisation.</w:t>
            </w:r>
          </w:p>
        </w:tc>
        <w:tc>
          <w:tcPr>
            <w:tcW w:w="1134" w:type="dxa"/>
          </w:tcPr>
          <w:p w14:paraId="4E1A4638" w14:textId="2DE3B427" w:rsidR="006E5533" w:rsidRPr="00251EA9" w:rsidRDefault="006E5533" w:rsidP="006E5533">
            <w:pPr>
              <w:spacing w:line="360" w:lineRule="auto"/>
              <w:contextualSpacing/>
              <w:rPr>
                <w:rFonts w:ascii="Arial" w:hAnsi="Arial" w:cs="Arial"/>
                <w:sz w:val="15"/>
                <w:szCs w:val="15"/>
              </w:rPr>
            </w:pPr>
          </w:p>
        </w:tc>
        <w:tc>
          <w:tcPr>
            <w:tcW w:w="992" w:type="dxa"/>
          </w:tcPr>
          <w:p w14:paraId="6104A836" w14:textId="46FDE9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AB5FF9B" w14:textId="51A171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31B8493" w14:textId="3981A53F" w:rsidR="006E5533" w:rsidRPr="00251EA9" w:rsidRDefault="006E5533" w:rsidP="006E5533">
            <w:pPr>
              <w:rPr>
                <w:rFonts w:ascii="Arial" w:hAnsi="Arial" w:cs="Arial"/>
                <w:sz w:val="15"/>
                <w:szCs w:val="15"/>
              </w:rPr>
            </w:pPr>
            <w:r w:rsidRPr="00251EA9">
              <w:rPr>
                <w:rFonts w:ascii="Arial" w:hAnsi="Arial" w:cs="Arial"/>
                <w:sz w:val="15"/>
                <w:szCs w:val="15"/>
              </w:rPr>
              <w:t xml:space="preserve">Reported a 14.5% SSI rate. </w:t>
            </w:r>
          </w:p>
        </w:tc>
        <w:tc>
          <w:tcPr>
            <w:tcW w:w="1701" w:type="dxa"/>
          </w:tcPr>
          <w:p w14:paraId="51B9B5C5" w14:textId="3A8878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EA383D9" w14:textId="77777777" w:rsidTr="00A77951">
        <w:trPr>
          <w:trHeight w:val="586"/>
        </w:trPr>
        <w:tc>
          <w:tcPr>
            <w:tcW w:w="992" w:type="dxa"/>
          </w:tcPr>
          <w:p w14:paraId="7B661062" w14:textId="00BF29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Martin A.J. et al., 2017</w:t>
            </w:r>
          </w:p>
        </w:tc>
        <w:tc>
          <w:tcPr>
            <w:tcW w:w="851" w:type="dxa"/>
          </w:tcPr>
          <w:p w14:paraId="40738C2C" w14:textId="196CC83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10.3171/2015.</w:t>
            </w:r>
            <w:proofErr w:type="gramStart"/>
            <w:r w:rsidRPr="00A77951">
              <w:rPr>
                <w:rFonts w:ascii="Arial" w:hAnsi="Arial" w:cs="Arial"/>
                <w:sz w:val="15"/>
                <w:szCs w:val="15"/>
              </w:rPr>
              <w:t>7.JNS</w:t>
            </w:r>
            <w:proofErr w:type="gramEnd"/>
            <w:r w:rsidRPr="00A77951">
              <w:rPr>
                <w:rFonts w:ascii="Arial" w:hAnsi="Arial" w:cs="Arial"/>
                <w:sz w:val="15"/>
                <w:szCs w:val="15"/>
              </w:rPr>
              <w:t>15750</w:t>
            </w:r>
          </w:p>
        </w:tc>
        <w:tc>
          <w:tcPr>
            <w:tcW w:w="851" w:type="dxa"/>
          </w:tcPr>
          <w:p w14:paraId="158F6C7A" w14:textId="1CB5D2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A4134F3" w14:textId="4162C9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29923B1" w14:textId="6850AD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7FB4033" w14:textId="7908A7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7CDACAF3" w14:textId="355A23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incidence of postoperative hardware infection following interventional MRI–guided implantation of deep brain stimulation (DBS) electrodes in a diagnostic MRI scanner.</w:t>
            </w:r>
          </w:p>
        </w:tc>
        <w:tc>
          <w:tcPr>
            <w:tcW w:w="1134" w:type="dxa"/>
          </w:tcPr>
          <w:p w14:paraId="70A8D82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879C842" w14:textId="735037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3044F57" w14:textId="5C1AFF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F350B74" w14:textId="77777777" w:rsidR="006E5533" w:rsidRPr="00251EA9" w:rsidRDefault="006E5533" w:rsidP="006E5533">
            <w:pPr>
              <w:rPr>
                <w:rFonts w:ascii="Arial" w:hAnsi="Arial" w:cs="Arial"/>
                <w:sz w:val="15"/>
                <w:szCs w:val="15"/>
              </w:rPr>
            </w:pPr>
            <w:r w:rsidRPr="00251EA9">
              <w:rPr>
                <w:rFonts w:ascii="Arial" w:hAnsi="Arial" w:cs="Arial"/>
                <w:sz w:val="15"/>
                <w:szCs w:val="15"/>
              </w:rPr>
              <w:t>Hardware infection within 6 months of surgery occurred</w:t>
            </w:r>
          </w:p>
          <w:p w14:paraId="710538F4" w14:textId="77777777" w:rsidR="006E5533" w:rsidRPr="00251EA9" w:rsidRDefault="006E5533" w:rsidP="006E5533">
            <w:pPr>
              <w:rPr>
                <w:rFonts w:ascii="Arial" w:hAnsi="Arial" w:cs="Arial"/>
                <w:sz w:val="15"/>
                <w:szCs w:val="15"/>
              </w:rPr>
            </w:pPr>
            <w:r w:rsidRPr="00251EA9">
              <w:rPr>
                <w:rFonts w:ascii="Arial" w:hAnsi="Arial" w:cs="Arial"/>
                <w:sz w:val="15"/>
                <w:szCs w:val="15"/>
              </w:rPr>
              <w:t xml:space="preserve">in 6 patients, for an overall postoperative hardware infection rate of 3.6%. </w:t>
            </w:r>
          </w:p>
          <w:p w14:paraId="27647B66" w14:textId="12B830CE" w:rsidR="006E5533" w:rsidRPr="00251EA9" w:rsidRDefault="006E5533" w:rsidP="006E5533">
            <w:pPr>
              <w:rPr>
                <w:rFonts w:ascii="Arial" w:hAnsi="Arial" w:cs="Arial"/>
                <w:sz w:val="15"/>
                <w:szCs w:val="15"/>
              </w:rPr>
            </w:pPr>
          </w:p>
        </w:tc>
        <w:tc>
          <w:tcPr>
            <w:tcW w:w="1701" w:type="dxa"/>
          </w:tcPr>
          <w:p w14:paraId="54DEB3C6" w14:textId="3652FF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5E0D1C9" w14:textId="77777777" w:rsidTr="00A77951">
        <w:trPr>
          <w:trHeight w:val="586"/>
        </w:trPr>
        <w:tc>
          <w:tcPr>
            <w:tcW w:w="992" w:type="dxa"/>
          </w:tcPr>
          <w:p w14:paraId="163F78C4" w14:textId="4B61F83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Mascarenhas</w:t>
            </w:r>
            <w:proofErr w:type="spellEnd"/>
            <w:r w:rsidRPr="00251EA9">
              <w:rPr>
                <w:rFonts w:ascii="Arial" w:hAnsi="Arial" w:cs="Arial"/>
                <w:sz w:val="15"/>
                <w:szCs w:val="15"/>
              </w:rPr>
              <w:t xml:space="preserve"> L. et al., 2014</w:t>
            </w:r>
          </w:p>
        </w:tc>
        <w:tc>
          <w:tcPr>
            <w:tcW w:w="851" w:type="dxa"/>
          </w:tcPr>
          <w:p w14:paraId="3125C8AE" w14:textId="7D4A540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10.1016/j.wneu.2013.02.032</w:t>
            </w:r>
          </w:p>
        </w:tc>
        <w:tc>
          <w:tcPr>
            <w:tcW w:w="851" w:type="dxa"/>
          </w:tcPr>
          <w:p w14:paraId="1C08A596" w14:textId="208705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2C52FAE" w14:textId="2C659E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1C2E4ED" w14:textId="040A6A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CD53337" w14:textId="61CEEC5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r w:rsidRPr="00251EA9">
              <w:rPr>
                <w:rFonts w:ascii="Arial" w:hAnsi="Arial" w:cs="Arial"/>
                <w:sz w:val="15"/>
                <w:szCs w:val="15"/>
              </w:rPr>
              <w:t>/ Neuro-oncology</w:t>
            </w:r>
          </w:p>
        </w:tc>
        <w:tc>
          <w:tcPr>
            <w:tcW w:w="1843" w:type="dxa"/>
          </w:tcPr>
          <w:p w14:paraId="3A1A73A9" w14:textId="706619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present a large series of patients and examine the learning</w:t>
            </w:r>
            <w:r w:rsidRPr="00251EA9">
              <w:rPr>
                <w:rFonts w:ascii="Arial" w:hAnsi="Arial" w:cs="Arial"/>
                <w:sz w:val="15"/>
                <w:szCs w:val="15"/>
              </w:rPr>
              <w:br/>
              <w:t xml:space="preserve">curve of the endonasal endoscopic </w:t>
            </w:r>
            <w:proofErr w:type="spellStart"/>
            <w:r w:rsidRPr="00251EA9">
              <w:rPr>
                <w:rFonts w:ascii="Arial" w:hAnsi="Arial" w:cs="Arial"/>
                <w:sz w:val="15"/>
                <w:szCs w:val="15"/>
              </w:rPr>
              <w:t>transplanum</w:t>
            </w:r>
            <w:proofErr w:type="spellEnd"/>
            <w:r w:rsidRPr="00251EA9">
              <w:rPr>
                <w:rFonts w:ascii="Arial" w:hAnsi="Arial" w:cs="Arial"/>
                <w:sz w:val="15"/>
                <w:szCs w:val="15"/>
              </w:rPr>
              <w:t xml:space="preserve">, </w:t>
            </w:r>
            <w:proofErr w:type="spellStart"/>
            <w:r w:rsidRPr="00251EA9">
              <w:rPr>
                <w:rFonts w:ascii="Arial" w:hAnsi="Arial" w:cs="Arial"/>
                <w:sz w:val="15"/>
                <w:szCs w:val="15"/>
              </w:rPr>
              <w:t>transtuberculum</w:t>
            </w:r>
            <w:proofErr w:type="spellEnd"/>
            <w:r w:rsidRPr="00251EA9">
              <w:rPr>
                <w:rFonts w:ascii="Arial" w:hAnsi="Arial" w:cs="Arial"/>
                <w:sz w:val="15"/>
                <w:szCs w:val="15"/>
              </w:rPr>
              <w:t xml:space="preserve"> approach for primarily suprasellar or </w:t>
            </w:r>
            <w:proofErr w:type="spellStart"/>
            <w:r w:rsidRPr="00251EA9">
              <w:rPr>
                <w:rFonts w:ascii="Arial" w:hAnsi="Arial" w:cs="Arial"/>
                <w:sz w:val="15"/>
                <w:szCs w:val="15"/>
              </w:rPr>
              <w:t>sellar</w:t>
            </w:r>
            <w:proofErr w:type="spellEnd"/>
            <w:r w:rsidRPr="00251EA9">
              <w:rPr>
                <w:rFonts w:ascii="Arial" w:hAnsi="Arial" w:cs="Arial"/>
                <w:sz w:val="15"/>
                <w:szCs w:val="15"/>
              </w:rPr>
              <w:t>-suprasellar tumours.</w:t>
            </w:r>
          </w:p>
        </w:tc>
        <w:tc>
          <w:tcPr>
            <w:tcW w:w="1134" w:type="dxa"/>
          </w:tcPr>
          <w:p w14:paraId="23D3FA74"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63C08BD" w14:textId="3491C3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827F0E9" w14:textId="0CCD33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F51E19A" w14:textId="6C3870F9" w:rsidR="006E5533" w:rsidRPr="00251EA9" w:rsidRDefault="006E5533" w:rsidP="006E5533">
            <w:pPr>
              <w:rPr>
                <w:rFonts w:ascii="Arial" w:hAnsi="Arial" w:cs="Arial"/>
                <w:sz w:val="15"/>
                <w:szCs w:val="15"/>
              </w:rPr>
            </w:pPr>
            <w:r w:rsidRPr="00251EA9">
              <w:rPr>
                <w:rFonts w:ascii="Arial" w:hAnsi="Arial" w:cs="Arial"/>
                <w:sz w:val="15"/>
                <w:szCs w:val="15"/>
              </w:rPr>
              <w:t>One infection out of 122 patients reported.</w:t>
            </w:r>
          </w:p>
        </w:tc>
        <w:tc>
          <w:tcPr>
            <w:tcW w:w="1701" w:type="dxa"/>
          </w:tcPr>
          <w:p w14:paraId="1348AB50" w14:textId="26810E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6E8A9C9" w14:textId="77777777" w:rsidTr="00A77951">
        <w:trPr>
          <w:trHeight w:val="586"/>
        </w:trPr>
        <w:tc>
          <w:tcPr>
            <w:tcW w:w="992" w:type="dxa"/>
          </w:tcPr>
          <w:p w14:paraId="71A90964" w14:textId="1C4C7F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Maye H. L. et al., 2022</w:t>
            </w:r>
          </w:p>
        </w:tc>
        <w:tc>
          <w:tcPr>
            <w:tcW w:w="851" w:type="dxa"/>
          </w:tcPr>
          <w:p w14:paraId="6F8B29BC" w14:textId="27866D28"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w:t>
            </w:r>
            <w:r w:rsidRPr="00A77951">
              <w:rPr>
                <w:rFonts w:ascii="Arial" w:hAnsi="Arial" w:cs="Arial"/>
                <w:sz w:val="15"/>
                <w:szCs w:val="15"/>
              </w:rPr>
              <w:lastRenderedPageBreak/>
              <w:t>22.02.124</w:t>
            </w:r>
          </w:p>
        </w:tc>
        <w:tc>
          <w:tcPr>
            <w:tcW w:w="851" w:type="dxa"/>
          </w:tcPr>
          <w:p w14:paraId="7CDA3730" w14:textId="397108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UK</w:t>
            </w:r>
          </w:p>
        </w:tc>
        <w:tc>
          <w:tcPr>
            <w:tcW w:w="1134" w:type="dxa"/>
          </w:tcPr>
          <w:p w14:paraId="5A842200" w14:textId="42311F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A1933B1" w14:textId="4E1A6C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3E0D109" w14:textId="701A29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2C027E6" w14:textId="0DD6E9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identify whether the use of surgical adjuncts </w:t>
            </w:r>
            <w:r w:rsidRPr="00251EA9">
              <w:rPr>
                <w:rFonts w:ascii="Arial" w:hAnsi="Arial" w:cs="Arial"/>
                <w:sz w:val="15"/>
                <w:szCs w:val="15"/>
              </w:rPr>
              <w:lastRenderedPageBreak/>
              <w:t xml:space="preserve">such as </w:t>
            </w:r>
            <w:proofErr w:type="spellStart"/>
            <w:r w:rsidRPr="00251EA9">
              <w:rPr>
                <w:rFonts w:ascii="Arial" w:hAnsi="Arial" w:cs="Arial"/>
                <w:sz w:val="15"/>
                <w:szCs w:val="15"/>
              </w:rPr>
              <w:t>iUS</w:t>
            </w:r>
            <w:proofErr w:type="spellEnd"/>
            <w:r w:rsidRPr="00251EA9">
              <w:rPr>
                <w:rFonts w:ascii="Arial" w:hAnsi="Arial" w:cs="Arial"/>
                <w:sz w:val="15"/>
                <w:szCs w:val="15"/>
              </w:rPr>
              <w:t>, 5-ALA, and neurophysiologic monitoring in supratentorial tumour surgery led to increased operative time or increased rates of SSI at 30 days and 4 months.</w:t>
            </w:r>
          </w:p>
        </w:tc>
        <w:tc>
          <w:tcPr>
            <w:tcW w:w="1134" w:type="dxa"/>
          </w:tcPr>
          <w:p w14:paraId="50C7966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3E173A4" w14:textId="3F0977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F1F711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Skin and soft-tissue infection, </w:t>
            </w:r>
          </w:p>
          <w:p w14:paraId="644247B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2. Bone flap osteomyelitis, </w:t>
            </w:r>
          </w:p>
          <w:p w14:paraId="5DC6E2F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 Subdural empyema, </w:t>
            </w:r>
          </w:p>
          <w:p w14:paraId="4B1E10FA" w14:textId="31FE1E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4. Brain abscess or meningitis, at either 30 days (early) or 4 months (delayed).</w:t>
            </w:r>
          </w:p>
        </w:tc>
        <w:tc>
          <w:tcPr>
            <w:tcW w:w="2693" w:type="dxa"/>
          </w:tcPr>
          <w:p w14:paraId="5B7E1BB6" w14:textId="133E398C" w:rsidR="006E5533" w:rsidRPr="00251EA9" w:rsidRDefault="006E5533" w:rsidP="006E5533">
            <w:pPr>
              <w:rPr>
                <w:rFonts w:ascii="Arial" w:hAnsi="Arial" w:cs="Arial"/>
                <w:sz w:val="15"/>
                <w:szCs w:val="15"/>
              </w:rPr>
            </w:pPr>
            <w:r w:rsidRPr="00251EA9">
              <w:rPr>
                <w:rFonts w:ascii="Arial" w:hAnsi="Arial" w:cs="Arial"/>
                <w:sz w:val="15"/>
                <w:szCs w:val="15"/>
              </w:rPr>
              <w:lastRenderedPageBreak/>
              <w:t xml:space="preserve">Early (occurring before 30 days) and late infections (occurring between 30 days and 4 months) were observed </w:t>
            </w:r>
            <w:r w:rsidRPr="00251EA9">
              <w:rPr>
                <w:rFonts w:ascii="Arial" w:hAnsi="Arial" w:cs="Arial"/>
                <w:sz w:val="15"/>
                <w:szCs w:val="15"/>
              </w:rPr>
              <w:lastRenderedPageBreak/>
              <w:t>in 10 (4%) and 2 (1%) patients, respectively. The overall infection rate was 4.5% (12/267).</w:t>
            </w:r>
          </w:p>
        </w:tc>
        <w:tc>
          <w:tcPr>
            <w:tcW w:w="1701" w:type="dxa"/>
          </w:tcPr>
          <w:p w14:paraId="0FFA0D9B" w14:textId="07E339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103D284A" w14:textId="77777777" w:rsidTr="00A77951">
        <w:trPr>
          <w:trHeight w:val="586"/>
        </w:trPr>
        <w:tc>
          <w:tcPr>
            <w:tcW w:w="992" w:type="dxa"/>
          </w:tcPr>
          <w:p w14:paraId="052E7AA9" w14:textId="615985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McClelland S. et al., 2007</w:t>
            </w:r>
          </w:p>
        </w:tc>
        <w:tc>
          <w:tcPr>
            <w:tcW w:w="851" w:type="dxa"/>
          </w:tcPr>
          <w:p w14:paraId="796543E0" w14:textId="6B165E7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10.1086/518580</w:t>
            </w:r>
          </w:p>
        </w:tc>
        <w:tc>
          <w:tcPr>
            <w:tcW w:w="851" w:type="dxa"/>
          </w:tcPr>
          <w:p w14:paraId="63244E01" w14:textId="617486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2D16771" w14:textId="0D44D9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679FCD2" w14:textId="2A1CE9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0E4C290" w14:textId="7D2BA2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6308B041" w14:textId="0F3FE2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establish the incidence of postoperative central</w:t>
            </w:r>
            <w:r w:rsidRPr="00251EA9">
              <w:rPr>
                <w:rFonts w:ascii="Arial" w:hAnsi="Arial" w:cs="Arial"/>
                <w:sz w:val="15"/>
                <w:szCs w:val="15"/>
              </w:rPr>
              <w:br/>
              <w:t>nervous system infections (PCNSI) in the population of patients</w:t>
            </w:r>
            <w:r w:rsidRPr="00251EA9">
              <w:rPr>
                <w:rFonts w:ascii="Arial" w:hAnsi="Arial" w:cs="Arial"/>
                <w:sz w:val="15"/>
                <w:szCs w:val="15"/>
              </w:rPr>
              <w:br/>
              <w:t>undergoing neurosurgical procedures and the potential risk factors.</w:t>
            </w:r>
          </w:p>
        </w:tc>
        <w:tc>
          <w:tcPr>
            <w:tcW w:w="1134" w:type="dxa"/>
          </w:tcPr>
          <w:p w14:paraId="5F5E925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A201786" w14:textId="7CD89A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C335150" w14:textId="3EB44F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Meningitis, epidural abscess, subdural empyema, and/or</w:t>
            </w:r>
            <w:r w:rsidRPr="00251EA9">
              <w:rPr>
                <w:rFonts w:ascii="Arial" w:hAnsi="Arial" w:cs="Arial"/>
                <w:sz w:val="15"/>
                <w:szCs w:val="15"/>
              </w:rPr>
              <w:br/>
              <w:t>brain abscess.</w:t>
            </w:r>
          </w:p>
        </w:tc>
        <w:tc>
          <w:tcPr>
            <w:tcW w:w="2693" w:type="dxa"/>
          </w:tcPr>
          <w:p w14:paraId="67C33789" w14:textId="0E131ADF" w:rsidR="006E5533" w:rsidRPr="00251EA9" w:rsidRDefault="006E5533" w:rsidP="006E5533">
            <w:pPr>
              <w:rPr>
                <w:rFonts w:ascii="Arial" w:hAnsi="Arial" w:cs="Arial"/>
                <w:sz w:val="15"/>
                <w:szCs w:val="15"/>
              </w:rPr>
            </w:pPr>
            <w:r w:rsidRPr="00251EA9">
              <w:rPr>
                <w:rFonts w:ascii="Arial" w:hAnsi="Arial" w:cs="Arial"/>
                <w:sz w:val="15"/>
                <w:szCs w:val="15"/>
              </w:rPr>
              <w:t>Of the 1587 cranial operations, 14 (0.8%) were complicated by PCNSI. Infection of an indwelling device comprised 5 cases of PCNSI (35.7% of cranial infections), and 4 cases of PCNSI manifested as meningitis (28.6% of cranial infections). 3 cases manifested as brain abscess, 1 case of superficial wound infection and 1 case of subdural</w:t>
            </w:r>
            <w:r w:rsidRPr="00251EA9">
              <w:rPr>
                <w:rFonts w:ascii="Arial" w:hAnsi="Arial" w:cs="Arial"/>
                <w:sz w:val="15"/>
                <w:szCs w:val="15"/>
              </w:rPr>
              <w:br/>
              <w:t>empyema.</w:t>
            </w:r>
          </w:p>
        </w:tc>
        <w:tc>
          <w:tcPr>
            <w:tcW w:w="1701" w:type="dxa"/>
          </w:tcPr>
          <w:p w14:paraId="47367BEE" w14:textId="619131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1DE5B4B" w14:textId="77777777" w:rsidTr="00A77951">
        <w:trPr>
          <w:trHeight w:val="586"/>
        </w:trPr>
        <w:tc>
          <w:tcPr>
            <w:tcW w:w="992" w:type="dxa"/>
          </w:tcPr>
          <w:p w14:paraId="7471B043" w14:textId="14B973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McCutcheon B.A. et al., 2015</w:t>
            </w:r>
          </w:p>
        </w:tc>
        <w:tc>
          <w:tcPr>
            <w:tcW w:w="851" w:type="dxa"/>
          </w:tcPr>
          <w:p w14:paraId="71420D7A" w14:textId="5433BBC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10.1016/j.wneu.2015.12.068</w:t>
            </w:r>
          </w:p>
        </w:tc>
        <w:tc>
          <w:tcPr>
            <w:tcW w:w="851" w:type="dxa"/>
          </w:tcPr>
          <w:p w14:paraId="4883F3B9" w14:textId="02B3D8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929E3F1" w14:textId="0F8BD3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71A3EF6" w14:textId="5DB8E4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4EE35DD" w14:textId="2ABDA7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195389A" w14:textId="06DE2F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rate of</w:t>
            </w:r>
            <w:r w:rsidRPr="00251EA9">
              <w:rPr>
                <w:rFonts w:ascii="Arial" w:hAnsi="Arial" w:cs="Arial"/>
                <w:sz w:val="15"/>
                <w:szCs w:val="15"/>
              </w:rPr>
              <w:br/>
              <w:t>SSI following resection of an intracranial neoplasm using the American College of Surgeons</w:t>
            </w:r>
            <w:r w:rsidRPr="00251EA9">
              <w:rPr>
                <w:rFonts w:ascii="Arial" w:hAnsi="Arial" w:cs="Arial"/>
                <w:sz w:val="15"/>
                <w:szCs w:val="15"/>
              </w:rPr>
              <w:br/>
              <w:t xml:space="preserve">National Surgical Quality Improvement Program (NSQIP) dataset. </w:t>
            </w:r>
          </w:p>
        </w:tc>
        <w:tc>
          <w:tcPr>
            <w:tcW w:w="1134" w:type="dxa"/>
          </w:tcPr>
          <w:p w14:paraId="44A93334" w14:textId="56C484DA" w:rsidR="006E5533" w:rsidRPr="00251EA9" w:rsidRDefault="006E5533" w:rsidP="006E5533">
            <w:pPr>
              <w:spacing w:line="360" w:lineRule="auto"/>
              <w:contextualSpacing/>
              <w:rPr>
                <w:rFonts w:ascii="Arial" w:hAnsi="Arial" w:cs="Arial"/>
                <w:sz w:val="15"/>
                <w:szCs w:val="15"/>
              </w:rPr>
            </w:pPr>
          </w:p>
        </w:tc>
        <w:tc>
          <w:tcPr>
            <w:tcW w:w="992" w:type="dxa"/>
          </w:tcPr>
          <w:p w14:paraId="2A1E21C4" w14:textId="7A306B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10227CE" w14:textId="4A34D8B6"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Superficial incisional SSI, deep incisional SSI, or organ/ space SSI within 30 days of the</w:t>
            </w:r>
            <w:r w:rsidR="00153FDE">
              <w:rPr>
                <w:rFonts w:ascii="Arial" w:hAnsi="Arial" w:cs="Arial"/>
                <w:sz w:val="15"/>
                <w:szCs w:val="15"/>
              </w:rPr>
              <w:t xml:space="preserve"> </w:t>
            </w:r>
            <w:r w:rsidRPr="00251EA9">
              <w:rPr>
                <w:rFonts w:ascii="Arial" w:hAnsi="Arial" w:cs="Arial"/>
                <w:sz w:val="15"/>
                <w:szCs w:val="15"/>
              </w:rPr>
              <w:t>procedure, without occurrence of wound dehiscence. NSQIP defines an organ/ space SSI as any SSI that involves the anatomy that was manipulated other than the incision.</w:t>
            </w:r>
          </w:p>
        </w:tc>
        <w:tc>
          <w:tcPr>
            <w:tcW w:w="2693" w:type="dxa"/>
          </w:tcPr>
          <w:p w14:paraId="2ABDEE3E" w14:textId="1BA6371E" w:rsidR="006E5533" w:rsidRPr="00251EA9" w:rsidRDefault="006E5533" w:rsidP="006E5533">
            <w:pPr>
              <w:rPr>
                <w:rFonts w:ascii="Arial" w:hAnsi="Arial" w:cs="Arial"/>
                <w:sz w:val="15"/>
                <w:szCs w:val="15"/>
              </w:rPr>
            </w:pPr>
            <w:r w:rsidRPr="00251EA9">
              <w:rPr>
                <w:rFonts w:ascii="Arial" w:hAnsi="Arial" w:cs="Arial"/>
                <w:sz w:val="15"/>
                <w:szCs w:val="15"/>
              </w:rPr>
              <w:t>SSI occurred at a rate of 2.04%. SSI was significantly associated with increased rates of return to the operating room and prolonged postoperative lengths of stay greater than 30 days.  Recent</w:t>
            </w:r>
            <w:r w:rsidRPr="00251EA9">
              <w:rPr>
                <w:rFonts w:ascii="Arial" w:hAnsi="Arial" w:cs="Arial"/>
                <w:sz w:val="15"/>
                <w:szCs w:val="15"/>
              </w:rPr>
              <w:br/>
              <w:t>chemotherapy was associated with an increased odd of SSI.</w:t>
            </w:r>
          </w:p>
        </w:tc>
        <w:tc>
          <w:tcPr>
            <w:tcW w:w="1701" w:type="dxa"/>
          </w:tcPr>
          <w:p w14:paraId="74F6559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"other studies may have employed slightly different methodologies</w:t>
            </w:r>
          </w:p>
          <w:p w14:paraId="53698349" w14:textId="293F9306" w:rsidR="006E5533" w:rsidRPr="00251EA9" w:rsidRDefault="006E5533" w:rsidP="006E5533">
            <w:pPr>
              <w:spacing w:line="360" w:lineRule="auto"/>
              <w:contextualSpacing/>
              <w:rPr>
                <w:rFonts w:ascii="Arial" w:hAnsi="Arial" w:cs="Arial"/>
                <w:b/>
                <w:bCs/>
                <w:sz w:val="15"/>
                <w:szCs w:val="15"/>
                <w:u w:val="single"/>
              </w:rPr>
            </w:pPr>
            <w:proofErr w:type="gramStart"/>
            <w:r w:rsidRPr="00251EA9">
              <w:rPr>
                <w:rFonts w:ascii="Arial" w:hAnsi="Arial" w:cs="Arial"/>
                <w:sz w:val="15"/>
                <w:szCs w:val="15"/>
              </w:rPr>
              <w:t>with regard to</w:t>
            </w:r>
            <w:proofErr w:type="gramEnd"/>
            <w:r w:rsidRPr="00251EA9">
              <w:rPr>
                <w:rFonts w:ascii="Arial" w:hAnsi="Arial" w:cs="Arial"/>
                <w:sz w:val="15"/>
                <w:szCs w:val="15"/>
              </w:rPr>
              <w:t xml:space="preserve"> defining and identifying cases of surgical site infection."</w:t>
            </w:r>
          </w:p>
        </w:tc>
      </w:tr>
      <w:tr w:rsidR="006E5533" w:rsidRPr="00251EA9" w14:paraId="69F99EF2" w14:textId="77777777" w:rsidTr="00A77951">
        <w:trPr>
          <w:trHeight w:val="586"/>
        </w:trPr>
        <w:tc>
          <w:tcPr>
            <w:tcW w:w="992" w:type="dxa"/>
          </w:tcPr>
          <w:p w14:paraId="5E1FF843" w14:textId="01B793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McCutcheon B.A. et al., 2016</w:t>
            </w:r>
          </w:p>
        </w:tc>
        <w:tc>
          <w:tcPr>
            <w:tcW w:w="851" w:type="dxa"/>
          </w:tcPr>
          <w:p w14:paraId="7CA36F02" w14:textId="5FB7772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10.1016/j.wneu.2016.01.089</w:t>
            </w:r>
          </w:p>
        </w:tc>
        <w:tc>
          <w:tcPr>
            <w:tcW w:w="851" w:type="dxa"/>
          </w:tcPr>
          <w:p w14:paraId="0B840B51" w14:textId="76295D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3B2E842" w14:textId="7D81F3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18510E7" w14:textId="01C24E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8E66175" w14:textId="730B6A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935A2CA" w14:textId="2FE19A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association between patient age and perioperative complications among patients undergoing surgical resection of a benign cranial nerve neoplasm.</w:t>
            </w:r>
          </w:p>
        </w:tc>
        <w:tc>
          <w:tcPr>
            <w:tcW w:w="1134" w:type="dxa"/>
          </w:tcPr>
          <w:p w14:paraId="29B2FEB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2E1A7F0" w14:textId="7473D1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5F481A6" w14:textId="2511BB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01E8085" w14:textId="5CC8702F" w:rsidR="006E5533" w:rsidRPr="00251EA9" w:rsidRDefault="006E5533" w:rsidP="006E5533">
            <w:pPr>
              <w:rPr>
                <w:rFonts w:ascii="Arial" w:hAnsi="Arial" w:cs="Arial"/>
                <w:sz w:val="15"/>
                <w:szCs w:val="15"/>
              </w:rPr>
            </w:pPr>
            <w:r w:rsidRPr="00251EA9">
              <w:rPr>
                <w:rFonts w:ascii="Arial" w:hAnsi="Arial" w:cs="Arial"/>
                <w:sz w:val="15"/>
                <w:szCs w:val="15"/>
              </w:rPr>
              <w:t xml:space="preserve">1.59% rate of SSI reported. </w:t>
            </w:r>
          </w:p>
        </w:tc>
        <w:tc>
          <w:tcPr>
            <w:tcW w:w="1701" w:type="dxa"/>
          </w:tcPr>
          <w:p w14:paraId="2D351F2C" w14:textId="492C48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E15FFF4" w14:textId="77777777" w:rsidTr="00A77951">
        <w:trPr>
          <w:trHeight w:val="586"/>
        </w:trPr>
        <w:tc>
          <w:tcPr>
            <w:tcW w:w="992" w:type="dxa"/>
          </w:tcPr>
          <w:p w14:paraId="2D415D89" w14:textId="420180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McGirt M.J. et al., 2003</w:t>
            </w:r>
          </w:p>
        </w:tc>
        <w:tc>
          <w:tcPr>
            <w:tcW w:w="851" w:type="dxa"/>
          </w:tcPr>
          <w:p w14:paraId="3E10E51A" w14:textId="1C63771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10.1086/368191</w:t>
            </w:r>
          </w:p>
        </w:tc>
        <w:tc>
          <w:tcPr>
            <w:tcW w:w="851" w:type="dxa"/>
          </w:tcPr>
          <w:p w14:paraId="3FAE219E" w14:textId="4718E1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64C83DE" w14:textId="795043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06B8A7B" w14:textId="3DF8D2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08AC5852" w14:textId="54AA98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CSF dynamics</w:t>
            </w:r>
          </w:p>
        </w:tc>
        <w:tc>
          <w:tcPr>
            <w:tcW w:w="1843" w:type="dxa"/>
          </w:tcPr>
          <w:p w14:paraId="56C4E7C7" w14:textId="7FD6B6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To identify independent risk factors for CSF shunt infection, and 2. To identify independent clinical predictors of the causal bacterial</w:t>
            </w:r>
            <w:r w:rsidRPr="00251EA9">
              <w:rPr>
                <w:rFonts w:ascii="Arial" w:hAnsi="Arial" w:cs="Arial"/>
                <w:sz w:val="15"/>
                <w:szCs w:val="15"/>
              </w:rPr>
              <w:br/>
              <w:t>pathogen.</w:t>
            </w:r>
          </w:p>
        </w:tc>
        <w:tc>
          <w:tcPr>
            <w:tcW w:w="1134" w:type="dxa"/>
          </w:tcPr>
          <w:p w14:paraId="5AFC9AA7" w14:textId="6B12C086" w:rsidR="006E5533" w:rsidRPr="00251EA9" w:rsidRDefault="006E5533" w:rsidP="006E5533">
            <w:pPr>
              <w:spacing w:line="360" w:lineRule="auto"/>
              <w:contextualSpacing/>
              <w:rPr>
                <w:rFonts w:ascii="Arial" w:hAnsi="Arial" w:cs="Arial"/>
                <w:sz w:val="15"/>
                <w:szCs w:val="15"/>
              </w:rPr>
            </w:pPr>
          </w:p>
        </w:tc>
        <w:tc>
          <w:tcPr>
            <w:tcW w:w="992" w:type="dxa"/>
          </w:tcPr>
          <w:p w14:paraId="27C5DEF2" w14:textId="0802BB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D06C16E" w14:textId="2F8CD2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National Nosocomial Infection Surveillance System: CSF</w:t>
            </w:r>
            <w:r w:rsidRPr="00251EA9">
              <w:rPr>
                <w:rFonts w:ascii="Arial" w:hAnsi="Arial" w:cs="Arial"/>
                <w:sz w:val="15"/>
                <w:szCs w:val="15"/>
              </w:rPr>
              <w:br/>
              <w:t>culture that yielded a pathogenic organism or indicated CSF</w:t>
            </w:r>
            <w:r w:rsidRPr="00251EA9">
              <w:rPr>
                <w:rFonts w:ascii="Arial" w:hAnsi="Arial" w:cs="Arial"/>
                <w:sz w:val="15"/>
                <w:szCs w:val="15"/>
              </w:rPr>
              <w:br/>
              <w:t>pleocytosis (150 leukocytes/mm3</w:t>
            </w:r>
            <w:r w:rsidRPr="00251EA9">
              <w:rPr>
                <w:rFonts w:ascii="Arial" w:hAnsi="Arial" w:cs="Arial"/>
                <w:sz w:val="15"/>
                <w:szCs w:val="15"/>
              </w:rPr>
              <w:br/>
              <w:t>) associated</w:t>
            </w:r>
            <w:r w:rsidRPr="00251EA9">
              <w:rPr>
                <w:rFonts w:ascii="Arial" w:hAnsi="Arial" w:cs="Arial"/>
                <w:sz w:val="15"/>
                <w:szCs w:val="15"/>
              </w:rPr>
              <w:br/>
              <w:t xml:space="preserve">with fever (temperature, &gt;38.5C), shunt malfunction, or neurological symptoms. </w:t>
            </w:r>
          </w:p>
        </w:tc>
        <w:tc>
          <w:tcPr>
            <w:tcW w:w="2693" w:type="dxa"/>
          </w:tcPr>
          <w:p w14:paraId="373778CC" w14:textId="7B0816B5" w:rsidR="006E5533" w:rsidRPr="00251EA9" w:rsidRDefault="006E5533" w:rsidP="006E5533">
            <w:pPr>
              <w:rPr>
                <w:rFonts w:ascii="Arial" w:hAnsi="Arial" w:cs="Arial"/>
                <w:sz w:val="15"/>
                <w:szCs w:val="15"/>
              </w:rPr>
            </w:pPr>
            <w:r w:rsidRPr="00251EA9">
              <w:rPr>
                <w:rFonts w:ascii="Arial" w:hAnsi="Arial" w:cs="Arial"/>
                <w:sz w:val="15"/>
                <w:szCs w:val="15"/>
              </w:rPr>
              <w:t>Ninety-two shunts</w:t>
            </w:r>
            <w:r w:rsidRPr="00251EA9">
              <w:rPr>
                <w:rFonts w:ascii="Arial" w:hAnsi="Arial" w:cs="Arial"/>
                <w:sz w:val="15"/>
                <w:szCs w:val="15"/>
              </w:rPr>
              <w:br/>
              <w:t>(11%) developed infection a median of 19 days after insertion. Premature</w:t>
            </w:r>
            <w:r w:rsidRPr="00251EA9">
              <w:rPr>
                <w:rFonts w:ascii="Arial" w:hAnsi="Arial" w:cs="Arial"/>
                <w:sz w:val="15"/>
                <w:szCs w:val="15"/>
              </w:rPr>
              <w:br/>
              <w:t xml:space="preserve">birth, previous shunt infection, and intraoperative use of the </w:t>
            </w:r>
            <w:proofErr w:type="spellStart"/>
            <w:r w:rsidRPr="00251EA9">
              <w:rPr>
                <w:rFonts w:ascii="Arial" w:hAnsi="Arial" w:cs="Arial"/>
                <w:sz w:val="15"/>
                <w:szCs w:val="15"/>
              </w:rPr>
              <w:t>neuroendoscope</w:t>
            </w:r>
            <w:proofErr w:type="spellEnd"/>
            <w:r w:rsidRPr="00251EA9">
              <w:rPr>
                <w:rFonts w:ascii="Arial" w:hAnsi="Arial" w:cs="Arial"/>
                <w:sz w:val="15"/>
                <w:szCs w:val="15"/>
              </w:rPr>
              <w:t xml:space="preserve"> were risk factors for shunt infection. </w:t>
            </w:r>
          </w:p>
        </w:tc>
        <w:tc>
          <w:tcPr>
            <w:tcW w:w="1701" w:type="dxa"/>
          </w:tcPr>
          <w:p w14:paraId="6621E9DF" w14:textId="67D69E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712C201" w14:textId="77777777" w:rsidTr="00A77951">
        <w:trPr>
          <w:trHeight w:val="586"/>
        </w:trPr>
        <w:tc>
          <w:tcPr>
            <w:tcW w:w="992" w:type="dxa"/>
          </w:tcPr>
          <w:p w14:paraId="02A7C97A" w14:textId="58F8AF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McGirt M.J. et al., 2009</w:t>
            </w:r>
          </w:p>
        </w:tc>
        <w:tc>
          <w:tcPr>
            <w:tcW w:w="851" w:type="dxa"/>
          </w:tcPr>
          <w:p w14:paraId="7CED05E7" w14:textId="2EDCE90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10.1227/01.NEU.</w:t>
            </w:r>
            <w:proofErr w:type="gramStart"/>
            <w:r w:rsidRPr="00A77951">
              <w:rPr>
                <w:rFonts w:ascii="Arial" w:hAnsi="Arial" w:cs="Arial"/>
                <w:sz w:val="15"/>
                <w:szCs w:val="15"/>
              </w:rPr>
              <w:t>0000349763.42238.E</w:t>
            </w:r>
            <w:proofErr w:type="gramEnd"/>
            <w:r w:rsidRPr="00A77951">
              <w:rPr>
                <w:rFonts w:ascii="Arial" w:hAnsi="Arial" w:cs="Arial"/>
                <w:sz w:val="15"/>
                <w:szCs w:val="15"/>
              </w:rPr>
              <w:t>9</w:t>
            </w:r>
          </w:p>
        </w:tc>
        <w:tc>
          <w:tcPr>
            <w:tcW w:w="851" w:type="dxa"/>
          </w:tcPr>
          <w:p w14:paraId="79E8F0C2" w14:textId="20C75D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8693F75" w14:textId="5DA7BC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8B45B85" w14:textId="27D3F8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A27EC70" w14:textId="413A91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8A6468D" w14:textId="39D1F5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new-onset postoperative motor or speech deficits were associated with survival in authors’ institutional experience with glioblastoma multiforme (GBM).</w:t>
            </w:r>
          </w:p>
        </w:tc>
        <w:tc>
          <w:tcPr>
            <w:tcW w:w="1134" w:type="dxa"/>
          </w:tcPr>
          <w:p w14:paraId="0DED5C1A" w14:textId="46B96B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patients who had experienced surgically acquired motor or language deficits versus those who did not </w:t>
            </w:r>
            <w:r w:rsidRPr="00251EA9">
              <w:rPr>
                <w:rFonts w:ascii="Arial" w:hAnsi="Arial" w:cs="Arial"/>
                <w:sz w:val="15"/>
                <w:szCs w:val="15"/>
              </w:rPr>
              <w:lastRenderedPageBreak/>
              <w:t>experience these deficits</w:t>
            </w:r>
          </w:p>
        </w:tc>
        <w:tc>
          <w:tcPr>
            <w:tcW w:w="992" w:type="dxa"/>
          </w:tcPr>
          <w:p w14:paraId="65F312DB" w14:textId="5645E7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c>
          <w:tcPr>
            <w:tcW w:w="1701" w:type="dxa"/>
          </w:tcPr>
          <w:p w14:paraId="39274B5A" w14:textId="120D28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38295D6" w14:textId="087E3EF8" w:rsidR="006E5533" w:rsidRPr="00251EA9" w:rsidRDefault="006E5533" w:rsidP="006E5533">
            <w:pPr>
              <w:rPr>
                <w:rFonts w:ascii="Arial" w:hAnsi="Arial" w:cs="Arial"/>
                <w:sz w:val="15"/>
                <w:szCs w:val="15"/>
              </w:rPr>
            </w:pPr>
            <w:r w:rsidRPr="00251EA9">
              <w:rPr>
                <w:rFonts w:ascii="Arial" w:hAnsi="Arial" w:cs="Arial"/>
                <w:sz w:val="15"/>
                <w:szCs w:val="15"/>
              </w:rPr>
              <w:t>Reported that 2 patients had SSI.</w:t>
            </w:r>
          </w:p>
        </w:tc>
        <w:tc>
          <w:tcPr>
            <w:tcW w:w="1701" w:type="dxa"/>
          </w:tcPr>
          <w:p w14:paraId="33BAF9ED" w14:textId="044BC5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ED7322C" w14:textId="77777777" w:rsidTr="00A77951">
        <w:trPr>
          <w:trHeight w:val="586"/>
        </w:trPr>
        <w:tc>
          <w:tcPr>
            <w:tcW w:w="992" w:type="dxa"/>
          </w:tcPr>
          <w:p w14:paraId="1B432CCE" w14:textId="7FE7EB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Mehta G. et al., 2022</w:t>
            </w:r>
          </w:p>
        </w:tc>
        <w:tc>
          <w:tcPr>
            <w:tcW w:w="851" w:type="dxa"/>
          </w:tcPr>
          <w:p w14:paraId="595CB84A" w14:textId="6BE571E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10.3171/2021.</w:t>
            </w:r>
            <w:proofErr w:type="gramStart"/>
            <w:r w:rsidRPr="00A77951">
              <w:rPr>
                <w:rFonts w:ascii="Arial" w:hAnsi="Arial" w:cs="Arial"/>
                <w:sz w:val="15"/>
                <w:szCs w:val="15"/>
              </w:rPr>
              <w:t>5.JNS</w:t>
            </w:r>
            <w:proofErr w:type="gramEnd"/>
            <w:r w:rsidRPr="00A77951">
              <w:rPr>
                <w:rFonts w:ascii="Arial" w:hAnsi="Arial" w:cs="Arial"/>
                <w:sz w:val="15"/>
                <w:szCs w:val="15"/>
              </w:rPr>
              <w:t>21772</w:t>
            </w:r>
          </w:p>
        </w:tc>
        <w:tc>
          <w:tcPr>
            <w:tcW w:w="851" w:type="dxa"/>
          </w:tcPr>
          <w:p w14:paraId="7B1AA35D" w14:textId="2AD9D3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7FA2065" w14:textId="38DBC5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1B99509" w14:textId="6C68A5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7976C03" w14:textId="71305B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Skull base/ Neuro-oncology</w:t>
            </w:r>
          </w:p>
        </w:tc>
        <w:tc>
          <w:tcPr>
            <w:tcW w:w="1843" w:type="dxa"/>
          </w:tcPr>
          <w:p w14:paraId="77177E96" w14:textId="76930A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better define the utility of</w:t>
            </w:r>
            <w:r w:rsidRPr="00251EA9">
              <w:rPr>
                <w:rFonts w:ascii="Arial" w:hAnsi="Arial" w:cs="Arial"/>
                <w:sz w:val="15"/>
                <w:szCs w:val="15"/>
              </w:rPr>
              <w:br/>
              <w:t>surgical management of sinonasal malignancies and to determine factors related to outcome.</w:t>
            </w:r>
          </w:p>
        </w:tc>
        <w:tc>
          <w:tcPr>
            <w:tcW w:w="1134" w:type="dxa"/>
          </w:tcPr>
          <w:p w14:paraId="5B6035F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503B0D5" w14:textId="1432E7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9A39C44" w14:textId="7C8BCC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4AEC215" w14:textId="6224443D" w:rsidR="006E5533" w:rsidRPr="00251EA9" w:rsidRDefault="006E5533" w:rsidP="006E5533">
            <w:pPr>
              <w:rPr>
                <w:rFonts w:ascii="Arial" w:hAnsi="Arial" w:cs="Arial"/>
                <w:sz w:val="15"/>
                <w:szCs w:val="15"/>
              </w:rPr>
            </w:pPr>
            <w:r w:rsidRPr="00251EA9">
              <w:rPr>
                <w:rFonts w:ascii="Arial" w:hAnsi="Arial" w:cs="Arial"/>
                <w:sz w:val="15"/>
                <w:szCs w:val="15"/>
              </w:rPr>
              <w:t>Infections included 2 frontal lobe abscesses requiring</w:t>
            </w:r>
            <w:r w:rsidRPr="00251EA9">
              <w:rPr>
                <w:rFonts w:ascii="Arial" w:hAnsi="Arial" w:cs="Arial"/>
                <w:sz w:val="15"/>
                <w:szCs w:val="15"/>
              </w:rPr>
              <w:br/>
              <w:t>drainage, 1 patient</w:t>
            </w:r>
            <w:r w:rsidRPr="00251EA9">
              <w:rPr>
                <w:rFonts w:ascii="Arial" w:hAnsi="Arial" w:cs="Arial"/>
                <w:sz w:val="15"/>
                <w:szCs w:val="15"/>
              </w:rPr>
              <w:br/>
              <w:t>with cerebritis managed with antibiotics, 2 patients with superficial wound infections managed with antibiotics, 1 patient with facial cellulitis that required craniectomy and wound washout at 6 months after surgery, and 1 patient with bilateral facial abscesses related to midfacial degloving that required incision and</w:t>
            </w:r>
            <w:r w:rsidRPr="00251EA9">
              <w:rPr>
                <w:rFonts w:ascii="Arial" w:hAnsi="Arial" w:cs="Arial"/>
                <w:sz w:val="15"/>
                <w:szCs w:val="15"/>
              </w:rPr>
              <w:br/>
              <w:t>drainage 2 weeks after surgery.</w:t>
            </w:r>
          </w:p>
        </w:tc>
        <w:tc>
          <w:tcPr>
            <w:tcW w:w="1701" w:type="dxa"/>
          </w:tcPr>
          <w:p w14:paraId="5F587040" w14:textId="4BCC5D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864BD88" w14:textId="77777777" w:rsidTr="00A77951">
        <w:trPr>
          <w:trHeight w:val="586"/>
        </w:trPr>
        <w:tc>
          <w:tcPr>
            <w:tcW w:w="992" w:type="dxa"/>
          </w:tcPr>
          <w:p w14:paraId="69E60E88" w14:textId="13315A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Meng Y. et al., 2018</w:t>
            </w:r>
          </w:p>
        </w:tc>
        <w:tc>
          <w:tcPr>
            <w:tcW w:w="851" w:type="dxa"/>
          </w:tcPr>
          <w:p w14:paraId="659DD8B2" w14:textId="5C50D25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10.3171/2018.</w:t>
            </w:r>
            <w:proofErr w:type="gramStart"/>
            <w:r w:rsidRPr="00A77951">
              <w:rPr>
                <w:rFonts w:ascii="Arial" w:hAnsi="Arial" w:cs="Arial"/>
                <w:sz w:val="15"/>
                <w:szCs w:val="15"/>
              </w:rPr>
              <w:t>1.PEDS</w:t>
            </w:r>
            <w:proofErr w:type="gramEnd"/>
            <w:r w:rsidRPr="00A77951">
              <w:rPr>
                <w:rFonts w:ascii="Arial" w:hAnsi="Arial" w:cs="Arial"/>
                <w:sz w:val="15"/>
                <w:szCs w:val="15"/>
              </w:rPr>
              <w:t>17476</w:t>
            </w:r>
          </w:p>
        </w:tc>
        <w:tc>
          <w:tcPr>
            <w:tcW w:w="851" w:type="dxa"/>
          </w:tcPr>
          <w:p w14:paraId="39C87403" w14:textId="48CCC6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Canada</w:t>
            </w:r>
          </w:p>
        </w:tc>
        <w:tc>
          <w:tcPr>
            <w:tcW w:w="1134" w:type="dxa"/>
          </w:tcPr>
          <w:p w14:paraId="5A17738D" w14:textId="1364CF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0B8C79B" w14:textId="47F565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5BCE67EA" w14:textId="5559B9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18755759" w14:textId="331BA7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examine the rate of SSI after intracranial electroencephalography (</w:t>
            </w:r>
            <w:proofErr w:type="spellStart"/>
            <w:r w:rsidRPr="00251EA9">
              <w:rPr>
                <w:rFonts w:ascii="Arial" w:hAnsi="Arial" w:cs="Arial"/>
                <w:sz w:val="15"/>
                <w:szCs w:val="15"/>
              </w:rPr>
              <w:t>iEEG</w:t>
            </w:r>
            <w:proofErr w:type="spellEnd"/>
            <w:r w:rsidRPr="00251EA9">
              <w:rPr>
                <w:rFonts w:ascii="Arial" w:hAnsi="Arial" w:cs="Arial"/>
                <w:sz w:val="15"/>
                <w:szCs w:val="15"/>
              </w:rPr>
              <w:t xml:space="preserve">) monitoring for epilepsy workup in </w:t>
            </w:r>
            <w:proofErr w:type="spellStart"/>
            <w:r w:rsidRPr="00251EA9">
              <w:rPr>
                <w:rFonts w:ascii="Arial" w:hAnsi="Arial" w:cs="Arial"/>
                <w:sz w:val="15"/>
                <w:szCs w:val="15"/>
              </w:rPr>
              <w:t>pediatric</w:t>
            </w:r>
            <w:proofErr w:type="spellEnd"/>
            <w:r w:rsidRPr="00251EA9">
              <w:rPr>
                <w:rFonts w:ascii="Arial" w:hAnsi="Arial" w:cs="Arial"/>
                <w:sz w:val="15"/>
                <w:szCs w:val="15"/>
              </w:rPr>
              <w:t xml:space="preserve"> patients and to determine the variables that might contribute to the development of SSI.</w:t>
            </w:r>
          </w:p>
        </w:tc>
        <w:tc>
          <w:tcPr>
            <w:tcW w:w="1134" w:type="dxa"/>
          </w:tcPr>
          <w:p w14:paraId="68A4B4EA" w14:textId="46E4C0B1" w:rsidR="006E5533" w:rsidRPr="00251EA9" w:rsidRDefault="006E5533" w:rsidP="006E5533">
            <w:pPr>
              <w:spacing w:line="360" w:lineRule="auto"/>
              <w:contextualSpacing/>
              <w:rPr>
                <w:rFonts w:ascii="Arial" w:hAnsi="Arial" w:cs="Arial"/>
                <w:sz w:val="15"/>
                <w:szCs w:val="15"/>
              </w:rPr>
            </w:pPr>
          </w:p>
        </w:tc>
        <w:tc>
          <w:tcPr>
            <w:tcW w:w="992" w:type="dxa"/>
          </w:tcPr>
          <w:p w14:paraId="11BD6F12" w14:textId="1C5F72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B5AB4E5" w14:textId="6C29F3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Any postoperative</w:t>
            </w:r>
            <w:r w:rsidRPr="00251EA9">
              <w:rPr>
                <w:rFonts w:ascii="Arial" w:hAnsi="Arial" w:cs="Arial"/>
                <w:sz w:val="15"/>
                <w:szCs w:val="15"/>
              </w:rPr>
              <w:br/>
              <w:t>infection involving the wound, skull, or central nervous</w:t>
            </w:r>
            <w:r w:rsidRPr="00251EA9">
              <w:rPr>
                <w:rFonts w:ascii="Arial" w:hAnsi="Arial" w:cs="Arial"/>
                <w:sz w:val="15"/>
                <w:szCs w:val="15"/>
              </w:rPr>
              <w:br/>
              <w:t>system (meningitis, epidural abscess, osteomyelitis).</w:t>
            </w:r>
          </w:p>
        </w:tc>
        <w:tc>
          <w:tcPr>
            <w:tcW w:w="2693" w:type="dxa"/>
          </w:tcPr>
          <w:p w14:paraId="51DA873D" w14:textId="56344C35" w:rsidR="006E5533" w:rsidRPr="00251EA9" w:rsidRDefault="006E5533" w:rsidP="006E5533">
            <w:pPr>
              <w:rPr>
                <w:rFonts w:ascii="Arial" w:hAnsi="Arial" w:cs="Arial"/>
                <w:sz w:val="15"/>
                <w:szCs w:val="15"/>
              </w:rPr>
            </w:pPr>
            <w:r w:rsidRPr="00251EA9">
              <w:rPr>
                <w:rFonts w:ascii="Arial" w:hAnsi="Arial" w:cs="Arial"/>
                <w:sz w:val="15"/>
                <w:szCs w:val="15"/>
              </w:rPr>
              <w:t>Out of a total of 199 patients, 8 (4.0%) developed SSIs within a period ranging from 21 to 51 days</w:t>
            </w:r>
            <w:r w:rsidRPr="00251EA9">
              <w:rPr>
                <w:rFonts w:ascii="Arial" w:hAnsi="Arial" w:cs="Arial"/>
                <w:sz w:val="15"/>
                <w:szCs w:val="15"/>
              </w:rPr>
              <w:br/>
              <w:t>postoperatively. The number of people present in the operating room on</w:t>
            </w:r>
            <w:r w:rsidRPr="00251EA9">
              <w:rPr>
                <w:rFonts w:ascii="Arial" w:hAnsi="Arial" w:cs="Arial"/>
                <w:sz w:val="15"/>
                <w:szCs w:val="15"/>
              </w:rPr>
              <w:br/>
              <w:t xml:space="preserve">electrode insertion, length of insertion surgery, previous operation at the same surgical site, and number of depth electrodes inserted were risk factors for SSI. </w:t>
            </w:r>
          </w:p>
        </w:tc>
        <w:tc>
          <w:tcPr>
            <w:tcW w:w="1701" w:type="dxa"/>
          </w:tcPr>
          <w:p w14:paraId="47830507" w14:textId="086464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E43958F" w14:textId="77777777" w:rsidTr="00A77951">
        <w:trPr>
          <w:trHeight w:val="586"/>
        </w:trPr>
        <w:tc>
          <w:tcPr>
            <w:tcW w:w="992" w:type="dxa"/>
          </w:tcPr>
          <w:p w14:paraId="53611E1A" w14:textId="0C0B1C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Mian S.Y. et al., 2023</w:t>
            </w:r>
          </w:p>
        </w:tc>
        <w:tc>
          <w:tcPr>
            <w:tcW w:w="851" w:type="dxa"/>
          </w:tcPr>
          <w:p w14:paraId="54809617" w14:textId="23A2187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10.1016/j.wneu.2023.06.091</w:t>
            </w:r>
          </w:p>
        </w:tc>
        <w:tc>
          <w:tcPr>
            <w:tcW w:w="851" w:type="dxa"/>
          </w:tcPr>
          <w:p w14:paraId="4FCCAFEC" w14:textId="3C5B09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7A85E0D3" w14:textId="484142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7D0EF4A9" w14:textId="0D5A87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1CCFAE5" w14:textId="1CF48D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6FC1F4A3" w14:textId="311C5E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external ventricular drains (EVDs) with percutaneous continuous cerebrospinal fluid (CSF) drainage via ventricular access devices (VADs) for the acute management of hydrocephalus in adults.</w:t>
            </w:r>
          </w:p>
        </w:tc>
        <w:tc>
          <w:tcPr>
            <w:tcW w:w="1134" w:type="dxa"/>
          </w:tcPr>
          <w:p w14:paraId="7ED2FC0F" w14:textId="2B5468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EVD vs ventricular access devices for CSF drainage.</w:t>
            </w:r>
          </w:p>
        </w:tc>
        <w:tc>
          <w:tcPr>
            <w:tcW w:w="992" w:type="dxa"/>
          </w:tcPr>
          <w:p w14:paraId="7F1CCC8C" w14:textId="2782D0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08065E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Clinical signs of infection, such as fever, meningism, or altered conscious level, WITH </w:t>
            </w:r>
          </w:p>
          <w:p w14:paraId="38D28B9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Raised serum inflammatory markers (raised CRP or raised white cell count) PLUS</w:t>
            </w:r>
          </w:p>
          <w:p w14:paraId="0041E192"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5. A positive CSF culture </w:t>
            </w:r>
          </w:p>
          <w:p w14:paraId="7A775CF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6. Positive CSF gram stain </w:t>
            </w:r>
          </w:p>
          <w:p w14:paraId="0EE015DE" w14:textId="5036D2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7. Raised CSF white cell count</w:t>
            </w:r>
          </w:p>
        </w:tc>
        <w:tc>
          <w:tcPr>
            <w:tcW w:w="2693" w:type="dxa"/>
          </w:tcPr>
          <w:p w14:paraId="45B394A1" w14:textId="4CC3A93E" w:rsidR="006E5533" w:rsidRPr="00251EA9" w:rsidRDefault="006E5533" w:rsidP="006E5533">
            <w:pPr>
              <w:rPr>
                <w:rFonts w:ascii="Arial" w:hAnsi="Arial" w:cs="Arial"/>
                <w:sz w:val="15"/>
                <w:szCs w:val="15"/>
              </w:rPr>
            </w:pPr>
            <w:r w:rsidRPr="00251EA9">
              <w:rPr>
                <w:rFonts w:ascii="Arial" w:hAnsi="Arial" w:cs="Arial"/>
                <w:sz w:val="15"/>
                <w:szCs w:val="15"/>
              </w:rPr>
              <w:lastRenderedPageBreak/>
              <w:t xml:space="preserve">5 vs 13 infections in EVD vs VAD reported. </w:t>
            </w:r>
          </w:p>
        </w:tc>
        <w:tc>
          <w:tcPr>
            <w:tcW w:w="1701" w:type="dxa"/>
          </w:tcPr>
          <w:p w14:paraId="1559BA0F" w14:textId="0B0DD0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CEB2331" w14:textId="77777777" w:rsidTr="00A77951">
        <w:trPr>
          <w:trHeight w:val="586"/>
        </w:trPr>
        <w:tc>
          <w:tcPr>
            <w:tcW w:w="992" w:type="dxa"/>
          </w:tcPr>
          <w:p w14:paraId="44CA99BA" w14:textId="4FC034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Miller J.J. et al., 2001</w:t>
            </w:r>
          </w:p>
        </w:tc>
        <w:tc>
          <w:tcPr>
            <w:tcW w:w="851" w:type="dxa"/>
          </w:tcPr>
          <w:p w14:paraId="0BA2C15C" w14:textId="1C91644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10.1097/00129492-200111000-00033</w:t>
            </w:r>
          </w:p>
        </w:tc>
        <w:tc>
          <w:tcPr>
            <w:tcW w:w="851" w:type="dxa"/>
          </w:tcPr>
          <w:p w14:paraId="2B785A79" w14:textId="0F5863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333AEFF" w14:textId="5FA215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0CD3AB7" w14:textId="679728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C523C4C" w14:textId="486683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09E003D5" w14:textId="5008C3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the lack of shaving increased the postoperative infection rate.</w:t>
            </w:r>
          </w:p>
        </w:tc>
        <w:tc>
          <w:tcPr>
            <w:tcW w:w="1134" w:type="dxa"/>
          </w:tcPr>
          <w:p w14:paraId="71FFBC25" w14:textId="7B39BE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Hair-shaved vs hair not shaved.</w:t>
            </w:r>
          </w:p>
        </w:tc>
        <w:tc>
          <w:tcPr>
            <w:tcW w:w="992" w:type="dxa"/>
          </w:tcPr>
          <w:p w14:paraId="7AE1D95D" w14:textId="48041D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55CC3CA" w14:textId="4AEC57F4" w:rsidR="006E5533" w:rsidRPr="00251EA9" w:rsidRDefault="00B427EE" w:rsidP="006E5533">
            <w:pPr>
              <w:spacing w:line="360" w:lineRule="auto"/>
              <w:contextualSpacing/>
              <w:rPr>
                <w:rFonts w:ascii="Arial" w:hAnsi="Arial" w:cs="Arial"/>
                <w:sz w:val="15"/>
                <w:szCs w:val="15"/>
              </w:rPr>
            </w:pPr>
            <w:r w:rsidRPr="00B427EE">
              <w:rPr>
                <w:rFonts w:ascii="Arial" w:hAnsi="Arial" w:cs="Arial"/>
                <w:sz w:val="15"/>
                <w:szCs w:val="15"/>
              </w:rPr>
              <w:t>Erythema, purulent discharge, fluid collection</w:t>
            </w:r>
          </w:p>
        </w:tc>
        <w:tc>
          <w:tcPr>
            <w:tcW w:w="2693" w:type="dxa"/>
          </w:tcPr>
          <w:p w14:paraId="12CFF1BB" w14:textId="0007129C" w:rsidR="006E5533" w:rsidRPr="00251EA9" w:rsidRDefault="006E5533" w:rsidP="006E5533">
            <w:pPr>
              <w:rPr>
                <w:rFonts w:ascii="Arial" w:hAnsi="Arial" w:cs="Arial"/>
                <w:sz w:val="15"/>
                <w:szCs w:val="15"/>
              </w:rPr>
            </w:pPr>
            <w:r w:rsidRPr="00251EA9">
              <w:rPr>
                <w:rFonts w:ascii="Arial" w:hAnsi="Arial" w:cs="Arial"/>
                <w:sz w:val="15"/>
                <w:szCs w:val="15"/>
              </w:rPr>
              <w:t>The total number of wound infections was 6 (6%) in the shaved patients versus 11 (7.3%) in the unshaved patients.</w:t>
            </w:r>
          </w:p>
        </w:tc>
        <w:tc>
          <w:tcPr>
            <w:tcW w:w="1701" w:type="dxa"/>
          </w:tcPr>
          <w:p w14:paraId="4E794223" w14:textId="7F4D3A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BF09699" w14:textId="77777777" w:rsidTr="00A77951">
        <w:trPr>
          <w:trHeight w:val="586"/>
        </w:trPr>
        <w:tc>
          <w:tcPr>
            <w:tcW w:w="992" w:type="dxa"/>
          </w:tcPr>
          <w:p w14:paraId="7E6582DC" w14:textId="2F004AE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Missios</w:t>
            </w:r>
            <w:proofErr w:type="spellEnd"/>
            <w:r w:rsidRPr="00251EA9">
              <w:rPr>
                <w:rFonts w:ascii="Arial" w:hAnsi="Arial" w:cs="Arial"/>
                <w:sz w:val="15"/>
                <w:szCs w:val="15"/>
              </w:rPr>
              <w:t xml:space="preserve"> S. et al., 2015</w:t>
            </w:r>
          </w:p>
        </w:tc>
        <w:tc>
          <w:tcPr>
            <w:tcW w:w="851" w:type="dxa"/>
          </w:tcPr>
          <w:p w14:paraId="2BCAA63F" w14:textId="10C19400"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10.1016/j.wneu.2015.04.052</w:t>
            </w:r>
          </w:p>
        </w:tc>
        <w:tc>
          <w:tcPr>
            <w:tcW w:w="851" w:type="dxa"/>
          </w:tcPr>
          <w:p w14:paraId="175A3DBE" w14:textId="12E0D2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BFF5366" w14:textId="5CB0DF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D2F64CC" w14:textId="639D79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E3A9995" w14:textId="746A80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922E12A" w14:textId="4E63E9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create a predictive model of perioperative complications in patients undergoing craniotomies for glioma resection.</w:t>
            </w:r>
          </w:p>
        </w:tc>
        <w:tc>
          <w:tcPr>
            <w:tcW w:w="1134" w:type="dxa"/>
          </w:tcPr>
          <w:p w14:paraId="2A24E1CC"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3F72B45" w14:textId="4BAEA0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C43DFF1" w14:textId="593C86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2F2ED46" w14:textId="26652B18" w:rsidR="006E5533" w:rsidRPr="00251EA9" w:rsidRDefault="006E5533" w:rsidP="006E5533">
            <w:pPr>
              <w:rPr>
                <w:rFonts w:ascii="Arial" w:hAnsi="Arial" w:cs="Arial"/>
                <w:sz w:val="15"/>
                <w:szCs w:val="15"/>
              </w:rPr>
            </w:pPr>
            <w:r w:rsidRPr="00251EA9">
              <w:rPr>
                <w:rFonts w:ascii="Arial" w:hAnsi="Arial" w:cs="Arial"/>
                <w:sz w:val="15"/>
                <w:szCs w:val="15"/>
              </w:rPr>
              <w:t xml:space="preserve">0.8% risk of deep wound infection reported. </w:t>
            </w:r>
          </w:p>
        </w:tc>
        <w:tc>
          <w:tcPr>
            <w:tcW w:w="1701" w:type="dxa"/>
          </w:tcPr>
          <w:p w14:paraId="6C8596A1" w14:textId="478119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74864DE" w14:textId="77777777" w:rsidTr="00A77951">
        <w:trPr>
          <w:trHeight w:val="586"/>
        </w:trPr>
        <w:tc>
          <w:tcPr>
            <w:tcW w:w="992" w:type="dxa"/>
          </w:tcPr>
          <w:p w14:paraId="68B15489" w14:textId="490E07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Mohamad S. et al., 2016</w:t>
            </w:r>
          </w:p>
        </w:tc>
        <w:tc>
          <w:tcPr>
            <w:tcW w:w="851" w:type="dxa"/>
          </w:tcPr>
          <w:p w14:paraId="17E28086" w14:textId="6D57760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10.21315/mjms2016.23.5.11</w:t>
            </w:r>
          </w:p>
        </w:tc>
        <w:tc>
          <w:tcPr>
            <w:tcW w:w="851" w:type="dxa"/>
          </w:tcPr>
          <w:p w14:paraId="7604F74A" w14:textId="1C4B02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Malaysia</w:t>
            </w:r>
          </w:p>
        </w:tc>
        <w:tc>
          <w:tcPr>
            <w:tcW w:w="1134" w:type="dxa"/>
          </w:tcPr>
          <w:p w14:paraId="378FC4D3" w14:textId="693CFE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cross-sectional</w:t>
            </w:r>
          </w:p>
        </w:tc>
        <w:tc>
          <w:tcPr>
            <w:tcW w:w="992" w:type="dxa"/>
          </w:tcPr>
          <w:p w14:paraId="217E9EB5" w14:textId="084627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19B473F" w14:textId="2D87B8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0D08E5ED" w14:textId="6D6DEE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incidence</w:t>
            </w:r>
            <w:r w:rsidRPr="00251EA9">
              <w:rPr>
                <w:rFonts w:ascii="Arial" w:hAnsi="Arial" w:cs="Arial"/>
                <w:sz w:val="15"/>
                <w:szCs w:val="15"/>
              </w:rPr>
              <w:br/>
              <w:t>of graft infection after cranioplasty procedures and factors affecting the graft infection rate at</w:t>
            </w:r>
            <w:r w:rsidRPr="00251EA9">
              <w:rPr>
                <w:rFonts w:ascii="Arial" w:hAnsi="Arial" w:cs="Arial"/>
                <w:sz w:val="15"/>
                <w:szCs w:val="15"/>
              </w:rPr>
              <w:br/>
              <w:t>Hospital Kuala Lumpur (HKL).</w:t>
            </w:r>
          </w:p>
        </w:tc>
        <w:tc>
          <w:tcPr>
            <w:tcW w:w="1134" w:type="dxa"/>
          </w:tcPr>
          <w:p w14:paraId="296964C1" w14:textId="2D757956" w:rsidR="006E5533" w:rsidRPr="00251EA9" w:rsidRDefault="006E5533" w:rsidP="006E5533">
            <w:pPr>
              <w:spacing w:line="360" w:lineRule="auto"/>
              <w:contextualSpacing/>
              <w:rPr>
                <w:rFonts w:ascii="Arial" w:hAnsi="Arial" w:cs="Arial"/>
                <w:sz w:val="15"/>
                <w:szCs w:val="15"/>
              </w:rPr>
            </w:pPr>
          </w:p>
        </w:tc>
        <w:tc>
          <w:tcPr>
            <w:tcW w:w="992" w:type="dxa"/>
          </w:tcPr>
          <w:p w14:paraId="4B4B07AB" w14:textId="74374D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87216DF" w14:textId="6CF199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6BE42421" w14:textId="3A8FCC26" w:rsidR="006E5533" w:rsidRPr="00251EA9" w:rsidRDefault="006E5533" w:rsidP="006E5533">
            <w:pPr>
              <w:rPr>
                <w:rFonts w:ascii="Arial" w:hAnsi="Arial" w:cs="Arial"/>
                <w:sz w:val="15"/>
                <w:szCs w:val="15"/>
              </w:rPr>
            </w:pPr>
            <w:r w:rsidRPr="00251EA9">
              <w:rPr>
                <w:rFonts w:ascii="Arial" w:hAnsi="Arial" w:cs="Arial"/>
                <w:sz w:val="15"/>
                <w:szCs w:val="15"/>
              </w:rPr>
              <w:t>A total of five infected grafts were identified among the 172 cases, resulting in an overall infection rate of 2.9%. Of this infected group, three (4.5%) were</w:t>
            </w:r>
            <w:r w:rsidRPr="00251EA9">
              <w:rPr>
                <w:rFonts w:ascii="Arial" w:hAnsi="Arial" w:cs="Arial"/>
                <w:sz w:val="15"/>
                <w:szCs w:val="15"/>
              </w:rPr>
              <w:br/>
              <w:t xml:space="preserve">cases of cranioplasty and two (1.9%) were cases of autologous bone flap replacement. </w:t>
            </w:r>
          </w:p>
        </w:tc>
        <w:tc>
          <w:tcPr>
            <w:tcW w:w="1701" w:type="dxa"/>
          </w:tcPr>
          <w:p w14:paraId="2A4AEBE4" w14:textId="07AE71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A6064CB" w14:textId="77777777" w:rsidTr="00A77951">
        <w:trPr>
          <w:trHeight w:val="586"/>
        </w:trPr>
        <w:tc>
          <w:tcPr>
            <w:tcW w:w="992" w:type="dxa"/>
          </w:tcPr>
          <w:p w14:paraId="3550FD88" w14:textId="7AFFC99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Moiraghi</w:t>
            </w:r>
            <w:proofErr w:type="spellEnd"/>
            <w:r w:rsidRPr="00251EA9">
              <w:rPr>
                <w:rFonts w:ascii="Arial" w:hAnsi="Arial" w:cs="Arial"/>
                <w:sz w:val="15"/>
                <w:szCs w:val="15"/>
              </w:rPr>
              <w:t xml:space="preserve"> A. et al., 2021</w:t>
            </w:r>
          </w:p>
        </w:tc>
        <w:tc>
          <w:tcPr>
            <w:tcW w:w="851" w:type="dxa"/>
          </w:tcPr>
          <w:p w14:paraId="4EDF22BC" w14:textId="4F58B77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10.3390/cancers13122911</w:t>
            </w:r>
          </w:p>
        </w:tc>
        <w:tc>
          <w:tcPr>
            <w:tcW w:w="851" w:type="dxa"/>
          </w:tcPr>
          <w:p w14:paraId="7F1B24C4" w14:textId="28CDEF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4F5E75A7" w14:textId="4988B5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5D46AA5" w14:textId="57D38B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10C3A1E" w14:textId="426689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D1E8C9A" w14:textId="5F999C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feasibility and safety (intraoperative findings, postoperative complications, and outcomes), and efficacy (access to adjuvant </w:t>
            </w:r>
            <w:proofErr w:type="spellStart"/>
            <w:r w:rsidRPr="00251EA9">
              <w:rPr>
                <w:rFonts w:ascii="Arial" w:hAnsi="Arial" w:cs="Arial"/>
                <w:sz w:val="15"/>
                <w:szCs w:val="15"/>
              </w:rPr>
              <w:t>radiochemotherapy</w:t>
            </w:r>
            <w:proofErr w:type="spellEnd"/>
            <w:r w:rsidRPr="00251EA9">
              <w:rPr>
                <w:rFonts w:ascii="Arial" w:hAnsi="Arial" w:cs="Arial"/>
                <w:sz w:val="15"/>
                <w:szCs w:val="15"/>
              </w:rPr>
              <w:t xml:space="preserve">, progression-free survival, and overall survival) of awake surgery of glioblastoma by comparing it to </w:t>
            </w:r>
            <w:r w:rsidRPr="00251EA9">
              <w:rPr>
                <w:rFonts w:ascii="Arial" w:hAnsi="Arial" w:cs="Arial"/>
                <w:sz w:val="15"/>
                <w:szCs w:val="15"/>
              </w:rPr>
              <w:lastRenderedPageBreak/>
              <w:t>asleep surgery using case matching, and by stratifying according to the neurosurgeon’s experience.</w:t>
            </w:r>
          </w:p>
        </w:tc>
        <w:tc>
          <w:tcPr>
            <w:tcW w:w="1134" w:type="dxa"/>
          </w:tcPr>
          <w:p w14:paraId="1804EBF4" w14:textId="45E02B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Awake group vs asleep</w:t>
            </w:r>
          </w:p>
        </w:tc>
        <w:tc>
          <w:tcPr>
            <w:tcW w:w="992" w:type="dxa"/>
          </w:tcPr>
          <w:p w14:paraId="0FDCBACC" w14:textId="7F50AB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1F6DEB5" w14:textId="0C6ECF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6CA7AE2" w14:textId="07442B3B" w:rsidR="006E5533" w:rsidRPr="00251EA9" w:rsidRDefault="006E5533" w:rsidP="006E5533">
            <w:pPr>
              <w:rPr>
                <w:rFonts w:ascii="Arial" w:hAnsi="Arial" w:cs="Arial"/>
                <w:sz w:val="15"/>
                <w:szCs w:val="15"/>
              </w:rPr>
            </w:pPr>
            <w:r w:rsidRPr="00251EA9">
              <w:rPr>
                <w:rFonts w:ascii="Arial" w:hAnsi="Arial" w:cs="Arial"/>
                <w:sz w:val="15"/>
                <w:szCs w:val="15"/>
              </w:rPr>
              <w:t>SSI more common in asleep resection group than in other subgroups.</w:t>
            </w:r>
          </w:p>
        </w:tc>
        <w:tc>
          <w:tcPr>
            <w:tcW w:w="1701" w:type="dxa"/>
          </w:tcPr>
          <w:p w14:paraId="70D8DB42" w14:textId="40E08B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F0954F8" w14:textId="77777777" w:rsidTr="00A77951">
        <w:trPr>
          <w:trHeight w:val="586"/>
        </w:trPr>
        <w:tc>
          <w:tcPr>
            <w:tcW w:w="992" w:type="dxa"/>
          </w:tcPr>
          <w:p w14:paraId="01AFF186" w14:textId="155372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Mooney MA et al., 2018</w:t>
            </w:r>
          </w:p>
        </w:tc>
        <w:tc>
          <w:tcPr>
            <w:tcW w:w="851" w:type="dxa"/>
          </w:tcPr>
          <w:p w14:paraId="180EE60B" w14:textId="198291D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10.3171/2017.</w:t>
            </w:r>
            <w:proofErr w:type="gramStart"/>
            <w:r w:rsidRPr="00A77951">
              <w:rPr>
                <w:rFonts w:ascii="Arial" w:hAnsi="Arial" w:cs="Arial"/>
                <w:sz w:val="15"/>
                <w:szCs w:val="15"/>
              </w:rPr>
              <w:t>5.JNS</w:t>
            </w:r>
            <w:proofErr w:type="gramEnd"/>
            <w:r w:rsidRPr="00A77951">
              <w:rPr>
                <w:rFonts w:ascii="Arial" w:hAnsi="Arial" w:cs="Arial"/>
                <w:sz w:val="15"/>
                <w:szCs w:val="15"/>
              </w:rPr>
              <w:t>17394</w:t>
            </w:r>
          </w:p>
        </w:tc>
        <w:tc>
          <w:tcPr>
            <w:tcW w:w="851" w:type="dxa"/>
          </w:tcPr>
          <w:p w14:paraId="55D14485" w14:textId="539155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83E8DEA" w14:textId="6DB843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72D7348E" w14:textId="457870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50810AA" w14:textId="453A2B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617424F2" w14:textId="122F73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outcomes of patients with acutely ruptured saccular aneurysms who were treated with microsurgical clipping in a prospectively collected database from the Barrow Ruptured Aneurysm Trial.</w:t>
            </w:r>
          </w:p>
        </w:tc>
        <w:tc>
          <w:tcPr>
            <w:tcW w:w="1134" w:type="dxa"/>
          </w:tcPr>
          <w:p w14:paraId="3FBA33ED" w14:textId="418094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Overlapping vs non-overlapping</w:t>
            </w:r>
          </w:p>
        </w:tc>
        <w:tc>
          <w:tcPr>
            <w:tcW w:w="992" w:type="dxa"/>
          </w:tcPr>
          <w:p w14:paraId="6566E708" w14:textId="6693CB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BA193D" w14:textId="497AD8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967123F" w14:textId="1A5CD8FD" w:rsidR="006E5533" w:rsidRPr="00251EA9" w:rsidRDefault="006E5533" w:rsidP="006E5533">
            <w:pPr>
              <w:rPr>
                <w:rFonts w:ascii="Arial" w:hAnsi="Arial" w:cs="Arial"/>
                <w:sz w:val="15"/>
                <w:szCs w:val="15"/>
              </w:rPr>
            </w:pPr>
            <w:r w:rsidRPr="00251EA9">
              <w:rPr>
                <w:rFonts w:ascii="Arial" w:hAnsi="Arial" w:cs="Arial"/>
                <w:sz w:val="15"/>
                <w:szCs w:val="15"/>
              </w:rPr>
              <w:t>Wound infection rates were similar between the 2 groups.</w:t>
            </w:r>
          </w:p>
        </w:tc>
        <w:tc>
          <w:tcPr>
            <w:tcW w:w="1701" w:type="dxa"/>
          </w:tcPr>
          <w:p w14:paraId="0233F9F8" w14:textId="68D0AA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DE549AD" w14:textId="77777777" w:rsidTr="00A77951">
        <w:trPr>
          <w:trHeight w:val="586"/>
        </w:trPr>
        <w:tc>
          <w:tcPr>
            <w:tcW w:w="992" w:type="dxa"/>
          </w:tcPr>
          <w:p w14:paraId="56C1B57B" w14:textId="5A3374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Moorthy R.K. et al., 2013</w:t>
            </w:r>
          </w:p>
        </w:tc>
        <w:tc>
          <w:tcPr>
            <w:tcW w:w="851" w:type="dxa"/>
          </w:tcPr>
          <w:p w14:paraId="10508482" w14:textId="4120CD00"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10.3109/02688697.2013.771138</w:t>
            </w:r>
          </w:p>
        </w:tc>
        <w:tc>
          <w:tcPr>
            <w:tcW w:w="851" w:type="dxa"/>
          </w:tcPr>
          <w:p w14:paraId="605C15CF" w14:textId="30CCAE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47BD9624" w14:textId="5285C3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4F35CB27" w14:textId="060C6B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DBF7C78" w14:textId="31AB27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 except trauma)</w:t>
            </w:r>
          </w:p>
        </w:tc>
        <w:tc>
          <w:tcPr>
            <w:tcW w:w="1843" w:type="dxa"/>
          </w:tcPr>
          <w:p w14:paraId="1616F79D" w14:textId="64B743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audit the efficacy of a conservative prophylactic antibiotic policy in patients undergoing non-trauma cranial surgery.</w:t>
            </w:r>
          </w:p>
        </w:tc>
        <w:tc>
          <w:tcPr>
            <w:tcW w:w="1134" w:type="dxa"/>
          </w:tcPr>
          <w:p w14:paraId="0A260AB8" w14:textId="65B45EF6" w:rsidR="006E5533" w:rsidRPr="00251EA9" w:rsidRDefault="006E5533" w:rsidP="006E5533">
            <w:pPr>
              <w:spacing w:line="360" w:lineRule="auto"/>
              <w:contextualSpacing/>
              <w:rPr>
                <w:rFonts w:ascii="Arial" w:hAnsi="Arial" w:cs="Arial"/>
                <w:sz w:val="15"/>
                <w:szCs w:val="15"/>
              </w:rPr>
            </w:pPr>
          </w:p>
        </w:tc>
        <w:tc>
          <w:tcPr>
            <w:tcW w:w="992" w:type="dxa"/>
          </w:tcPr>
          <w:p w14:paraId="7075EFA9" w14:textId="07CCF8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77816C9" w14:textId="2FF9F6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50F088A" w14:textId="3052F2BE" w:rsidR="006E5533" w:rsidRPr="00251EA9" w:rsidRDefault="006E5533" w:rsidP="006E5533">
            <w:pPr>
              <w:rPr>
                <w:rFonts w:ascii="Arial" w:hAnsi="Arial" w:cs="Arial"/>
                <w:sz w:val="15"/>
                <w:szCs w:val="15"/>
              </w:rPr>
            </w:pPr>
            <w:r w:rsidRPr="00251EA9">
              <w:rPr>
                <w:rFonts w:ascii="Arial" w:hAnsi="Arial" w:cs="Arial"/>
                <w:sz w:val="15"/>
                <w:szCs w:val="15"/>
              </w:rPr>
              <w:t>110 patients developed meningitis, with 27 developing bacterial meningitis.</w:t>
            </w:r>
          </w:p>
        </w:tc>
        <w:tc>
          <w:tcPr>
            <w:tcW w:w="1701" w:type="dxa"/>
          </w:tcPr>
          <w:p w14:paraId="3CC78926" w14:textId="553B32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EC03E09" w14:textId="77777777" w:rsidTr="00A77951">
        <w:trPr>
          <w:trHeight w:val="586"/>
        </w:trPr>
        <w:tc>
          <w:tcPr>
            <w:tcW w:w="992" w:type="dxa"/>
          </w:tcPr>
          <w:p w14:paraId="4956DF5D" w14:textId="515A9A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Morton R. et al., 2018</w:t>
            </w:r>
          </w:p>
        </w:tc>
        <w:tc>
          <w:tcPr>
            <w:tcW w:w="851" w:type="dxa"/>
          </w:tcPr>
          <w:p w14:paraId="7B0191EB" w14:textId="22655D2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10.3171/2016.</w:t>
            </w:r>
            <w:proofErr w:type="gramStart"/>
            <w:r w:rsidRPr="00A77951">
              <w:rPr>
                <w:rFonts w:ascii="Arial" w:hAnsi="Arial" w:cs="Arial"/>
                <w:sz w:val="15"/>
                <w:szCs w:val="15"/>
              </w:rPr>
              <w:t>11.JNS</w:t>
            </w:r>
            <w:proofErr w:type="gramEnd"/>
            <w:r w:rsidRPr="00A77951">
              <w:rPr>
                <w:rFonts w:ascii="Arial" w:hAnsi="Arial" w:cs="Arial"/>
                <w:sz w:val="15"/>
                <w:szCs w:val="15"/>
              </w:rPr>
              <w:t>161917</w:t>
            </w:r>
          </w:p>
        </w:tc>
        <w:tc>
          <w:tcPr>
            <w:tcW w:w="851" w:type="dxa"/>
          </w:tcPr>
          <w:p w14:paraId="24C3C00A" w14:textId="2DFE61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4AAFD87" w14:textId="486538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ECCD8DE" w14:textId="4FAE1F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3A898AA" w14:textId="79BD1B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75F56754" w14:textId="2C4B91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present the largest study to date on complications after cranioplasty, focusing specifically on the relationship between complications and timing of the operation.</w:t>
            </w:r>
          </w:p>
        </w:tc>
        <w:tc>
          <w:tcPr>
            <w:tcW w:w="1134" w:type="dxa"/>
          </w:tcPr>
          <w:p w14:paraId="6289FCD9" w14:textId="6A2CB3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62B5EA12" w14:textId="53BC8C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7E19B30" w14:textId="2C8582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50B7ACC" w14:textId="2495544F" w:rsidR="006E5533" w:rsidRPr="00251EA9" w:rsidRDefault="006E5533" w:rsidP="006E5533">
            <w:pPr>
              <w:rPr>
                <w:rFonts w:ascii="Arial" w:hAnsi="Arial" w:cs="Arial"/>
                <w:sz w:val="15"/>
                <w:szCs w:val="15"/>
              </w:rPr>
            </w:pPr>
            <w:r w:rsidRPr="00251EA9">
              <w:rPr>
                <w:rFonts w:ascii="Arial" w:hAnsi="Arial" w:cs="Arial"/>
                <w:sz w:val="15"/>
                <w:szCs w:val="15"/>
              </w:rPr>
              <w:t xml:space="preserve">24.6% of the patients experienced at least 1 complication including infection necessitating </w:t>
            </w:r>
            <w:proofErr w:type="spellStart"/>
            <w:r w:rsidRPr="00251EA9">
              <w:rPr>
                <w:rFonts w:ascii="Arial" w:hAnsi="Arial" w:cs="Arial"/>
                <w:sz w:val="15"/>
                <w:szCs w:val="15"/>
              </w:rPr>
              <w:t>explantation</w:t>
            </w:r>
            <w:proofErr w:type="spellEnd"/>
            <w:r w:rsidRPr="00251EA9">
              <w:rPr>
                <w:rFonts w:ascii="Arial" w:hAnsi="Arial" w:cs="Arial"/>
                <w:sz w:val="15"/>
                <w:szCs w:val="15"/>
              </w:rPr>
              <w:t xml:space="preserve"> of the flap (6.6%). The rate of infection was significantly higher if the cranioplasty had been performed &lt;14 days after the initial craniectomy.</w:t>
            </w:r>
          </w:p>
        </w:tc>
        <w:tc>
          <w:tcPr>
            <w:tcW w:w="1701" w:type="dxa"/>
          </w:tcPr>
          <w:p w14:paraId="4472AF6A" w14:textId="4079AF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10C2054" w14:textId="77777777" w:rsidTr="00A77951">
        <w:trPr>
          <w:trHeight w:val="586"/>
        </w:trPr>
        <w:tc>
          <w:tcPr>
            <w:tcW w:w="992" w:type="dxa"/>
          </w:tcPr>
          <w:p w14:paraId="77F58E87" w14:textId="47CC38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Morton R.P. et al., 2016</w:t>
            </w:r>
          </w:p>
        </w:tc>
        <w:tc>
          <w:tcPr>
            <w:tcW w:w="851" w:type="dxa"/>
          </w:tcPr>
          <w:p w14:paraId="0FA2A6F2" w14:textId="25B481E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10.3171/2015.</w:t>
            </w:r>
            <w:proofErr w:type="gramStart"/>
            <w:r w:rsidRPr="00A77951">
              <w:rPr>
                <w:rFonts w:ascii="Arial" w:hAnsi="Arial" w:cs="Arial"/>
                <w:sz w:val="15"/>
                <w:szCs w:val="15"/>
              </w:rPr>
              <w:t>8.JNS</w:t>
            </w:r>
            <w:proofErr w:type="gramEnd"/>
            <w:r w:rsidRPr="00A77951">
              <w:rPr>
                <w:rFonts w:ascii="Arial" w:hAnsi="Arial" w:cs="Arial"/>
                <w:sz w:val="15"/>
                <w:szCs w:val="15"/>
              </w:rPr>
              <w:t>151390</w:t>
            </w:r>
          </w:p>
        </w:tc>
        <w:tc>
          <w:tcPr>
            <w:tcW w:w="851" w:type="dxa"/>
          </w:tcPr>
          <w:p w14:paraId="2269C735" w14:textId="6B33E0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F0C00F6" w14:textId="338A6B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A8DCCDD" w14:textId="4FFEB1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CF8F88D" w14:textId="54C2E0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066410E5" w14:textId="125692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report the largest study on predictors of infection after cranioplasty and to assess the predictive </w:t>
            </w:r>
            <w:r w:rsidRPr="00251EA9">
              <w:rPr>
                <w:rFonts w:ascii="Arial" w:hAnsi="Arial" w:cs="Arial"/>
                <w:sz w:val="15"/>
                <w:szCs w:val="15"/>
              </w:rPr>
              <w:lastRenderedPageBreak/>
              <w:t>value of intraoperative bone flap cultures before cryopreservation.</w:t>
            </w:r>
          </w:p>
        </w:tc>
        <w:tc>
          <w:tcPr>
            <w:tcW w:w="1134" w:type="dxa"/>
          </w:tcPr>
          <w:p w14:paraId="47E8C23C" w14:textId="08F3006E" w:rsidR="006E5533" w:rsidRPr="00251EA9" w:rsidRDefault="006E5533" w:rsidP="006E5533">
            <w:pPr>
              <w:spacing w:line="360" w:lineRule="auto"/>
              <w:contextualSpacing/>
              <w:rPr>
                <w:rFonts w:ascii="Arial" w:hAnsi="Arial" w:cs="Arial"/>
                <w:sz w:val="15"/>
                <w:szCs w:val="15"/>
              </w:rPr>
            </w:pPr>
          </w:p>
        </w:tc>
        <w:tc>
          <w:tcPr>
            <w:tcW w:w="992" w:type="dxa"/>
          </w:tcPr>
          <w:p w14:paraId="4770559B" w14:textId="7D97B7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B910508" w14:textId="34844694"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Infection resulting in removal of the bone flap.</w:t>
            </w:r>
          </w:p>
        </w:tc>
        <w:tc>
          <w:tcPr>
            <w:tcW w:w="2693" w:type="dxa"/>
          </w:tcPr>
          <w:p w14:paraId="457AE90F" w14:textId="4579839D" w:rsidR="006E5533" w:rsidRPr="00251EA9" w:rsidRDefault="006E5533" w:rsidP="006E5533">
            <w:pPr>
              <w:rPr>
                <w:rFonts w:ascii="Arial" w:hAnsi="Arial" w:cs="Arial"/>
                <w:sz w:val="15"/>
                <w:szCs w:val="15"/>
              </w:rPr>
            </w:pPr>
            <w:r w:rsidRPr="00251EA9">
              <w:rPr>
                <w:rFonts w:ascii="Arial" w:hAnsi="Arial" w:cs="Arial"/>
                <w:sz w:val="15"/>
                <w:szCs w:val="15"/>
              </w:rPr>
              <w:t>The overall infection rate after cranioplasty was 6.6% (50 cases) occurring at a median postoperative day 31. Cranioplasty material did not affect the post-cranioplasty infection rate.</w:t>
            </w:r>
          </w:p>
        </w:tc>
        <w:tc>
          <w:tcPr>
            <w:tcW w:w="1701" w:type="dxa"/>
          </w:tcPr>
          <w:p w14:paraId="174BC688" w14:textId="5B8ACC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A32472F" w14:textId="77777777" w:rsidTr="00A77951">
        <w:trPr>
          <w:trHeight w:val="586"/>
        </w:trPr>
        <w:tc>
          <w:tcPr>
            <w:tcW w:w="992" w:type="dxa"/>
          </w:tcPr>
          <w:p w14:paraId="124FE4E1" w14:textId="62C1A64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Mracek</w:t>
            </w:r>
            <w:proofErr w:type="spellEnd"/>
            <w:r w:rsidRPr="00251EA9">
              <w:rPr>
                <w:rFonts w:ascii="Arial" w:hAnsi="Arial" w:cs="Arial"/>
                <w:sz w:val="15"/>
                <w:szCs w:val="15"/>
              </w:rPr>
              <w:t xml:space="preserve"> J. et al., 2015</w:t>
            </w:r>
          </w:p>
        </w:tc>
        <w:tc>
          <w:tcPr>
            <w:tcW w:w="851" w:type="dxa"/>
          </w:tcPr>
          <w:p w14:paraId="75E5FE17" w14:textId="18E9679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10.1007/s00701-014-2333-0</w:t>
            </w:r>
          </w:p>
        </w:tc>
        <w:tc>
          <w:tcPr>
            <w:tcW w:w="851" w:type="dxa"/>
          </w:tcPr>
          <w:p w14:paraId="1E0C48E2" w14:textId="369CEC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Czech Republic</w:t>
            </w:r>
          </w:p>
        </w:tc>
        <w:tc>
          <w:tcPr>
            <w:tcW w:w="1134" w:type="dxa"/>
          </w:tcPr>
          <w:p w14:paraId="5854C1F8" w14:textId="2C3452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6A225F4" w14:textId="6E6452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596D9D5" w14:textId="5C0690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172F9234" w14:textId="19277D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morbidity associated with cranioplasty using an autologous bone flap sterilised in an autoclave.</w:t>
            </w:r>
          </w:p>
        </w:tc>
        <w:tc>
          <w:tcPr>
            <w:tcW w:w="1134" w:type="dxa"/>
          </w:tcPr>
          <w:p w14:paraId="170895D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F69B88B" w14:textId="021519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5D978FF" w14:textId="29916D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303B9F0" w14:textId="1D93FD76" w:rsidR="006E5533" w:rsidRPr="00251EA9" w:rsidRDefault="006E5533" w:rsidP="006E5533">
            <w:pPr>
              <w:rPr>
                <w:rFonts w:ascii="Arial" w:hAnsi="Arial" w:cs="Arial"/>
                <w:sz w:val="15"/>
                <w:szCs w:val="15"/>
              </w:rPr>
            </w:pPr>
            <w:r w:rsidRPr="00251EA9">
              <w:rPr>
                <w:rFonts w:ascii="Arial" w:hAnsi="Arial" w:cs="Arial"/>
                <w:sz w:val="15"/>
                <w:szCs w:val="15"/>
              </w:rPr>
              <w:t>SSIs occurred in only five patients (3.3%).</w:t>
            </w:r>
          </w:p>
        </w:tc>
        <w:tc>
          <w:tcPr>
            <w:tcW w:w="1701" w:type="dxa"/>
          </w:tcPr>
          <w:p w14:paraId="1100E3DD" w14:textId="36FD71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CEC385E" w14:textId="77777777" w:rsidTr="00A77951">
        <w:trPr>
          <w:trHeight w:val="586"/>
        </w:trPr>
        <w:tc>
          <w:tcPr>
            <w:tcW w:w="992" w:type="dxa"/>
          </w:tcPr>
          <w:p w14:paraId="44D905EA" w14:textId="36768D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Muir M. et al., 2019</w:t>
            </w:r>
          </w:p>
        </w:tc>
        <w:tc>
          <w:tcPr>
            <w:tcW w:w="851" w:type="dxa"/>
          </w:tcPr>
          <w:p w14:paraId="4280C7EB" w14:textId="4D380DC8"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10.1016/j.jocn.2019.08.059</w:t>
            </w:r>
          </w:p>
        </w:tc>
        <w:tc>
          <w:tcPr>
            <w:tcW w:w="851" w:type="dxa"/>
          </w:tcPr>
          <w:p w14:paraId="54C4B76D" w14:textId="1EEB6C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9BDAD23" w14:textId="69AC2C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CA7D7B5" w14:textId="3D8B38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Paediatrics</w:t>
            </w:r>
          </w:p>
        </w:tc>
        <w:tc>
          <w:tcPr>
            <w:tcW w:w="1276" w:type="dxa"/>
          </w:tcPr>
          <w:p w14:paraId="6E0AF2DF" w14:textId="644A9E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Paediatrics/ Vascular</w:t>
            </w:r>
          </w:p>
        </w:tc>
        <w:tc>
          <w:tcPr>
            <w:tcW w:w="1843" w:type="dxa"/>
          </w:tcPr>
          <w:p w14:paraId="35145717" w14:textId="53C3BA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30-day outcomes following craniotomy for arteriovenous malformation in children and identify risk factors for readmission, reoperation, and perioperative complication using the National Surgical Quality Improvement Program (NSQIP) Paediatric database.</w:t>
            </w:r>
          </w:p>
        </w:tc>
        <w:tc>
          <w:tcPr>
            <w:tcW w:w="1134" w:type="dxa"/>
          </w:tcPr>
          <w:p w14:paraId="685DCD6B" w14:textId="480A3463" w:rsidR="006E5533" w:rsidRPr="00251EA9" w:rsidRDefault="006E5533" w:rsidP="006E5533">
            <w:pPr>
              <w:spacing w:line="360" w:lineRule="auto"/>
              <w:contextualSpacing/>
              <w:rPr>
                <w:rFonts w:ascii="Arial" w:hAnsi="Arial" w:cs="Arial"/>
                <w:sz w:val="15"/>
                <w:szCs w:val="15"/>
              </w:rPr>
            </w:pPr>
          </w:p>
        </w:tc>
        <w:tc>
          <w:tcPr>
            <w:tcW w:w="992" w:type="dxa"/>
          </w:tcPr>
          <w:p w14:paraId="719E6752" w14:textId="4C5D15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4EEB2BE" w14:textId="35E293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44C09E7" w14:textId="1D01CA8A" w:rsidR="006E5533" w:rsidRPr="00251EA9" w:rsidRDefault="006E5533" w:rsidP="006E5533">
            <w:pPr>
              <w:rPr>
                <w:rFonts w:ascii="Arial" w:hAnsi="Arial" w:cs="Arial"/>
                <w:sz w:val="15"/>
                <w:szCs w:val="15"/>
              </w:rPr>
            </w:pPr>
            <w:r w:rsidRPr="00251EA9">
              <w:rPr>
                <w:rFonts w:ascii="Arial" w:hAnsi="Arial" w:cs="Arial"/>
                <w:sz w:val="15"/>
                <w:szCs w:val="15"/>
              </w:rPr>
              <w:t>The incidence of wound infection and/or dehiscence was 4%.</w:t>
            </w:r>
          </w:p>
        </w:tc>
        <w:tc>
          <w:tcPr>
            <w:tcW w:w="1701" w:type="dxa"/>
          </w:tcPr>
          <w:p w14:paraId="6424A574" w14:textId="3C9DE2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1C42515" w14:textId="77777777" w:rsidTr="00A77951">
        <w:trPr>
          <w:trHeight w:val="586"/>
        </w:trPr>
        <w:tc>
          <w:tcPr>
            <w:tcW w:w="992" w:type="dxa"/>
          </w:tcPr>
          <w:p w14:paraId="6F0F388A" w14:textId="2F86BF3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Muram</w:t>
            </w:r>
            <w:proofErr w:type="spellEnd"/>
            <w:r w:rsidRPr="00251EA9">
              <w:rPr>
                <w:rFonts w:ascii="Arial" w:hAnsi="Arial" w:cs="Arial"/>
                <w:sz w:val="15"/>
                <w:szCs w:val="15"/>
              </w:rPr>
              <w:t xml:space="preserve"> S. et al., 2023</w:t>
            </w:r>
          </w:p>
        </w:tc>
        <w:tc>
          <w:tcPr>
            <w:tcW w:w="851" w:type="dxa"/>
          </w:tcPr>
          <w:p w14:paraId="61773105" w14:textId="7A758A2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10.3171/2022.</w:t>
            </w:r>
            <w:proofErr w:type="gramStart"/>
            <w:r w:rsidRPr="00A77951">
              <w:rPr>
                <w:rFonts w:ascii="Arial" w:hAnsi="Arial" w:cs="Arial"/>
                <w:sz w:val="15"/>
                <w:szCs w:val="15"/>
              </w:rPr>
              <w:t>5.JNS</w:t>
            </w:r>
            <w:proofErr w:type="gramEnd"/>
            <w:r w:rsidRPr="00A77951">
              <w:rPr>
                <w:rFonts w:ascii="Arial" w:hAnsi="Arial" w:cs="Arial"/>
                <w:sz w:val="15"/>
                <w:szCs w:val="15"/>
              </w:rPr>
              <w:t>22430</w:t>
            </w:r>
          </w:p>
        </w:tc>
        <w:tc>
          <w:tcPr>
            <w:tcW w:w="851" w:type="dxa"/>
          </w:tcPr>
          <w:p w14:paraId="35F90211" w14:textId="47052B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Canada</w:t>
            </w:r>
          </w:p>
        </w:tc>
        <w:tc>
          <w:tcPr>
            <w:tcW w:w="1134" w:type="dxa"/>
          </w:tcPr>
          <w:p w14:paraId="2CD10A70" w14:textId="27B60F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6A8A305E" w14:textId="47F9B5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26E8381" w14:textId="7F9048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4B7C147" w14:textId="60A57D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use quality improvement (QI) methodology to create a standardised infection prevention bundle aimed at reducing the rate of shunt infections.</w:t>
            </w:r>
          </w:p>
        </w:tc>
        <w:tc>
          <w:tcPr>
            <w:tcW w:w="1134" w:type="dxa"/>
          </w:tcPr>
          <w:p w14:paraId="487EC3B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22643BA" w14:textId="1671F1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1011C06" w14:textId="5A5823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Canadian Nosocomial Infection Surveillance Program (CNISP) guidelines </w:t>
            </w:r>
          </w:p>
        </w:tc>
        <w:tc>
          <w:tcPr>
            <w:tcW w:w="2693" w:type="dxa"/>
          </w:tcPr>
          <w:p w14:paraId="329CE9C6" w14:textId="30870D42" w:rsidR="006E5533" w:rsidRPr="00251EA9" w:rsidRDefault="006E5533" w:rsidP="006E5533">
            <w:pPr>
              <w:rPr>
                <w:rFonts w:ascii="Arial" w:hAnsi="Arial" w:cs="Arial"/>
                <w:sz w:val="15"/>
                <w:szCs w:val="15"/>
              </w:rPr>
            </w:pPr>
            <w:r w:rsidRPr="00251EA9">
              <w:rPr>
                <w:rFonts w:ascii="Arial" w:hAnsi="Arial" w:cs="Arial"/>
                <w:sz w:val="15"/>
                <w:szCs w:val="15"/>
              </w:rPr>
              <w:t xml:space="preserve">There were 11 shunt infections that occurred during the study period. Four of these infections were during the period in which there was no protocol and 7 occurred after the implementation of the initial standardised infection prevention bundle. </w:t>
            </w:r>
          </w:p>
        </w:tc>
        <w:tc>
          <w:tcPr>
            <w:tcW w:w="1701" w:type="dxa"/>
          </w:tcPr>
          <w:p w14:paraId="48C1115E" w14:textId="50B260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D2C0C8C" w14:textId="77777777" w:rsidTr="00A77951">
        <w:trPr>
          <w:trHeight w:val="586"/>
        </w:trPr>
        <w:tc>
          <w:tcPr>
            <w:tcW w:w="992" w:type="dxa"/>
          </w:tcPr>
          <w:p w14:paraId="0F4996AF" w14:textId="63C8F1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Murphy M.E. et al., 2016</w:t>
            </w:r>
          </w:p>
        </w:tc>
        <w:tc>
          <w:tcPr>
            <w:tcW w:w="851" w:type="dxa"/>
          </w:tcPr>
          <w:p w14:paraId="0B1B8F5A" w14:textId="0A419B2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10.1016/j.clineuro.2016.06.020</w:t>
            </w:r>
          </w:p>
        </w:tc>
        <w:tc>
          <w:tcPr>
            <w:tcW w:w="851" w:type="dxa"/>
          </w:tcPr>
          <w:p w14:paraId="15266715" w14:textId="462F444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D4D4A3F" w14:textId="23AA00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92646E1" w14:textId="21FDD5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C79E01B" w14:textId="45EC67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A9758C2" w14:textId="69C00D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analyse postoperative morbidity as well as secondary outcomes of </w:t>
            </w:r>
            <w:r w:rsidRPr="00251EA9">
              <w:rPr>
                <w:rFonts w:ascii="Arial" w:hAnsi="Arial" w:cs="Arial"/>
                <w:sz w:val="15"/>
                <w:szCs w:val="15"/>
              </w:rPr>
              <w:lastRenderedPageBreak/>
              <w:t>readmission and reoperation.</w:t>
            </w:r>
          </w:p>
        </w:tc>
        <w:tc>
          <w:tcPr>
            <w:tcW w:w="1134" w:type="dxa"/>
          </w:tcPr>
          <w:p w14:paraId="3B34C226" w14:textId="60376428" w:rsidR="006E5533" w:rsidRPr="00251EA9" w:rsidRDefault="006E5533" w:rsidP="006E5533">
            <w:pPr>
              <w:spacing w:line="360" w:lineRule="auto"/>
              <w:contextualSpacing/>
              <w:rPr>
                <w:rFonts w:ascii="Arial" w:hAnsi="Arial" w:cs="Arial"/>
                <w:sz w:val="15"/>
                <w:szCs w:val="15"/>
              </w:rPr>
            </w:pPr>
          </w:p>
        </w:tc>
        <w:tc>
          <w:tcPr>
            <w:tcW w:w="992" w:type="dxa"/>
          </w:tcPr>
          <w:p w14:paraId="72090411" w14:textId="3ED90B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EEDFF54" w14:textId="5B4D69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B691CCB" w14:textId="42ABC205" w:rsidR="006E5533" w:rsidRPr="00251EA9" w:rsidRDefault="006E5533" w:rsidP="006E5533">
            <w:pPr>
              <w:rPr>
                <w:rFonts w:ascii="Arial" w:hAnsi="Arial" w:cs="Arial"/>
                <w:sz w:val="15"/>
                <w:szCs w:val="15"/>
              </w:rPr>
            </w:pPr>
            <w:r w:rsidRPr="00251EA9">
              <w:rPr>
                <w:rFonts w:ascii="Arial" w:hAnsi="Arial" w:cs="Arial"/>
                <w:sz w:val="15"/>
                <w:szCs w:val="15"/>
              </w:rPr>
              <w:t>9 surgical site infections (1.59%) were reported.</w:t>
            </w:r>
          </w:p>
        </w:tc>
        <w:tc>
          <w:tcPr>
            <w:tcW w:w="1701" w:type="dxa"/>
          </w:tcPr>
          <w:p w14:paraId="3A828B70" w14:textId="57B6F3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8BC1080" w14:textId="77777777" w:rsidTr="00A77951">
        <w:trPr>
          <w:trHeight w:val="586"/>
        </w:trPr>
        <w:tc>
          <w:tcPr>
            <w:tcW w:w="992" w:type="dxa"/>
          </w:tcPr>
          <w:p w14:paraId="4CD4441B" w14:textId="7D1BB50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Musavi</w:t>
            </w:r>
            <w:proofErr w:type="spellEnd"/>
            <w:r w:rsidRPr="00251EA9">
              <w:rPr>
                <w:rFonts w:ascii="Arial" w:hAnsi="Arial" w:cs="Arial"/>
                <w:sz w:val="15"/>
                <w:szCs w:val="15"/>
              </w:rPr>
              <w:t xml:space="preserve"> L. et al., 2020</w:t>
            </w:r>
          </w:p>
        </w:tc>
        <w:tc>
          <w:tcPr>
            <w:tcW w:w="851" w:type="dxa"/>
          </w:tcPr>
          <w:p w14:paraId="16A59AEA" w14:textId="11E9648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10.1097/SCS.0000000000005695</w:t>
            </w:r>
          </w:p>
        </w:tc>
        <w:tc>
          <w:tcPr>
            <w:tcW w:w="851" w:type="dxa"/>
          </w:tcPr>
          <w:p w14:paraId="0645AC02" w14:textId="753B48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9E4874B" w14:textId="6ED559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F27156D" w14:textId="3C18AC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96DAD85" w14:textId="2FB72DB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2FA6A6A0" w14:textId="4ABC74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infection rates and management practices across the literature to highlight trends and variations in the perioperative care of craniosynostosis patients</w:t>
            </w:r>
          </w:p>
        </w:tc>
        <w:tc>
          <w:tcPr>
            <w:tcW w:w="1134" w:type="dxa"/>
          </w:tcPr>
          <w:p w14:paraId="275323C4"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B8FCF4D" w14:textId="13A9B5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7108030" w14:textId="2A9FB0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F12624A" w14:textId="60F38DA8" w:rsidR="006E5533" w:rsidRPr="00251EA9" w:rsidRDefault="006E5533" w:rsidP="006E5533">
            <w:pPr>
              <w:rPr>
                <w:rFonts w:ascii="Arial" w:hAnsi="Arial" w:cs="Arial"/>
                <w:sz w:val="15"/>
                <w:szCs w:val="15"/>
              </w:rPr>
            </w:pPr>
            <w:r w:rsidRPr="00251EA9">
              <w:rPr>
                <w:rFonts w:ascii="Arial" w:hAnsi="Arial" w:cs="Arial"/>
                <w:sz w:val="15"/>
                <w:szCs w:val="15"/>
              </w:rPr>
              <w:t>The most common post-operative complication was SSI. 6 primary reconstruction patients (1.09%) and 9 secondary reconstruction patients (5.52%) developed an SSI requiring extended hospital stay or readmission, which was statistically significant.</w:t>
            </w:r>
          </w:p>
        </w:tc>
        <w:tc>
          <w:tcPr>
            <w:tcW w:w="1701" w:type="dxa"/>
          </w:tcPr>
          <w:p w14:paraId="2F519B35" w14:textId="436523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964F5D5" w14:textId="77777777" w:rsidTr="00A77951">
        <w:trPr>
          <w:trHeight w:val="586"/>
        </w:trPr>
        <w:tc>
          <w:tcPr>
            <w:tcW w:w="992" w:type="dxa"/>
          </w:tcPr>
          <w:p w14:paraId="3A03A554" w14:textId="2F14A6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Nair S. et al., 2023</w:t>
            </w:r>
          </w:p>
        </w:tc>
        <w:tc>
          <w:tcPr>
            <w:tcW w:w="851" w:type="dxa"/>
          </w:tcPr>
          <w:p w14:paraId="021BB24D" w14:textId="41C3896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10.1227/ons.0000000000000819</w:t>
            </w:r>
          </w:p>
        </w:tc>
        <w:tc>
          <w:tcPr>
            <w:tcW w:w="851" w:type="dxa"/>
          </w:tcPr>
          <w:p w14:paraId="38EA4ED9" w14:textId="696070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FDFB1AD" w14:textId="7B1399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3B00155" w14:textId="6A1B4E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22FD84B" w14:textId="6D465A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60899AD9" w14:textId="4254C3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directly compare pain outcomes in patients undergoing primary microvascular decompression (MVD) vs those undergoing MVD with a history of 1 prior stereotactic radiosurgery (SRS) procedure.</w:t>
            </w:r>
          </w:p>
        </w:tc>
        <w:tc>
          <w:tcPr>
            <w:tcW w:w="1134" w:type="dxa"/>
          </w:tcPr>
          <w:p w14:paraId="1A065C5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11213FC" w14:textId="05D721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D9566DE" w14:textId="79C5AB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7980E97" w14:textId="22CA38BF" w:rsidR="006E5533" w:rsidRPr="00251EA9" w:rsidRDefault="006E5533" w:rsidP="006E5533">
            <w:pPr>
              <w:rPr>
                <w:rFonts w:ascii="Arial" w:hAnsi="Arial" w:cs="Arial"/>
                <w:sz w:val="15"/>
                <w:szCs w:val="15"/>
              </w:rPr>
            </w:pPr>
            <w:r w:rsidRPr="00251EA9">
              <w:rPr>
                <w:rFonts w:ascii="Arial" w:hAnsi="Arial" w:cs="Arial"/>
                <w:sz w:val="15"/>
                <w:szCs w:val="15"/>
              </w:rPr>
              <w:t>There were no significant differences in the frequency of CSF leak or postoperative SSIs between the SRS-MVD</w:t>
            </w:r>
            <w:r w:rsidRPr="00251EA9">
              <w:rPr>
                <w:rFonts w:ascii="Arial" w:hAnsi="Arial" w:cs="Arial"/>
                <w:sz w:val="15"/>
                <w:szCs w:val="15"/>
              </w:rPr>
              <w:br/>
              <w:t>and primary MVD groups. Reported 22 cases of postop SSI (2.76%) in primary MVD and 2 cases post-op SSI (5.41%) in SRS-MVD.</w:t>
            </w:r>
          </w:p>
        </w:tc>
        <w:tc>
          <w:tcPr>
            <w:tcW w:w="1701" w:type="dxa"/>
          </w:tcPr>
          <w:p w14:paraId="7F74A82E" w14:textId="02CAAB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55FF48A" w14:textId="77777777" w:rsidTr="00A77951">
        <w:trPr>
          <w:trHeight w:val="586"/>
        </w:trPr>
        <w:tc>
          <w:tcPr>
            <w:tcW w:w="992" w:type="dxa"/>
          </w:tcPr>
          <w:p w14:paraId="0C75E979" w14:textId="6285BA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Nair S.K. et al., 2023</w:t>
            </w:r>
          </w:p>
        </w:tc>
        <w:tc>
          <w:tcPr>
            <w:tcW w:w="851" w:type="dxa"/>
          </w:tcPr>
          <w:p w14:paraId="75ACC6BB" w14:textId="057C25B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10.3171/2022.</w:t>
            </w:r>
            <w:proofErr w:type="gramStart"/>
            <w:r w:rsidRPr="00A77951">
              <w:rPr>
                <w:rFonts w:ascii="Arial" w:hAnsi="Arial" w:cs="Arial"/>
                <w:sz w:val="15"/>
                <w:szCs w:val="15"/>
              </w:rPr>
              <w:t>8.JNS</w:t>
            </w:r>
            <w:proofErr w:type="gramEnd"/>
            <w:r w:rsidRPr="00A77951">
              <w:rPr>
                <w:rFonts w:ascii="Arial" w:hAnsi="Arial" w:cs="Arial"/>
                <w:sz w:val="15"/>
                <w:szCs w:val="15"/>
              </w:rPr>
              <w:t>212799</w:t>
            </w:r>
          </w:p>
        </w:tc>
        <w:tc>
          <w:tcPr>
            <w:tcW w:w="851" w:type="dxa"/>
          </w:tcPr>
          <w:p w14:paraId="228A7C9C" w14:textId="5F6FA5B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5DB223F" w14:textId="073701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2BD9FDB" w14:textId="1467D7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FAA6DA6" w14:textId="01C1D7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83D5205" w14:textId="5DE7F0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relationship between preoperative predictors inclusive of scalp incision type and postoperative SSI following glioblastoma resection.</w:t>
            </w:r>
          </w:p>
        </w:tc>
        <w:tc>
          <w:tcPr>
            <w:tcW w:w="1134" w:type="dxa"/>
          </w:tcPr>
          <w:p w14:paraId="2380660E" w14:textId="25F9D4AA" w:rsidR="006E5533" w:rsidRPr="00251EA9" w:rsidRDefault="006E5533" w:rsidP="006E5533">
            <w:pPr>
              <w:spacing w:line="360" w:lineRule="auto"/>
              <w:contextualSpacing/>
              <w:rPr>
                <w:rFonts w:ascii="Arial" w:hAnsi="Arial" w:cs="Arial"/>
                <w:sz w:val="15"/>
                <w:szCs w:val="15"/>
              </w:rPr>
            </w:pPr>
          </w:p>
        </w:tc>
        <w:tc>
          <w:tcPr>
            <w:tcW w:w="992" w:type="dxa"/>
          </w:tcPr>
          <w:p w14:paraId="0FD7F191" w14:textId="11701A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A5B1047" w14:textId="769293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Wound breakdown, the presence of</w:t>
            </w:r>
            <w:r w:rsidRPr="00251EA9">
              <w:rPr>
                <w:rFonts w:ascii="Arial" w:hAnsi="Arial" w:cs="Arial"/>
                <w:sz w:val="15"/>
                <w:szCs w:val="15"/>
              </w:rPr>
              <w:br/>
              <w:t>bacteria in wound drainage, or the need for reoperation</w:t>
            </w:r>
            <w:r w:rsidRPr="00251EA9">
              <w:rPr>
                <w:rFonts w:ascii="Arial" w:hAnsi="Arial" w:cs="Arial"/>
                <w:sz w:val="15"/>
                <w:szCs w:val="15"/>
              </w:rPr>
              <w:br/>
              <w:t xml:space="preserve">for wound washout. </w:t>
            </w:r>
          </w:p>
        </w:tc>
        <w:tc>
          <w:tcPr>
            <w:tcW w:w="2693" w:type="dxa"/>
          </w:tcPr>
          <w:p w14:paraId="428C745F" w14:textId="44BD5CE9" w:rsidR="006E5533" w:rsidRPr="00251EA9" w:rsidRDefault="006E5533" w:rsidP="006E5533">
            <w:pPr>
              <w:rPr>
                <w:rFonts w:ascii="Arial" w:hAnsi="Arial" w:cs="Arial"/>
                <w:sz w:val="15"/>
                <w:szCs w:val="15"/>
              </w:rPr>
            </w:pPr>
            <w:r w:rsidRPr="00251EA9">
              <w:rPr>
                <w:rFonts w:ascii="Arial" w:hAnsi="Arial" w:cs="Arial"/>
                <w:sz w:val="15"/>
                <w:szCs w:val="15"/>
              </w:rPr>
              <w:t xml:space="preserve">Reported 30 out of 911 cases (3.3%) demonstrated postoperative SSI. There were no significant differences in preoperative malnutrition or number of surgeries between SSI and non-SSI cases. </w:t>
            </w:r>
          </w:p>
        </w:tc>
        <w:tc>
          <w:tcPr>
            <w:tcW w:w="1701" w:type="dxa"/>
          </w:tcPr>
          <w:p w14:paraId="21592EAA" w14:textId="7AD7A5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28DA416" w14:textId="77777777" w:rsidTr="00A77951">
        <w:trPr>
          <w:trHeight w:val="586"/>
        </w:trPr>
        <w:tc>
          <w:tcPr>
            <w:tcW w:w="992" w:type="dxa"/>
          </w:tcPr>
          <w:p w14:paraId="5989CB2C" w14:textId="685502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Nguyen A.V. et al., 2019</w:t>
            </w:r>
          </w:p>
        </w:tc>
        <w:tc>
          <w:tcPr>
            <w:tcW w:w="851" w:type="dxa"/>
          </w:tcPr>
          <w:p w14:paraId="3BF4FCFF" w14:textId="06C0A94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10.1016/j.clineuro.2019.05.017</w:t>
            </w:r>
          </w:p>
        </w:tc>
        <w:tc>
          <w:tcPr>
            <w:tcW w:w="851" w:type="dxa"/>
          </w:tcPr>
          <w:p w14:paraId="16444FEC" w14:textId="3B4016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5BACAA7" w14:textId="11897AB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9FD522A" w14:textId="569B8E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6460BE0" w14:textId="3F3221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4842322B" w14:textId="30F133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association of prophylaxis choice and incidence of SSI at authors’ own institution.</w:t>
            </w:r>
          </w:p>
        </w:tc>
        <w:tc>
          <w:tcPr>
            <w:tcW w:w="1134" w:type="dxa"/>
          </w:tcPr>
          <w:p w14:paraId="2E8B7264" w14:textId="3056A6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Cefazolin vs Vancomycin use</w:t>
            </w:r>
          </w:p>
        </w:tc>
        <w:tc>
          <w:tcPr>
            <w:tcW w:w="992" w:type="dxa"/>
          </w:tcPr>
          <w:p w14:paraId="36B026D8" w14:textId="3DE0BF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ECEEF02" w14:textId="3F4294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culture isolated from the wound, implant, or CSF within a year of surgery.</w:t>
            </w:r>
          </w:p>
        </w:tc>
        <w:tc>
          <w:tcPr>
            <w:tcW w:w="2693" w:type="dxa"/>
          </w:tcPr>
          <w:p w14:paraId="03B3DE98" w14:textId="57EA8959" w:rsidR="006E5533" w:rsidRPr="00251EA9" w:rsidRDefault="006E5533" w:rsidP="006E5533">
            <w:pPr>
              <w:rPr>
                <w:rFonts w:ascii="Arial" w:hAnsi="Arial" w:cs="Arial"/>
                <w:sz w:val="15"/>
                <w:szCs w:val="15"/>
              </w:rPr>
            </w:pPr>
            <w:r w:rsidRPr="00251EA9">
              <w:rPr>
                <w:rFonts w:ascii="Arial" w:hAnsi="Arial" w:cs="Arial"/>
                <w:sz w:val="15"/>
                <w:szCs w:val="15"/>
              </w:rPr>
              <w:t>Reported 22 SSIs, with 14 in the cefazolin (2.2%) and 8 in the vancomycin (4.1%) group.</w:t>
            </w:r>
          </w:p>
        </w:tc>
        <w:tc>
          <w:tcPr>
            <w:tcW w:w="1701" w:type="dxa"/>
          </w:tcPr>
          <w:p w14:paraId="266F2FE8" w14:textId="3CADE2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C79D0DB" w14:textId="77777777" w:rsidTr="00A77951">
        <w:trPr>
          <w:trHeight w:val="586"/>
        </w:trPr>
        <w:tc>
          <w:tcPr>
            <w:tcW w:w="992" w:type="dxa"/>
          </w:tcPr>
          <w:p w14:paraId="0A7DDF22" w14:textId="6C983F3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Northam W. et al., 2020</w:t>
            </w:r>
          </w:p>
        </w:tc>
        <w:tc>
          <w:tcPr>
            <w:tcW w:w="851" w:type="dxa"/>
          </w:tcPr>
          <w:p w14:paraId="07F0232F" w14:textId="282A54D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10.1177/1460408619892141</w:t>
            </w:r>
          </w:p>
        </w:tc>
        <w:tc>
          <w:tcPr>
            <w:tcW w:w="851" w:type="dxa"/>
          </w:tcPr>
          <w:p w14:paraId="19E5CCF5" w14:textId="211231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FF48FEC" w14:textId="6411ED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4421E10" w14:textId="30B865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78810AB" w14:textId="642717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39F46D8D" w14:textId="6E92D5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factors associated with length of stay after cranioplasty to better understand their outcomes.</w:t>
            </w:r>
          </w:p>
        </w:tc>
        <w:tc>
          <w:tcPr>
            <w:tcW w:w="1134" w:type="dxa"/>
          </w:tcPr>
          <w:p w14:paraId="711B96C2"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A7376D4" w14:textId="44BDB3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AA281A6" w14:textId="69BBBA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754A6F4" w14:textId="236D8353" w:rsidR="006E5533" w:rsidRPr="00251EA9" w:rsidRDefault="006E5533" w:rsidP="006E5533">
            <w:pPr>
              <w:rPr>
                <w:rFonts w:ascii="Arial" w:hAnsi="Arial" w:cs="Arial"/>
                <w:sz w:val="15"/>
                <w:szCs w:val="15"/>
              </w:rPr>
            </w:pPr>
            <w:r w:rsidRPr="00251EA9">
              <w:rPr>
                <w:rFonts w:ascii="Arial" w:hAnsi="Arial" w:cs="Arial"/>
                <w:sz w:val="15"/>
                <w:szCs w:val="15"/>
              </w:rPr>
              <w:t>Reported 24.4% of deep wound infection and 4.4% of superficial wound infection.</w:t>
            </w:r>
          </w:p>
        </w:tc>
        <w:tc>
          <w:tcPr>
            <w:tcW w:w="1701" w:type="dxa"/>
          </w:tcPr>
          <w:p w14:paraId="6595BCD3" w14:textId="166221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1026E4D" w14:textId="77777777" w:rsidTr="00A77951">
        <w:trPr>
          <w:trHeight w:val="586"/>
        </w:trPr>
        <w:tc>
          <w:tcPr>
            <w:tcW w:w="992" w:type="dxa"/>
          </w:tcPr>
          <w:p w14:paraId="00D3B646" w14:textId="196F248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Nunno</w:t>
            </w:r>
            <w:proofErr w:type="spellEnd"/>
            <w:r w:rsidRPr="00251EA9">
              <w:rPr>
                <w:rFonts w:ascii="Arial" w:hAnsi="Arial" w:cs="Arial"/>
                <w:sz w:val="15"/>
                <w:szCs w:val="15"/>
              </w:rPr>
              <w:t xml:space="preserve"> A. et al., 2018</w:t>
            </w:r>
          </w:p>
        </w:tc>
        <w:tc>
          <w:tcPr>
            <w:tcW w:w="851" w:type="dxa"/>
          </w:tcPr>
          <w:p w14:paraId="7F74AFF4" w14:textId="7B06A73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10.1016/j.wneu.2018.11.091</w:t>
            </w:r>
          </w:p>
        </w:tc>
        <w:tc>
          <w:tcPr>
            <w:tcW w:w="851" w:type="dxa"/>
          </w:tcPr>
          <w:p w14:paraId="55043966" w14:textId="05FA9C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E1AF113" w14:textId="60F2EF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A9F1DE1" w14:textId="3A12E1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549E827" w14:textId="60178A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F5BE879" w14:textId="248EC7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occurrence of VTE in patients who underwent surgical resection of meningioma to determine risk factors and associated complications of VTE.</w:t>
            </w:r>
          </w:p>
        </w:tc>
        <w:tc>
          <w:tcPr>
            <w:tcW w:w="1134" w:type="dxa"/>
          </w:tcPr>
          <w:p w14:paraId="13F24EAA" w14:textId="397FF62F" w:rsidR="006E5533" w:rsidRPr="00251EA9" w:rsidRDefault="006E5533" w:rsidP="006E5533">
            <w:pPr>
              <w:spacing w:line="360" w:lineRule="auto"/>
              <w:contextualSpacing/>
              <w:rPr>
                <w:rFonts w:ascii="Arial" w:hAnsi="Arial" w:cs="Arial"/>
                <w:sz w:val="15"/>
                <w:szCs w:val="15"/>
              </w:rPr>
            </w:pPr>
          </w:p>
        </w:tc>
        <w:tc>
          <w:tcPr>
            <w:tcW w:w="992" w:type="dxa"/>
          </w:tcPr>
          <w:p w14:paraId="51C08807" w14:textId="08B556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22F5E31" w14:textId="2583EB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E3D5BFC" w14:textId="67F26B14" w:rsidR="006E5533" w:rsidRPr="00251EA9" w:rsidRDefault="006E5533" w:rsidP="006E5533">
            <w:pPr>
              <w:rPr>
                <w:rFonts w:ascii="Arial" w:hAnsi="Arial" w:cs="Arial"/>
                <w:sz w:val="15"/>
                <w:szCs w:val="15"/>
              </w:rPr>
            </w:pPr>
            <w:r w:rsidRPr="00251EA9">
              <w:rPr>
                <w:rFonts w:ascii="Arial" w:hAnsi="Arial" w:cs="Arial"/>
                <w:sz w:val="15"/>
                <w:szCs w:val="15"/>
              </w:rPr>
              <w:t>SSI cases were associated with 4% VTE cases post-operatively (not statistically significant).</w:t>
            </w:r>
          </w:p>
        </w:tc>
        <w:tc>
          <w:tcPr>
            <w:tcW w:w="1701" w:type="dxa"/>
          </w:tcPr>
          <w:p w14:paraId="22FEB8C0" w14:textId="37FE57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0DF66F0" w14:textId="77777777" w:rsidTr="00A77951">
        <w:trPr>
          <w:trHeight w:val="586"/>
        </w:trPr>
        <w:tc>
          <w:tcPr>
            <w:tcW w:w="992" w:type="dxa"/>
          </w:tcPr>
          <w:p w14:paraId="51844888" w14:textId="5044A80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Nusair</w:t>
            </w:r>
            <w:proofErr w:type="spellEnd"/>
            <w:r w:rsidRPr="00251EA9">
              <w:rPr>
                <w:rFonts w:ascii="Arial" w:hAnsi="Arial" w:cs="Arial"/>
                <w:sz w:val="15"/>
                <w:szCs w:val="15"/>
              </w:rPr>
              <w:t xml:space="preserve"> A.R. et al., 2021</w:t>
            </w:r>
          </w:p>
        </w:tc>
        <w:tc>
          <w:tcPr>
            <w:tcW w:w="851" w:type="dxa"/>
          </w:tcPr>
          <w:p w14:paraId="2216B35B" w14:textId="49497EE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10.1089/sur.2020.020</w:t>
            </w:r>
          </w:p>
        </w:tc>
        <w:tc>
          <w:tcPr>
            <w:tcW w:w="851" w:type="dxa"/>
          </w:tcPr>
          <w:p w14:paraId="5ADF7D05" w14:textId="3E123B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UAE</w:t>
            </w:r>
          </w:p>
        </w:tc>
        <w:tc>
          <w:tcPr>
            <w:tcW w:w="1134" w:type="dxa"/>
          </w:tcPr>
          <w:p w14:paraId="4ACC0D12" w14:textId="5BE762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11E46BB" w14:textId="0FCDAC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18C2995" w14:textId="061429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09241512" w14:textId="315494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and decolonise MRSA carriers and to tailor perioperative antibiotic prophylaxis to protect those at high risk for SSIs better.</w:t>
            </w:r>
          </w:p>
        </w:tc>
        <w:tc>
          <w:tcPr>
            <w:tcW w:w="1134" w:type="dxa"/>
          </w:tcPr>
          <w:p w14:paraId="48490225" w14:textId="14D18FA6" w:rsidR="006E5533" w:rsidRPr="00251EA9" w:rsidRDefault="006E5533" w:rsidP="006E5533">
            <w:pPr>
              <w:spacing w:line="360" w:lineRule="auto"/>
              <w:contextualSpacing/>
              <w:rPr>
                <w:rFonts w:ascii="Arial" w:hAnsi="Arial" w:cs="Arial"/>
                <w:sz w:val="15"/>
                <w:szCs w:val="15"/>
              </w:rPr>
            </w:pPr>
          </w:p>
        </w:tc>
        <w:tc>
          <w:tcPr>
            <w:tcW w:w="992" w:type="dxa"/>
          </w:tcPr>
          <w:p w14:paraId="33E41E88" w14:textId="4F882C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174201F" w14:textId="6E49B1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6F01217F" w14:textId="37E1AFA2" w:rsidR="006E5533" w:rsidRPr="00251EA9" w:rsidRDefault="006E5533" w:rsidP="006E5533">
            <w:pPr>
              <w:rPr>
                <w:rFonts w:ascii="Arial" w:hAnsi="Arial" w:cs="Arial"/>
                <w:sz w:val="15"/>
                <w:szCs w:val="15"/>
              </w:rPr>
            </w:pPr>
            <w:r w:rsidRPr="00251EA9">
              <w:rPr>
                <w:rFonts w:ascii="Arial" w:hAnsi="Arial" w:cs="Arial"/>
                <w:sz w:val="15"/>
                <w:szCs w:val="15"/>
              </w:rPr>
              <w:t>Infection rate decreased from 2.8% to 1.8% after implementation of the protocol.</w:t>
            </w:r>
          </w:p>
        </w:tc>
        <w:tc>
          <w:tcPr>
            <w:tcW w:w="1701" w:type="dxa"/>
          </w:tcPr>
          <w:p w14:paraId="196EF5FB" w14:textId="07B596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6408111" w14:textId="77777777" w:rsidTr="00A77951">
        <w:trPr>
          <w:trHeight w:val="586"/>
        </w:trPr>
        <w:tc>
          <w:tcPr>
            <w:tcW w:w="992" w:type="dxa"/>
          </w:tcPr>
          <w:p w14:paraId="1955A109" w14:textId="01BF5B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O'Keeffe A. et al., 2012</w:t>
            </w:r>
          </w:p>
        </w:tc>
        <w:tc>
          <w:tcPr>
            <w:tcW w:w="851" w:type="dxa"/>
          </w:tcPr>
          <w:p w14:paraId="729D9DD7" w14:textId="2397793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10.3109/02688697.2011.626878</w:t>
            </w:r>
          </w:p>
        </w:tc>
        <w:tc>
          <w:tcPr>
            <w:tcW w:w="851" w:type="dxa"/>
          </w:tcPr>
          <w:p w14:paraId="050F949D" w14:textId="07D710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41C5034E" w14:textId="585EF2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E1CB0FC" w14:textId="63D593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DBE91BB" w14:textId="72DA66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2E99923" w14:textId="398ADB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derive an estimated cost for each instance of infected craniotomy.</w:t>
            </w:r>
          </w:p>
        </w:tc>
        <w:tc>
          <w:tcPr>
            <w:tcW w:w="1134" w:type="dxa"/>
          </w:tcPr>
          <w:p w14:paraId="16A4A444" w14:textId="1F098A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453E824B" w14:textId="767343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A195CED" w14:textId="2EA306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0A0EB63C" w14:textId="343E72A8" w:rsidR="006E5533" w:rsidRPr="00251EA9" w:rsidRDefault="006E5533" w:rsidP="006E5533">
            <w:pPr>
              <w:rPr>
                <w:rFonts w:ascii="Arial" w:hAnsi="Arial" w:cs="Arial"/>
                <w:sz w:val="15"/>
                <w:szCs w:val="15"/>
              </w:rPr>
            </w:pPr>
            <w:r w:rsidRPr="00251EA9">
              <w:rPr>
                <w:rFonts w:ascii="Arial" w:hAnsi="Arial" w:cs="Arial"/>
                <w:sz w:val="15"/>
                <w:szCs w:val="15"/>
              </w:rPr>
              <w:t xml:space="preserve">Reported a total of 245 craniotomies and 20 verified craniotomy infections. An overall infection rate of 8% is identified, and the cost incurred </w:t>
            </w:r>
            <w:proofErr w:type="gramStart"/>
            <w:r w:rsidRPr="00251EA9">
              <w:rPr>
                <w:rFonts w:ascii="Arial" w:hAnsi="Arial" w:cs="Arial"/>
                <w:sz w:val="15"/>
                <w:szCs w:val="15"/>
              </w:rPr>
              <w:t>as a result of</w:t>
            </w:r>
            <w:proofErr w:type="gramEnd"/>
            <w:r w:rsidRPr="00251EA9">
              <w:rPr>
                <w:rFonts w:ascii="Arial" w:hAnsi="Arial" w:cs="Arial"/>
                <w:sz w:val="15"/>
                <w:szCs w:val="15"/>
              </w:rPr>
              <w:t xml:space="preserve"> craniotomy infections is estimated at £1 85 660 for the 10-month period studied. </w:t>
            </w:r>
          </w:p>
        </w:tc>
        <w:tc>
          <w:tcPr>
            <w:tcW w:w="1701" w:type="dxa"/>
          </w:tcPr>
          <w:p w14:paraId="7171CFDF" w14:textId="4B1F40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47BC0BF" w14:textId="77777777" w:rsidTr="00A77951">
        <w:trPr>
          <w:trHeight w:val="586"/>
        </w:trPr>
        <w:tc>
          <w:tcPr>
            <w:tcW w:w="992" w:type="dxa"/>
          </w:tcPr>
          <w:p w14:paraId="60C928E5" w14:textId="2DE8D3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Oakley G.M. et al., 2018</w:t>
            </w:r>
          </w:p>
        </w:tc>
        <w:tc>
          <w:tcPr>
            <w:tcW w:w="851" w:type="dxa"/>
          </w:tcPr>
          <w:p w14:paraId="2C20C0A9" w14:textId="0511ACB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10.1017/S0022215117001499</w:t>
            </w:r>
          </w:p>
        </w:tc>
        <w:tc>
          <w:tcPr>
            <w:tcW w:w="851" w:type="dxa"/>
          </w:tcPr>
          <w:p w14:paraId="2032BE59" w14:textId="6AA8CA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5BD180D" w14:textId="150D85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2507BA5" w14:textId="68D512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4A4495F" w14:textId="084521C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5D9FB8F2" w14:textId="734E8B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the short- and long-term outcomes of collagen matrix in skull base reconstruction.</w:t>
            </w:r>
          </w:p>
        </w:tc>
        <w:tc>
          <w:tcPr>
            <w:tcW w:w="1134" w:type="dxa"/>
          </w:tcPr>
          <w:p w14:paraId="53870A6F" w14:textId="273AB04C" w:rsidR="006E5533" w:rsidRPr="00251EA9" w:rsidRDefault="006E5533" w:rsidP="006E5533">
            <w:pPr>
              <w:spacing w:line="360" w:lineRule="auto"/>
              <w:contextualSpacing/>
              <w:rPr>
                <w:rFonts w:ascii="Arial" w:hAnsi="Arial" w:cs="Arial"/>
                <w:sz w:val="15"/>
                <w:szCs w:val="15"/>
              </w:rPr>
            </w:pPr>
          </w:p>
        </w:tc>
        <w:tc>
          <w:tcPr>
            <w:tcW w:w="992" w:type="dxa"/>
          </w:tcPr>
          <w:p w14:paraId="7EA81B16" w14:textId="7A9182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224283C" w14:textId="32C74B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0284869" w14:textId="02D07293" w:rsidR="006E5533" w:rsidRPr="00251EA9" w:rsidRDefault="006E5533" w:rsidP="006E5533">
            <w:pPr>
              <w:rPr>
                <w:rFonts w:ascii="Arial" w:hAnsi="Arial" w:cs="Arial"/>
                <w:sz w:val="15"/>
                <w:szCs w:val="15"/>
              </w:rPr>
            </w:pPr>
            <w:r w:rsidRPr="00251EA9">
              <w:rPr>
                <w:rFonts w:ascii="Arial" w:hAnsi="Arial" w:cs="Arial"/>
                <w:sz w:val="15"/>
                <w:szCs w:val="15"/>
              </w:rPr>
              <w:t>1 intracranial infection reported.</w:t>
            </w:r>
          </w:p>
        </w:tc>
        <w:tc>
          <w:tcPr>
            <w:tcW w:w="1701" w:type="dxa"/>
          </w:tcPr>
          <w:p w14:paraId="746EA9FA" w14:textId="443354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6622962" w14:textId="77777777" w:rsidTr="00A77951">
        <w:trPr>
          <w:trHeight w:val="586"/>
        </w:trPr>
        <w:tc>
          <w:tcPr>
            <w:tcW w:w="992" w:type="dxa"/>
          </w:tcPr>
          <w:p w14:paraId="25EE0734" w14:textId="345408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Oh W.O. et al., 2018</w:t>
            </w:r>
          </w:p>
        </w:tc>
        <w:tc>
          <w:tcPr>
            <w:tcW w:w="851" w:type="dxa"/>
          </w:tcPr>
          <w:p w14:paraId="341C1F5C" w14:textId="121AABE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10.1159/000481437</w:t>
            </w:r>
          </w:p>
        </w:tc>
        <w:tc>
          <w:tcPr>
            <w:tcW w:w="851" w:type="dxa"/>
          </w:tcPr>
          <w:p w14:paraId="37970BC4" w14:textId="2BD67F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38AB28AF" w14:textId="44E043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19448A2F" w14:textId="019907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575E0EC" w14:textId="2C2F42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642B23F" w14:textId="5D7F2C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analyse the data of patients who underwent unshaven cranial surgery with absorbable </w:t>
            </w:r>
            <w:r w:rsidRPr="00251EA9">
              <w:rPr>
                <w:rFonts w:ascii="Arial" w:hAnsi="Arial" w:cs="Arial"/>
                <w:sz w:val="15"/>
                <w:szCs w:val="15"/>
              </w:rPr>
              <w:lastRenderedPageBreak/>
              <w:t>sutures</w:t>
            </w:r>
            <w:r w:rsidRPr="00251EA9">
              <w:rPr>
                <w:rFonts w:ascii="Arial" w:hAnsi="Arial" w:cs="Arial"/>
                <w:sz w:val="15"/>
                <w:szCs w:val="15"/>
              </w:rPr>
              <w:br/>
              <w:t>for scalp closure. To discuss</w:t>
            </w:r>
            <w:r w:rsidRPr="00251EA9">
              <w:rPr>
                <w:rFonts w:ascii="Arial" w:hAnsi="Arial" w:cs="Arial"/>
                <w:sz w:val="15"/>
                <w:szCs w:val="15"/>
              </w:rPr>
              <w:br/>
              <w:t>techniques for neurosurgical site preparation and skin closure materials for cranial operations with an emphasis on patient comfort and quality of life.</w:t>
            </w:r>
          </w:p>
        </w:tc>
        <w:tc>
          <w:tcPr>
            <w:tcW w:w="1134" w:type="dxa"/>
          </w:tcPr>
          <w:p w14:paraId="07BD061D" w14:textId="7CBC86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Unshaven cranial surgery with absorbable </w:t>
            </w:r>
            <w:r w:rsidRPr="00251EA9">
              <w:rPr>
                <w:rFonts w:ascii="Arial" w:hAnsi="Arial" w:cs="Arial"/>
                <w:sz w:val="15"/>
                <w:szCs w:val="15"/>
              </w:rPr>
              <w:lastRenderedPageBreak/>
              <w:t>sutures for scalp closure Vs shaved group</w:t>
            </w:r>
          </w:p>
        </w:tc>
        <w:tc>
          <w:tcPr>
            <w:tcW w:w="992" w:type="dxa"/>
          </w:tcPr>
          <w:p w14:paraId="79A0373C" w14:textId="40EFA7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Yes</w:t>
            </w:r>
          </w:p>
        </w:tc>
        <w:tc>
          <w:tcPr>
            <w:tcW w:w="1701" w:type="dxa"/>
          </w:tcPr>
          <w:p w14:paraId="3553F7F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Discharge, </w:t>
            </w:r>
          </w:p>
          <w:p w14:paraId="715CED9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Tenderness,</w:t>
            </w:r>
          </w:p>
          <w:p w14:paraId="151477E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 Swelling, </w:t>
            </w:r>
          </w:p>
          <w:p w14:paraId="4D499B7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4. Fluid collection, </w:t>
            </w:r>
          </w:p>
          <w:p w14:paraId="1273FB8D" w14:textId="1BDEBC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5. Redness of the surgical site</w:t>
            </w:r>
          </w:p>
        </w:tc>
        <w:tc>
          <w:tcPr>
            <w:tcW w:w="2693" w:type="dxa"/>
          </w:tcPr>
          <w:p w14:paraId="160B5F2F" w14:textId="77777777" w:rsidR="006E5533" w:rsidRPr="00251EA9" w:rsidRDefault="006E5533" w:rsidP="006E5533">
            <w:pPr>
              <w:rPr>
                <w:rFonts w:ascii="Arial" w:hAnsi="Arial" w:cs="Arial"/>
                <w:sz w:val="15"/>
                <w:szCs w:val="15"/>
              </w:rPr>
            </w:pPr>
            <w:r w:rsidRPr="00251EA9">
              <w:rPr>
                <w:rFonts w:ascii="Arial" w:hAnsi="Arial" w:cs="Arial"/>
                <w:sz w:val="15"/>
                <w:szCs w:val="15"/>
              </w:rPr>
              <w:lastRenderedPageBreak/>
              <w:t>Intervention group: 2 patients experienced superficial SSIs that were resolved within 14 days using dressings and oral antibiotics.</w:t>
            </w:r>
          </w:p>
          <w:p w14:paraId="0686025B" w14:textId="4D4F552E" w:rsidR="006E5533" w:rsidRPr="00251EA9" w:rsidRDefault="006E5533" w:rsidP="006E5533">
            <w:pPr>
              <w:rPr>
                <w:rFonts w:ascii="Arial" w:hAnsi="Arial" w:cs="Arial"/>
                <w:sz w:val="15"/>
                <w:szCs w:val="15"/>
              </w:rPr>
            </w:pPr>
            <w:r w:rsidRPr="00251EA9">
              <w:rPr>
                <w:rFonts w:ascii="Arial" w:hAnsi="Arial" w:cs="Arial"/>
                <w:sz w:val="15"/>
                <w:szCs w:val="15"/>
              </w:rPr>
              <w:t>Control group: 2 patients</w:t>
            </w:r>
            <w:r w:rsidRPr="00251EA9">
              <w:rPr>
                <w:rFonts w:ascii="Arial" w:hAnsi="Arial" w:cs="Arial"/>
                <w:sz w:val="15"/>
                <w:szCs w:val="15"/>
              </w:rPr>
              <w:br/>
              <w:t xml:space="preserve">experienced superficial SSIs at </w:t>
            </w:r>
            <w:r w:rsidRPr="00251EA9">
              <w:rPr>
                <w:rFonts w:ascii="Arial" w:hAnsi="Arial" w:cs="Arial"/>
                <w:sz w:val="15"/>
                <w:szCs w:val="15"/>
              </w:rPr>
              <w:lastRenderedPageBreak/>
              <w:t>postoperative 14 days.</w:t>
            </w:r>
            <w:r w:rsidRPr="00251EA9">
              <w:rPr>
                <w:rFonts w:ascii="Arial" w:hAnsi="Arial" w:cs="Arial"/>
                <w:sz w:val="15"/>
                <w:szCs w:val="15"/>
              </w:rPr>
              <w:br/>
            </w:r>
          </w:p>
        </w:tc>
        <w:tc>
          <w:tcPr>
            <w:tcW w:w="1701" w:type="dxa"/>
          </w:tcPr>
          <w:p w14:paraId="5E14FE07" w14:textId="11B77C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6CD1D7AC" w14:textId="77777777" w:rsidTr="00A77951">
        <w:trPr>
          <w:trHeight w:val="586"/>
        </w:trPr>
        <w:tc>
          <w:tcPr>
            <w:tcW w:w="992" w:type="dxa"/>
          </w:tcPr>
          <w:p w14:paraId="03E3B584" w14:textId="5960664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Okunlola</w:t>
            </w:r>
            <w:proofErr w:type="spellEnd"/>
            <w:r w:rsidRPr="00251EA9">
              <w:rPr>
                <w:rFonts w:ascii="Arial" w:hAnsi="Arial" w:cs="Arial"/>
                <w:sz w:val="15"/>
                <w:szCs w:val="15"/>
              </w:rPr>
              <w:t xml:space="preserve"> A.I. et al., 2021</w:t>
            </w:r>
          </w:p>
        </w:tc>
        <w:tc>
          <w:tcPr>
            <w:tcW w:w="851" w:type="dxa"/>
          </w:tcPr>
          <w:p w14:paraId="35F329C1" w14:textId="2440F60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10.1080/02688697.2020.1812518</w:t>
            </w:r>
          </w:p>
        </w:tc>
        <w:tc>
          <w:tcPr>
            <w:tcW w:w="851" w:type="dxa"/>
          </w:tcPr>
          <w:p w14:paraId="51B7468B" w14:textId="1A27D8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Nigeria</w:t>
            </w:r>
          </w:p>
        </w:tc>
        <w:tc>
          <w:tcPr>
            <w:tcW w:w="1134" w:type="dxa"/>
          </w:tcPr>
          <w:p w14:paraId="7F1A282C" w14:textId="029CF7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 control</w:t>
            </w:r>
          </w:p>
        </w:tc>
        <w:tc>
          <w:tcPr>
            <w:tcW w:w="992" w:type="dxa"/>
          </w:tcPr>
          <w:p w14:paraId="29840C7B" w14:textId="00B068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9DFA51F" w14:textId="712541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23CE7952" w14:textId="0B8D4E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intraoperative wound irrigation with ceftriaxone provides additional prevention of SSI in patients already receiving the drug parenterally.</w:t>
            </w:r>
          </w:p>
        </w:tc>
        <w:tc>
          <w:tcPr>
            <w:tcW w:w="1134" w:type="dxa"/>
          </w:tcPr>
          <w:p w14:paraId="4310F736" w14:textId="4717AD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Intra-operative wound irrigation with a ceftriaxone-in-normal saline solution Vs control group irrigated with only normal saline. </w:t>
            </w:r>
          </w:p>
        </w:tc>
        <w:tc>
          <w:tcPr>
            <w:tcW w:w="992" w:type="dxa"/>
          </w:tcPr>
          <w:p w14:paraId="7CE8A3D6" w14:textId="5AECBA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3E2450D" w14:textId="6F2208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Grade 0: normal healing; </w:t>
            </w:r>
            <w:r w:rsidRPr="00251EA9">
              <w:rPr>
                <w:rFonts w:ascii="Arial" w:hAnsi="Arial" w:cs="Arial"/>
                <w:sz w:val="15"/>
                <w:szCs w:val="15"/>
              </w:rPr>
              <w:br/>
              <w:t xml:space="preserve">Grade I: normal healing with mild erythema or epidermolysis; </w:t>
            </w:r>
            <w:r w:rsidRPr="00251EA9">
              <w:rPr>
                <w:rFonts w:ascii="Arial" w:hAnsi="Arial" w:cs="Arial"/>
                <w:sz w:val="15"/>
                <w:szCs w:val="15"/>
              </w:rPr>
              <w:br/>
              <w:t xml:space="preserve">Grade II: superficial wound infection with </w:t>
            </w:r>
            <w:proofErr w:type="spellStart"/>
            <w:r w:rsidRPr="00251EA9">
              <w:rPr>
                <w:rFonts w:ascii="Arial" w:hAnsi="Arial" w:cs="Arial"/>
                <w:sz w:val="15"/>
                <w:szCs w:val="15"/>
              </w:rPr>
              <w:t>galeal</w:t>
            </w:r>
            <w:proofErr w:type="spellEnd"/>
            <w:r w:rsidRPr="00251EA9">
              <w:rPr>
                <w:rFonts w:ascii="Arial" w:hAnsi="Arial" w:cs="Arial"/>
                <w:sz w:val="15"/>
                <w:szCs w:val="15"/>
              </w:rPr>
              <w:t xml:space="preserve">/ fascia intact; </w:t>
            </w:r>
            <w:r w:rsidRPr="00251EA9">
              <w:rPr>
                <w:rFonts w:ascii="Arial" w:hAnsi="Arial" w:cs="Arial"/>
                <w:sz w:val="15"/>
                <w:szCs w:val="15"/>
              </w:rPr>
              <w:br/>
              <w:t xml:space="preserve">Grade III: deep wound infection below the </w:t>
            </w:r>
            <w:proofErr w:type="spellStart"/>
            <w:r w:rsidRPr="00251EA9">
              <w:rPr>
                <w:rFonts w:ascii="Arial" w:hAnsi="Arial" w:cs="Arial"/>
                <w:sz w:val="15"/>
                <w:szCs w:val="15"/>
              </w:rPr>
              <w:t>galeal</w:t>
            </w:r>
            <w:proofErr w:type="spellEnd"/>
            <w:r w:rsidRPr="00251EA9">
              <w:rPr>
                <w:rFonts w:ascii="Arial" w:hAnsi="Arial" w:cs="Arial"/>
                <w:sz w:val="15"/>
                <w:szCs w:val="15"/>
              </w:rPr>
              <w:t xml:space="preserve">/ fascia but with intact dural </w:t>
            </w:r>
            <w:r w:rsidRPr="00251EA9">
              <w:rPr>
                <w:rFonts w:ascii="Arial" w:hAnsi="Arial" w:cs="Arial"/>
                <w:sz w:val="15"/>
                <w:szCs w:val="15"/>
              </w:rPr>
              <w:br/>
              <w:t xml:space="preserve">IIIa: no osteomyelitis, </w:t>
            </w:r>
            <w:r w:rsidRPr="00251EA9">
              <w:rPr>
                <w:rFonts w:ascii="Arial" w:hAnsi="Arial" w:cs="Arial"/>
                <w:sz w:val="15"/>
                <w:szCs w:val="15"/>
              </w:rPr>
              <w:br/>
            </w:r>
            <w:proofErr w:type="spellStart"/>
            <w:r w:rsidRPr="00251EA9">
              <w:rPr>
                <w:rFonts w:ascii="Arial" w:hAnsi="Arial" w:cs="Arial"/>
                <w:sz w:val="15"/>
                <w:szCs w:val="15"/>
              </w:rPr>
              <w:t>IIIb</w:t>
            </w:r>
            <w:proofErr w:type="spellEnd"/>
            <w:r w:rsidRPr="00251EA9">
              <w:rPr>
                <w:rFonts w:ascii="Arial" w:hAnsi="Arial" w:cs="Arial"/>
                <w:sz w:val="15"/>
                <w:szCs w:val="15"/>
              </w:rPr>
              <w:t xml:space="preserve">: with osteomyelitis and </w:t>
            </w:r>
            <w:r w:rsidRPr="00251EA9">
              <w:rPr>
                <w:rFonts w:ascii="Arial" w:hAnsi="Arial" w:cs="Arial"/>
                <w:sz w:val="15"/>
                <w:szCs w:val="15"/>
              </w:rPr>
              <w:br/>
              <w:t xml:space="preserve">IIIc: with </w:t>
            </w:r>
            <w:proofErr w:type="spellStart"/>
            <w:r w:rsidRPr="00251EA9">
              <w:rPr>
                <w:rFonts w:ascii="Arial" w:hAnsi="Arial" w:cs="Arial"/>
                <w:sz w:val="15"/>
                <w:szCs w:val="15"/>
              </w:rPr>
              <w:t>pachy</w:t>
            </w:r>
            <w:proofErr w:type="spellEnd"/>
            <w:r w:rsidRPr="00251EA9">
              <w:rPr>
                <w:rFonts w:ascii="Arial" w:hAnsi="Arial" w:cs="Arial"/>
                <w:sz w:val="15"/>
                <w:szCs w:val="15"/>
              </w:rPr>
              <w:t xml:space="preserve"> meningitis; </w:t>
            </w:r>
            <w:r w:rsidRPr="00251EA9">
              <w:rPr>
                <w:rFonts w:ascii="Arial" w:hAnsi="Arial" w:cs="Arial"/>
                <w:sz w:val="15"/>
                <w:szCs w:val="15"/>
              </w:rPr>
              <w:br/>
              <w:t xml:space="preserve">Grade IV: meningitis without tissue breakdown excluding chemical meningitis; </w:t>
            </w:r>
            <w:r w:rsidRPr="00251EA9">
              <w:rPr>
                <w:rFonts w:ascii="Arial" w:hAnsi="Arial" w:cs="Arial"/>
                <w:sz w:val="15"/>
                <w:szCs w:val="15"/>
              </w:rPr>
              <w:br/>
              <w:t xml:space="preserve">Grade V: meningitis </w:t>
            </w:r>
            <w:r w:rsidRPr="00251EA9">
              <w:rPr>
                <w:rFonts w:ascii="Arial" w:hAnsi="Arial" w:cs="Arial"/>
                <w:sz w:val="15"/>
                <w:szCs w:val="15"/>
              </w:rPr>
              <w:lastRenderedPageBreak/>
              <w:t xml:space="preserve">with breakdown of dural and fascia; </w:t>
            </w:r>
            <w:r w:rsidRPr="00251EA9">
              <w:rPr>
                <w:rFonts w:ascii="Arial" w:hAnsi="Arial" w:cs="Arial"/>
                <w:sz w:val="15"/>
                <w:szCs w:val="15"/>
              </w:rPr>
              <w:br/>
              <w:t xml:space="preserve">Grade VI: intracranial or intraspinal intradural abscess; </w:t>
            </w:r>
            <w:r w:rsidRPr="00251EA9">
              <w:rPr>
                <w:rFonts w:ascii="Arial" w:hAnsi="Arial" w:cs="Arial"/>
                <w:sz w:val="15"/>
                <w:szCs w:val="15"/>
              </w:rPr>
              <w:br/>
            </w:r>
            <w:proofErr w:type="spellStart"/>
            <w:r w:rsidRPr="00251EA9">
              <w:rPr>
                <w:rFonts w:ascii="Arial" w:hAnsi="Arial" w:cs="Arial"/>
                <w:sz w:val="15"/>
                <w:szCs w:val="15"/>
              </w:rPr>
              <w:t>VIa</w:t>
            </w:r>
            <w:proofErr w:type="spellEnd"/>
            <w:r w:rsidRPr="00251EA9">
              <w:rPr>
                <w:rFonts w:ascii="Arial" w:hAnsi="Arial" w:cs="Arial"/>
                <w:sz w:val="15"/>
                <w:szCs w:val="15"/>
              </w:rPr>
              <w:t xml:space="preserve">: subdural empyema, </w:t>
            </w:r>
            <w:r w:rsidRPr="00251EA9">
              <w:rPr>
                <w:rFonts w:ascii="Arial" w:hAnsi="Arial" w:cs="Arial"/>
                <w:sz w:val="15"/>
                <w:szCs w:val="15"/>
              </w:rPr>
              <w:br/>
            </w:r>
            <w:proofErr w:type="spellStart"/>
            <w:r w:rsidRPr="00251EA9">
              <w:rPr>
                <w:rFonts w:ascii="Arial" w:hAnsi="Arial" w:cs="Arial"/>
                <w:sz w:val="15"/>
                <w:szCs w:val="15"/>
              </w:rPr>
              <w:t>VIb</w:t>
            </w:r>
            <w:proofErr w:type="spellEnd"/>
            <w:r w:rsidRPr="00251EA9">
              <w:rPr>
                <w:rFonts w:ascii="Arial" w:hAnsi="Arial" w:cs="Arial"/>
                <w:sz w:val="15"/>
                <w:szCs w:val="15"/>
              </w:rPr>
              <w:t xml:space="preserve">: intraparenchymal abscess, </w:t>
            </w:r>
            <w:r w:rsidRPr="00251EA9">
              <w:rPr>
                <w:rFonts w:ascii="Arial" w:hAnsi="Arial" w:cs="Arial"/>
                <w:sz w:val="15"/>
                <w:szCs w:val="15"/>
              </w:rPr>
              <w:br/>
            </w:r>
            <w:proofErr w:type="spellStart"/>
            <w:r w:rsidRPr="00251EA9">
              <w:rPr>
                <w:rFonts w:ascii="Arial" w:hAnsi="Arial" w:cs="Arial"/>
                <w:sz w:val="15"/>
                <w:szCs w:val="15"/>
              </w:rPr>
              <w:t>VIc</w:t>
            </w:r>
            <w:proofErr w:type="spellEnd"/>
            <w:r w:rsidRPr="00251EA9">
              <w:rPr>
                <w:rFonts w:ascii="Arial" w:hAnsi="Arial" w:cs="Arial"/>
                <w:sz w:val="15"/>
                <w:szCs w:val="15"/>
              </w:rPr>
              <w:t xml:space="preserve">: intraventricular abscess, </w:t>
            </w:r>
            <w:r w:rsidRPr="00251EA9">
              <w:rPr>
                <w:rFonts w:ascii="Arial" w:hAnsi="Arial" w:cs="Arial"/>
                <w:sz w:val="15"/>
                <w:szCs w:val="15"/>
              </w:rPr>
              <w:br/>
            </w:r>
            <w:proofErr w:type="spellStart"/>
            <w:r w:rsidRPr="00251EA9">
              <w:rPr>
                <w:rFonts w:ascii="Arial" w:hAnsi="Arial" w:cs="Arial"/>
                <w:sz w:val="15"/>
                <w:szCs w:val="15"/>
              </w:rPr>
              <w:t>VId</w:t>
            </w:r>
            <w:proofErr w:type="spellEnd"/>
            <w:r w:rsidRPr="00251EA9">
              <w:rPr>
                <w:rFonts w:ascii="Arial" w:hAnsi="Arial" w:cs="Arial"/>
                <w:sz w:val="15"/>
                <w:szCs w:val="15"/>
              </w:rPr>
              <w:t xml:space="preserve">: combination </w:t>
            </w:r>
          </w:p>
        </w:tc>
        <w:tc>
          <w:tcPr>
            <w:tcW w:w="2693" w:type="dxa"/>
          </w:tcPr>
          <w:p w14:paraId="1A7FC463" w14:textId="204ECF18" w:rsidR="006E5533" w:rsidRPr="00251EA9" w:rsidRDefault="006E5533" w:rsidP="006E5533">
            <w:pPr>
              <w:rPr>
                <w:rFonts w:ascii="Arial" w:hAnsi="Arial" w:cs="Arial"/>
                <w:sz w:val="15"/>
                <w:szCs w:val="15"/>
              </w:rPr>
            </w:pPr>
            <w:r w:rsidRPr="00251EA9">
              <w:rPr>
                <w:rFonts w:ascii="Arial" w:hAnsi="Arial" w:cs="Arial"/>
                <w:sz w:val="15"/>
                <w:szCs w:val="15"/>
              </w:rPr>
              <w:lastRenderedPageBreak/>
              <w:t>The overall frequency of SSI was 2.27% (3 out of 132). The incidence among ceftriaxone group was 3% (2 out of 66) and among the control group 1.5% (1 out of 66).</w:t>
            </w:r>
          </w:p>
        </w:tc>
        <w:tc>
          <w:tcPr>
            <w:tcW w:w="1701" w:type="dxa"/>
          </w:tcPr>
          <w:p w14:paraId="329DDA70" w14:textId="5D3722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E5D8E12" w14:textId="77777777" w:rsidTr="00A77951">
        <w:trPr>
          <w:trHeight w:val="586"/>
        </w:trPr>
        <w:tc>
          <w:tcPr>
            <w:tcW w:w="992" w:type="dxa"/>
          </w:tcPr>
          <w:p w14:paraId="432450A1" w14:textId="5064B96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Onkarappa</w:t>
            </w:r>
            <w:proofErr w:type="spellEnd"/>
            <w:r w:rsidRPr="00251EA9">
              <w:rPr>
                <w:rFonts w:ascii="Arial" w:hAnsi="Arial" w:cs="Arial"/>
                <w:sz w:val="15"/>
                <w:szCs w:val="15"/>
              </w:rPr>
              <w:t xml:space="preserve"> S. et al., 2023</w:t>
            </w:r>
          </w:p>
        </w:tc>
        <w:tc>
          <w:tcPr>
            <w:tcW w:w="851" w:type="dxa"/>
          </w:tcPr>
          <w:p w14:paraId="237EB351" w14:textId="6B2B978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10.1016/j.wneu.2023.05.104</w:t>
            </w:r>
          </w:p>
        </w:tc>
        <w:tc>
          <w:tcPr>
            <w:tcW w:w="851" w:type="dxa"/>
          </w:tcPr>
          <w:p w14:paraId="63360C6C" w14:textId="0F3DE4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2B878691" w14:textId="38DDF6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094241C5" w14:textId="0617B2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DE1D4EB" w14:textId="65773F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6BB2179B" w14:textId="6290CC3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note the overall complication rates of cranioplasty after decompressive craniectomy and more specifically compare complications between 2 different time intervals.</w:t>
            </w:r>
          </w:p>
        </w:tc>
        <w:tc>
          <w:tcPr>
            <w:tcW w:w="1134" w:type="dxa"/>
          </w:tcPr>
          <w:p w14:paraId="2A408627"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8674EED" w14:textId="692E01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E4B9BE2" w14:textId="3BE905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5A81960" w14:textId="7DF395C3" w:rsidR="006E5533" w:rsidRPr="00251EA9" w:rsidRDefault="006E5533" w:rsidP="006E5533">
            <w:pPr>
              <w:rPr>
                <w:rFonts w:ascii="Arial" w:hAnsi="Arial" w:cs="Arial"/>
                <w:sz w:val="15"/>
                <w:szCs w:val="15"/>
              </w:rPr>
            </w:pPr>
            <w:r w:rsidRPr="00251EA9">
              <w:rPr>
                <w:rFonts w:ascii="Arial" w:hAnsi="Arial" w:cs="Arial"/>
                <w:sz w:val="15"/>
                <w:szCs w:val="15"/>
              </w:rPr>
              <w:t>A total of seven (6.7%) complications were observed in 6 patients. Among them, infectious complications formed the majority (n 1⁄4 5,71%). This involved 3 cases of bone flap osteomyelitis and 2 cases of wound infections.</w:t>
            </w:r>
          </w:p>
        </w:tc>
        <w:tc>
          <w:tcPr>
            <w:tcW w:w="1701" w:type="dxa"/>
          </w:tcPr>
          <w:p w14:paraId="0CE23D7D" w14:textId="2016C1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D722791" w14:textId="77777777" w:rsidTr="00A77951">
        <w:trPr>
          <w:trHeight w:val="586"/>
        </w:trPr>
        <w:tc>
          <w:tcPr>
            <w:tcW w:w="992" w:type="dxa"/>
          </w:tcPr>
          <w:p w14:paraId="49375225" w14:textId="0D32E5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Ormond D.R. et al., 2019</w:t>
            </w:r>
          </w:p>
        </w:tc>
        <w:tc>
          <w:tcPr>
            <w:tcW w:w="851" w:type="dxa"/>
          </w:tcPr>
          <w:p w14:paraId="1B2FDAD9" w14:textId="0261E5B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10.1093/neuros/nyy125</w:t>
            </w:r>
          </w:p>
        </w:tc>
        <w:tc>
          <w:tcPr>
            <w:tcW w:w="851" w:type="dxa"/>
          </w:tcPr>
          <w:p w14:paraId="6A5731AD" w14:textId="740F9B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2E19AAB1" w14:textId="536431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9B610E8" w14:textId="21791F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48B36E7F" w14:textId="6B7BF4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26A2CC4A" w14:textId="591E23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present the largest case series of paediatric (temporal lobe epilepsy) patients thus far, </w:t>
            </w:r>
            <w:proofErr w:type="gramStart"/>
            <w:r w:rsidRPr="00251EA9">
              <w:rPr>
                <w:rFonts w:ascii="Arial" w:hAnsi="Arial" w:cs="Arial"/>
                <w:sz w:val="15"/>
                <w:szCs w:val="15"/>
              </w:rPr>
              <w:t>in order to</w:t>
            </w:r>
            <w:proofErr w:type="gramEnd"/>
            <w:r w:rsidRPr="00251EA9">
              <w:rPr>
                <w:rFonts w:ascii="Arial" w:hAnsi="Arial" w:cs="Arial"/>
                <w:sz w:val="15"/>
                <w:szCs w:val="15"/>
              </w:rPr>
              <w:t xml:space="preserve"> better understand the predictability of preoperative evaluation on seizure outcome, and to better understand longitudinal outcomes in a large paediatric cohort.</w:t>
            </w:r>
          </w:p>
        </w:tc>
        <w:tc>
          <w:tcPr>
            <w:tcW w:w="1134" w:type="dxa"/>
          </w:tcPr>
          <w:p w14:paraId="4E83F7AB" w14:textId="58448BA0" w:rsidR="006E5533" w:rsidRPr="00251EA9" w:rsidRDefault="006E5533" w:rsidP="006E5533">
            <w:pPr>
              <w:spacing w:line="360" w:lineRule="auto"/>
              <w:contextualSpacing/>
              <w:rPr>
                <w:rFonts w:ascii="Arial" w:hAnsi="Arial" w:cs="Arial"/>
                <w:sz w:val="15"/>
                <w:szCs w:val="15"/>
              </w:rPr>
            </w:pPr>
          </w:p>
        </w:tc>
        <w:tc>
          <w:tcPr>
            <w:tcW w:w="992" w:type="dxa"/>
          </w:tcPr>
          <w:p w14:paraId="37C12B38" w14:textId="5AF30A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8A3E3DB" w14:textId="025CAF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268FA3D" w14:textId="76B18ECC" w:rsidR="006E5533" w:rsidRPr="00251EA9" w:rsidRDefault="006E5533" w:rsidP="006E5533">
            <w:pPr>
              <w:rPr>
                <w:rFonts w:ascii="Arial" w:hAnsi="Arial" w:cs="Arial"/>
                <w:sz w:val="15"/>
                <w:szCs w:val="15"/>
              </w:rPr>
            </w:pPr>
            <w:r w:rsidRPr="00251EA9">
              <w:rPr>
                <w:rFonts w:ascii="Arial" w:hAnsi="Arial" w:cs="Arial"/>
                <w:sz w:val="15"/>
                <w:szCs w:val="15"/>
              </w:rPr>
              <w:t>Reported 2 wound infections requiring revision (1.1%),</w:t>
            </w:r>
          </w:p>
        </w:tc>
        <w:tc>
          <w:tcPr>
            <w:tcW w:w="1701" w:type="dxa"/>
          </w:tcPr>
          <w:p w14:paraId="6054BA0B" w14:textId="2C4A26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3F8B64A" w14:textId="77777777" w:rsidTr="00A77951">
        <w:trPr>
          <w:trHeight w:val="586"/>
        </w:trPr>
        <w:tc>
          <w:tcPr>
            <w:tcW w:w="992" w:type="dxa"/>
          </w:tcPr>
          <w:p w14:paraId="3CE86203" w14:textId="54FA6D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Orsi G.B. et al., 2006</w:t>
            </w:r>
          </w:p>
        </w:tc>
        <w:tc>
          <w:tcPr>
            <w:tcW w:w="851" w:type="dxa"/>
          </w:tcPr>
          <w:p w14:paraId="04F817C1" w14:textId="00B6BA7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10.1016/j.jhin.2006.02.022</w:t>
            </w:r>
          </w:p>
        </w:tc>
        <w:tc>
          <w:tcPr>
            <w:tcW w:w="851" w:type="dxa"/>
          </w:tcPr>
          <w:p w14:paraId="3A04E67B" w14:textId="00D0EF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690ACAE8" w14:textId="62C3BD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5E171865" w14:textId="26C21B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70FCD08" w14:textId="39AF7C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74398CC9" w14:textId="381DCD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hospital acquired infection rates and associated risk factors in Neurosurgical ICUs.</w:t>
            </w:r>
          </w:p>
        </w:tc>
        <w:tc>
          <w:tcPr>
            <w:tcW w:w="1134" w:type="dxa"/>
          </w:tcPr>
          <w:p w14:paraId="5EDAF5E6" w14:textId="6A6282F1" w:rsidR="006E5533" w:rsidRPr="00251EA9" w:rsidRDefault="006E5533" w:rsidP="006E5533">
            <w:pPr>
              <w:spacing w:line="360" w:lineRule="auto"/>
              <w:contextualSpacing/>
              <w:rPr>
                <w:rFonts w:ascii="Arial" w:hAnsi="Arial" w:cs="Arial"/>
                <w:sz w:val="15"/>
                <w:szCs w:val="15"/>
              </w:rPr>
            </w:pPr>
          </w:p>
        </w:tc>
        <w:tc>
          <w:tcPr>
            <w:tcW w:w="992" w:type="dxa"/>
          </w:tcPr>
          <w:p w14:paraId="11187490" w14:textId="016B69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23C8363" w14:textId="37653E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16896D52" w14:textId="410828E0" w:rsidR="006E5533" w:rsidRPr="00251EA9" w:rsidRDefault="006E5533" w:rsidP="006E5533">
            <w:pPr>
              <w:rPr>
                <w:rFonts w:ascii="Arial" w:hAnsi="Arial" w:cs="Arial"/>
                <w:sz w:val="15"/>
                <w:szCs w:val="15"/>
              </w:rPr>
            </w:pPr>
            <w:r w:rsidRPr="00251EA9">
              <w:rPr>
                <w:rFonts w:ascii="Arial" w:hAnsi="Arial" w:cs="Arial"/>
                <w:sz w:val="15"/>
                <w:szCs w:val="15"/>
              </w:rPr>
              <w:t xml:space="preserve">SSI rate after a craniotomy was 5.8%. </w:t>
            </w:r>
          </w:p>
        </w:tc>
        <w:tc>
          <w:tcPr>
            <w:tcW w:w="1701" w:type="dxa"/>
          </w:tcPr>
          <w:p w14:paraId="31339C1C" w14:textId="4D7283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Yes </w:t>
            </w:r>
          </w:p>
        </w:tc>
      </w:tr>
      <w:tr w:rsidR="006E5533" w:rsidRPr="00251EA9" w14:paraId="6A7B08DD" w14:textId="77777777" w:rsidTr="00A77951">
        <w:trPr>
          <w:trHeight w:val="586"/>
        </w:trPr>
        <w:tc>
          <w:tcPr>
            <w:tcW w:w="992" w:type="dxa"/>
          </w:tcPr>
          <w:p w14:paraId="29BAC791" w14:textId="128BF3D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Osbun</w:t>
            </w:r>
            <w:proofErr w:type="spellEnd"/>
            <w:r w:rsidRPr="00251EA9">
              <w:rPr>
                <w:rFonts w:ascii="Arial" w:hAnsi="Arial" w:cs="Arial"/>
                <w:sz w:val="15"/>
                <w:szCs w:val="15"/>
              </w:rPr>
              <w:t xml:space="preserve"> J. et al., 2012</w:t>
            </w:r>
          </w:p>
        </w:tc>
        <w:tc>
          <w:tcPr>
            <w:tcW w:w="851" w:type="dxa"/>
          </w:tcPr>
          <w:p w14:paraId="5CDE2457" w14:textId="7D1BE29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10.1016/j.wneu.2011.12.011</w:t>
            </w:r>
          </w:p>
        </w:tc>
        <w:tc>
          <w:tcPr>
            <w:tcW w:w="851" w:type="dxa"/>
          </w:tcPr>
          <w:p w14:paraId="7D86C835" w14:textId="62A4F2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6BBA4D9" w14:textId="22AAB6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controlled trial</w:t>
            </w:r>
          </w:p>
        </w:tc>
        <w:tc>
          <w:tcPr>
            <w:tcW w:w="992" w:type="dxa"/>
          </w:tcPr>
          <w:p w14:paraId="57AFDB98" w14:textId="7D656C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08829FE" w14:textId="74288D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52BFAB98" w14:textId="74B32E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further evaluate the safety of a PEG hydrogel compared with common dural sealing techniques.</w:t>
            </w:r>
          </w:p>
        </w:tc>
        <w:tc>
          <w:tcPr>
            <w:tcW w:w="1134" w:type="dxa"/>
          </w:tcPr>
          <w:p w14:paraId="1E26DA83" w14:textId="191684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PEG hydrogel Vs Common dural sealing technique (Control).</w:t>
            </w:r>
          </w:p>
        </w:tc>
        <w:tc>
          <w:tcPr>
            <w:tcW w:w="992" w:type="dxa"/>
          </w:tcPr>
          <w:p w14:paraId="53998378" w14:textId="6F64A7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3556F0E" w14:textId="70CD83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3F924B78" w14:textId="235CB38D" w:rsidR="006E5533" w:rsidRPr="00251EA9" w:rsidRDefault="006E5533" w:rsidP="006E5533">
            <w:pPr>
              <w:rPr>
                <w:rFonts w:ascii="Arial" w:hAnsi="Arial" w:cs="Arial"/>
                <w:sz w:val="15"/>
                <w:szCs w:val="15"/>
              </w:rPr>
            </w:pPr>
            <w:r w:rsidRPr="00251EA9">
              <w:rPr>
                <w:rFonts w:ascii="Arial" w:hAnsi="Arial" w:cs="Arial"/>
                <w:sz w:val="15"/>
                <w:szCs w:val="15"/>
              </w:rPr>
              <w:t xml:space="preserve">The incidences of neurosurgical complications, SSIs, and CSF leaks were similar between treatment and control groups, with no statistically significant difference between the measures. In the PEG hydrogel group, 2 out of 120 patients developed SSI (1.7%). In the control group, 3 out of 117 patients developed SSI (3%). </w:t>
            </w:r>
          </w:p>
        </w:tc>
        <w:tc>
          <w:tcPr>
            <w:tcW w:w="1701" w:type="dxa"/>
          </w:tcPr>
          <w:p w14:paraId="6A661D32" w14:textId="3D99CB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C5F8ED7" w14:textId="77777777" w:rsidTr="00A77951">
        <w:trPr>
          <w:trHeight w:val="586"/>
        </w:trPr>
        <w:tc>
          <w:tcPr>
            <w:tcW w:w="992" w:type="dxa"/>
          </w:tcPr>
          <w:p w14:paraId="462EAE85" w14:textId="5146B65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Ozkan</w:t>
            </w:r>
            <w:proofErr w:type="spellEnd"/>
            <w:r w:rsidRPr="00251EA9">
              <w:rPr>
                <w:rFonts w:ascii="Arial" w:hAnsi="Arial" w:cs="Arial"/>
                <w:sz w:val="15"/>
                <w:szCs w:val="15"/>
              </w:rPr>
              <w:t xml:space="preserve"> U. et al., 2002</w:t>
            </w:r>
          </w:p>
        </w:tc>
        <w:tc>
          <w:tcPr>
            <w:tcW w:w="851" w:type="dxa"/>
          </w:tcPr>
          <w:p w14:paraId="149706AC" w14:textId="31D07B4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10.1007/s101430100173</w:t>
            </w:r>
          </w:p>
        </w:tc>
        <w:tc>
          <w:tcPr>
            <w:tcW w:w="851" w:type="dxa"/>
          </w:tcPr>
          <w:p w14:paraId="07E9F937" w14:textId="67375B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Turkey</w:t>
            </w:r>
          </w:p>
        </w:tc>
        <w:tc>
          <w:tcPr>
            <w:tcW w:w="1134" w:type="dxa"/>
          </w:tcPr>
          <w:p w14:paraId="360A5EBD" w14:textId="0FCC50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6E1557F" w14:textId="5D48B1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D99C500" w14:textId="325366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1F275F01" w14:textId="6080B5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treatment techniques of civilian craniocerebral gunshot</w:t>
            </w:r>
            <w:r w:rsidRPr="00251EA9">
              <w:rPr>
                <w:rFonts w:ascii="Arial" w:hAnsi="Arial" w:cs="Arial"/>
                <w:sz w:val="15"/>
                <w:szCs w:val="15"/>
              </w:rPr>
              <w:br/>
              <w:t>wounds.</w:t>
            </w:r>
          </w:p>
        </w:tc>
        <w:tc>
          <w:tcPr>
            <w:tcW w:w="1134" w:type="dxa"/>
          </w:tcPr>
          <w:p w14:paraId="44746036" w14:textId="44BEF8AA" w:rsidR="006E5533" w:rsidRPr="00251EA9" w:rsidRDefault="006E5533" w:rsidP="006E5533">
            <w:pPr>
              <w:spacing w:line="360" w:lineRule="auto"/>
              <w:contextualSpacing/>
              <w:rPr>
                <w:rFonts w:ascii="Arial" w:hAnsi="Arial" w:cs="Arial"/>
                <w:sz w:val="15"/>
                <w:szCs w:val="15"/>
              </w:rPr>
            </w:pPr>
          </w:p>
        </w:tc>
        <w:tc>
          <w:tcPr>
            <w:tcW w:w="992" w:type="dxa"/>
          </w:tcPr>
          <w:p w14:paraId="3F9BCFF5" w14:textId="26F1E3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785C9C3" w14:textId="4D82B5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29A1CED" w14:textId="2798F395" w:rsidR="006E5533" w:rsidRPr="00251EA9" w:rsidRDefault="006E5533" w:rsidP="006E5533">
            <w:pPr>
              <w:rPr>
                <w:rFonts w:ascii="Arial" w:hAnsi="Arial" w:cs="Arial"/>
                <w:sz w:val="15"/>
                <w:szCs w:val="15"/>
              </w:rPr>
            </w:pPr>
            <w:r w:rsidRPr="00251EA9">
              <w:rPr>
                <w:rFonts w:ascii="Arial" w:hAnsi="Arial" w:cs="Arial"/>
                <w:sz w:val="15"/>
                <w:szCs w:val="15"/>
              </w:rPr>
              <w:t xml:space="preserve">3 cases of intracranial infection reported. </w:t>
            </w:r>
          </w:p>
        </w:tc>
        <w:tc>
          <w:tcPr>
            <w:tcW w:w="1701" w:type="dxa"/>
          </w:tcPr>
          <w:p w14:paraId="2D5476D5" w14:textId="7A28D9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6EFD8CF" w14:textId="77777777" w:rsidTr="00A77951">
        <w:trPr>
          <w:trHeight w:val="586"/>
        </w:trPr>
        <w:tc>
          <w:tcPr>
            <w:tcW w:w="992" w:type="dxa"/>
          </w:tcPr>
          <w:p w14:paraId="22EB144A" w14:textId="1A1A44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Paredes I. et al., 2020</w:t>
            </w:r>
          </w:p>
        </w:tc>
        <w:tc>
          <w:tcPr>
            <w:tcW w:w="851" w:type="dxa"/>
          </w:tcPr>
          <w:p w14:paraId="535F8BD0" w14:textId="261694C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10.1007/s00701-020-04508-1</w:t>
            </w:r>
          </w:p>
        </w:tc>
        <w:tc>
          <w:tcPr>
            <w:tcW w:w="851" w:type="dxa"/>
          </w:tcPr>
          <w:p w14:paraId="2F761BFF" w14:textId="62772A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611CD98E" w14:textId="4889BE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AD30736" w14:textId="69AC3B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CC8684C" w14:textId="7B81CE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2F5628F7" w14:textId="2DE880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measure the effect of tailored antibiotic prophylaxis on SSIs resulting from cranioplasties.</w:t>
            </w:r>
          </w:p>
        </w:tc>
        <w:tc>
          <w:tcPr>
            <w:tcW w:w="1134" w:type="dxa"/>
          </w:tcPr>
          <w:p w14:paraId="176E613A" w14:textId="4B8DE6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Old vs new protocol for antibiotic prophylaxis.</w:t>
            </w:r>
          </w:p>
        </w:tc>
        <w:tc>
          <w:tcPr>
            <w:tcW w:w="992" w:type="dxa"/>
          </w:tcPr>
          <w:p w14:paraId="0094AB37" w14:textId="0E57D3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27918D9" w14:textId="0AE53B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5ABB1BB1" w14:textId="4B8F7CB8" w:rsidR="006E5533" w:rsidRPr="00251EA9" w:rsidRDefault="006E5533" w:rsidP="006E5533">
            <w:pPr>
              <w:rPr>
                <w:rFonts w:ascii="Arial" w:hAnsi="Arial" w:cs="Arial"/>
                <w:sz w:val="15"/>
                <w:szCs w:val="15"/>
              </w:rPr>
            </w:pPr>
            <w:r w:rsidRPr="00251EA9">
              <w:rPr>
                <w:rFonts w:ascii="Arial" w:hAnsi="Arial" w:cs="Arial"/>
                <w:sz w:val="15"/>
                <w:szCs w:val="15"/>
              </w:rPr>
              <w:t>Of the 109 cranioplasties, 16 (14.7%) suffered an infection, 14 (21.9%) in the old protocol group and 2 (4.4%) in the new protocol group. Multiple surgeries and previous infection were risk factors for SSI. Of the bacteria identified in the skin of the scalp, 22.2% were resistant to routine</w:t>
            </w:r>
            <w:r w:rsidRPr="00251EA9">
              <w:rPr>
                <w:rFonts w:ascii="Arial" w:hAnsi="Arial" w:cs="Arial"/>
                <w:sz w:val="15"/>
                <w:szCs w:val="15"/>
              </w:rPr>
              <w:br/>
              <w:t xml:space="preserve">prophylaxis (cefazoline). </w:t>
            </w:r>
          </w:p>
        </w:tc>
        <w:tc>
          <w:tcPr>
            <w:tcW w:w="1701" w:type="dxa"/>
          </w:tcPr>
          <w:p w14:paraId="572238F4" w14:textId="421500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F3C7F44" w14:textId="77777777" w:rsidTr="00A77951">
        <w:trPr>
          <w:trHeight w:val="586"/>
        </w:trPr>
        <w:tc>
          <w:tcPr>
            <w:tcW w:w="992" w:type="dxa"/>
          </w:tcPr>
          <w:p w14:paraId="5D913DBF" w14:textId="744A52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Park Y. et al., 2011</w:t>
            </w:r>
          </w:p>
        </w:tc>
        <w:tc>
          <w:tcPr>
            <w:tcW w:w="851" w:type="dxa"/>
          </w:tcPr>
          <w:p w14:paraId="3878352D" w14:textId="4B56A0C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10.1159/000324903</w:t>
            </w:r>
          </w:p>
        </w:tc>
        <w:tc>
          <w:tcPr>
            <w:tcW w:w="851" w:type="dxa"/>
          </w:tcPr>
          <w:p w14:paraId="27FAB2A3" w14:textId="1A0945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Korea</w:t>
            </w:r>
          </w:p>
        </w:tc>
        <w:tc>
          <w:tcPr>
            <w:tcW w:w="1134" w:type="dxa"/>
          </w:tcPr>
          <w:p w14:paraId="57A3E06B" w14:textId="2C5C3D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44E55478" w14:textId="3296DB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CE65324" w14:textId="7868D9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1B1053DD" w14:textId="18D4F8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introduce a combination procedure with double C-shaped skin incision and an adjusted dual-floor burr hole to prevent skin complications on the scalp with deep brain stimulation (DBS) surgery.</w:t>
            </w:r>
          </w:p>
        </w:tc>
        <w:tc>
          <w:tcPr>
            <w:tcW w:w="1134" w:type="dxa"/>
          </w:tcPr>
          <w:p w14:paraId="5C6DF936" w14:textId="3D506782" w:rsidR="006E5533" w:rsidRPr="00251EA9" w:rsidRDefault="006E5533" w:rsidP="006E5533">
            <w:pPr>
              <w:spacing w:line="360" w:lineRule="auto"/>
              <w:contextualSpacing/>
              <w:rPr>
                <w:rFonts w:ascii="Arial" w:hAnsi="Arial" w:cs="Arial"/>
                <w:sz w:val="15"/>
                <w:szCs w:val="15"/>
              </w:rPr>
            </w:pPr>
          </w:p>
        </w:tc>
        <w:tc>
          <w:tcPr>
            <w:tcW w:w="992" w:type="dxa"/>
          </w:tcPr>
          <w:p w14:paraId="01FE61BD" w14:textId="18B27F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6F85053" w14:textId="7E736F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F2E50A1" w14:textId="37CBD2F5" w:rsidR="006E5533" w:rsidRPr="00251EA9" w:rsidRDefault="006E5533" w:rsidP="006E5533">
            <w:pPr>
              <w:rPr>
                <w:rFonts w:ascii="Arial" w:hAnsi="Arial" w:cs="Arial"/>
                <w:sz w:val="15"/>
                <w:szCs w:val="15"/>
              </w:rPr>
            </w:pPr>
            <w:r w:rsidRPr="00251EA9">
              <w:rPr>
                <w:rFonts w:ascii="Arial" w:hAnsi="Arial" w:cs="Arial"/>
                <w:sz w:val="15"/>
                <w:szCs w:val="15"/>
              </w:rPr>
              <w:t>Reported eight scalp erosions associated with infection (3.0%) among 268 patients.</w:t>
            </w:r>
          </w:p>
        </w:tc>
        <w:tc>
          <w:tcPr>
            <w:tcW w:w="1701" w:type="dxa"/>
          </w:tcPr>
          <w:p w14:paraId="3ED7FE1D" w14:textId="4D4A51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2C700A4" w14:textId="77777777" w:rsidTr="00A77951">
        <w:trPr>
          <w:trHeight w:val="586"/>
        </w:trPr>
        <w:tc>
          <w:tcPr>
            <w:tcW w:w="992" w:type="dxa"/>
          </w:tcPr>
          <w:p w14:paraId="336BDD58" w14:textId="729F03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Patel A.J. et al., 2014</w:t>
            </w:r>
          </w:p>
        </w:tc>
        <w:tc>
          <w:tcPr>
            <w:tcW w:w="851" w:type="dxa"/>
          </w:tcPr>
          <w:p w14:paraId="766524B9" w14:textId="5562261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10.3171/2014.</w:t>
            </w:r>
            <w:proofErr w:type="gramStart"/>
            <w:r w:rsidRPr="00A77951">
              <w:rPr>
                <w:rFonts w:ascii="Arial" w:hAnsi="Arial" w:cs="Arial"/>
                <w:sz w:val="15"/>
                <w:szCs w:val="15"/>
              </w:rPr>
              <w:t>1.PEDS</w:t>
            </w:r>
            <w:proofErr w:type="gramEnd"/>
            <w:r w:rsidRPr="00A77951">
              <w:rPr>
                <w:rFonts w:ascii="Arial" w:hAnsi="Arial" w:cs="Arial"/>
                <w:sz w:val="15"/>
                <w:szCs w:val="15"/>
              </w:rPr>
              <w:t>13372</w:t>
            </w:r>
          </w:p>
        </w:tc>
        <w:tc>
          <w:tcPr>
            <w:tcW w:w="851" w:type="dxa"/>
          </w:tcPr>
          <w:p w14:paraId="4C174AA4" w14:textId="5FC0F9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4974EF8" w14:textId="3B6C15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BBD4E52" w14:textId="12C967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18726B8B" w14:textId="365D63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78947F78" w14:textId="1D646F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impact of comorbidities on perioperative complications in paediatric neurosurgery.</w:t>
            </w:r>
          </w:p>
        </w:tc>
        <w:tc>
          <w:tcPr>
            <w:tcW w:w="1134" w:type="dxa"/>
          </w:tcPr>
          <w:p w14:paraId="73EB25D6" w14:textId="109477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 intervention</w:t>
            </w:r>
          </w:p>
        </w:tc>
        <w:tc>
          <w:tcPr>
            <w:tcW w:w="992" w:type="dxa"/>
          </w:tcPr>
          <w:p w14:paraId="1F177DB4" w14:textId="2E9C32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33E18B6" w14:textId="2057A6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046F267" w14:textId="348483C9" w:rsidR="006E5533" w:rsidRPr="00251EA9" w:rsidRDefault="006E5533" w:rsidP="006E5533">
            <w:pPr>
              <w:rPr>
                <w:rFonts w:ascii="Arial" w:hAnsi="Arial" w:cs="Arial"/>
                <w:sz w:val="15"/>
                <w:szCs w:val="15"/>
              </w:rPr>
            </w:pPr>
            <w:r w:rsidRPr="00251EA9">
              <w:rPr>
                <w:rFonts w:ascii="Arial" w:hAnsi="Arial" w:cs="Arial"/>
                <w:sz w:val="15"/>
                <w:szCs w:val="15"/>
              </w:rPr>
              <w:t>113 cases of infection</w:t>
            </w:r>
          </w:p>
        </w:tc>
        <w:tc>
          <w:tcPr>
            <w:tcW w:w="1701" w:type="dxa"/>
          </w:tcPr>
          <w:p w14:paraId="1CCE5607" w14:textId="28251F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AD8C4E1" w14:textId="77777777" w:rsidTr="00A77951">
        <w:trPr>
          <w:trHeight w:val="586"/>
        </w:trPr>
        <w:tc>
          <w:tcPr>
            <w:tcW w:w="992" w:type="dxa"/>
          </w:tcPr>
          <w:p w14:paraId="2397E597" w14:textId="068EE3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Patel K.S. et al., 2014</w:t>
            </w:r>
          </w:p>
        </w:tc>
        <w:tc>
          <w:tcPr>
            <w:tcW w:w="851" w:type="dxa"/>
          </w:tcPr>
          <w:p w14:paraId="01A5C388" w14:textId="315C249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10.1016/j.clineuro.2013.12.015</w:t>
            </w:r>
          </w:p>
        </w:tc>
        <w:tc>
          <w:tcPr>
            <w:tcW w:w="851" w:type="dxa"/>
          </w:tcPr>
          <w:p w14:paraId="154F9AFD" w14:textId="2FFDF7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9F99A2D" w14:textId="0F37BC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679C8803" w14:textId="4FF708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B1AC8DB" w14:textId="39B306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D987DBB" w14:textId="298569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efficacy of betadine irrigation in preventing postoperative wound infection in cranial neurosurgical procedures.</w:t>
            </w:r>
          </w:p>
        </w:tc>
        <w:tc>
          <w:tcPr>
            <w:tcW w:w="1134" w:type="dxa"/>
          </w:tcPr>
          <w:p w14:paraId="6E1C58A8" w14:textId="7E1E93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antibiotic vs betadine + antibiotic irrigation</w:t>
            </w:r>
          </w:p>
        </w:tc>
        <w:tc>
          <w:tcPr>
            <w:tcW w:w="992" w:type="dxa"/>
          </w:tcPr>
          <w:p w14:paraId="50820A2F" w14:textId="4F4DA8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7CD8F4F" w14:textId="1235C8B4" w:rsidR="006E5533" w:rsidRPr="00251EA9" w:rsidRDefault="00203F95" w:rsidP="006E5533">
            <w:pPr>
              <w:spacing w:line="360" w:lineRule="auto"/>
              <w:contextualSpacing/>
              <w:rPr>
                <w:rFonts w:ascii="Arial" w:hAnsi="Arial" w:cs="Arial"/>
                <w:sz w:val="15"/>
                <w:szCs w:val="15"/>
              </w:rPr>
            </w:pPr>
            <w:r>
              <w:rPr>
                <w:rFonts w:ascii="Arial" w:hAnsi="Arial" w:cs="Arial"/>
                <w:sz w:val="15"/>
                <w:szCs w:val="15"/>
              </w:rPr>
              <w:t>A</w:t>
            </w:r>
            <w:r w:rsidRPr="00203F95">
              <w:rPr>
                <w:rFonts w:ascii="Arial" w:hAnsi="Arial" w:cs="Arial"/>
                <w:sz w:val="15"/>
                <w:szCs w:val="15"/>
              </w:rPr>
              <w:t>ny culture proven infection occurring within 30 or 90 days of surgery that required reoperation</w:t>
            </w:r>
            <w:r w:rsidR="00EB5330">
              <w:rPr>
                <w:rFonts w:ascii="Arial" w:hAnsi="Arial" w:cs="Arial"/>
                <w:sz w:val="15"/>
                <w:szCs w:val="15"/>
              </w:rPr>
              <w:t>.</w:t>
            </w:r>
          </w:p>
        </w:tc>
        <w:tc>
          <w:tcPr>
            <w:tcW w:w="2693" w:type="dxa"/>
          </w:tcPr>
          <w:p w14:paraId="13FF8233" w14:textId="072DB4E5" w:rsidR="006E5533" w:rsidRPr="00251EA9" w:rsidRDefault="006E5533" w:rsidP="006E5533">
            <w:pPr>
              <w:rPr>
                <w:rFonts w:ascii="Arial" w:hAnsi="Arial" w:cs="Arial"/>
                <w:sz w:val="15"/>
                <w:szCs w:val="15"/>
              </w:rPr>
            </w:pPr>
            <w:r w:rsidRPr="00251EA9">
              <w:rPr>
                <w:rFonts w:ascii="Arial" w:hAnsi="Arial" w:cs="Arial"/>
                <w:sz w:val="15"/>
                <w:szCs w:val="15"/>
              </w:rPr>
              <w:t>2.56 vs 3.83 infection rate with and without betadine within 90 days</w:t>
            </w:r>
          </w:p>
        </w:tc>
        <w:tc>
          <w:tcPr>
            <w:tcW w:w="1701" w:type="dxa"/>
          </w:tcPr>
          <w:p w14:paraId="4C32905B" w14:textId="20DE8D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058309C" w14:textId="77777777" w:rsidTr="00A77951">
        <w:trPr>
          <w:trHeight w:val="586"/>
        </w:trPr>
        <w:tc>
          <w:tcPr>
            <w:tcW w:w="992" w:type="dxa"/>
          </w:tcPr>
          <w:p w14:paraId="52AE5284" w14:textId="6E24647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Pattavilakom</w:t>
            </w:r>
            <w:proofErr w:type="spellEnd"/>
            <w:r w:rsidRPr="00251EA9">
              <w:rPr>
                <w:rFonts w:ascii="Arial" w:hAnsi="Arial" w:cs="Arial"/>
                <w:sz w:val="15"/>
                <w:szCs w:val="15"/>
              </w:rPr>
              <w:t xml:space="preserve"> A. et al., 2007</w:t>
            </w:r>
          </w:p>
        </w:tc>
        <w:tc>
          <w:tcPr>
            <w:tcW w:w="851" w:type="dxa"/>
          </w:tcPr>
          <w:p w14:paraId="0A72D5D1" w14:textId="36F54FD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10.1016/j.jocn.2006.11.003</w:t>
            </w:r>
          </w:p>
        </w:tc>
        <w:tc>
          <w:tcPr>
            <w:tcW w:w="851" w:type="dxa"/>
          </w:tcPr>
          <w:p w14:paraId="04A06A99" w14:textId="3A829F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Australia</w:t>
            </w:r>
          </w:p>
        </w:tc>
        <w:tc>
          <w:tcPr>
            <w:tcW w:w="1134" w:type="dxa"/>
          </w:tcPr>
          <w:p w14:paraId="19261E7D" w14:textId="72BD2F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666C7002" w14:textId="4FEC82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911EB52" w14:textId="351A60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6F7D8686" w14:textId="03A661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report the impact of AIC (antibiotic impregnated CSF shunt catheters) on shunt infection.</w:t>
            </w:r>
          </w:p>
        </w:tc>
        <w:tc>
          <w:tcPr>
            <w:tcW w:w="1134" w:type="dxa"/>
          </w:tcPr>
          <w:p w14:paraId="3D9EA570" w14:textId="20FA27C2" w:rsidR="006E5533" w:rsidRPr="00251EA9" w:rsidRDefault="006E5533" w:rsidP="006E5533">
            <w:pPr>
              <w:spacing w:line="360" w:lineRule="auto"/>
              <w:contextualSpacing/>
              <w:rPr>
                <w:rFonts w:ascii="Arial" w:hAnsi="Arial" w:cs="Arial"/>
                <w:sz w:val="15"/>
                <w:szCs w:val="15"/>
              </w:rPr>
            </w:pPr>
          </w:p>
        </w:tc>
        <w:tc>
          <w:tcPr>
            <w:tcW w:w="992" w:type="dxa"/>
          </w:tcPr>
          <w:p w14:paraId="0A3D7CC0" w14:textId="5DBA99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3E79B07" w14:textId="0701BD37" w:rsidR="006E5533" w:rsidRPr="00251EA9" w:rsidRDefault="00BF2E71"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7334E1C" w14:textId="4A53AFEA" w:rsidR="006E5533" w:rsidRPr="00251EA9" w:rsidRDefault="006E5533" w:rsidP="006E5533">
            <w:pPr>
              <w:rPr>
                <w:rFonts w:ascii="Arial" w:hAnsi="Arial" w:cs="Arial"/>
                <w:sz w:val="15"/>
                <w:szCs w:val="15"/>
              </w:rPr>
            </w:pPr>
            <w:r w:rsidRPr="00251EA9">
              <w:rPr>
                <w:rFonts w:ascii="Arial" w:hAnsi="Arial" w:cs="Arial"/>
                <w:sz w:val="15"/>
                <w:szCs w:val="15"/>
              </w:rPr>
              <w:t>There were three shunt infections (1.2%). Rigorous retrospective evaluation of shunt procedures over the preceding 7 years revealed 36 infections in 551 shunt procedures (6.5%). This reduction in the infection rate was statistically significant. We also report that</w:t>
            </w:r>
            <w:r w:rsidRPr="00251EA9">
              <w:rPr>
                <w:rFonts w:ascii="Arial" w:hAnsi="Arial" w:cs="Arial"/>
                <w:sz w:val="15"/>
                <w:szCs w:val="15"/>
              </w:rPr>
              <w:br/>
              <w:t>the introduction of ceftriaxone prophylaxis during this period was associated with a reduction in Gram-negative shunt infection, but no</w:t>
            </w:r>
            <w:r w:rsidRPr="00251EA9">
              <w:rPr>
                <w:rFonts w:ascii="Arial" w:hAnsi="Arial" w:cs="Arial"/>
                <w:sz w:val="15"/>
                <w:szCs w:val="15"/>
              </w:rPr>
              <w:br/>
              <w:t xml:space="preserve">effect on overall infection rate. </w:t>
            </w:r>
          </w:p>
        </w:tc>
        <w:tc>
          <w:tcPr>
            <w:tcW w:w="1701" w:type="dxa"/>
          </w:tcPr>
          <w:p w14:paraId="264857AC" w14:textId="508019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CFE2CA7" w14:textId="77777777" w:rsidTr="00A77951">
        <w:trPr>
          <w:trHeight w:val="586"/>
        </w:trPr>
        <w:tc>
          <w:tcPr>
            <w:tcW w:w="992" w:type="dxa"/>
          </w:tcPr>
          <w:p w14:paraId="0710F70E" w14:textId="1CDFCDB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Pavlicevic</w:t>
            </w:r>
            <w:proofErr w:type="spellEnd"/>
            <w:r w:rsidRPr="00251EA9">
              <w:rPr>
                <w:rFonts w:ascii="Arial" w:hAnsi="Arial" w:cs="Arial"/>
                <w:sz w:val="15"/>
                <w:szCs w:val="15"/>
              </w:rPr>
              <w:t xml:space="preserve"> G. et al., 2017</w:t>
            </w:r>
          </w:p>
        </w:tc>
        <w:tc>
          <w:tcPr>
            <w:tcW w:w="851" w:type="dxa"/>
          </w:tcPr>
          <w:p w14:paraId="6C72AA5C" w14:textId="7C0586E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10.1016/j.jcms.2016.11.019</w:t>
            </w:r>
          </w:p>
        </w:tc>
        <w:tc>
          <w:tcPr>
            <w:tcW w:w="851" w:type="dxa"/>
          </w:tcPr>
          <w:p w14:paraId="30E28FE1" w14:textId="0737B4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Serbia</w:t>
            </w:r>
          </w:p>
        </w:tc>
        <w:tc>
          <w:tcPr>
            <w:tcW w:w="1134" w:type="dxa"/>
          </w:tcPr>
          <w:p w14:paraId="7EB682A0" w14:textId="31AE23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ABE36CD" w14:textId="5B0774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E4927EC" w14:textId="33C586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478D4D38" w14:textId="25541E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effect of various factors on results of cranial defect reconstruction after combat injuries.</w:t>
            </w:r>
          </w:p>
        </w:tc>
        <w:tc>
          <w:tcPr>
            <w:tcW w:w="1134" w:type="dxa"/>
          </w:tcPr>
          <w:p w14:paraId="12D837EF" w14:textId="2ACB5F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autologous flap vs allograft</w:t>
            </w:r>
          </w:p>
        </w:tc>
        <w:tc>
          <w:tcPr>
            <w:tcW w:w="992" w:type="dxa"/>
          </w:tcPr>
          <w:p w14:paraId="0BE69675" w14:textId="387462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826B6AF" w14:textId="58AE5474" w:rsidR="006E5533" w:rsidRPr="00251EA9" w:rsidRDefault="00BF2E71"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03B298B" w14:textId="2AA65C92" w:rsidR="006E5533" w:rsidRPr="00251EA9" w:rsidRDefault="006E5533" w:rsidP="006E5533">
            <w:pPr>
              <w:rPr>
                <w:rFonts w:ascii="Arial" w:hAnsi="Arial" w:cs="Arial"/>
                <w:sz w:val="15"/>
                <w:szCs w:val="15"/>
              </w:rPr>
            </w:pPr>
            <w:r w:rsidRPr="00251EA9">
              <w:rPr>
                <w:rFonts w:ascii="Arial" w:hAnsi="Arial" w:cs="Arial"/>
                <w:sz w:val="15"/>
                <w:szCs w:val="15"/>
              </w:rPr>
              <w:t>postoperative infection was most common, with 15 such cases. More common with allografts.</w:t>
            </w:r>
          </w:p>
        </w:tc>
        <w:tc>
          <w:tcPr>
            <w:tcW w:w="1701" w:type="dxa"/>
          </w:tcPr>
          <w:p w14:paraId="28B5AEC3" w14:textId="0D717F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9ABE622" w14:textId="77777777" w:rsidTr="00A77951">
        <w:trPr>
          <w:trHeight w:val="586"/>
        </w:trPr>
        <w:tc>
          <w:tcPr>
            <w:tcW w:w="992" w:type="dxa"/>
          </w:tcPr>
          <w:p w14:paraId="725BC761" w14:textId="5350CC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Pereira J. et al., 2012</w:t>
            </w:r>
          </w:p>
        </w:tc>
        <w:tc>
          <w:tcPr>
            <w:tcW w:w="851" w:type="dxa"/>
          </w:tcPr>
          <w:p w14:paraId="0E486D04" w14:textId="7B165AC2"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10.4103/2152-7806.99941</w:t>
            </w:r>
          </w:p>
        </w:tc>
        <w:tc>
          <w:tcPr>
            <w:tcW w:w="851" w:type="dxa"/>
          </w:tcPr>
          <w:p w14:paraId="45FCD471" w14:textId="4F2106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Brazil</w:t>
            </w:r>
          </w:p>
        </w:tc>
        <w:tc>
          <w:tcPr>
            <w:tcW w:w="1134" w:type="dxa"/>
          </w:tcPr>
          <w:p w14:paraId="0F6EDBBB" w14:textId="080BA4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2AF03EE5" w14:textId="761A0C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A9A63D" w14:textId="2A22B4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505B6433" w14:textId="7C0663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safety and efficacy of performing craniotomy with minimal hair removal and closure with intradermal suture alone compared with </w:t>
            </w:r>
            <w:r w:rsidRPr="00251EA9">
              <w:rPr>
                <w:rFonts w:ascii="Arial" w:hAnsi="Arial" w:cs="Arial"/>
                <w:sz w:val="15"/>
                <w:szCs w:val="15"/>
              </w:rPr>
              <w:lastRenderedPageBreak/>
              <w:t xml:space="preserve">continuous skin sutures with 2-0 nylon. </w:t>
            </w:r>
          </w:p>
        </w:tc>
        <w:tc>
          <w:tcPr>
            <w:tcW w:w="1134" w:type="dxa"/>
          </w:tcPr>
          <w:p w14:paraId="5D1FE3E6" w14:textId="1C2E79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Closure with intradermal suture alone Vs continuous sutures with nylon.</w:t>
            </w:r>
          </w:p>
        </w:tc>
        <w:tc>
          <w:tcPr>
            <w:tcW w:w="992" w:type="dxa"/>
          </w:tcPr>
          <w:p w14:paraId="2B76D38F" w14:textId="6BB2D2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89EE919" w14:textId="471A9F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36116E2" w14:textId="2E336B5A" w:rsidR="006E5533" w:rsidRPr="00251EA9" w:rsidRDefault="006E5533" w:rsidP="006E5533">
            <w:pPr>
              <w:rPr>
                <w:rFonts w:ascii="Arial" w:hAnsi="Arial" w:cs="Arial"/>
                <w:sz w:val="15"/>
                <w:szCs w:val="15"/>
              </w:rPr>
            </w:pPr>
            <w:r w:rsidRPr="00251EA9">
              <w:rPr>
                <w:rFonts w:ascii="Arial" w:hAnsi="Arial" w:cs="Arial"/>
                <w:sz w:val="15"/>
                <w:szCs w:val="15"/>
              </w:rPr>
              <w:t>The case group was composed of 49 patients in whom just intradermal</w:t>
            </w:r>
            <w:r w:rsidRPr="00251EA9">
              <w:rPr>
                <w:rFonts w:ascii="Arial" w:hAnsi="Arial" w:cs="Arial"/>
                <w:sz w:val="15"/>
                <w:szCs w:val="15"/>
              </w:rPr>
              <w:br/>
              <w:t>suture was performed. One (2.2%) patient developed wound infection. The control group was composed of 68 patients in whom the skin was closed with 2-0 nylon continuous suture. Three (5.3%) patients developed wound infection. There was no statistically significant difference in the number of wound infections between the two groups.</w:t>
            </w:r>
          </w:p>
        </w:tc>
        <w:tc>
          <w:tcPr>
            <w:tcW w:w="1701" w:type="dxa"/>
          </w:tcPr>
          <w:p w14:paraId="4EB7BBC9" w14:textId="6C8449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0751947" w14:textId="77777777" w:rsidTr="00A77951">
        <w:trPr>
          <w:trHeight w:val="586"/>
        </w:trPr>
        <w:tc>
          <w:tcPr>
            <w:tcW w:w="992" w:type="dxa"/>
          </w:tcPr>
          <w:p w14:paraId="47C8E542" w14:textId="0EF8F8F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Pfnur</w:t>
            </w:r>
            <w:proofErr w:type="spellEnd"/>
            <w:r w:rsidRPr="00251EA9">
              <w:rPr>
                <w:rFonts w:ascii="Arial" w:hAnsi="Arial" w:cs="Arial"/>
                <w:sz w:val="15"/>
                <w:szCs w:val="15"/>
              </w:rPr>
              <w:t xml:space="preserve"> A. et al., 2024</w:t>
            </w:r>
          </w:p>
        </w:tc>
        <w:tc>
          <w:tcPr>
            <w:tcW w:w="851" w:type="dxa"/>
          </w:tcPr>
          <w:p w14:paraId="6DAEAA15" w14:textId="23A4BFE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10.1007/s10143-024-02309-z</w:t>
            </w:r>
          </w:p>
        </w:tc>
        <w:tc>
          <w:tcPr>
            <w:tcW w:w="851" w:type="dxa"/>
          </w:tcPr>
          <w:p w14:paraId="010FFC75" w14:textId="765DA7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5D54C20F" w14:textId="30A18C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7A5A413" w14:textId="1B4EBB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8943E0D" w14:textId="5EE508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A1D47B2" w14:textId="16BF87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different implant materials for cranioplasty in terms of postoperative complication rates.</w:t>
            </w:r>
          </w:p>
        </w:tc>
        <w:tc>
          <w:tcPr>
            <w:tcW w:w="1134" w:type="dxa"/>
          </w:tcPr>
          <w:p w14:paraId="505462BC" w14:textId="0B2F6236" w:rsidR="006E5533" w:rsidRPr="00251EA9" w:rsidRDefault="006E5533" w:rsidP="006E5533">
            <w:pPr>
              <w:spacing w:line="360" w:lineRule="auto"/>
              <w:contextualSpacing/>
              <w:rPr>
                <w:rFonts w:ascii="Arial" w:hAnsi="Arial" w:cs="Arial"/>
                <w:sz w:val="15"/>
                <w:szCs w:val="15"/>
              </w:rPr>
            </w:pPr>
          </w:p>
        </w:tc>
        <w:tc>
          <w:tcPr>
            <w:tcW w:w="992" w:type="dxa"/>
          </w:tcPr>
          <w:p w14:paraId="505CB5DD" w14:textId="65FFB4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297B535"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Wound dehiscence</w:t>
            </w:r>
          </w:p>
          <w:p w14:paraId="510F8CF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Abscess</w:t>
            </w:r>
          </w:p>
          <w:p w14:paraId="0FB9CAE3" w14:textId="5CA0C4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3. Epidural empyema</w:t>
            </w:r>
          </w:p>
        </w:tc>
        <w:tc>
          <w:tcPr>
            <w:tcW w:w="2693" w:type="dxa"/>
          </w:tcPr>
          <w:p w14:paraId="65A913A5" w14:textId="50497A80" w:rsidR="006E5533" w:rsidRPr="00251EA9" w:rsidRDefault="006E5533" w:rsidP="006E5533">
            <w:pPr>
              <w:rPr>
                <w:rFonts w:ascii="Arial" w:hAnsi="Arial" w:cs="Arial"/>
                <w:sz w:val="15"/>
                <w:szCs w:val="15"/>
              </w:rPr>
            </w:pPr>
            <w:r w:rsidRPr="00251EA9">
              <w:rPr>
                <w:rFonts w:ascii="Arial" w:hAnsi="Arial" w:cs="Arial"/>
                <w:sz w:val="15"/>
                <w:szCs w:val="15"/>
              </w:rPr>
              <w:t>SSI was the most frequent complication with 19/139 affected patients (13.7%). Reported a statistically significant association between PEEK material and SSI.</w:t>
            </w:r>
          </w:p>
        </w:tc>
        <w:tc>
          <w:tcPr>
            <w:tcW w:w="1701" w:type="dxa"/>
          </w:tcPr>
          <w:p w14:paraId="22638F17" w14:textId="08BD6A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6DA169F" w14:textId="77777777" w:rsidTr="00A77951">
        <w:trPr>
          <w:trHeight w:val="586"/>
        </w:trPr>
        <w:tc>
          <w:tcPr>
            <w:tcW w:w="992" w:type="dxa"/>
          </w:tcPr>
          <w:p w14:paraId="325EEAC2" w14:textId="721841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Phang I. et al., 2019</w:t>
            </w:r>
          </w:p>
        </w:tc>
        <w:tc>
          <w:tcPr>
            <w:tcW w:w="851" w:type="dxa"/>
          </w:tcPr>
          <w:p w14:paraId="3C789033" w14:textId="0262213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10.1016/j.wneu.2019.06.091</w:t>
            </w:r>
          </w:p>
        </w:tc>
        <w:tc>
          <w:tcPr>
            <w:tcW w:w="851" w:type="dxa"/>
          </w:tcPr>
          <w:p w14:paraId="7E60EC97" w14:textId="352E2E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67614E12" w14:textId="1B3992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AFCF410" w14:textId="38712A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52BD663" w14:textId="242D5A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DCC863B" w14:textId="10C04D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review authors’ experience in the treatment of brain metastases with minimally invasive approaches.</w:t>
            </w:r>
          </w:p>
        </w:tc>
        <w:tc>
          <w:tcPr>
            <w:tcW w:w="1134" w:type="dxa"/>
          </w:tcPr>
          <w:p w14:paraId="1A465F6D" w14:textId="77777777" w:rsidR="006E5533" w:rsidRPr="00251EA9" w:rsidRDefault="006E5533" w:rsidP="006E5533">
            <w:pPr>
              <w:spacing w:line="360" w:lineRule="auto"/>
              <w:contextualSpacing/>
              <w:rPr>
                <w:rFonts w:ascii="Arial" w:hAnsi="Arial" w:cs="Arial"/>
                <w:i/>
                <w:iCs/>
                <w:sz w:val="15"/>
                <w:szCs w:val="15"/>
              </w:rPr>
            </w:pPr>
          </w:p>
        </w:tc>
        <w:tc>
          <w:tcPr>
            <w:tcW w:w="992" w:type="dxa"/>
          </w:tcPr>
          <w:p w14:paraId="18C791D8" w14:textId="307522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B32DC9E" w14:textId="65B41B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9466860" w14:textId="238E3CF9" w:rsidR="006E5533" w:rsidRPr="00251EA9" w:rsidRDefault="006E5533" w:rsidP="006E5533">
            <w:pPr>
              <w:rPr>
                <w:rFonts w:ascii="Arial" w:hAnsi="Arial" w:cs="Arial"/>
                <w:sz w:val="15"/>
                <w:szCs w:val="15"/>
              </w:rPr>
            </w:pPr>
            <w:r w:rsidRPr="00251EA9">
              <w:rPr>
                <w:rFonts w:ascii="Arial" w:hAnsi="Arial" w:cs="Arial"/>
                <w:sz w:val="15"/>
                <w:szCs w:val="15"/>
              </w:rPr>
              <w:t xml:space="preserve">There were 2 patients who suffered complications. One patient among 35 (2.9%) patients suffered </w:t>
            </w:r>
            <w:proofErr w:type="gramStart"/>
            <w:r w:rsidRPr="00251EA9">
              <w:rPr>
                <w:rFonts w:ascii="Arial" w:hAnsi="Arial" w:cs="Arial"/>
                <w:sz w:val="15"/>
                <w:szCs w:val="15"/>
              </w:rPr>
              <w:t>a</w:t>
            </w:r>
            <w:proofErr w:type="gramEnd"/>
            <w:r w:rsidRPr="00251EA9">
              <w:rPr>
                <w:rFonts w:ascii="Arial" w:hAnsi="Arial" w:cs="Arial"/>
                <w:sz w:val="15"/>
                <w:szCs w:val="15"/>
              </w:rPr>
              <w:t xml:space="preserve"> SSI at</w:t>
            </w:r>
            <w:r w:rsidRPr="00251EA9">
              <w:rPr>
                <w:rFonts w:ascii="Arial" w:hAnsi="Arial" w:cs="Arial"/>
                <w:sz w:val="15"/>
                <w:szCs w:val="15"/>
              </w:rPr>
              <w:br/>
              <w:t xml:space="preserve">postoperative day 14 and required a wound re-exploration and removal of the bone flap. </w:t>
            </w:r>
          </w:p>
        </w:tc>
        <w:tc>
          <w:tcPr>
            <w:tcW w:w="1701" w:type="dxa"/>
          </w:tcPr>
          <w:p w14:paraId="0D1EEF96" w14:textId="1B8181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5D402B4" w14:textId="77777777" w:rsidTr="00A77951">
        <w:trPr>
          <w:trHeight w:val="586"/>
        </w:trPr>
        <w:tc>
          <w:tcPr>
            <w:tcW w:w="992" w:type="dxa"/>
          </w:tcPr>
          <w:p w14:paraId="33E0F5EA" w14:textId="3F8B26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Pie J.S. et al., 2019</w:t>
            </w:r>
          </w:p>
        </w:tc>
        <w:tc>
          <w:tcPr>
            <w:tcW w:w="851" w:type="dxa"/>
          </w:tcPr>
          <w:p w14:paraId="67D26DFC" w14:textId="09A1D65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10.1016/j.clineuro.2019.01.010</w:t>
            </w:r>
          </w:p>
        </w:tc>
        <w:tc>
          <w:tcPr>
            <w:tcW w:w="851" w:type="dxa"/>
          </w:tcPr>
          <w:p w14:paraId="5846EA1F" w14:textId="206242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3390987B" w14:textId="642738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D366BC4" w14:textId="254303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BD12A2D" w14:textId="47E8C5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(Epilepsy)</w:t>
            </w:r>
          </w:p>
        </w:tc>
        <w:tc>
          <w:tcPr>
            <w:tcW w:w="1843" w:type="dxa"/>
          </w:tcPr>
          <w:p w14:paraId="624BD05F" w14:textId="02F918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report authors’ experience of incorporating </w:t>
            </w:r>
            <w:proofErr w:type="spellStart"/>
            <w:r w:rsidRPr="00251EA9">
              <w:rPr>
                <w:rFonts w:ascii="Arial" w:hAnsi="Arial" w:cs="Arial"/>
                <w:sz w:val="15"/>
                <w:szCs w:val="15"/>
              </w:rPr>
              <w:t>neuronavigation</w:t>
            </w:r>
            <w:proofErr w:type="spellEnd"/>
            <w:r w:rsidRPr="00251EA9">
              <w:rPr>
                <w:rFonts w:ascii="Arial" w:hAnsi="Arial" w:cs="Arial"/>
                <w:sz w:val="15"/>
                <w:szCs w:val="15"/>
              </w:rPr>
              <w:t xml:space="preserve"> for treating patients with medically refractory epilepsy using 4 types of surgery.</w:t>
            </w:r>
          </w:p>
        </w:tc>
        <w:tc>
          <w:tcPr>
            <w:tcW w:w="1134" w:type="dxa"/>
          </w:tcPr>
          <w:p w14:paraId="1185A60E" w14:textId="77777777" w:rsidR="006E5533" w:rsidRPr="00251EA9" w:rsidRDefault="006E5533" w:rsidP="006E5533">
            <w:pPr>
              <w:spacing w:line="360" w:lineRule="auto"/>
              <w:contextualSpacing/>
              <w:rPr>
                <w:rFonts w:ascii="Arial" w:hAnsi="Arial" w:cs="Arial"/>
                <w:i/>
                <w:iCs/>
                <w:sz w:val="15"/>
                <w:szCs w:val="15"/>
              </w:rPr>
            </w:pPr>
          </w:p>
        </w:tc>
        <w:tc>
          <w:tcPr>
            <w:tcW w:w="992" w:type="dxa"/>
          </w:tcPr>
          <w:p w14:paraId="4F401CE2" w14:textId="4F891B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9A0F3F9" w14:textId="2FD990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EBC8A8C" w14:textId="49DB0B8F" w:rsidR="006E5533" w:rsidRPr="00251EA9" w:rsidRDefault="006E5533" w:rsidP="006E5533">
            <w:pPr>
              <w:rPr>
                <w:rFonts w:ascii="Arial" w:hAnsi="Arial" w:cs="Arial"/>
                <w:sz w:val="15"/>
                <w:szCs w:val="15"/>
              </w:rPr>
            </w:pPr>
            <w:r w:rsidRPr="00251EA9">
              <w:rPr>
                <w:rFonts w:ascii="Arial" w:hAnsi="Arial" w:cs="Arial"/>
                <w:sz w:val="15"/>
                <w:szCs w:val="15"/>
              </w:rPr>
              <w:t xml:space="preserve">One patient had incision </w:t>
            </w:r>
            <w:proofErr w:type="gramStart"/>
            <w:r w:rsidRPr="00251EA9">
              <w:rPr>
                <w:rFonts w:ascii="Arial" w:hAnsi="Arial" w:cs="Arial"/>
                <w:sz w:val="15"/>
                <w:szCs w:val="15"/>
              </w:rPr>
              <w:t>infection,</w:t>
            </w:r>
            <w:proofErr w:type="gramEnd"/>
            <w:r w:rsidRPr="00251EA9">
              <w:rPr>
                <w:rFonts w:ascii="Arial" w:hAnsi="Arial" w:cs="Arial"/>
                <w:sz w:val="15"/>
                <w:szCs w:val="15"/>
              </w:rPr>
              <w:t xml:space="preserve"> surgical debridement was required.</w:t>
            </w:r>
          </w:p>
        </w:tc>
        <w:tc>
          <w:tcPr>
            <w:tcW w:w="1701" w:type="dxa"/>
          </w:tcPr>
          <w:p w14:paraId="021BF6B4" w14:textId="7685A2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EB193C2" w14:textId="77777777" w:rsidTr="00A77951">
        <w:trPr>
          <w:trHeight w:val="586"/>
        </w:trPr>
        <w:tc>
          <w:tcPr>
            <w:tcW w:w="992" w:type="dxa"/>
          </w:tcPr>
          <w:p w14:paraId="48679261" w14:textId="278154C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Piitulainen</w:t>
            </w:r>
            <w:proofErr w:type="spellEnd"/>
            <w:r w:rsidRPr="00251EA9">
              <w:rPr>
                <w:rFonts w:ascii="Arial" w:hAnsi="Arial" w:cs="Arial"/>
                <w:sz w:val="15"/>
                <w:szCs w:val="15"/>
              </w:rPr>
              <w:t xml:space="preserve"> J.M. et al., 2015</w:t>
            </w:r>
          </w:p>
        </w:tc>
        <w:tc>
          <w:tcPr>
            <w:tcW w:w="851" w:type="dxa"/>
          </w:tcPr>
          <w:p w14:paraId="33E469F6" w14:textId="20A95FEB"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10.1016/j.wneu.2015.01.014</w:t>
            </w:r>
          </w:p>
        </w:tc>
        <w:tc>
          <w:tcPr>
            <w:tcW w:w="851" w:type="dxa"/>
          </w:tcPr>
          <w:p w14:paraId="48676FC6" w14:textId="628B82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Finland</w:t>
            </w:r>
          </w:p>
        </w:tc>
        <w:tc>
          <w:tcPr>
            <w:tcW w:w="1134" w:type="dxa"/>
          </w:tcPr>
          <w:p w14:paraId="4337E548" w14:textId="173672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263D9A4" w14:textId="0EAD45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BA1444A" w14:textId="353BE4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54C5B14F" w14:textId="4490DA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if there are pre-existing medical conditions associated with</w:t>
            </w:r>
            <w:r w:rsidRPr="00251EA9">
              <w:rPr>
                <w:rFonts w:ascii="Arial" w:hAnsi="Arial" w:cs="Arial"/>
                <w:sz w:val="15"/>
                <w:szCs w:val="15"/>
              </w:rPr>
              <w:br/>
              <w:t>complications and compared the effect of different implant materials on the degree of complications.</w:t>
            </w:r>
          </w:p>
        </w:tc>
        <w:tc>
          <w:tcPr>
            <w:tcW w:w="1134" w:type="dxa"/>
          </w:tcPr>
          <w:p w14:paraId="3F300927" w14:textId="77777777" w:rsidR="006E5533" w:rsidRPr="00251EA9" w:rsidRDefault="006E5533" w:rsidP="006E5533">
            <w:pPr>
              <w:spacing w:line="360" w:lineRule="auto"/>
              <w:contextualSpacing/>
              <w:rPr>
                <w:rFonts w:ascii="Arial" w:hAnsi="Arial" w:cs="Arial"/>
                <w:i/>
                <w:iCs/>
                <w:sz w:val="15"/>
                <w:szCs w:val="15"/>
              </w:rPr>
            </w:pPr>
          </w:p>
        </w:tc>
        <w:tc>
          <w:tcPr>
            <w:tcW w:w="992" w:type="dxa"/>
          </w:tcPr>
          <w:p w14:paraId="30DBF4C3" w14:textId="7DDF2B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1499D48" w14:textId="3F58A8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0238EBA" w14:textId="7751625B" w:rsidR="006E5533" w:rsidRPr="00251EA9" w:rsidRDefault="006E5533" w:rsidP="006E5533">
            <w:pPr>
              <w:rPr>
                <w:rFonts w:ascii="Arial" w:hAnsi="Arial" w:cs="Arial"/>
                <w:sz w:val="15"/>
                <w:szCs w:val="15"/>
              </w:rPr>
            </w:pPr>
            <w:r w:rsidRPr="00251EA9">
              <w:rPr>
                <w:rFonts w:ascii="Arial" w:hAnsi="Arial" w:cs="Arial"/>
                <w:sz w:val="15"/>
                <w:szCs w:val="15"/>
              </w:rPr>
              <w:t>In patients with a cryopreserved autograft reimplanted, 40.0% of cases (8 of 20), the bone flap needed to be removed. Of these 8 patients with major</w:t>
            </w:r>
            <w:r w:rsidRPr="00251EA9">
              <w:rPr>
                <w:rFonts w:ascii="Arial" w:hAnsi="Arial" w:cs="Arial"/>
                <w:sz w:val="15"/>
                <w:szCs w:val="15"/>
              </w:rPr>
              <w:br/>
              <w:t>complications, 5 presented with SSI, and 3 presented with resorption. In the autograft subgroup, the infection rate was</w:t>
            </w:r>
            <w:r w:rsidRPr="00251EA9">
              <w:rPr>
                <w:rFonts w:ascii="Arial" w:hAnsi="Arial" w:cs="Arial"/>
                <w:sz w:val="15"/>
                <w:szCs w:val="15"/>
              </w:rPr>
              <w:br/>
              <w:t>25.0%.</w:t>
            </w:r>
          </w:p>
        </w:tc>
        <w:tc>
          <w:tcPr>
            <w:tcW w:w="1701" w:type="dxa"/>
          </w:tcPr>
          <w:p w14:paraId="6F27388E" w14:textId="49BD4A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AD5B4C8" w14:textId="77777777" w:rsidTr="00A77951">
        <w:trPr>
          <w:trHeight w:val="586"/>
        </w:trPr>
        <w:tc>
          <w:tcPr>
            <w:tcW w:w="992" w:type="dxa"/>
          </w:tcPr>
          <w:p w14:paraId="696BF927" w14:textId="6500737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Pirotte</w:t>
            </w:r>
            <w:proofErr w:type="spellEnd"/>
            <w:r w:rsidRPr="00251EA9">
              <w:rPr>
                <w:rFonts w:ascii="Arial" w:hAnsi="Arial" w:cs="Arial"/>
                <w:sz w:val="15"/>
                <w:szCs w:val="15"/>
              </w:rPr>
              <w:t xml:space="preserve"> B. et al., 2007</w:t>
            </w:r>
          </w:p>
        </w:tc>
        <w:tc>
          <w:tcPr>
            <w:tcW w:w="851" w:type="dxa"/>
          </w:tcPr>
          <w:p w14:paraId="1429AEEE" w14:textId="1CD1725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10.1007/s00381-007-0415-5</w:t>
            </w:r>
          </w:p>
        </w:tc>
        <w:tc>
          <w:tcPr>
            <w:tcW w:w="851" w:type="dxa"/>
          </w:tcPr>
          <w:p w14:paraId="6E42444D" w14:textId="2D1807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Belgium</w:t>
            </w:r>
          </w:p>
        </w:tc>
        <w:tc>
          <w:tcPr>
            <w:tcW w:w="1134" w:type="dxa"/>
          </w:tcPr>
          <w:p w14:paraId="7F4336D4" w14:textId="55E39D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509B62C5" w14:textId="1CAE92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7428EDDD" w14:textId="7B4BA3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CSF dynamics</w:t>
            </w:r>
          </w:p>
        </w:tc>
        <w:tc>
          <w:tcPr>
            <w:tcW w:w="1843" w:type="dxa"/>
          </w:tcPr>
          <w:p w14:paraId="613A305E" w14:textId="55B365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whether the rigid application of a sterile protocol for shunt placement was </w:t>
            </w:r>
            <w:r w:rsidRPr="00251EA9">
              <w:rPr>
                <w:rFonts w:ascii="Arial" w:hAnsi="Arial" w:cs="Arial"/>
                <w:sz w:val="15"/>
                <w:szCs w:val="15"/>
              </w:rPr>
              <w:lastRenderedPageBreak/>
              <w:t>applicable on a routine basis and allowed the reduction of shunt infections (SI) in children.</w:t>
            </w:r>
          </w:p>
        </w:tc>
        <w:tc>
          <w:tcPr>
            <w:tcW w:w="1134" w:type="dxa"/>
          </w:tcPr>
          <w:p w14:paraId="105E745F" w14:textId="1F23CAAF" w:rsidR="006E5533" w:rsidRPr="00251EA9" w:rsidRDefault="006E5533" w:rsidP="006E5533">
            <w:pPr>
              <w:spacing w:line="360" w:lineRule="auto"/>
              <w:contextualSpacing/>
              <w:rPr>
                <w:rFonts w:ascii="Arial" w:hAnsi="Arial" w:cs="Arial"/>
                <w:i/>
                <w:iCs/>
                <w:sz w:val="15"/>
                <w:szCs w:val="15"/>
              </w:rPr>
            </w:pPr>
          </w:p>
        </w:tc>
        <w:tc>
          <w:tcPr>
            <w:tcW w:w="992" w:type="dxa"/>
          </w:tcPr>
          <w:p w14:paraId="12A31B69" w14:textId="0A6933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65F35C8" w14:textId="512749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D9EFAB1" w14:textId="06AE8CB9" w:rsidR="006E5533" w:rsidRPr="00251EA9" w:rsidRDefault="006E5533" w:rsidP="006E5533">
            <w:pPr>
              <w:rPr>
                <w:rFonts w:ascii="Arial" w:hAnsi="Arial" w:cs="Arial"/>
                <w:sz w:val="15"/>
                <w:szCs w:val="15"/>
              </w:rPr>
            </w:pPr>
            <w:r w:rsidRPr="00251EA9">
              <w:rPr>
                <w:rFonts w:ascii="Arial" w:hAnsi="Arial" w:cs="Arial"/>
                <w:sz w:val="15"/>
                <w:szCs w:val="15"/>
              </w:rPr>
              <w:t>No shunt infection found.</w:t>
            </w:r>
          </w:p>
        </w:tc>
        <w:tc>
          <w:tcPr>
            <w:tcW w:w="1701" w:type="dxa"/>
          </w:tcPr>
          <w:p w14:paraId="37044B9E" w14:textId="08C7B8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09F3CC0" w14:textId="77777777" w:rsidTr="00A77951">
        <w:trPr>
          <w:trHeight w:val="586"/>
        </w:trPr>
        <w:tc>
          <w:tcPr>
            <w:tcW w:w="992" w:type="dxa"/>
          </w:tcPr>
          <w:p w14:paraId="2C847FBD" w14:textId="1BDC65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Potts, M.B. et al, 2015</w:t>
            </w:r>
          </w:p>
        </w:tc>
        <w:tc>
          <w:tcPr>
            <w:tcW w:w="851" w:type="dxa"/>
          </w:tcPr>
          <w:p w14:paraId="15AEF0A3" w14:textId="2A1C0BC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10.3171/2014.</w:t>
            </w:r>
            <w:proofErr w:type="gramStart"/>
            <w:r w:rsidRPr="00A77951">
              <w:rPr>
                <w:rFonts w:ascii="Arial" w:hAnsi="Arial" w:cs="Arial"/>
                <w:sz w:val="15"/>
                <w:szCs w:val="15"/>
              </w:rPr>
              <w:t>12.JNS</w:t>
            </w:r>
            <w:proofErr w:type="gramEnd"/>
            <w:r w:rsidRPr="00A77951">
              <w:rPr>
                <w:rFonts w:ascii="Arial" w:hAnsi="Arial" w:cs="Arial"/>
                <w:sz w:val="15"/>
                <w:szCs w:val="15"/>
              </w:rPr>
              <w:t>14938</w:t>
            </w:r>
          </w:p>
        </w:tc>
        <w:tc>
          <w:tcPr>
            <w:tcW w:w="851" w:type="dxa"/>
          </w:tcPr>
          <w:p w14:paraId="72252FF4" w14:textId="58D955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7AD899F" w14:textId="4961A3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7785547A" w14:textId="42E492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106C39B" w14:textId="20C874D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0B8AF1BF" w14:textId="18AC5A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review authors’ experience in managing Spetzler-Martin Grade I and II AVMs, the most favourable AVMs for surgery and the ones most likely to have been selected for treatment outside of ARUBA’s randomisation process.</w:t>
            </w:r>
          </w:p>
        </w:tc>
        <w:tc>
          <w:tcPr>
            <w:tcW w:w="1134" w:type="dxa"/>
          </w:tcPr>
          <w:p w14:paraId="6C68D718" w14:textId="165B538B" w:rsidR="006E5533" w:rsidRPr="00251EA9" w:rsidRDefault="006E5533" w:rsidP="006E5533">
            <w:pPr>
              <w:spacing w:line="360" w:lineRule="auto"/>
              <w:contextualSpacing/>
              <w:rPr>
                <w:rFonts w:ascii="Arial" w:hAnsi="Arial" w:cs="Arial"/>
                <w:sz w:val="15"/>
                <w:szCs w:val="15"/>
              </w:rPr>
            </w:pPr>
          </w:p>
        </w:tc>
        <w:tc>
          <w:tcPr>
            <w:tcW w:w="992" w:type="dxa"/>
          </w:tcPr>
          <w:p w14:paraId="0D10A217" w14:textId="5E8831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 No</w:t>
            </w:r>
          </w:p>
        </w:tc>
        <w:tc>
          <w:tcPr>
            <w:tcW w:w="1701" w:type="dxa"/>
          </w:tcPr>
          <w:p w14:paraId="52271543" w14:textId="45501A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0677B10" w14:textId="2C62E232" w:rsidR="006E5533" w:rsidRPr="00251EA9" w:rsidRDefault="006E5533" w:rsidP="006E5533">
            <w:pPr>
              <w:rPr>
                <w:rFonts w:ascii="Arial" w:hAnsi="Arial" w:cs="Arial"/>
                <w:sz w:val="15"/>
                <w:szCs w:val="15"/>
              </w:rPr>
            </w:pPr>
            <w:r w:rsidRPr="00251EA9">
              <w:rPr>
                <w:rFonts w:ascii="Arial" w:hAnsi="Arial" w:cs="Arial"/>
                <w:sz w:val="15"/>
                <w:szCs w:val="15"/>
              </w:rPr>
              <w:t xml:space="preserve">2 patients had wound infections requiring surgical debridement. </w:t>
            </w:r>
          </w:p>
        </w:tc>
        <w:tc>
          <w:tcPr>
            <w:tcW w:w="1701" w:type="dxa"/>
          </w:tcPr>
          <w:p w14:paraId="5CE8F8D7" w14:textId="6D6634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7C6FF75" w14:textId="77777777" w:rsidTr="00A77951">
        <w:trPr>
          <w:trHeight w:val="586"/>
        </w:trPr>
        <w:tc>
          <w:tcPr>
            <w:tcW w:w="992" w:type="dxa"/>
          </w:tcPr>
          <w:p w14:paraId="48619118" w14:textId="04B555F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Prablek</w:t>
            </w:r>
            <w:proofErr w:type="spellEnd"/>
            <w:r w:rsidRPr="00251EA9">
              <w:rPr>
                <w:rFonts w:ascii="Arial" w:hAnsi="Arial" w:cs="Arial"/>
                <w:sz w:val="15"/>
                <w:szCs w:val="15"/>
              </w:rPr>
              <w:t xml:space="preserve"> M. et al., 2021</w:t>
            </w:r>
          </w:p>
        </w:tc>
        <w:tc>
          <w:tcPr>
            <w:tcW w:w="851" w:type="dxa"/>
          </w:tcPr>
          <w:p w14:paraId="3B91BE12" w14:textId="10FC617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10.1007/s00381-021-05170-3</w:t>
            </w:r>
          </w:p>
        </w:tc>
        <w:tc>
          <w:tcPr>
            <w:tcW w:w="851" w:type="dxa"/>
          </w:tcPr>
          <w:p w14:paraId="62081D9C" w14:textId="487AC0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C64C5FB" w14:textId="4E5589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10C25FE" w14:textId="5212C2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7A1A6C31" w14:textId="5556EB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Vascular</w:t>
            </w:r>
          </w:p>
        </w:tc>
        <w:tc>
          <w:tcPr>
            <w:tcW w:w="1843" w:type="dxa"/>
          </w:tcPr>
          <w:p w14:paraId="62B59BCB" w14:textId="01459B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examine the role of multimodality AVM treatment in paediatric AVM-associated epilepsy to characterise long-term epilepsy outcomes.</w:t>
            </w:r>
          </w:p>
        </w:tc>
        <w:tc>
          <w:tcPr>
            <w:tcW w:w="1134" w:type="dxa"/>
          </w:tcPr>
          <w:p w14:paraId="6C26AEA8" w14:textId="48A0A7DA" w:rsidR="006E5533" w:rsidRPr="00251EA9" w:rsidRDefault="006E5533" w:rsidP="006E5533">
            <w:pPr>
              <w:spacing w:line="360" w:lineRule="auto"/>
              <w:contextualSpacing/>
              <w:rPr>
                <w:rFonts w:ascii="Arial" w:hAnsi="Arial" w:cs="Arial"/>
                <w:sz w:val="15"/>
                <w:szCs w:val="15"/>
              </w:rPr>
            </w:pPr>
          </w:p>
        </w:tc>
        <w:tc>
          <w:tcPr>
            <w:tcW w:w="992" w:type="dxa"/>
          </w:tcPr>
          <w:p w14:paraId="23076329" w14:textId="41B954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D73E6BF" w14:textId="7F80B2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26818D6" w14:textId="23D9C93F" w:rsidR="006E5533" w:rsidRPr="00251EA9" w:rsidRDefault="006E5533" w:rsidP="006E5533">
            <w:pPr>
              <w:rPr>
                <w:rFonts w:ascii="Arial" w:hAnsi="Arial" w:cs="Arial"/>
                <w:sz w:val="15"/>
                <w:szCs w:val="15"/>
              </w:rPr>
            </w:pPr>
            <w:r w:rsidRPr="00251EA9">
              <w:rPr>
                <w:rFonts w:ascii="Arial" w:hAnsi="Arial" w:cs="Arial"/>
                <w:sz w:val="15"/>
                <w:szCs w:val="15"/>
              </w:rPr>
              <w:t>2 cases of wound infection.</w:t>
            </w:r>
          </w:p>
        </w:tc>
        <w:tc>
          <w:tcPr>
            <w:tcW w:w="1701" w:type="dxa"/>
          </w:tcPr>
          <w:p w14:paraId="3E8D8F80" w14:textId="260096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0477803" w14:textId="77777777" w:rsidTr="00A77951">
        <w:trPr>
          <w:trHeight w:val="586"/>
        </w:trPr>
        <w:tc>
          <w:tcPr>
            <w:tcW w:w="992" w:type="dxa"/>
          </w:tcPr>
          <w:p w14:paraId="3B20CEA9" w14:textId="54A97D6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Puthumana</w:t>
            </w:r>
            <w:proofErr w:type="spellEnd"/>
            <w:r w:rsidRPr="00251EA9">
              <w:rPr>
                <w:rFonts w:ascii="Arial" w:hAnsi="Arial" w:cs="Arial"/>
                <w:sz w:val="15"/>
                <w:szCs w:val="15"/>
              </w:rPr>
              <w:t xml:space="preserve"> J.S. et al., 2023</w:t>
            </w:r>
          </w:p>
        </w:tc>
        <w:tc>
          <w:tcPr>
            <w:tcW w:w="851" w:type="dxa"/>
          </w:tcPr>
          <w:p w14:paraId="6051587E" w14:textId="3D32F837" w:rsidR="006E5533" w:rsidRPr="00A77951" w:rsidRDefault="006E5533" w:rsidP="006E5533">
            <w:pPr>
              <w:spacing w:line="360" w:lineRule="auto"/>
              <w:contextualSpacing/>
              <w:rPr>
                <w:rFonts w:ascii="Arial" w:hAnsi="Arial" w:cs="Arial"/>
                <w:sz w:val="15"/>
                <w:szCs w:val="15"/>
              </w:rPr>
            </w:pPr>
            <w:hyperlink r:id="rId255" w:history="1">
              <w:r w:rsidRPr="00A77951">
                <w:rPr>
                  <w:rStyle w:val="Hyperlink"/>
                  <w:rFonts w:ascii="Arial" w:hAnsi="Arial" w:cs="Arial"/>
                  <w:sz w:val="15"/>
                  <w:szCs w:val="15"/>
                </w:rPr>
                <w:t>10.1097/SCS.0000000000008872</w:t>
              </w:r>
            </w:hyperlink>
          </w:p>
        </w:tc>
        <w:tc>
          <w:tcPr>
            <w:tcW w:w="851" w:type="dxa"/>
          </w:tcPr>
          <w:p w14:paraId="74A50122" w14:textId="3DC18C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9296A16" w14:textId="3640C6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4D7CE32" w14:textId="0DE86E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260E25EA" w14:textId="118C8E7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1E9804B5"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optimal timing of open craniosynostosis repair as defined by perioperative outcomes in a large, </w:t>
            </w:r>
            <w:proofErr w:type="spellStart"/>
            <w:r w:rsidRPr="00251EA9">
              <w:rPr>
                <w:rFonts w:ascii="Arial" w:hAnsi="Arial" w:cs="Arial"/>
                <w:sz w:val="15"/>
                <w:szCs w:val="15"/>
              </w:rPr>
              <w:t>multicenter</w:t>
            </w:r>
            <w:proofErr w:type="spellEnd"/>
            <w:r w:rsidRPr="00251EA9">
              <w:rPr>
                <w:rFonts w:ascii="Arial" w:hAnsi="Arial" w:cs="Arial"/>
                <w:sz w:val="15"/>
                <w:szCs w:val="15"/>
              </w:rPr>
              <w:t xml:space="preserve"> cohort. </w:t>
            </w:r>
          </w:p>
          <w:p w14:paraId="07D13C02" w14:textId="48F959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examine the relationship between age at surgery and factors such as surgical stability, need for </w:t>
            </w:r>
            <w:r w:rsidRPr="00251EA9">
              <w:rPr>
                <w:rFonts w:ascii="Arial" w:hAnsi="Arial" w:cs="Arial"/>
                <w:sz w:val="15"/>
                <w:szCs w:val="15"/>
              </w:rPr>
              <w:lastRenderedPageBreak/>
              <w:t xml:space="preserve">transfusion and perioperative complications. </w:t>
            </w:r>
          </w:p>
        </w:tc>
        <w:tc>
          <w:tcPr>
            <w:tcW w:w="1134" w:type="dxa"/>
          </w:tcPr>
          <w:p w14:paraId="00F7BC79"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B0613B9" w14:textId="1245F6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32F68A9" w14:textId="5DAD78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CCF197F" w14:textId="2B7912B2" w:rsidR="006E5533" w:rsidRPr="00251EA9" w:rsidRDefault="006E5533" w:rsidP="006E5533">
            <w:pPr>
              <w:rPr>
                <w:rFonts w:ascii="Arial" w:hAnsi="Arial" w:cs="Arial"/>
                <w:sz w:val="15"/>
                <w:szCs w:val="15"/>
              </w:rPr>
            </w:pPr>
            <w:r w:rsidRPr="00251EA9">
              <w:rPr>
                <w:rFonts w:ascii="Arial" w:hAnsi="Arial" w:cs="Arial"/>
                <w:sz w:val="15"/>
                <w:szCs w:val="15"/>
              </w:rPr>
              <w:t>There was no difference in complications between age groups for deep SSI or organ site infection.</w:t>
            </w:r>
          </w:p>
        </w:tc>
        <w:tc>
          <w:tcPr>
            <w:tcW w:w="1701" w:type="dxa"/>
          </w:tcPr>
          <w:p w14:paraId="301211F4" w14:textId="47F85F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56404F" w14:textId="77777777" w:rsidTr="00A77951">
        <w:trPr>
          <w:trHeight w:val="586"/>
        </w:trPr>
        <w:tc>
          <w:tcPr>
            <w:tcW w:w="992" w:type="dxa"/>
          </w:tcPr>
          <w:p w14:paraId="7FEE4AE5" w14:textId="7FFA946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Radmanesh</w:t>
            </w:r>
            <w:proofErr w:type="spellEnd"/>
            <w:r w:rsidRPr="00251EA9">
              <w:rPr>
                <w:rFonts w:ascii="Arial" w:hAnsi="Arial" w:cs="Arial"/>
                <w:sz w:val="15"/>
                <w:szCs w:val="15"/>
              </w:rPr>
              <w:t xml:space="preserve"> F. et al., 2009</w:t>
            </w:r>
          </w:p>
        </w:tc>
        <w:tc>
          <w:tcPr>
            <w:tcW w:w="851" w:type="dxa"/>
          </w:tcPr>
          <w:p w14:paraId="0525F2F7" w14:textId="6769351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10.3171/2009.</w:t>
            </w:r>
            <w:proofErr w:type="gramStart"/>
            <w:r w:rsidRPr="00A77951">
              <w:rPr>
                <w:rFonts w:ascii="Arial" w:hAnsi="Arial" w:cs="Arial"/>
                <w:sz w:val="15"/>
                <w:szCs w:val="15"/>
              </w:rPr>
              <w:t>2.PEDS</w:t>
            </w:r>
            <w:proofErr w:type="gramEnd"/>
            <w:r w:rsidRPr="00A77951">
              <w:rPr>
                <w:rFonts w:ascii="Arial" w:hAnsi="Arial" w:cs="Arial"/>
                <w:sz w:val="15"/>
                <w:szCs w:val="15"/>
              </w:rPr>
              <w:t>08476</w:t>
            </w:r>
          </w:p>
        </w:tc>
        <w:tc>
          <w:tcPr>
            <w:tcW w:w="851" w:type="dxa"/>
          </w:tcPr>
          <w:p w14:paraId="73BC33CE" w14:textId="3E7758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Iran</w:t>
            </w:r>
          </w:p>
        </w:tc>
        <w:tc>
          <w:tcPr>
            <w:tcW w:w="1134" w:type="dxa"/>
          </w:tcPr>
          <w:p w14:paraId="161C4AC4" w14:textId="391775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66D0E74" w14:textId="4B6A152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0D05C65" w14:textId="57CA77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CSF dynamics</w:t>
            </w:r>
          </w:p>
        </w:tc>
        <w:tc>
          <w:tcPr>
            <w:tcW w:w="1843" w:type="dxa"/>
          </w:tcPr>
          <w:p w14:paraId="447569E1" w14:textId="324EB0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shunt complication rates in patients who underwent concurrent myelomeningocele (MMC) surgery and shunt placement and compare them to the rates in patients treated with shunt placement in a separate procedure.</w:t>
            </w:r>
          </w:p>
        </w:tc>
        <w:tc>
          <w:tcPr>
            <w:tcW w:w="1134" w:type="dxa"/>
          </w:tcPr>
          <w:p w14:paraId="676BB8C0"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A9B79B0" w14:textId="7D410D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A3698D4"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Positive CSF culture OR </w:t>
            </w:r>
          </w:p>
          <w:p w14:paraId="299829E8" w14:textId="6A8A82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Clinical evidence of infection with negative culture but positive CSF parameters (positive smear,</w:t>
            </w:r>
            <w:r w:rsidRPr="00251EA9">
              <w:rPr>
                <w:rFonts w:ascii="Arial" w:hAnsi="Arial" w:cs="Arial"/>
                <w:sz w:val="15"/>
                <w:szCs w:val="15"/>
              </w:rPr>
              <w:br/>
              <w:t>low level of serum glucose (&lt; 40 mg/dL), and high white</w:t>
            </w:r>
            <w:r w:rsidRPr="00251EA9">
              <w:rPr>
                <w:rFonts w:ascii="Arial" w:hAnsi="Arial" w:cs="Arial"/>
                <w:sz w:val="15"/>
                <w:szCs w:val="15"/>
              </w:rPr>
              <w:br/>
              <w:t xml:space="preserve">blood cell count (&gt; 10 cells/mm3) with </w:t>
            </w:r>
            <w:proofErr w:type="spellStart"/>
            <w:r w:rsidRPr="00251EA9">
              <w:rPr>
                <w:rFonts w:ascii="Arial" w:hAnsi="Arial" w:cs="Arial"/>
                <w:sz w:val="15"/>
                <w:szCs w:val="15"/>
              </w:rPr>
              <w:t>polymorphonucleosis</w:t>
            </w:r>
            <w:proofErr w:type="spellEnd"/>
            <w:r w:rsidRPr="00251EA9">
              <w:rPr>
                <w:rFonts w:ascii="Arial" w:hAnsi="Arial" w:cs="Arial"/>
                <w:sz w:val="15"/>
                <w:szCs w:val="15"/>
              </w:rPr>
              <w:t>)</w:t>
            </w:r>
          </w:p>
        </w:tc>
        <w:tc>
          <w:tcPr>
            <w:tcW w:w="2693" w:type="dxa"/>
          </w:tcPr>
          <w:p w14:paraId="4D8C825F" w14:textId="774C3024" w:rsidR="006E5533" w:rsidRPr="00251EA9" w:rsidRDefault="006E5533" w:rsidP="006E5533">
            <w:pPr>
              <w:rPr>
                <w:rFonts w:ascii="Arial" w:hAnsi="Arial" w:cs="Arial"/>
                <w:sz w:val="15"/>
                <w:szCs w:val="15"/>
              </w:rPr>
            </w:pPr>
            <w:r w:rsidRPr="00251EA9">
              <w:rPr>
                <w:rFonts w:ascii="Arial" w:hAnsi="Arial" w:cs="Arial"/>
                <w:sz w:val="15"/>
                <w:szCs w:val="15"/>
              </w:rPr>
              <w:t>The overall rate of shunt infection was 16.5%. There was a high rate of shunt infection and mortality in those patients treated with CSF shunting only. There was no statistically significant difference between complication rates in patients in whom the 2 procedures were performed</w:t>
            </w:r>
            <w:r w:rsidRPr="00251EA9">
              <w:rPr>
                <w:rFonts w:ascii="Arial" w:hAnsi="Arial" w:cs="Arial"/>
                <w:sz w:val="15"/>
                <w:szCs w:val="15"/>
              </w:rPr>
              <w:br/>
              <w:t xml:space="preserve">concurrently and those who underwent separate operations. </w:t>
            </w:r>
          </w:p>
        </w:tc>
        <w:tc>
          <w:tcPr>
            <w:tcW w:w="1701" w:type="dxa"/>
          </w:tcPr>
          <w:p w14:paraId="22724F3B" w14:textId="667058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BB21AF5" w14:textId="77777777" w:rsidTr="00A77951">
        <w:trPr>
          <w:trHeight w:val="586"/>
        </w:trPr>
        <w:tc>
          <w:tcPr>
            <w:tcW w:w="992" w:type="dxa"/>
          </w:tcPr>
          <w:p w14:paraId="76AC660D" w14:textId="1E6674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Rae A.I. et al., 2023</w:t>
            </w:r>
          </w:p>
        </w:tc>
        <w:tc>
          <w:tcPr>
            <w:tcW w:w="851" w:type="dxa"/>
          </w:tcPr>
          <w:p w14:paraId="78BACBD2" w14:textId="4A2703C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10.1227/neu.0000000000002563</w:t>
            </w:r>
          </w:p>
        </w:tc>
        <w:tc>
          <w:tcPr>
            <w:tcW w:w="851" w:type="dxa"/>
          </w:tcPr>
          <w:p w14:paraId="4ED3E966" w14:textId="1D8C3D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2ADBE74" w14:textId="02EFD4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E703E28" w14:textId="47AE32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30D7274" w14:textId="64C181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75EC9185" w14:textId="26FE66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a wound healing protocol after cranioplasty reduced the rate of infections and to determine the value of this intervention.</w:t>
            </w:r>
          </w:p>
        </w:tc>
        <w:tc>
          <w:tcPr>
            <w:tcW w:w="1134" w:type="dxa"/>
          </w:tcPr>
          <w:p w14:paraId="0F97A32A" w14:textId="21E2FBCD" w:rsidR="006E5533" w:rsidRPr="00251EA9" w:rsidRDefault="006E5533" w:rsidP="006E5533">
            <w:pPr>
              <w:spacing w:line="360" w:lineRule="auto"/>
              <w:contextualSpacing/>
              <w:rPr>
                <w:rFonts w:ascii="Arial" w:hAnsi="Arial" w:cs="Arial"/>
                <w:sz w:val="15"/>
                <w:szCs w:val="15"/>
              </w:rPr>
            </w:pPr>
          </w:p>
        </w:tc>
        <w:tc>
          <w:tcPr>
            <w:tcW w:w="992" w:type="dxa"/>
          </w:tcPr>
          <w:p w14:paraId="475B41DF" w14:textId="22CDB2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2FAEA05" w14:textId="221439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Wound breakdown or possible presence of infection requiring oversew or</w:t>
            </w:r>
            <w:r w:rsidR="00EB5330">
              <w:rPr>
                <w:rFonts w:ascii="Arial" w:hAnsi="Arial" w:cs="Arial"/>
                <w:sz w:val="15"/>
                <w:szCs w:val="15"/>
              </w:rPr>
              <w:t xml:space="preserve"> </w:t>
            </w:r>
            <w:r w:rsidRPr="00251EA9">
              <w:rPr>
                <w:rFonts w:ascii="Arial" w:hAnsi="Arial" w:cs="Arial"/>
                <w:sz w:val="15"/>
                <w:szCs w:val="15"/>
              </w:rPr>
              <w:t>prescription antibiotic, but not requiring surgical revision.</w:t>
            </w:r>
          </w:p>
        </w:tc>
        <w:tc>
          <w:tcPr>
            <w:tcW w:w="2693" w:type="dxa"/>
          </w:tcPr>
          <w:p w14:paraId="3EF08BC5" w14:textId="6DB158BA" w:rsidR="006E5533" w:rsidRPr="00251EA9" w:rsidRDefault="006E5533" w:rsidP="006E5533">
            <w:pPr>
              <w:rPr>
                <w:rFonts w:ascii="Arial" w:hAnsi="Arial" w:cs="Arial"/>
                <w:sz w:val="15"/>
                <w:szCs w:val="15"/>
              </w:rPr>
            </w:pPr>
            <w:r w:rsidRPr="00251EA9">
              <w:rPr>
                <w:rFonts w:ascii="Arial" w:hAnsi="Arial" w:cs="Arial"/>
                <w:sz w:val="15"/>
                <w:szCs w:val="15"/>
              </w:rPr>
              <w:t>Concern for SSI at clinical follow-up requiring antibiotics or oversew but not surgery was almost</w:t>
            </w:r>
            <w:r w:rsidRPr="00251EA9">
              <w:rPr>
                <w:rFonts w:ascii="Arial" w:hAnsi="Arial" w:cs="Arial"/>
                <w:sz w:val="15"/>
                <w:szCs w:val="15"/>
              </w:rPr>
              <w:br/>
              <w:t xml:space="preserve">5 times more likely in the </w:t>
            </w:r>
            <w:proofErr w:type="spellStart"/>
            <w:r w:rsidRPr="00251EA9">
              <w:rPr>
                <w:rFonts w:ascii="Arial" w:hAnsi="Arial" w:cs="Arial"/>
                <w:sz w:val="15"/>
                <w:szCs w:val="15"/>
              </w:rPr>
              <w:t>preprotocol</w:t>
            </w:r>
            <w:proofErr w:type="spellEnd"/>
            <w:r w:rsidRPr="00251EA9">
              <w:rPr>
                <w:rFonts w:ascii="Arial" w:hAnsi="Arial" w:cs="Arial"/>
                <w:sz w:val="15"/>
                <w:szCs w:val="15"/>
              </w:rPr>
              <w:t xml:space="preserve"> than </w:t>
            </w:r>
            <w:proofErr w:type="spellStart"/>
            <w:r w:rsidRPr="00251EA9">
              <w:rPr>
                <w:rFonts w:ascii="Arial" w:hAnsi="Arial" w:cs="Arial"/>
                <w:sz w:val="15"/>
                <w:szCs w:val="15"/>
              </w:rPr>
              <w:t>postprotocol</w:t>
            </w:r>
            <w:proofErr w:type="spellEnd"/>
            <w:r w:rsidRPr="00251EA9">
              <w:rPr>
                <w:rFonts w:ascii="Arial" w:hAnsi="Arial" w:cs="Arial"/>
                <w:sz w:val="15"/>
                <w:szCs w:val="15"/>
              </w:rPr>
              <w:t xml:space="preserve"> group. </w:t>
            </w:r>
          </w:p>
        </w:tc>
        <w:tc>
          <w:tcPr>
            <w:tcW w:w="1701" w:type="dxa"/>
          </w:tcPr>
          <w:p w14:paraId="2D2EE91F" w14:textId="3F8A61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DAB7D0A" w14:textId="77777777" w:rsidTr="00A77951">
        <w:trPr>
          <w:trHeight w:val="586"/>
        </w:trPr>
        <w:tc>
          <w:tcPr>
            <w:tcW w:w="992" w:type="dxa"/>
          </w:tcPr>
          <w:p w14:paraId="4E296F65" w14:textId="3F9D3C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Rajkumar S. et al., 2024</w:t>
            </w:r>
          </w:p>
        </w:tc>
        <w:tc>
          <w:tcPr>
            <w:tcW w:w="851" w:type="dxa"/>
          </w:tcPr>
          <w:p w14:paraId="3AE1F70E" w14:textId="55C9DC1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10.1007/s00381-023-06076-y</w:t>
            </w:r>
          </w:p>
        </w:tc>
        <w:tc>
          <w:tcPr>
            <w:tcW w:w="851" w:type="dxa"/>
          </w:tcPr>
          <w:p w14:paraId="26A359F3" w14:textId="74979E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3BE741A" w14:textId="2598AB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C78E576" w14:textId="527C25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65079570" w14:textId="2D0EFB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w:t>
            </w:r>
            <w:proofErr w:type="spellStart"/>
            <w:r w:rsidRPr="00251EA9">
              <w:rPr>
                <w:rFonts w:ascii="Arial" w:hAnsi="Arial" w:cs="Arial"/>
                <w:sz w:val="15"/>
                <w:szCs w:val="15"/>
              </w:rPr>
              <w:t>Skullbase</w:t>
            </w:r>
            <w:proofErr w:type="spellEnd"/>
          </w:p>
        </w:tc>
        <w:tc>
          <w:tcPr>
            <w:tcW w:w="1843" w:type="dxa"/>
          </w:tcPr>
          <w:p w14:paraId="6EFCE504" w14:textId="3F7215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analyse rates of independent and concurrent complications after craniosynostosis surgery in children with syndromic diagnoses. To assess factors associated with concurrent postoperative </w:t>
            </w:r>
            <w:r w:rsidRPr="00251EA9">
              <w:rPr>
                <w:rFonts w:ascii="Arial" w:hAnsi="Arial" w:cs="Arial"/>
                <w:sz w:val="15"/>
                <w:szCs w:val="15"/>
              </w:rPr>
              <w:lastRenderedPageBreak/>
              <w:t>complications to help with risk stratification.</w:t>
            </w:r>
          </w:p>
        </w:tc>
        <w:tc>
          <w:tcPr>
            <w:tcW w:w="1134" w:type="dxa"/>
          </w:tcPr>
          <w:p w14:paraId="76EAC9E7"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850A213" w14:textId="47B6AB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8666FD2" w14:textId="147275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CDC989D" w14:textId="6CEBBD0B" w:rsidR="006E5533" w:rsidRPr="00251EA9" w:rsidRDefault="006E5533" w:rsidP="006E5533">
            <w:pPr>
              <w:rPr>
                <w:rFonts w:ascii="Arial" w:hAnsi="Arial" w:cs="Arial"/>
                <w:sz w:val="15"/>
                <w:szCs w:val="15"/>
              </w:rPr>
            </w:pPr>
            <w:r w:rsidRPr="00251EA9">
              <w:rPr>
                <w:rFonts w:ascii="Arial" w:hAnsi="Arial" w:cs="Arial"/>
                <w:sz w:val="15"/>
                <w:szCs w:val="15"/>
              </w:rPr>
              <w:t>13.04% suffered deep surgical site infection. Blood transfusion was associated with a higher risk of deep incisional infection.</w:t>
            </w:r>
          </w:p>
        </w:tc>
        <w:tc>
          <w:tcPr>
            <w:tcW w:w="1701" w:type="dxa"/>
          </w:tcPr>
          <w:p w14:paraId="45D7AA42" w14:textId="2E212F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2CE03EB" w14:textId="77777777" w:rsidTr="00A77951">
        <w:trPr>
          <w:trHeight w:val="586"/>
        </w:trPr>
        <w:tc>
          <w:tcPr>
            <w:tcW w:w="992" w:type="dxa"/>
          </w:tcPr>
          <w:p w14:paraId="39E2C269" w14:textId="1B9269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Ramos T. et al., 2016</w:t>
            </w:r>
          </w:p>
        </w:tc>
        <w:tc>
          <w:tcPr>
            <w:tcW w:w="851" w:type="dxa"/>
          </w:tcPr>
          <w:p w14:paraId="00CE7D93" w14:textId="3C0E1C0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10.1172/jci.insight.87919</w:t>
            </w:r>
          </w:p>
        </w:tc>
        <w:tc>
          <w:tcPr>
            <w:tcW w:w="851" w:type="dxa"/>
          </w:tcPr>
          <w:p w14:paraId="4B48F66F" w14:textId="64CEFF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922D452" w14:textId="66AD07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8381904" w14:textId="60CE9D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7B249660" w14:textId="47EF27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CSF dynamics</w:t>
            </w:r>
          </w:p>
        </w:tc>
        <w:tc>
          <w:tcPr>
            <w:tcW w:w="1843" w:type="dxa"/>
          </w:tcPr>
          <w:p w14:paraId="45A9DE9B" w14:textId="57B83B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a biomarker that would identify shunt infection.</w:t>
            </w:r>
          </w:p>
        </w:tc>
        <w:tc>
          <w:tcPr>
            <w:tcW w:w="1134" w:type="dxa"/>
          </w:tcPr>
          <w:p w14:paraId="20CDB25B" w14:textId="69769097" w:rsidR="006E5533" w:rsidRPr="00251EA9" w:rsidRDefault="006E5533" w:rsidP="006E5533">
            <w:pPr>
              <w:spacing w:line="360" w:lineRule="auto"/>
              <w:contextualSpacing/>
              <w:rPr>
                <w:rFonts w:ascii="Arial" w:hAnsi="Arial" w:cs="Arial"/>
                <w:sz w:val="15"/>
                <w:szCs w:val="15"/>
              </w:rPr>
            </w:pPr>
          </w:p>
        </w:tc>
        <w:tc>
          <w:tcPr>
            <w:tcW w:w="992" w:type="dxa"/>
          </w:tcPr>
          <w:p w14:paraId="0E4022EE" w14:textId="140318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D88BE15" w14:textId="55B9D8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1F0F942" w14:textId="24E929C0" w:rsidR="006E5533" w:rsidRPr="00251EA9" w:rsidRDefault="006E5533" w:rsidP="006E5533">
            <w:pPr>
              <w:rPr>
                <w:rFonts w:ascii="Arial" w:hAnsi="Arial" w:cs="Arial"/>
                <w:sz w:val="15"/>
                <w:szCs w:val="15"/>
              </w:rPr>
            </w:pPr>
            <w:r w:rsidRPr="00251EA9">
              <w:rPr>
                <w:rFonts w:ascii="Arial" w:hAnsi="Arial" w:cs="Arial"/>
                <w:sz w:val="15"/>
                <w:szCs w:val="15"/>
              </w:rPr>
              <w:t xml:space="preserve">Children with pyogenic shunt infection had significantly increased </w:t>
            </w:r>
            <w:proofErr w:type="spellStart"/>
            <w:r w:rsidRPr="00251EA9">
              <w:rPr>
                <w:rFonts w:ascii="Arial" w:hAnsi="Arial" w:cs="Arial"/>
                <w:sz w:val="15"/>
                <w:szCs w:val="15"/>
              </w:rPr>
              <w:t>sMAC</w:t>
            </w:r>
            <w:proofErr w:type="spellEnd"/>
            <w:r w:rsidRPr="00251EA9">
              <w:rPr>
                <w:rFonts w:ascii="Arial" w:hAnsi="Arial" w:cs="Arial"/>
                <w:sz w:val="15"/>
                <w:szCs w:val="15"/>
              </w:rPr>
              <w:t xml:space="preserve"> levels compared with noninfected patients. In infected patients</w:t>
            </w:r>
            <w:r w:rsidRPr="00251EA9">
              <w:rPr>
                <w:rFonts w:ascii="Arial" w:hAnsi="Arial" w:cs="Arial"/>
                <w:sz w:val="15"/>
                <w:szCs w:val="15"/>
              </w:rPr>
              <w:br/>
              <w:t xml:space="preserve">undergoing serial CSF draws, </w:t>
            </w:r>
            <w:proofErr w:type="spellStart"/>
            <w:r w:rsidRPr="00251EA9">
              <w:rPr>
                <w:rFonts w:ascii="Arial" w:hAnsi="Arial" w:cs="Arial"/>
                <w:sz w:val="15"/>
                <w:szCs w:val="15"/>
              </w:rPr>
              <w:t>sMAC</w:t>
            </w:r>
            <w:proofErr w:type="spellEnd"/>
            <w:r w:rsidRPr="00251EA9">
              <w:rPr>
                <w:rFonts w:ascii="Arial" w:hAnsi="Arial" w:cs="Arial"/>
                <w:sz w:val="15"/>
                <w:szCs w:val="15"/>
              </w:rPr>
              <w:t xml:space="preserve"> levels were prognostic for both positive and negative clinical</w:t>
            </w:r>
            <w:r w:rsidRPr="00251EA9">
              <w:rPr>
                <w:rFonts w:ascii="Arial" w:hAnsi="Arial" w:cs="Arial"/>
                <w:sz w:val="15"/>
                <w:szCs w:val="15"/>
              </w:rPr>
              <w:br/>
              <w:t>outcomes.</w:t>
            </w:r>
          </w:p>
        </w:tc>
        <w:tc>
          <w:tcPr>
            <w:tcW w:w="1701" w:type="dxa"/>
          </w:tcPr>
          <w:p w14:paraId="64971358" w14:textId="579D9B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3D933D5" w14:textId="77777777" w:rsidTr="00A77951">
        <w:trPr>
          <w:trHeight w:val="586"/>
        </w:trPr>
        <w:tc>
          <w:tcPr>
            <w:tcW w:w="992" w:type="dxa"/>
          </w:tcPr>
          <w:p w14:paraId="2FFFF6F0" w14:textId="27B56D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Rashidi A. et al., 2019</w:t>
            </w:r>
          </w:p>
        </w:tc>
        <w:tc>
          <w:tcPr>
            <w:tcW w:w="851" w:type="dxa"/>
          </w:tcPr>
          <w:p w14:paraId="74197432" w14:textId="0456FE8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10.1016/j.clineuro.2019.105509</w:t>
            </w:r>
          </w:p>
        </w:tc>
        <w:tc>
          <w:tcPr>
            <w:tcW w:w="851" w:type="dxa"/>
          </w:tcPr>
          <w:p w14:paraId="09B12DE8" w14:textId="5059F7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6D3AD327" w14:textId="59D3F6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4C37004" w14:textId="78590E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8ACEBD8" w14:textId="7B2ED8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CE0A59E" w14:textId="405F92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one of the most frequent complications, bone flap infection, </w:t>
            </w:r>
            <w:proofErr w:type="gramStart"/>
            <w:r w:rsidRPr="00251EA9">
              <w:rPr>
                <w:rFonts w:ascii="Arial" w:hAnsi="Arial" w:cs="Arial"/>
                <w:sz w:val="15"/>
                <w:szCs w:val="15"/>
              </w:rPr>
              <w:t>in order to</w:t>
            </w:r>
            <w:proofErr w:type="gramEnd"/>
            <w:r w:rsidRPr="00251EA9">
              <w:rPr>
                <w:rFonts w:ascii="Arial" w:hAnsi="Arial" w:cs="Arial"/>
                <w:sz w:val="15"/>
                <w:szCs w:val="15"/>
              </w:rPr>
              <w:t xml:space="preserve"> identify prognostic factors of its development.</w:t>
            </w:r>
          </w:p>
        </w:tc>
        <w:tc>
          <w:tcPr>
            <w:tcW w:w="1134" w:type="dxa"/>
          </w:tcPr>
          <w:p w14:paraId="513E8AA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75AAE17" w14:textId="4C0125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10C1C6D" w14:textId="078B02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Laboratory signs of infection C-reactive protein (&gt; 5 mg/l),</w:t>
            </w:r>
          </w:p>
          <w:p w14:paraId="1CD59EBF" w14:textId="2DC9DB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White blood cells (&gt; 10.4 </w:t>
            </w:r>
            <w:proofErr w:type="spellStart"/>
            <w:r w:rsidRPr="00251EA9">
              <w:rPr>
                <w:rFonts w:ascii="Arial" w:hAnsi="Arial" w:cs="Arial"/>
                <w:sz w:val="15"/>
                <w:szCs w:val="15"/>
              </w:rPr>
              <w:t>Gpt</w:t>
            </w:r>
            <w:proofErr w:type="spellEnd"/>
            <w:r w:rsidRPr="00251EA9">
              <w:rPr>
                <w:rFonts w:ascii="Arial" w:hAnsi="Arial" w:cs="Arial"/>
                <w:sz w:val="15"/>
                <w:szCs w:val="15"/>
              </w:rPr>
              <w:t>/l),</w:t>
            </w:r>
            <w:r w:rsidR="00EB5330">
              <w:rPr>
                <w:rFonts w:ascii="Arial" w:hAnsi="Arial" w:cs="Arial"/>
                <w:sz w:val="15"/>
                <w:szCs w:val="15"/>
              </w:rPr>
              <w:t xml:space="preserve"> </w:t>
            </w:r>
            <w:r w:rsidRPr="00251EA9">
              <w:rPr>
                <w:rFonts w:ascii="Arial" w:hAnsi="Arial" w:cs="Arial"/>
                <w:sz w:val="15"/>
                <w:szCs w:val="15"/>
              </w:rPr>
              <w:t xml:space="preserve">Platelet count (&gt; 400 </w:t>
            </w:r>
            <w:proofErr w:type="spellStart"/>
            <w:r w:rsidRPr="00251EA9">
              <w:rPr>
                <w:rFonts w:ascii="Arial" w:hAnsi="Arial" w:cs="Arial"/>
                <w:sz w:val="15"/>
                <w:szCs w:val="15"/>
              </w:rPr>
              <w:t>Gpt</w:t>
            </w:r>
            <w:proofErr w:type="spellEnd"/>
            <w:r w:rsidRPr="00251EA9">
              <w:rPr>
                <w:rFonts w:ascii="Arial" w:hAnsi="Arial" w:cs="Arial"/>
                <w:sz w:val="15"/>
                <w:szCs w:val="15"/>
              </w:rPr>
              <w:t>/l).</w:t>
            </w:r>
          </w:p>
        </w:tc>
        <w:tc>
          <w:tcPr>
            <w:tcW w:w="2693" w:type="dxa"/>
          </w:tcPr>
          <w:p w14:paraId="4A37B890" w14:textId="55349698" w:rsidR="006E5533" w:rsidRPr="00251EA9" w:rsidRDefault="006E5533" w:rsidP="006E5533">
            <w:pPr>
              <w:rPr>
                <w:rFonts w:ascii="Arial" w:hAnsi="Arial" w:cs="Arial"/>
                <w:sz w:val="15"/>
                <w:szCs w:val="15"/>
              </w:rPr>
            </w:pPr>
            <w:r w:rsidRPr="00251EA9">
              <w:rPr>
                <w:rFonts w:ascii="Arial" w:hAnsi="Arial" w:cs="Arial"/>
                <w:sz w:val="15"/>
                <w:szCs w:val="15"/>
              </w:rPr>
              <w:t>Bone flap infection occurred in 24 patients (7.3%).</w:t>
            </w:r>
          </w:p>
        </w:tc>
        <w:tc>
          <w:tcPr>
            <w:tcW w:w="1701" w:type="dxa"/>
          </w:tcPr>
          <w:p w14:paraId="56B04879" w14:textId="655B63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D9C0F10" w14:textId="77777777" w:rsidTr="00A77951">
        <w:trPr>
          <w:trHeight w:val="586"/>
        </w:trPr>
        <w:tc>
          <w:tcPr>
            <w:tcW w:w="992" w:type="dxa"/>
          </w:tcPr>
          <w:p w14:paraId="2BC4E2E4" w14:textId="4C78A93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Rasouli</w:t>
            </w:r>
            <w:proofErr w:type="spellEnd"/>
            <w:r w:rsidRPr="00251EA9">
              <w:rPr>
                <w:rFonts w:ascii="Arial" w:hAnsi="Arial" w:cs="Arial"/>
                <w:sz w:val="15"/>
                <w:szCs w:val="15"/>
              </w:rPr>
              <w:t xml:space="preserve"> J. et al., 2016</w:t>
            </w:r>
          </w:p>
        </w:tc>
        <w:tc>
          <w:tcPr>
            <w:tcW w:w="851" w:type="dxa"/>
          </w:tcPr>
          <w:p w14:paraId="794A0427" w14:textId="187073A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10.1016/j.wneu.2016.07.063</w:t>
            </w:r>
          </w:p>
        </w:tc>
        <w:tc>
          <w:tcPr>
            <w:tcW w:w="851" w:type="dxa"/>
          </w:tcPr>
          <w:p w14:paraId="3B41075D" w14:textId="423458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8C46003" w14:textId="5391CA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0A43C24" w14:textId="5BCB33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7A3FDE2" w14:textId="2A06BA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594F818B" w14:textId="09DBC7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systematically examine the safe and effective use of vancomycin powder on DBS hardware. </w:t>
            </w:r>
          </w:p>
        </w:tc>
        <w:tc>
          <w:tcPr>
            <w:tcW w:w="1134" w:type="dxa"/>
          </w:tcPr>
          <w:p w14:paraId="5A29A569"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ABB86EA" w14:textId="75A019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7336359" w14:textId="43D428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69772AD7" w14:textId="4DE8EB51" w:rsidR="006E5533" w:rsidRPr="00251EA9" w:rsidRDefault="006E5533" w:rsidP="006E5533">
            <w:pPr>
              <w:rPr>
                <w:rFonts w:ascii="Arial" w:hAnsi="Arial" w:cs="Arial"/>
                <w:sz w:val="15"/>
                <w:szCs w:val="15"/>
              </w:rPr>
            </w:pPr>
            <w:r w:rsidRPr="00251EA9">
              <w:rPr>
                <w:rFonts w:ascii="Arial" w:hAnsi="Arial" w:cs="Arial"/>
                <w:sz w:val="15"/>
                <w:szCs w:val="15"/>
              </w:rPr>
              <w:t>297 patients underwent DBS-related surgery. There were 4 instances of post-operative SSI (1.3%), all instances of SSI occurred exclusively in patients’ with</w:t>
            </w:r>
            <w:r w:rsidRPr="00251EA9">
              <w:rPr>
                <w:rFonts w:ascii="Arial" w:hAnsi="Arial" w:cs="Arial"/>
                <w:sz w:val="15"/>
                <w:szCs w:val="15"/>
              </w:rPr>
              <w:br/>
              <w:t>Parkinson Disease. All patients who developed post-operative SSI were treated with hardware removal in the operating room and antibiotics.</w:t>
            </w:r>
          </w:p>
        </w:tc>
        <w:tc>
          <w:tcPr>
            <w:tcW w:w="1701" w:type="dxa"/>
          </w:tcPr>
          <w:p w14:paraId="1BB36E52" w14:textId="225729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9500FA1" w14:textId="77777777" w:rsidTr="00A77951">
        <w:trPr>
          <w:trHeight w:val="586"/>
        </w:trPr>
        <w:tc>
          <w:tcPr>
            <w:tcW w:w="992" w:type="dxa"/>
          </w:tcPr>
          <w:p w14:paraId="71E77D3A" w14:textId="71D7484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Ratanalert</w:t>
            </w:r>
            <w:proofErr w:type="spellEnd"/>
            <w:r w:rsidRPr="00251EA9">
              <w:rPr>
                <w:rFonts w:ascii="Arial" w:hAnsi="Arial" w:cs="Arial"/>
                <w:sz w:val="15"/>
                <w:szCs w:val="15"/>
              </w:rPr>
              <w:t xml:space="preserve"> S. et al., 2004</w:t>
            </w:r>
          </w:p>
        </w:tc>
        <w:tc>
          <w:tcPr>
            <w:tcW w:w="851" w:type="dxa"/>
          </w:tcPr>
          <w:p w14:paraId="1AAFB7D8" w14:textId="2D111D3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10.1016/j.jocn.2004.03.024</w:t>
            </w:r>
          </w:p>
        </w:tc>
        <w:tc>
          <w:tcPr>
            <w:tcW w:w="851" w:type="dxa"/>
          </w:tcPr>
          <w:p w14:paraId="58BC157A" w14:textId="3D7193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Thailand</w:t>
            </w:r>
          </w:p>
        </w:tc>
        <w:tc>
          <w:tcPr>
            <w:tcW w:w="1134" w:type="dxa"/>
          </w:tcPr>
          <w:p w14:paraId="4290C974" w14:textId="662128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478D42B4" w14:textId="0D0134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144CBE2" w14:textId="126944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174E6470" w14:textId="5ED9E5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whether non-shaved patients undergoing ventriculoperitoneal shunt operations would experience a significantly increased shunt infection rate as compared to shaved patients. </w:t>
            </w:r>
          </w:p>
        </w:tc>
        <w:tc>
          <w:tcPr>
            <w:tcW w:w="1134" w:type="dxa"/>
          </w:tcPr>
          <w:p w14:paraId="356FCD2B" w14:textId="0C265E52" w:rsidR="006E5533" w:rsidRPr="00251EA9" w:rsidRDefault="006E5533" w:rsidP="006E5533">
            <w:pPr>
              <w:spacing w:line="360" w:lineRule="auto"/>
              <w:contextualSpacing/>
              <w:rPr>
                <w:rFonts w:ascii="Arial" w:hAnsi="Arial" w:cs="Arial"/>
                <w:sz w:val="15"/>
                <w:szCs w:val="15"/>
              </w:rPr>
            </w:pPr>
          </w:p>
        </w:tc>
        <w:tc>
          <w:tcPr>
            <w:tcW w:w="992" w:type="dxa"/>
          </w:tcPr>
          <w:p w14:paraId="1D1EB21B" w14:textId="0904E4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DA37439" w14:textId="00C9E4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2AE944F" w14:textId="55D1E36E" w:rsidR="006E5533" w:rsidRPr="00251EA9" w:rsidRDefault="006E5533" w:rsidP="006E5533">
            <w:pPr>
              <w:rPr>
                <w:rFonts w:ascii="Arial" w:hAnsi="Arial" w:cs="Arial"/>
                <w:sz w:val="15"/>
                <w:szCs w:val="15"/>
              </w:rPr>
            </w:pPr>
            <w:r w:rsidRPr="00251EA9">
              <w:rPr>
                <w:rFonts w:ascii="Arial" w:hAnsi="Arial" w:cs="Arial"/>
                <w:sz w:val="15"/>
                <w:szCs w:val="15"/>
              </w:rPr>
              <w:t>The shunt infection rate in the non-shaved and shaved groups was 6.25% and</w:t>
            </w:r>
            <w:r w:rsidRPr="00251EA9">
              <w:rPr>
                <w:rFonts w:ascii="Arial" w:hAnsi="Arial" w:cs="Arial"/>
                <w:sz w:val="15"/>
                <w:szCs w:val="15"/>
              </w:rPr>
              <w:br/>
              <w:t>14.94%, respectively.</w:t>
            </w:r>
          </w:p>
        </w:tc>
        <w:tc>
          <w:tcPr>
            <w:tcW w:w="1701" w:type="dxa"/>
          </w:tcPr>
          <w:p w14:paraId="3E7C803A" w14:textId="03C7FB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8EBB7D" w14:textId="77777777" w:rsidTr="00A77951">
        <w:trPr>
          <w:trHeight w:val="586"/>
        </w:trPr>
        <w:tc>
          <w:tcPr>
            <w:tcW w:w="992" w:type="dxa"/>
          </w:tcPr>
          <w:p w14:paraId="7FEFEB0F" w14:textId="6B002FA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Rauhala</w:t>
            </w:r>
            <w:proofErr w:type="spellEnd"/>
            <w:r w:rsidRPr="00251EA9">
              <w:rPr>
                <w:rFonts w:ascii="Arial" w:hAnsi="Arial" w:cs="Arial"/>
                <w:sz w:val="15"/>
                <w:szCs w:val="15"/>
              </w:rPr>
              <w:t xml:space="preserve"> M. et al., 2020</w:t>
            </w:r>
          </w:p>
        </w:tc>
        <w:tc>
          <w:tcPr>
            <w:tcW w:w="851" w:type="dxa"/>
          </w:tcPr>
          <w:p w14:paraId="6219923B" w14:textId="0499A6A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w:t>
            </w:r>
            <w:r w:rsidRPr="00A77951">
              <w:rPr>
                <w:rFonts w:ascii="Arial" w:hAnsi="Arial" w:cs="Arial"/>
                <w:sz w:val="15"/>
                <w:szCs w:val="15"/>
              </w:rPr>
              <w:lastRenderedPageBreak/>
              <w:t>020-04398-3</w:t>
            </w:r>
          </w:p>
        </w:tc>
        <w:tc>
          <w:tcPr>
            <w:tcW w:w="851" w:type="dxa"/>
          </w:tcPr>
          <w:p w14:paraId="321993B7" w14:textId="17C7E4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Finland</w:t>
            </w:r>
          </w:p>
        </w:tc>
        <w:tc>
          <w:tcPr>
            <w:tcW w:w="1134" w:type="dxa"/>
          </w:tcPr>
          <w:p w14:paraId="1A44914D" w14:textId="470CA2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386E4D4" w14:textId="0C74EA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9057925" w14:textId="6D8B9E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6205825E" w14:textId="6BFBE0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examine the population-based incidence, </w:t>
            </w:r>
            <w:r w:rsidRPr="00251EA9">
              <w:rPr>
                <w:rFonts w:ascii="Arial" w:hAnsi="Arial" w:cs="Arial"/>
                <w:sz w:val="15"/>
                <w:szCs w:val="15"/>
              </w:rPr>
              <w:lastRenderedPageBreak/>
              <w:t>complications, and total, direct hospital costs of chronic subdural hematoma (CSDH) treatment in a neurosurgical clinic during a 26-year period.</w:t>
            </w:r>
          </w:p>
        </w:tc>
        <w:tc>
          <w:tcPr>
            <w:tcW w:w="1134" w:type="dxa"/>
          </w:tcPr>
          <w:p w14:paraId="086728C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894A2A6" w14:textId="10B9E9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930AF44" w14:textId="60CC04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BC0B25F" w14:textId="627C8112" w:rsidR="006E5533" w:rsidRPr="00251EA9" w:rsidRDefault="006E5533" w:rsidP="006E5533">
            <w:pPr>
              <w:rPr>
                <w:rFonts w:ascii="Arial" w:hAnsi="Arial" w:cs="Arial"/>
                <w:sz w:val="15"/>
                <w:szCs w:val="15"/>
              </w:rPr>
            </w:pPr>
            <w:r w:rsidRPr="00251EA9">
              <w:rPr>
                <w:rFonts w:ascii="Arial" w:hAnsi="Arial" w:cs="Arial"/>
                <w:sz w:val="15"/>
                <w:szCs w:val="15"/>
              </w:rPr>
              <w:t>Reported 29 patients were diagnosed with SSI.</w:t>
            </w:r>
          </w:p>
        </w:tc>
        <w:tc>
          <w:tcPr>
            <w:tcW w:w="1701" w:type="dxa"/>
          </w:tcPr>
          <w:p w14:paraId="0A87CB4B" w14:textId="400577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396638F" w14:textId="77777777" w:rsidTr="00A77951">
        <w:trPr>
          <w:trHeight w:val="586"/>
        </w:trPr>
        <w:tc>
          <w:tcPr>
            <w:tcW w:w="992" w:type="dxa"/>
          </w:tcPr>
          <w:p w14:paraId="7409F9F9" w14:textId="4E900D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Ravikumar V. et al., 2017</w:t>
            </w:r>
          </w:p>
        </w:tc>
        <w:tc>
          <w:tcPr>
            <w:tcW w:w="851" w:type="dxa"/>
          </w:tcPr>
          <w:p w14:paraId="02217B51" w14:textId="159A79C8"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10.1093/neuros/nyw127</w:t>
            </w:r>
          </w:p>
        </w:tc>
        <w:tc>
          <w:tcPr>
            <w:tcW w:w="851" w:type="dxa"/>
          </w:tcPr>
          <w:p w14:paraId="3DC7C044" w14:textId="645B81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327BF74" w14:textId="20FA07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6E89B50" w14:textId="1E38D4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49AFB31" w14:textId="4583C8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8A36A4D" w14:textId="0E93BB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efficacy of intrawound topical vancomycin for prevention of SSIs following open craniotomies.</w:t>
            </w:r>
          </w:p>
        </w:tc>
        <w:tc>
          <w:tcPr>
            <w:tcW w:w="1134" w:type="dxa"/>
          </w:tcPr>
          <w:p w14:paraId="3032149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C4BDD9D" w14:textId="1AF980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58188D4" w14:textId="2AC774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SSI was defined as any craniotomy-related</w:t>
            </w:r>
            <w:r w:rsidR="00EB5330">
              <w:rPr>
                <w:rFonts w:ascii="Arial" w:hAnsi="Arial" w:cs="Arial"/>
                <w:sz w:val="15"/>
                <w:szCs w:val="15"/>
              </w:rPr>
              <w:t xml:space="preserve"> </w:t>
            </w:r>
            <w:r w:rsidRPr="00251EA9">
              <w:rPr>
                <w:rFonts w:ascii="Arial" w:hAnsi="Arial" w:cs="Arial"/>
                <w:sz w:val="15"/>
                <w:szCs w:val="15"/>
              </w:rPr>
              <w:t>infection (superficial, deep, meningitis, etc.) following craniotomy that</w:t>
            </w:r>
            <w:r w:rsidR="00EB5330">
              <w:rPr>
                <w:rFonts w:ascii="Arial" w:hAnsi="Arial" w:cs="Arial"/>
                <w:sz w:val="15"/>
                <w:szCs w:val="15"/>
              </w:rPr>
              <w:t xml:space="preserve"> </w:t>
            </w:r>
            <w:r w:rsidRPr="00251EA9">
              <w:rPr>
                <w:rFonts w:ascii="Arial" w:hAnsi="Arial" w:cs="Arial"/>
                <w:sz w:val="15"/>
                <w:szCs w:val="15"/>
              </w:rPr>
              <w:t>was documented in the medical record</w:t>
            </w:r>
          </w:p>
        </w:tc>
        <w:tc>
          <w:tcPr>
            <w:tcW w:w="2693" w:type="dxa"/>
          </w:tcPr>
          <w:p w14:paraId="656B2114" w14:textId="0CA45145" w:rsidR="006E5533" w:rsidRPr="00251EA9" w:rsidRDefault="006E5533" w:rsidP="006E5533">
            <w:pPr>
              <w:rPr>
                <w:rFonts w:ascii="Arial" w:hAnsi="Arial" w:cs="Arial"/>
                <w:sz w:val="15"/>
                <w:szCs w:val="15"/>
              </w:rPr>
            </w:pPr>
            <w:proofErr w:type="gramStart"/>
            <w:r w:rsidRPr="00251EA9">
              <w:rPr>
                <w:rFonts w:ascii="Arial" w:hAnsi="Arial" w:cs="Arial"/>
                <w:sz w:val="15"/>
                <w:szCs w:val="15"/>
              </w:rPr>
              <w:t>:Our</w:t>
            </w:r>
            <w:proofErr w:type="gramEnd"/>
            <w:r w:rsidRPr="00251EA9">
              <w:rPr>
                <w:rFonts w:ascii="Arial" w:hAnsi="Arial" w:cs="Arial"/>
                <w:sz w:val="15"/>
                <w:szCs w:val="15"/>
              </w:rPr>
              <w:t xml:space="preserve"> preintervention incidence of SSI was 2.2% and this was significantly reduced</w:t>
            </w:r>
            <w:r w:rsidRPr="00251EA9">
              <w:rPr>
                <w:rFonts w:ascii="Arial" w:hAnsi="Arial" w:cs="Arial"/>
                <w:sz w:val="15"/>
                <w:szCs w:val="15"/>
              </w:rPr>
              <w:br/>
              <w:t>to 0% following introduction of topical vancomycin (P &lt; .5). An ad hoc cost analysis</w:t>
            </w:r>
            <w:r w:rsidRPr="00251EA9">
              <w:rPr>
                <w:rFonts w:ascii="Arial" w:hAnsi="Arial" w:cs="Arial"/>
                <w:sz w:val="15"/>
                <w:szCs w:val="15"/>
              </w:rPr>
              <w:br/>
              <w:t>suggested a cost savings of $59 965 with the use of topical vancomycin for craniotomies</w:t>
            </w:r>
          </w:p>
        </w:tc>
        <w:tc>
          <w:tcPr>
            <w:tcW w:w="1701" w:type="dxa"/>
          </w:tcPr>
          <w:p w14:paraId="59E0E3F7" w14:textId="082C13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5A7A7C2" w14:textId="77777777" w:rsidTr="00A77951">
        <w:trPr>
          <w:trHeight w:val="586"/>
        </w:trPr>
        <w:tc>
          <w:tcPr>
            <w:tcW w:w="992" w:type="dxa"/>
          </w:tcPr>
          <w:p w14:paraId="5CE743B5" w14:textId="004C4D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Raviv N. et al., 2020</w:t>
            </w:r>
          </w:p>
        </w:tc>
        <w:tc>
          <w:tcPr>
            <w:tcW w:w="851" w:type="dxa"/>
          </w:tcPr>
          <w:p w14:paraId="4C98DA83" w14:textId="623EBAD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10.3171/2020.</w:t>
            </w:r>
            <w:proofErr w:type="gramStart"/>
            <w:r w:rsidRPr="00A77951">
              <w:rPr>
                <w:rFonts w:ascii="Arial" w:hAnsi="Arial" w:cs="Arial"/>
                <w:sz w:val="15"/>
                <w:szCs w:val="15"/>
              </w:rPr>
              <w:t>5.PEDS</w:t>
            </w:r>
            <w:proofErr w:type="gramEnd"/>
            <w:r w:rsidRPr="00A77951">
              <w:rPr>
                <w:rFonts w:ascii="Arial" w:hAnsi="Arial" w:cs="Arial"/>
                <w:sz w:val="15"/>
                <w:szCs w:val="15"/>
              </w:rPr>
              <w:t>2019</w:t>
            </w:r>
          </w:p>
        </w:tc>
        <w:tc>
          <w:tcPr>
            <w:tcW w:w="851" w:type="dxa"/>
          </w:tcPr>
          <w:p w14:paraId="2F1D7010" w14:textId="42F1BB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760F294" w14:textId="23D8CF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D46C64B" w14:textId="7462EE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1F3223BC" w14:textId="56A36A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Paediatrics</w:t>
            </w:r>
          </w:p>
        </w:tc>
        <w:tc>
          <w:tcPr>
            <w:tcW w:w="1843" w:type="dxa"/>
          </w:tcPr>
          <w:p w14:paraId="619199C5" w14:textId="7A6C40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incidence of acute fever in the postoperative paediatric neurosurgical population, as well as to assess the utility of performing further workup on these patients.</w:t>
            </w:r>
          </w:p>
        </w:tc>
        <w:tc>
          <w:tcPr>
            <w:tcW w:w="1134" w:type="dxa"/>
          </w:tcPr>
          <w:p w14:paraId="29C4F66E" w14:textId="25E8762B" w:rsidR="006E5533" w:rsidRPr="00251EA9" w:rsidRDefault="006E5533" w:rsidP="006E5533">
            <w:pPr>
              <w:spacing w:line="360" w:lineRule="auto"/>
              <w:contextualSpacing/>
              <w:rPr>
                <w:rFonts w:ascii="Arial" w:hAnsi="Arial" w:cs="Arial"/>
                <w:sz w:val="15"/>
                <w:szCs w:val="15"/>
              </w:rPr>
            </w:pPr>
          </w:p>
        </w:tc>
        <w:tc>
          <w:tcPr>
            <w:tcW w:w="992" w:type="dxa"/>
          </w:tcPr>
          <w:p w14:paraId="042EA7F7" w14:textId="372B10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CEE6595" w14:textId="1E0E37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0BBB71B" w14:textId="56CC3A4F" w:rsidR="006E5533" w:rsidRPr="00251EA9" w:rsidRDefault="006E5533" w:rsidP="006E5533">
            <w:pPr>
              <w:rPr>
                <w:rFonts w:ascii="Arial" w:hAnsi="Arial" w:cs="Arial"/>
                <w:sz w:val="15"/>
                <w:szCs w:val="15"/>
              </w:rPr>
            </w:pPr>
            <w:r w:rsidRPr="00251EA9">
              <w:rPr>
                <w:rFonts w:ascii="Arial" w:hAnsi="Arial" w:cs="Arial"/>
                <w:sz w:val="15"/>
                <w:szCs w:val="15"/>
              </w:rPr>
              <w:t>1% (2/143) of the patients with fevers were found to have an infection during the first 4 days (1 UTI and 1 CSF infection), and 8 patients (6 of whom had experienced acute postoperative fevers) developed a complication after the initial 4 days and within the first 30 days post-operatively (including 1 wound dehiscence requiring return to the operating room for closure with negative cultures, 1 CSF leak</w:t>
            </w:r>
            <w:r w:rsidRPr="00251EA9">
              <w:rPr>
                <w:rFonts w:ascii="Arial" w:hAnsi="Arial" w:cs="Arial"/>
                <w:sz w:val="15"/>
                <w:szCs w:val="15"/>
              </w:rPr>
              <w:br/>
              <w:t>requiring repair and 3 CSF infections).</w:t>
            </w:r>
          </w:p>
        </w:tc>
        <w:tc>
          <w:tcPr>
            <w:tcW w:w="1701" w:type="dxa"/>
          </w:tcPr>
          <w:p w14:paraId="2C6C6692" w14:textId="503CBB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E409679" w14:textId="77777777" w:rsidTr="00A77951">
        <w:trPr>
          <w:trHeight w:val="586"/>
        </w:trPr>
        <w:tc>
          <w:tcPr>
            <w:tcW w:w="992" w:type="dxa"/>
          </w:tcPr>
          <w:p w14:paraId="04D27039" w14:textId="125894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Reddy S. et al., 2014</w:t>
            </w:r>
          </w:p>
        </w:tc>
        <w:tc>
          <w:tcPr>
            <w:tcW w:w="851" w:type="dxa"/>
          </w:tcPr>
          <w:p w14:paraId="6E3A82F0" w14:textId="1B925AAB"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PMID: 25264642</w:t>
            </w:r>
          </w:p>
        </w:tc>
        <w:tc>
          <w:tcPr>
            <w:tcW w:w="851" w:type="dxa"/>
          </w:tcPr>
          <w:p w14:paraId="1827F3BB" w14:textId="3B3775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FBE092D" w14:textId="3222BE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4872DEAF" w14:textId="06F643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9D5C985" w14:textId="383ED3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19A0ED61" w14:textId="23663D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risk factors for intracranial haemorrhage in geriatric patients following ground-level falls, including preinjury use of specific anticoagulant or antiplatelet agents.</w:t>
            </w:r>
          </w:p>
        </w:tc>
        <w:tc>
          <w:tcPr>
            <w:tcW w:w="1134" w:type="dxa"/>
          </w:tcPr>
          <w:p w14:paraId="4DBF51AB" w14:textId="1EAB90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Vs without use of anticoagulant medication</w:t>
            </w:r>
          </w:p>
        </w:tc>
        <w:tc>
          <w:tcPr>
            <w:tcW w:w="992" w:type="dxa"/>
          </w:tcPr>
          <w:p w14:paraId="3FACE623" w14:textId="568039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7059E76" w14:textId="57AC08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D9CF539" w14:textId="445287DD" w:rsidR="006E5533" w:rsidRPr="00251EA9" w:rsidRDefault="006E5533" w:rsidP="006E5533">
            <w:pPr>
              <w:rPr>
                <w:rFonts w:ascii="Arial" w:hAnsi="Arial" w:cs="Arial"/>
                <w:sz w:val="15"/>
                <w:szCs w:val="15"/>
              </w:rPr>
            </w:pPr>
            <w:r w:rsidRPr="00251EA9">
              <w:rPr>
                <w:rFonts w:ascii="Arial" w:hAnsi="Arial" w:cs="Arial"/>
                <w:sz w:val="15"/>
                <w:szCs w:val="15"/>
              </w:rPr>
              <w:t xml:space="preserve">18 patients had complications including SSI. </w:t>
            </w:r>
          </w:p>
        </w:tc>
        <w:tc>
          <w:tcPr>
            <w:tcW w:w="1701" w:type="dxa"/>
          </w:tcPr>
          <w:p w14:paraId="69787C2C" w14:textId="1B4A9A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BFE587D" w14:textId="77777777" w:rsidTr="00A77951">
        <w:trPr>
          <w:trHeight w:val="586"/>
        </w:trPr>
        <w:tc>
          <w:tcPr>
            <w:tcW w:w="992" w:type="dxa"/>
          </w:tcPr>
          <w:p w14:paraId="1F6F4267" w14:textId="53A567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Rehman A.U. et al., 2010</w:t>
            </w:r>
          </w:p>
        </w:tc>
        <w:tc>
          <w:tcPr>
            <w:tcW w:w="851" w:type="dxa"/>
          </w:tcPr>
          <w:p w14:paraId="78AE06C9" w14:textId="58AD0B1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10.3171/2010.</w:t>
            </w:r>
            <w:proofErr w:type="gramStart"/>
            <w:r w:rsidRPr="00A77951">
              <w:rPr>
                <w:rFonts w:ascii="Arial" w:hAnsi="Arial" w:cs="Arial"/>
                <w:sz w:val="15"/>
                <w:szCs w:val="15"/>
              </w:rPr>
              <w:t>2.PEDS</w:t>
            </w:r>
            <w:proofErr w:type="gramEnd"/>
            <w:r w:rsidRPr="00A77951">
              <w:rPr>
                <w:rFonts w:ascii="Arial" w:hAnsi="Arial" w:cs="Arial"/>
                <w:sz w:val="15"/>
                <w:szCs w:val="15"/>
              </w:rPr>
              <w:t>09151</w:t>
            </w:r>
          </w:p>
        </w:tc>
        <w:tc>
          <w:tcPr>
            <w:tcW w:w="851" w:type="dxa"/>
          </w:tcPr>
          <w:p w14:paraId="0A532271" w14:textId="399BF3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Pakistan</w:t>
            </w:r>
          </w:p>
        </w:tc>
        <w:tc>
          <w:tcPr>
            <w:tcW w:w="1134" w:type="dxa"/>
          </w:tcPr>
          <w:p w14:paraId="325D054B" w14:textId="7B859E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35A0E996" w14:textId="215567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792DE313" w14:textId="164004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06D49F5" w14:textId="20DE05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if the rate of postoperative shunt infections could be reduced simply by changing gloves before handling the shunt catheter.</w:t>
            </w:r>
          </w:p>
        </w:tc>
        <w:tc>
          <w:tcPr>
            <w:tcW w:w="1134" w:type="dxa"/>
          </w:tcPr>
          <w:p w14:paraId="2BBB3829" w14:textId="00914B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Standard protocol VP shunt placement (Group A). </w:t>
            </w:r>
            <w:r w:rsidRPr="00251EA9">
              <w:rPr>
                <w:rFonts w:ascii="Arial" w:hAnsi="Arial" w:cs="Arial"/>
                <w:sz w:val="15"/>
                <w:szCs w:val="15"/>
              </w:rPr>
              <w:br/>
              <w:t>After initially double gloving, the outer pair of gloves was removed before handling the shunt catheter (Group B).</w:t>
            </w:r>
          </w:p>
        </w:tc>
        <w:tc>
          <w:tcPr>
            <w:tcW w:w="992" w:type="dxa"/>
          </w:tcPr>
          <w:p w14:paraId="486655FC" w14:textId="5D3FA3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8FD7D44" w14:textId="674700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CSF culture</w:t>
            </w:r>
          </w:p>
        </w:tc>
        <w:tc>
          <w:tcPr>
            <w:tcW w:w="2693" w:type="dxa"/>
          </w:tcPr>
          <w:p w14:paraId="4FBB4F93" w14:textId="4D0A18AE" w:rsidR="006E5533" w:rsidRPr="00251EA9" w:rsidRDefault="006E5533" w:rsidP="006E5533">
            <w:pPr>
              <w:rPr>
                <w:rFonts w:ascii="Arial" w:hAnsi="Arial" w:cs="Arial"/>
                <w:sz w:val="15"/>
                <w:szCs w:val="15"/>
              </w:rPr>
            </w:pPr>
            <w:r w:rsidRPr="00251EA9">
              <w:rPr>
                <w:rFonts w:ascii="Arial" w:hAnsi="Arial" w:cs="Arial"/>
                <w:sz w:val="15"/>
                <w:szCs w:val="15"/>
              </w:rPr>
              <w:t xml:space="preserve">By the 6-month interval, 10 infections had occurred (overall infection rate 9.80%). Of these, 8 infections occurred in the remaining 49 Group A patients (infection rate 16.33%) and 2 occurred in the remaining 53 Group B patients (infection rate 3.77%). </w:t>
            </w:r>
          </w:p>
        </w:tc>
        <w:tc>
          <w:tcPr>
            <w:tcW w:w="1701" w:type="dxa"/>
          </w:tcPr>
          <w:p w14:paraId="5FE8AB3E" w14:textId="18BDAD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34DA80A" w14:textId="77777777" w:rsidTr="00A77951">
        <w:trPr>
          <w:trHeight w:val="586"/>
        </w:trPr>
        <w:tc>
          <w:tcPr>
            <w:tcW w:w="992" w:type="dxa"/>
          </w:tcPr>
          <w:p w14:paraId="2C7BFA7C" w14:textId="04B96B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Renz N. et al., 2018</w:t>
            </w:r>
          </w:p>
        </w:tc>
        <w:tc>
          <w:tcPr>
            <w:tcW w:w="851" w:type="dxa"/>
          </w:tcPr>
          <w:p w14:paraId="126AD7E9" w14:textId="018E66D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10.1016/j.wneu.2018.05.017</w:t>
            </w:r>
          </w:p>
        </w:tc>
        <w:tc>
          <w:tcPr>
            <w:tcW w:w="851" w:type="dxa"/>
          </w:tcPr>
          <w:p w14:paraId="2B4527C9" w14:textId="0CD2A9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17142177" w14:textId="4D5E08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7A5484BB" w14:textId="464CF5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774E41C" w14:textId="500DC2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A5FC87B" w14:textId="2DF529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clinical, laboratory, and microbiological characteristics of intracranial infections after neurosurgery.</w:t>
            </w:r>
          </w:p>
        </w:tc>
        <w:tc>
          <w:tcPr>
            <w:tcW w:w="1134" w:type="dxa"/>
          </w:tcPr>
          <w:p w14:paraId="479B0D5F"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25CC490" w14:textId="15D727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2CF321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Purulent wound discharge </w:t>
            </w:r>
          </w:p>
          <w:p w14:paraId="71C1F8D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Significant microbial growth in wound swabs or tissue samples</w:t>
            </w:r>
          </w:p>
          <w:p w14:paraId="39754C4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3.histopathological proof of infection </w:t>
            </w:r>
          </w:p>
          <w:p w14:paraId="63FCA59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4. Local signs of infection </w:t>
            </w:r>
          </w:p>
          <w:p w14:paraId="6E69BBF1"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5. Depiction of an infection focus during surgery (abscess, empyema, osteomyelitis) or by magnetic resonance imaging or computed tomography </w:t>
            </w:r>
          </w:p>
          <w:p w14:paraId="5BED93FD" w14:textId="695BF2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6. Infection diagnosed by the treating neurosurgeon and infectious diseases specialist.</w:t>
            </w:r>
          </w:p>
        </w:tc>
        <w:tc>
          <w:tcPr>
            <w:tcW w:w="2693" w:type="dxa"/>
          </w:tcPr>
          <w:p w14:paraId="44533C48" w14:textId="425BCF1C" w:rsidR="006E5533" w:rsidRPr="00251EA9" w:rsidRDefault="006E5533" w:rsidP="006E5533">
            <w:pPr>
              <w:rPr>
                <w:rFonts w:ascii="Arial" w:hAnsi="Arial" w:cs="Arial"/>
                <w:sz w:val="15"/>
                <w:szCs w:val="15"/>
              </w:rPr>
            </w:pPr>
            <w:r w:rsidRPr="00251EA9">
              <w:rPr>
                <w:rFonts w:ascii="Arial" w:hAnsi="Arial" w:cs="Arial"/>
                <w:sz w:val="15"/>
                <w:szCs w:val="15"/>
              </w:rPr>
              <w:lastRenderedPageBreak/>
              <w:t>Among 103 infections, 58 (56%) were extradural (including 31 skin and soft-tissue infections, 15 bone-flap infections, and 12 epidural empyema), 33 (32%) intradural (including 14 meningitis, 13 cerebral abscess, and 6 subdural empyema cases), and 12 (12%) were device-associated (involving 10 CSF-shunt and 2 deep brain stimulators).</w:t>
            </w:r>
          </w:p>
        </w:tc>
        <w:tc>
          <w:tcPr>
            <w:tcW w:w="1701" w:type="dxa"/>
          </w:tcPr>
          <w:p w14:paraId="483C7B29" w14:textId="4C2599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4717F5F" w14:textId="77777777" w:rsidTr="00A77951">
        <w:trPr>
          <w:trHeight w:val="586"/>
        </w:trPr>
        <w:tc>
          <w:tcPr>
            <w:tcW w:w="992" w:type="dxa"/>
          </w:tcPr>
          <w:p w14:paraId="41DD5550" w14:textId="37F2B89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Reponen</w:t>
            </w:r>
            <w:proofErr w:type="spellEnd"/>
            <w:r w:rsidRPr="00251EA9">
              <w:rPr>
                <w:rFonts w:ascii="Arial" w:hAnsi="Arial" w:cs="Arial"/>
                <w:sz w:val="15"/>
                <w:szCs w:val="15"/>
              </w:rPr>
              <w:t xml:space="preserve"> E. et al., 2016</w:t>
            </w:r>
          </w:p>
        </w:tc>
        <w:tc>
          <w:tcPr>
            <w:tcW w:w="851" w:type="dxa"/>
          </w:tcPr>
          <w:p w14:paraId="50499F93" w14:textId="4F0B190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10.1016/j.wneu.2016.03.102</w:t>
            </w:r>
          </w:p>
        </w:tc>
        <w:tc>
          <w:tcPr>
            <w:tcW w:w="851" w:type="dxa"/>
          </w:tcPr>
          <w:p w14:paraId="631EA924" w14:textId="1ACCA4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Finland</w:t>
            </w:r>
          </w:p>
        </w:tc>
        <w:tc>
          <w:tcPr>
            <w:tcW w:w="1134" w:type="dxa"/>
          </w:tcPr>
          <w:p w14:paraId="2A4BA412" w14:textId="074BB8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2E1FFC9" w14:textId="258D39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31E932B" w14:textId="1BD324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700A798" w14:textId="372946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study how Modified Rankin Scale (</w:t>
            </w:r>
            <w:proofErr w:type="spellStart"/>
            <w:r w:rsidRPr="00251EA9">
              <w:rPr>
                <w:rFonts w:ascii="Arial" w:hAnsi="Arial" w:cs="Arial"/>
                <w:sz w:val="15"/>
                <w:szCs w:val="15"/>
              </w:rPr>
              <w:t>mRS</w:t>
            </w:r>
            <w:proofErr w:type="spellEnd"/>
            <w:r w:rsidRPr="00251EA9">
              <w:rPr>
                <w:rFonts w:ascii="Arial" w:hAnsi="Arial" w:cs="Arial"/>
                <w:sz w:val="15"/>
                <w:szCs w:val="15"/>
              </w:rPr>
              <w:t>) changes associate with short-term postoperative outcome.</w:t>
            </w:r>
          </w:p>
        </w:tc>
        <w:tc>
          <w:tcPr>
            <w:tcW w:w="1134" w:type="dxa"/>
          </w:tcPr>
          <w:p w14:paraId="1F2A5D4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749CF61" w14:textId="21A191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5A57A81" w14:textId="183537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8597E87" w14:textId="1C2CA708" w:rsidR="006E5533" w:rsidRPr="00251EA9" w:rsidRDefault="006E5533" w:rsidP="006E5533">
            <w:pPr>
              <w:rPr>
                <w:rFonts w:ascii="Arial" w:hAnsi="Arial" w:cs="Arial"/>
                <w:sz w:val="15"/>
                <w:szCs w:val="15"/>
              </w:rPr>
            </w:pPr>
            <w:r w:rsidRPr="00251EA9">
              <w:rPr>
                <w:rFonts w:ascii="Arial" w:hAnsi="Arial" w:cs="Arial"/>
                <w:sz w:val="15"/>
                <w:szCs w:val="15"/>
              </w:rPr>
              <w:t>One or more in-hospital minor complications occurred in 159 (38%) of the surgical patients, of</w:t>
            </w:r>
            <w:r w:rsidRPr="00251EA9">
              <w:rPr>
                <w:rFonts w:ascii="Arial" w:hAnsi="Arial" w:cs="Arial"/>
                <w:sz w:val="15"/>
                <w:szCs w:val="15"/>
              </w:rPr>
              <w:br/>
              <w:t>whom 118 (74%) had no major complications at all. The three most frequent minor</w:t>
            </w:r>
            <w:r w:rsidRPr="00251EA9">
              <w:rPr>
                <w:rFonts w:ascii="Arial" w:hAnsi="Arial" w:cs="Arial"/>
                <w:sz w:val="15"/>
                <w:szCs w:val="15"/>
              </w:rPr>
              <w:br/>
              <w:t>complications comprised subjective postoperative visual disturbance (18%), dysphasia/dysarthria</w:t>
            </w:r>
            <w:r w:rsidRPr="00251EA9">
              <w:rPr>
                <w:rFonts w:ascii="Arial" w:hAnsi="Arial" w:cs="Arial"/>
                <w:sz w:val="15"/>
                <w:szCs w:val="15"/>
              </w:rPr>
              <w:br/>
              <w:t xml:space="preserve">(12%), and minor infections (9%). </w:t>
            </w:r>
          </w:p>
        </w:tc>
        <w:tc>
          <w:tcPr>
            <w:tcW w:w="1701" w:type="dxa"/>
          </w:tcPr>
          <w:p w14:paraId="7C57EECF" w14:textId="310D52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2BB439A" w14:textId="77777777" w:rsidTr="00A77951">
        <w:trPr>
          <w:trHeight w:val="586"/>
        </w:trPr>
        <w:tc>
          <w:tcPr>
            <w:tcW w:w="992" w:type="dxa"/>
          </w:tcPr>
          <w:p w14:paraId="5AFB6261" w14:textId="408C2F0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Reponen</w:t>
            </w:r>
            <w:proofErr w:type="spellEnd"/>
            <w:r w:rsidRPr="00251EA9">
              <w:rPr>
                <w:rFonts w:ascii="Arial" w:hAnsi="Arial" w:cs="Arial"/>
                <w:sz w:val="15"/>
                <w:szCs w:val="15"/>
              </w:rPr>
              <w:t xml:space="preserve"> E. et al., 2019</w:t>
            </w:r>
          </w:p>
        </w:tc>
        <w:tc>
          <w:tcPr>
            <w:tcW w:w="851" w:type="dxa"/>
          </w:tcPr>
          <w:p w14:paraId="2A2A86C2" w14:textId="77CBBE6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10.1093/neuros/nyy380</w:t>
            </w:r>
          </w:p>
        </w:tc>
        <w:tc>
          <w:tcPr>
            <w:tcW w:w="851" w:type="dxa"/>
          </w:tcPr>
          <w:p w14:paraId="78FA07F0" w14:textId="4DA5AD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Finland</w:t>
            </w:r>
          </w:p>
        </w:tc>
        <w:tc>
          <w:tcPr>
            <w:tcW w:w="1134" w:type="dxa"/>
          </w:tcPr>
          <w:p w14:paraId="2B0F8730" w14:textId="678E72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Prospective observational </w:t>
            </w:r>
          </w:p>
        </w:tc>
        <w:tc>
          <w:tcPr>
            <w:tcW w:w="992" w:type="dxa"/>
          </w:tcPr>
          <w:p w14:paraId="0DC1FFCD" w14:textId="7243E5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67F1A43" w14:textId="38FA6F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351F5E6C" w14:textId="3D35E0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whether nationwide quality of care programs in the United Kingdom and United States can measure differences in neurosurgical quality.</w:t>
            </w:r>
          </w:p>
        </w:tc>
        <w:tc>
          <w:tcPr>
            <w:tcW w:w="1134" w:type="dxa"/>
          </w:tcPr>
          <w:p w14:paraId="0F762629"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2A2ACF7" w14:textId="077DD3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5D250CD" w14:textId="309010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072B6D8" w14:textId="67121F51" w:rsidR="006E5533" w:rsidRPr="00251EA9" w:rsidRDefault="006E5533" w:rsidP="006E5533">
            <w:pPr>
              <w:rPr>
                <w:rFonts w:ascii="Arial" w:hAnsi="Arial" w:cs="Arial"/>
                <w:sz w:val="15"/>
                <w:szCs w:val="15"/>
              </w:rPr>
            </w:pPr>
            <w:r w:rsidRPr="00251EA9">
              <w:rPr>
                <w:rFonts w:ascii="Arial" w:hAnsi="Arial" w:cs="Arial"/>
                <w:sz w:val="15"/>
                <w:szCs w:val="15"/>
              </w:rPr>
              <w:t>9 episodes of wound infection/meningitis (2.2%) out of 418 cases</w:t>
            </w:r>
          </w:p>
        </w:tc>
        <w:tc>
          <w:tcPr>
            <w:tcW w:w="1701" w:type="dxa"/>
          </w:tcPr>
          <w:p w14:paraId="6BDD455F" w14:textId="1D5553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404037D" w14:textId="77777777" w:rsidTr="00A77951">
        <w:trPr>
          <w:trHeight w:val="586"/>
        </w:trPr>
        <w:tc>
          <w:tcPr>
            <w:tcW w:w="992" w:type="dxa"/>
          </w:tcPr>
          <w:p w14:paraId="6B4A9E40" w14:textId="498C66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Ribeiro B.B. et al., 2022</w:t>
            </w:r>
          </w:p>
        </w:tc>
        <w:tc>
          <w:tcPr>
            <w:tcW w:w="851" w:type="dxa"/>
          </w:tcPr>
          <w:p w14:paraId="27C4BF9D" w14:textId="5E53E502"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10.1097/j.pbj.0000000000000152</w:t>
            </w:r>
          </w:p>
        </w:tc>
        <w:tc>
          <w:tcPr>
            <w:tcW w:w="851" w:type="dxa"/>
          </w:tcPr>
          <w:p w14:paraId="28A5F12A" w14:textId="68662D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Portugal</w:t>
            </w:r>
          </w:p>
        </w:tc>
        <w:tc>
          <w:tcPr>
            <w:tcW w:w="1134" w:type="dxa"/>
          </w:tcPr>
          <w:p w14:paraId="0121B21A" w14:textId="0D82BE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4BA3AC2" w14:textId="36B5F4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76CD780" w14:textId="777003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03DB24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estimate the SSI-CRAN rate at</w:t>
            </w:r>
            <w:r w:rsidRPr="00251EA9">
              <w:rPr>
                <w:rFonts w:ascii="Arial" w:hAnsi="Arial" w:cs="Arial"/>
                <w:sz w:val="15"/>
                <w:szCs w:val="15"/>
              </w:rPr>
              <w:br/>
              <w:t xml:space="preserve">the neurosurgery department of a tertiary hospital and to identify risk factors for its occurrence. </w:t>
            </w:r>
          </w:p>
          <w:p w14:paraId="25944996" w14:textId="39EE10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most common causative pathogens and compare</w:t>
            </w:r>
            <w:r w:rsidRPr="00251EA9">
              <w:rPr>
                <w:rFonts w:ascii="Arial" w:hAnsi="Arial" w:cs="Arial"/>
                <w:sz w:val="15"/>
                <w:szCs w:val="15"/>
              </w:rPr>
              <w:br/>
              <w:t>outcomes of patients with and without SSI-CRAN.</w:t>
            </w:r>
          </w:p>
        </w:tc>
        <w:tc>
          <w:tcPr>
            <w:tcW w:w="1134" w:type="dxa"/>
          </w:tcPr>
          <w:p w14:paraId="44D7D24A" w14:textId="7CEDD239" w:rsidR="006E5533" w:rsidRPr="00251EA9" w:rsidRDefault="006E5533" w:rsidP="006E5533">
            <w:pPr>
              <w:spacing w:line="360" w:lineRule="auto"/>
              <w:contextualSpacing/>
              <w:rPr>
                <w:rFonts w:ascii="Arial" w:hAnsi="Arial" w:cs="Arial"/>
                <w:sz w:val="15"/>
                <w:szCs w:val="15"/>
              </w:rPr>
            </w:pPr>
          </w:p>
        </w:tc>
        <w:tc>
          <w:tcPr>
            <w:tcW w:w="992" w:type="dxa"/>
          </w:tcPr>
          <w:p w14:paraId="26AB2FB6" w14:textId="7B4BB6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0520FE5" w14:textId="48A598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European Centre for Disease Prevention and Control (ECDC)</w:t>
            </w:r>
          </w:p>
        </w:tc>
        <w:tc>
          <w:tcPr>
            <w:tcW w:w="2693" w:type="dxa"/>
          </w:tcPr>
          <w:p w14:paraId="37386F33" w14:textId="3C2D43DE" w:rsidR="006E5533" w:rsidRPr="00251EA9" w:rsidRDefault="006E5533" w:rsidP="006E5533">
            <w:pPr>
              <w:rPr>
                <w:rFonts w:ascii="Arial" w:hAnsi="Arial" w:cs="Arial"/>
                <w:sz w:val="15"/>
                <w:szCs w:val="15"/>
              </w:rPr>
            </w:pPr>
            <w:r w:rsidRPr="00251EA9">
              <w:rPr>
                <w:rFonts w:ascii="Arial" w:hAnsi="Arial" w:cs="Arial"/>
                <w:sz w:val="15"/>
                <w:szCs w:val="15"/>
              </w:rPr>
              <w:t>From the 271 patients enrolled in this study, 15 (5.5%) developed SSI-CRAN within 30 days post-surgery, 11 (73.3%) of</w:t>
            </w:r>
            <w:r w:rsidRPr="00251EA9">
              <w:rPr>
                <w:rFonts w:ascii="Arial" w:hAnsi="Arial" w:cs="Arial"/>
                <w:sz w:val="15"/>
                <w:szCs w:val="15"/>
              </w:rPr>
              <w:br/>
              <w:t xml:space="preserve">which were organ-space. The absence of normothermia and cerebrospinal fluid (CSF) leak were associated with SSI-CRAN. </w:t>
            </w:r>
          </w:p>
        </w:tc>
        <w:tc>
          <w:tcPr>
            <w:tcW w:w="1701" w:type="dxa"/>
          </w:tcPr>
          <w:p w14:paraId="0B0EDB69" w14:textId="785E04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E63A072" w14:textId="77777777" w:rsidTr="00A77951">
        <w:trPr>
          <w:trHeight w:val="586"/>
        </w:trPr>
        <w:tc>
          <w:tcPr>
            <w:tcW w:w="992" w:type="dxa"/>
          </w:tcPr>
          <w:p w14:paraId="7F95AA1F" w14:textId="010D0B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Richards H.K. et al., 2009</w:t>
            </w:r>
          </w:p>
        </w:tc>
        <w:tc>
          <w:tcPr>
            <w:tcW w:w="851" w:type="dxa"/>
          </w:tcPr>
          <w:p w14:paraId="58BD9E92" w14:textId="5385601B"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10.3171/2009.</w:t>
            </w:r>
            <w:proofErr w:type="gramStart"/>
            <w:r w:rsidRPr="00A77951">
              <w:rPr>
                <w:rFonts w:ascii="Arial" w:hAnsi="Arial" w:cs="Arial"/>
                <w:sz w:val="15"/>
                <w:szCs w:val="15"/>
              </w:rPr>
              <w:t>4.PEDS</w:t>
            </w:r>
            <w:proofErr w:type="gramEnd"/>
            <w:r w:rsidRPr="00A77951">
              <w:rPr>
                <w:rFonts w:ascii="Arial" w:hAnsi="Arial" w:cs="Arial"/>
                <w:sz w:val="15"/>
                <w:szCs w:val="15"/>
              </w:rPr>
              <w:t>09210</w:t>
            </w:r>
          </w:p>
        </w:tc>
        <w:tc>
          <w:tcPr>
            <w:tcW w:w="851" w:type="dxa"/>
          </w:tcPr>
          <w:p w14:paraId="2BAC6A2A" w14:textId="58AA5B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10718D53" w14:textId="2FE89C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F47683D" w14:textId="252ADC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176EA1E" w14:textId="37EEA3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6A004169" w14:textId="48119A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efficacy of antibiotic-impregnated catheters (AICs) against shunt infection by using a matched-pair study design.</w:t>
            </w:r>
          </w:p>
        </w:tc>
        <w:tc>
          <w:tcPr>
            <w:tcW w:w="1134" w:type="dxa"/>
          </w:tcPr>
          <w:p w14:paraId="26DA420C" w14:textId="665BA9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Antibiotic impregnated shunt (AIS) catheters vs non-AIS catheters.</w:t>
            </w:r>
          </w:p>
        </w:tc>
        <w:tc>
          <w:tcPr>
            <w:tcW w:w="992" w:type="dxa"/>
          </w:tcPr>
          <w:p w14:paraId="1E24853A" w14:textId="27BCB7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A17C4C1" w14:textId="26EBF3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CE41346" w14:textId="49E635CD" w:rsidR="006E5533" w:rsidRPr="00251EA9" w:rsidRDefault="006E5533" w:rsidP="006E5533">
            <w:pPr>
              <w:rPr>
                <w:rFonts w:ascii="Arial" w:hAnsi="Arial" w:cs="Arial"/>
                <w:sz w:val="15"/>
                <w:szCs w:val="15"/>
              </w:rPr>
            </w:pPr>
            <w:r w:rsidRPr="00251EA9">
              <w:rPr>
                <w:rFonts w:ascii="Arial" w:hAnsi="Arial" w:cs="Arial"/>
                <w:sz w:val="15"/>
                <w:szCs w:val="15"/>
              </w:rPr>
              <w:t>In patients who received standard catheters, the infection risk was 4.7% (47 patients); in patients who received AICs, the infection risk was 3.0% (30 patients).</w:t>
            </w:r>
          </w:p>
        </w:tc>
        <w:tc>
          <w:tcPr>
            <w:tcW w:w="1701" w:type="dxa"/>
          </w:tcPr>
          <w:p w14:paraId="54C46BAD" w14:textId="1FAAD3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37E5B4E" w14:textId="77777777" w:rsidTr="00A77951">
        <w:trPr>
          <w:trHeight w:val="586"/>
        </w:trPr>
        <w:tc>
          <w:tcPr>
            <w:tcW w:w="992" w:type="dxa"/>
          </w:tcPr>
          <w:p w14:paraId="73F80D79" w14:textId="32196C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Rivero-</w:t>
            </w:r>
            <w:proofErr w:type="spellStart"/>
            <w:r w:rsidRPr="00251EA9">
              <w:rPr>
                <w:rFonts w:ascii="Arial" w:hAnsi="Arial" w:cs="Arial"/>
                <w:sz w:val="15"/>
                <w:szCs w:val="15"/>
              </w:rPr>
              <w:t>Garvia</w:t>
            </w:r>
            <w:proofErr w:type="spellEnd"/>
            <w:r w:rsidRPr="00251EA9">
              <w:rPr>
                <w:rFonts w:ascii="Arial" w:hAnsi="Arial" w:cs="Arial"/>
                <w:sz w:val="15"/>
                <w:szCs w:val="15"/>
              </w:rPr>
              <w:t xml:space="preserve"> M. et al., 2010</w:t>
            </w:r>
          </w:p>
        </w:tc>
        <w:tc>
          <w:tcPr>
            <w:tcW w:w="851" w:type="dxa"/>
          </w:tcPr>
          <w:p w14:paraId="2F3C17E1" w14:textId="3EC4D89B"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10.1007/s00701-010-0905-1</w:t>
            </w:r>
          </w:p>
        </w:tc>
        <w:tc>
          <w:tcPr>
            <w:tcW w:w="851" w:type="dxa"/>
          </w:tcPr>
          <w:p w14:paraId="0E29E115" w14:textId="6A203F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Spain</w:t>
            </w:r>
          </w:p>
        </w:tc>
        <w:tc>
          <w:tcPr>
            <w:tcW w:w="1134" w:type="dxa"/>
          </w:tcPr>
          <w:p w14:paraId="77AC9B7F" w14:textId="037D55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3D6522C" w14:textId="721BCC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401B1F5A" w14:textId="144423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6B8E9077" w14:textId="2461F1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propose a minimal handling protocol that reduces EVD-related infections.</w:t>
            </w:r>
          </w:p>
        </w:tc>
        <w:tc>
          <w:tcPr>
            <w:tcW w:w="1134" w:type="dxa"/>
          </w:tcPr>
          <w:p w14:paraId="57491E17"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B1431BF" w14:textId="509DCB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0C53A9D" w14:textId="3799BB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CSF culture collected based on the patient's</w:t>
            </w:r>
            <w:r w:rsidR="00555D01">
              <w:rPr>
                <w:rFonts w:ascii="Arial" w:hAnsi="Arial" w:cs="Arial"/>
                <w:sz w:val="15"/>
                <w:szCs w:val="15"/>
              </w:rPr>
              <w:t xml:space="preserve"> </w:t>
            </w:r>
            <w:r w:rsidRPr="00251EA9">
              <w:rPr>
                <w:rFonts w:ascii="Arial" w:hAnsi="Arial" w:cs="Arial"/>
                <w:sz w:val="15"/>
                <w:szCs w:val="15"/>
              </w:rPr>
              <w:t>symptoms</w:t>
            </w:r>
            <w:r w:rsidR="00555D01">
              <w:rPr>
                <w:rFonts w:ascii="Arial" w:hAnsi="Arial" w:cs="Arial"/>
                <w:sz w:val="15"/>
                <w:szCs w:val="15"/>
              </w:rPr>
              <w:t xml:space="preserve"> </w:t>
            </w:r>
            <w:r w:rsidRPr="00251EA9">
              <w:rPr>
                <w:rFonts w:ascii="Arial" w:hAnsi="Arial" w:cs="Arial"/>
                <w:sz w:val="15"/>
                <w:szCs w:val="15"/>
              </w:rPr>
              <w:t>and signs (fever, stiff neck, poor general condition).</w:t>
            </w:r>
          </w:p>
        </w:tc>
        <w:tc>
          <w:tcPr>
            <w:tcW w:w="2693" w:type="dxa"/>
          </w:tcPr>
          <w:p w14:paraId="696664C9" w14:textId="241ED492" w:rsidR="006E5533" w:rsidRPr="00251EA9" w:rsidRDefault="006E5533" w:rsidP="006E5533">
            <w:pPr>
              <w:rPr>
                <w:rFonts w:ascii="Arial" w:hAnsi="Arial" w:cs="Arial"/>
                <w:sz w:val="15"/>
                <w:szCs w:val="15"/>
              </w:rPr>
            </w:pPr>
            <w:r w:rsidRPr="00251EA9">
              <w:rPr>
                <w:rFonts w:ascii="Arial" w:hAnsi="Arial" w:cs="Arial"/>
                <w:sz w:val="15"/>
                <w:szCs w:val="15"/>
              </w:rPr>
              <w:t>Infection rate was 17% when non-antibiotic impregnated catheters were employed and 2.41% when</w:t>
            </w:r>
            <w:r w:rsidRPr="00251EA9">
              <w:rPr>
                <w:rFonts w:ascii="Arial" w:hAnsi="Arial" w:cs="Arial"/>
                <w:sz w:val="15"/>
                <w:szCs w:val="15"/>
              </w:rPr>
              <w:br/>
              <w:t>antibiotic-impregnated catheters were inserted However, no statistically significant difference was observed in infection rate when the impact of a minimal handling protocol was considered: 4.29% when only the protocol</w:t>
            </w:r>
            <w:r w:rsidRPr="00251EA9">
              <w:rPr>
                <w:rFonts w:ascii="Arial" w:hAnsi="Arial" w:cs="Arial"/>
                <w:sz w:val="15"/>
                <w:szCs w:val="15"/>
              </w:rPr>
              <w:br/>
              <w:t>was introduced and 2.41% when both the protocol and</w:t>
            </w:r>
            <w:r w:rsidRPr="00251EA9">
              <w:rPr>
                <w:rFonts w:ascii="Arial" w:hAnsi="Arial" w:cs="Arial"/>
                <w:sz w:val="15"/>
                <w:szCs w:val="15"/>
              </w:rPr>
              <w:br/>
              <w:t>antibiotic-impregnated catheters were used.</w:t>
            </w:r>
          </w:p>
        </w:tc>
        <w:tc>
          <w:tcPr>
            <w:tcW w:w="1701" w:type="dxa"/>
          </w:tcPr>
          <w:p w14:paraId="66604F1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“Cumulative incidence of EVD-related infection varies from 0% to 27% (mean cumulative incidence 9%). This</w:t>
            </w:r>
          </w:p>
          <w:p w14:paraId="17C73153"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variability is partially dependent upon the definition of</w:t>
            </w:r>
          </w:p>
          <w:p w14:paraId="4FBBFC51"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EVD-related infection, a concept that has not been clearly</w:t>
            </w:r>
          </w:p>
          <w:p w14:paraId="79CB8DF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established and may vary from a positive culture in patients</w:t>
            </w:r>
          </w:p>
          <w:p w14:paraId="1112DF3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with clinical criteria for infection” </w:t>
            </w:r>
          </w:p>
          <w:p w14:paraId="1835655D" w14:textId="4DCDAC85" w:rsidR="006E5533" w:rsidRPr="00251EA9" w:rsidRDefault="006E5533" w:rsidP="006E5533">
            <w:pPr>
              <w:spacing w:line="360" w:lineRule="auto"/>
              <w:contextualSpacing/>
              <w:rPr>
                <w:rFonts w:ascii="Arial" w:hAnsi="Arial" w:cs="Arial"/>
                <w:sz w:val="15"/>
                <w:szCs w:val="15"/>
              </w:rPr>
            </w:pPr>
          </w:p>
        </w:tc>
      </w:tr>
      <w:tr w:rsidR="006E5533" w:rsidRPr="00251EA9" w14:paraId="54EAFDA8" w14:textId="77777777" w:rsidTr="00A77951">
        <w:trPr>
          <w:trHeight w:val="586"/>
        </w:trPr>
        <w:tc>
          <w:tcPr>
            <w:tcW w:w="992" w:type="dxa"/>
          </w:tcPr>
          <w:p w14:paraId="65F7DC54" w14:textId="03CFAF0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Rizvi I. et al., 2023</w:t>
            </w:r>
          </w:p>
        </w:tc>
        <w:tc>
          <w:tcPr>
            <w:tcW w:w="851" w:type="dxa"/>
          </w:tcPr>
          <w:p w14:paraId="7FDC8585" w14:textId="20B68242"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10.1177/10556656221085478</w:t>
            </w:r>
          </w:p>
        </w:tc>
        <w:tc>
          <w:tcPr>
            <w:tcW w:w="851" w:type="dxa"/>
          </w:tcPr>
          <w:p w14:paraId="70CC63EB" w14:textId="5D3AA6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C2233AB" w14:textId="7C46C0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725065A" w14:textId="6E403D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6271A5CD" w14:textId="095A23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Paediatrics</w:t>
            </w:r>
          </w:p>
        </w:tc>
        <w:tc>
          <w:tcPr>
            <w:tcW w:w="1843" w:type="dxa"/>
          </w:tcPr>
          <w:p w14:paraId="3CF29419" w14:textId="0ACCDD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demographic, operative, and short-term outcomes data between open and minimally invasive surgical approaches for craniosynostosis repair </w:t>
            </w:r>
            <w:r w:rsidRPr="00251EA9">
              <w:rPr>
                <w:rFonts w:ascii="Arial" w:hAnsi="Arial" w:cs="Arial"/>
                <w:sz w:val="15"/>
                <w:szCs w:val="15"/>
              </w:rPr>
              <w:lastRenderedPageBreak/>
              <w:t>utilising the American College of Surgeon’s National Surgical Quality Improvement Program Paediatric (NSQIP-P) database and highlight surgical disparities among races and ethnicities.</w:t>
            </w:r>
          </w:p>
        </w:tc>
        <w:tc>
          <w:tcPr>
            <w:tcW w:w="1134" w:type="dxa"/>
          </w:tcPr>
          <w:p w14:paraId="412848C4" w14:textId="2451176D" w:rsidR="006E5533" w:rsidRPr="00251EA9" w:rsidRDefault="006E5533" w:rsidP="006E5533">
            <w:pPr>
              <w:spacing w:line="360" w:lineRule="auto"/>
              <w:contextualSpacing/>
              <w:rPr>
                <w:rFonts w:ascii="Arial" w:hAnsi="Arial" w:cs="Arial"/>
                <w:sz w:val="15"/>
                <w:szCs w:val="15"/>
              </w:rPr>
            </w:pPr>
          </w:p>
        </w:tc>
        <w:tc>
          <w:tcPr>
            <w:tcW w:w="992" w:type="dxa"/>
          </w:tcPr>
          <w:p w14:paraId="417C5E32" w14:textId="046C87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B367995" w14:textId="2B5539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3E325AA" w14:textId="633E34EF" w:rsidR="006E5533" w:rsidRPr="00251EA9" w:rsidRDefault="006E5533" w:rsidP="006E5533">
            <w:pPr>
              <w:rPr>
                <w:rFonts w:ascii="Arial" w:hAnsi="Arial" w:cs="Arial"/>
                <w:sz w:val="15"/>
                <w:szCs w:val="15"/>
              </w:rPr>
            </w:pPr>
            <w:r w:rsidRPr="00251EA9">
              <w:rPr>
                <w:rFonts w:ascii="Arial" w:hAnsi="Arial" w:cs="Arial"/>
                <w:sz w:val="15"/>
                <w:szCs w:val="15"/>
              </w:rPr>
              <w:t>Postoperative complications included superficial and deep incisional SSI, organ/ space SSI, and deep wound disruption/ dehiscence.</w:t>
            </w:r>
          </w:p>
        </w:tc>
        <w:tc>
          <w:tcPr>
            <w:tcW w:w="1701" w:type="dxa"/>
          </w:tcPr>
          <w:p w14:paraId="4C28D11C" w14:textId="5AA3D1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26104B8" w14:textId="77777777" w:rsidTr="00A77951">
        <w:trPr>
          <w:trHeight w:val="586"/>
        </w:trPr>
        <w:tc>
          <w:tcPr>
            <w:tcW w:w="992" w:type="dxa"/>
          </w:tcPr>
          <w:p w14:paraId="7D562159" w14:textId="572CB96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Roblot</w:t>
            </w:r>
            <w:proofErr w:type="spellEnd"/>
            <w:r w:rsidRPr="00251EA9">
              <w:rPr>
                <w:rFonts w:ascii="Arial" w:hAnsi="Arial" w:cs="Arial"/>
                <w:sz w:val="15"/>
                <w:szCs w:val="15"/>
              </w:rPr>
              <w:t xml:space="preserve"> P. et al., 2023</w:t>
            </w:r>
          </w:p>
        </w:tc>
        <w:tc>
          <w:tcPr>
            <w:tcW w:w="851" w:type="dxa"/>
          </w:tcPr>
          <w:p w14:paraId="48DD0AC0" w14:textId="14AFF08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10.1016/j.neuchi.2023.101458</w:t>
            </w:r>
          </w:p>
        </w:tc>
        <w:tc>
          <w:tcPr>
            <w:tcW w:w="851" w:type="dxa"/>
          </w:tcPr>
          <w:p w14:paraId="6C4A593A" w14:textId="1E0D6D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France </w:t>
            </w:r>
          </w:p>
        </w:tc>
        <w:tc>
          <w:tcPr>
            <w:tcW w:w="1134" w:type="dxa"/>
          </w:tcPr>
          <w:p w14:paraId="7B4DF6AF" w14:textId="1F8D3D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8FD9813" w14:textId="51F066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3BFFE86" w14:textId="77EBC6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7942AA0" w14:textId="00F08E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whether a bone flap with a positive bacteriological culture predicts bone flap removal for infection after cranioplasty.</w:t>
            </w:r>
          </w:p>
        </w:tc>
        <w:tc>
          <w:tcPr>
            <w:tcW w:w="1134" w:type="dxa"/>
          </w:tcPr>
          <w:p w14:paraId="3A34350F" w14:textId="38C6239D" w:rsidR="006E5533" w:rsidRPr="00251EA9" w:rsidRDefault="006E5533" w:rsidP="006E5533">
            <w:pPr>
              <w:spacing w:line="360" w:lineRule="auto"/>
              <w:contextualSpacing/>
              <w:rPr>
                <w:rFonts w:ascii="Arial" w:hAnsi="Arial" w:cs="Arial"/>
                <w:sz w:val="15"/>
                <w:szCs w:val="15"/>
              </w:rPr>
            </w:pPr>
          </w:p>
        </w:tc>
        <w:tc>
          <w:tcPr>
            <w:tcW w:w="992" w:type="dxa"/>
          </w:tcPr>
          <w:p w14:paraId="7FE460BA" w14:textId="0305BA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75FCF6E" w14:textId="5FCB01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1A5A593" w14:textId="44B3921E" w:rsidR="006E5533" w:rsidRPr="00251EA9" w:rsidRDefault="006E5533" w:rsidP="006E5533">
            <w:pPr>
              <w:rPr>
                <w:rFonts w:ascii="Arial" w:hAnsi="Arial" w:cs="Arial"/>
                <w:sz w:val="15"/>
                <w:szCs w:val="15"/>
              </w:rPr>
            </w:pPr>
            <w:r w:rsidRPr="00251EA9">
              <w:rPr>
                <w:rFonts w:ascii="Arial" w:hAnsi="Arial" w:cs="Arial"/>
                <w:sz w:val="15"/>
                <w:szCs w:val="15"/>
              </w:rPr>
              <w:t xml:space="preserve">Reported 14 patients (7.2%) had an infection of the bone flap and underwent reoperation. </w:t>
            </w:r>
          </w:p>
        </w:tc>
        <w:tc>
          <w:tcPr>
            <w:tcW w:w="1701" w:type="dxa"/>
          </w:tcPr>
          <w:p w14:paraId="3ACDC08F" w14:textId="738792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085706C" w14:textId="77777777" w:rsidTr="00A77951">
        <w:trPr>
          <w:trHeight w:val="586"/>
        </w:trPr>
        <w:tc>
          <w:tcPr>
            <w:tcW w:w="992" w:type="dxa"/>
          </w:tcPr>
          <w:p w14:paraId="01F91EA5" w14:textId="2FE67CE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Rocque</w:t>
            </w:r>
            <w:proofErr w:type="spellEnd"/>
            <w:r w:rsidRPr="00251EA9">
              <w:rPr>
                <w:rFonts w:ascii="Arial" w:hAnsi="Arial" w:cs="Arial"/>
                <w:sz w:val="15"/>
                <w:szCs w:val="15"/>
              </w:rPr>
              <w:t xml:space="preserve"> B.G. et al., 2018</w:t>
            </w:r>
          </w:p>
        </w:tc>
        <w:tc>
          <w:tcPr>
            <w:tcW w:w="851" w:type="dxa"/>
          </w:tcPr>
          <w:p w14:paraId="02A5B136" w14:textId="3CAC0B2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10.3171/2018.</w:t>
            </w:r>
            <w:proofErr w:type="gramStart"/>
            <w:r w:rsidRPr="00A77951">
              <w:rPr>
                <w:rFonts w:ascii="Arial" w:hAnsi="Arial" w:cs="Arial"/>
                <w:sz w:val="15"/>
                <w:szCs w:val="15"/>
              </w:rPr>
              <w:t>3.PEDS</w:t>
            </w:r>
            <w:proofErr w:type="gramEnd"/>
            <w:r w:rsidRPr="00A77951">
              <w:rPr>
                <w:rFonts w:ascii="Arial" w:hAnsi="Arial" w:cs="Arial"/>
                <w:sz w:val="15"/>
                <w:szCs w:val="15"/>
              </w:rPr>
              <w:t>17234</w:t>
            </w:r>
          </w:p>
        </w:tc>
        <w:tc>
          <w:tcPr>
            <w:tcW w:w="851" w:type="dxa"/>
          </w:tcPr>
          <w:p w14:paraId="4D195092" w14:textId="77DD51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F34C675" w14:textId="2C5E48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6AE6A0C" w14:textId="19DE96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6C270548" w14:textId="7C4AEC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Trauma</w:t>
            </w:r>
          </w:p>
        </w:tc>
        <w:tc>
          <w:tcPr>
            <w:tcW w:w="1843" w:type="dxa"/>
          </w:tcPr>
          <w:p w14:paraId="30027A77" w14:textId="70F651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risk factors for bone resorption and infection after paediatric cranioplasty.</w:t>
            </w:r>
          </w:p>
        </w:tc>
        <w:tc>
          <w:tcPr>
            <w:tcW w:w="1134" w:type="dxa"/>
          </w:tcPr>
          <w:p w14:paraId="6A2102DE"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F77DE1C" w14:textId="08709C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4909B63" w14:textId="2A363E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AA5D5D2" w14:textId="4ED3A9F1" w:rsidR="006E5533" w:rsidRPr="00251EA9" w:rsidRDefault="006E5533" w:rsidP="006E5533">
            <w:pPr>
              <w:rPr>
                <w:rFonts w:ascii="Arial" w:hAnsi="Arial" w:cs="Arial"/>
                <w:sz w:val="15"/>
                <w:szCs w:val="15"/>
              </w:rPr>
            </w:pPr>
            <w:r w:rsidRPr="00251EA9">
              <w:rPr>
                <w:rFonts w:ascii="Arial" w:hAnsi="Arial" w:cs="Arial"/>
                <w:sz w:val="15"/>
                <w:szCs w:val="15"/>
              </w:rPr>
              <w:t xml:space="preserve">Reported an infection rate of 10.5%. </w:t>
            </w:r>
          </w:p>
        </w:tc>
        <w:tc>
          <w:tcPr>
            <w:tcW w:w="1701" w:type="dxa"/>
          </w:tcPr>
          <w:p w14:paraId="07089D41" w14:textId="0019B3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643C0D" w14:textId="77777777" w:rsidTr="00A77951">
        <w:trPr>
          <w:trHeight w:val="586"/>
        </w:trPr>
        <w:tc>
          <w:tcPr>
            <w:tcW w:w="992" w:type="dxa"/>
          </w:tcPr>
          <w:p w14:paraId="3C33BEAE" w14:textId="5A7149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Rolston J.D. et al., 2016</w:t>
            </w:r>
          </w:p>
        </w:tc>
        <w:tc>
          <w:tcPr>
            <w:tcW w:w="851" w:type="dxa"/>
          </w:tcPr>
          <w:p w14:paraId="00BB68EC" w14:textId="2F344D9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10.1016/j.eplepsyres.2016.05.001</w:t>
            </w:r>
          </w:p>
        </w:tc>
        <w:tc>
          <w:tcPr>
            <w:tcW w:w="851" w:type="dxa"/>
          </w:tcPr>
          <w:p w14:paraId="2826FEBE" w14:textId="062074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B077737" w14:textId="39286C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8758206" w14:textId="700A62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F0A028F" w14:textId="609771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(Epilepsy surgical management)</w:t>
            </w:r>
          </w:p>
        </w:tc>
        <w:tc>
          <w:tcPr>
            <w:tcW w:w="1843" w:type="dxa"/>
          </w:tcPr>
          <w:p w14:paraId="3E1114BF" w14:textId="48E892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frequency of epilepsy surgery procedures with greater</w:t>
            </w:r>
            <w:r w:rsidRPr="00251EA9">
              <w:rPr>
                <w:rFonts w:ascii="Arial" w:hAnsi="Arial" w:cs="Arial"/>
                <w:sz w:val="15"/>
                <w:szCs w:val="15"/>
              </w:rPr>
              <w:br/>
              <w:t>confidence and to accurately estimate the frequency of surgical</w:t>
            </w:r>
            <w:r w:rsidRPr="00251EA9">
              <w:rPr>
                <w:rFonts w:ascii="Arial" w:hAnsi="Arial" w:cs="Arial"/>
                <w:sz w:val="15"/>
                <w:szCs w:val="15"/>
              </w:rPr>
              <w:br/>
              <w:t>complications along with their patient-level predictors.</w:t>
            </w:r>
          </w:p>
        </w:tc>
        <w:tc>
          <w:tcPr>
            <w:tcW w:w="1134" w:type="dxa"/>
          </w:tcPr>
          <w:p w14:paraId="3055B356" w14:textId="1D378E68" w:rsidR="006E5533" w:rsidRPr="00251EA9" w:rsidRDefault="006E5533" w:rsidP="006E5533">
            <w:pPr>
              <w:spacing w:line="360" w:lineRule="auto"/>
              <w:contextualSpacing/>
              <w:rPr>
                <w:rFonts w:ascii="Arial" w:hAnsi="Arial" w:cs="Arial"/>
                <w:sz w:val="15"/>
                <w:szCs w:val="15"/>
              </w:rPr>
            </w:pPr>
          </w:p>
        </w:tc>
        <w:tc>
          <w:tcPr>
            <w:tcW w:w="992" w:type="dxa"/>
          </w:tcPr>
          <w:p w14:paraId="62CDBCD0" w14:textId="12A3FF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9D157D9" w14:textId="1D3A01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F23E2F8" w14:textId="24F5C7F9" w:rsidR="006E5533" w:rsidRPr="00251EA9" w:rsidRDefault="006E5533" w:rsidP="006E5533">
            <w:pPr>
              <w:rPr>
                <w:rFonts w:ascii="Arial" w:hAnsi="Arial" w:cs="Arial"/>
                <w:sz w:val="15"/>
                <w:szCs w:val="15"/>
              </w:rPr>
            </w:pPr>
            <w:r w:rsidRPr="00251EA9">
              <w:rPr>
                <w:rFonts w:ascii="Arial" w:hAnsi="Arial" w:cs="Arial"/>
                <w:sz w:val="15"/>
                <w:szCs w:val="15"/>
              </w:rPr>
              <w:t>Reported 5 cases of organ space SSI (1.1%) and 2 cases of deep SSI (0.4%), 1 case of superficial SSI (0.2%).</w:t>
            </w:r>
          </w:p>
        </w:tc>
        <w:tc>
          <w:tcPr>
            <w:tcW w:w="1701" w:type="dxa"/>
          </w:tcPr>
          <w:p w14:paraId="5EC71457" w14:textId="5E9A4B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4BF247F" w14:textId="77777777" w:rsidTr="00A77951">
        <w:trPr>
          <w:trHeight w:val="586"/>
        </w:trPr>
        <w:tc>
          <w:tcPr>
            <w:tcW w:w="992" w:type="dxa"/>
          </w:tcPr>
          <w:p w14:paraId="186160FE" w14:textId="675A70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Rosa M. et al., 2017</w:t>
            </w:r>
          </w:p>
        </w:tc>
        <w:tc>
          <w:tcPr>
            <w:tcW w:w="851" w:type="dxa"/>
          </w:tcPr>
          <w:p w14:paraId="21B0A450" w14:textId="0490F70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10.1016/j.wneu.2016.09.069</w:t>
            </w:r>
          </w:p>
        </w:tc>
        <w:tc>
          <w:tcPr>
            <w:tcW w:w="851" w:type="dxa"/>
          </w:tcPr>
          <w:p w14:paraId="6AD2AB04" w14:textId="4EAC84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2EF7A1E1" w14:textId="3CB27F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D09FE17" w14:textId="198A79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365B1E4" w14:textId="58E2BC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5F664348" w14:textId="7D9153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incidence of infections retrospectively in a cohort of patients who </w:t>
            </w:r>
            <w:r w:rsidRPr="00251EA9">
              <w:rPr>
                <w:rFonts w:ascii="Arial" w:hAnsi="Arial" w:cs="Arial"/>
                <w:sz w:val="15"/>
                <w:szCs w:val="15"/>
              </w:rPr>
              <w:lastRenderedPageBreak/>
              <w:t xml:space="preserve">underwent leads’ </w:t>
            </w:r>
            <w:proofErr w:type="gramStart"/>
            <w:r w:rsidRPr="00251EA9">
              <w:rPr>
                <w:rFonts w:ascii="Arial" w:hAnsi="Arial" w:cs="Arial"/>
                <w:sz w:val="15"/>
                <w:szCs w:val="15"/>
              </w:rPr>
              <w:t>externalisation</w:t>
            </w:r>
            <w:proofErr w:type="gramEnd"/>
            <w:r w:rsidRPr="00251EA9">
              <w:rPr>
                <w:rFonts w:ascii="Arial" w:hAnsi="Arial" w:cs="Arial"/>
                <w:sz w:val="15"/>
                <w:szCs w:val="15"/>
              </w:rPr>
              <w:t xml:space="preserve"> and the risk of infection related to local field potential (LFP) recording procedure.</w:t>
            </w:r>
          </w:p>
        </w:tc>
        <w:tc>
          <w:tcPr>
            <w:tcW w:w="1134" w:type="dxa"/>
          </w:tcPr>
          <w:p w14:paraId="712FF79F" w14:textId="4B2BB4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w:t>
            </w:r>
          </w:p>
        </w:tc>
        <w:tc>
          <w:tcPr>
            <w:tcW w:w="992" w:type="dxa"/>
          </w:tcPr>
          <w:p w14:paraId="583B8021" w14:textId="5C1C58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DAF4515" w14:textId="390068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47FA2154" w14:textId="654C12C7" w:rsidR="006E5533" w:rsidRPr="00251EA9" w:rsidRDefault="006E5533" w:rsidP="006E5533">
            <w:pPr>
              <w:rPr>
                <w:rFonts w:ascii="Arial" w:hAnsi="Arial" w:cs="Arial"/>
                <w:sz w:val="15"/>
                <w:szCs w:val="15"/>
              </w:rPr>
            </w:pPr>
            <w:r w:rsidRPr="00251EA9">
              <w:rPr>
                <w:rFonts w:ascii="Arial" w:hAnsi="Arial" w:cs="Arial"/>
                <w:sz w:val="15"/>
                <w:szCs w:val="15"/>
              </w:rPr>
              <w:t>The incidence of infections in patients who underwent leads’ externalisation was 2.8%. Moreover, the LFP recording procedure did not significantly increase the infection risk.</w:t>
            </w:r>
          </w:p>
        </w:tc>
        <w:tc>
          <w:tcPr>
            <w:tcW w:w="1701" w:type="dxa"/>
          </w:tcPr>
          <w:p w14:paraId="61DD602A" w14:textId="7237E454" w:rsidR="006E5533" w:rsidRPr="00251EA9" w:rsidRDefault="006E5533" w:rsidP="006E5533">
            <w:pPr>
              <w:spacing w:line="360" w:lineRule="auto"/>
              <w:contextualSpacing/>
              <w:rPr>
                <w:rFonts w:ascii="Arial" w:hAnsi="Arial" w:cs="Arial"/>
                <w:b/>
                <w:bCs/>
                <w:sz w:val="15"/>
                <w:szCs w:val="15"/>
              </w:rPr>
            </w:pPr>
            <w:r w:rsidRPr="00251EA9">
              <w:rPr>
                <w:rFonts w:ascii="Arial" w:hAnsi="Arial" w:cs="Arial"/>
                <w:sz w:val="15"/>
                <w:szCs w:val="15"/>
              </w:rPr>
              <w:t xml:space="preserve">Yes: “It should be stressed that the data reported in the literature differ </w:t>
            </w:r>
            <w:r w:rsidRPr="00251EA9">
              <w:rPr>
                <w:rFonts w:ascii="Arial" w:hAnsi="Arial" w:cs="Arial"/>
                <w:sz w:val="15"/>
                <w:szCs w:val="15"/>
              </w:rPr>
              <w:lastRenderedPageBreak/>
              <w:t>significantly between each other for several reasons. …Moreover, studies may differ for the time of observation, which varies from the first month after surgery to several years later, and for the definition of infection, which sometimes includes skin erosions or lesions without clear evidence of a microorganism growth.”</w:t>
            </w:r>
          </w:p>
        </w:tc>
      </w:tr>
      <w:tr w:rsidR="006E5533" w:rsidRPr="00251EA9" w14:paraId="2DC179F1" w14:textId="77777777" w:rsidTr="00A77951">
        <w:trPr>
          <w:trHeight w:val="586"/>
        </w:trPr>
        <w:tc>
          <w:tcPr>
            <w:tcW w:w="992" w:type="dxa"/>
          </w:tcPr>
          <w:p w14:paraId="27DEB309" w14:textId="3917DF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Roth J., et al., 2023</w:t>
            </w:r>
          </w:p>
        </w:tc>
        <w:tc>
          <w:tcPr>
            <w:tcW w:w="851" w:type="dxa"/>
          </w:tcPr>
          <w:p w14:paraId="5AFECA30" w14:textId="48611C8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10.1111/epi.17796</w:t>
            </w:r>
          </w:p>
        </w:tc>
        <w:tc>
          <w:tcPr>
            <w:tcW w:w="851" w:type="dxa"/>
          </w:tcPr>
          <w:p w14:paraId="25872940" w14:textId="492252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Multiple</w:t>
            </w:r>
          </w:p>
        </w:tc>
        <w:tc>
          <w:tcPr>
            <w:tcW w:w="1134" w:type="dxa"/>
          </w:tcPr>
          <w:p w14:paraId="4D4652F1" w14:textId="04F696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DE8C776" w14:textId="5C1D62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0638C087" w14:textId="6E753D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w:t>
            </w:r>
            <w:proofErr w:type="spellStart"/>
            <w:r w:rsidRPr="00251EA9">
              <w:rPr>
                <w:rFonts w:ascii="Arial" w:hAnsi="Arial" w:cs="Arial"/>
                <w:sz w:val="15"/>
                <w:szCs w:val="15"/>
              </w:rPr>
              <w:t>Skullbase</w:t>
            </w:r>
            <w:proofErr w:type="spellEnd"/>
          </w:p>
        </w:tc>
        <w:tc>
          <w:tcPr>
            <w:tcW w:w="1843" w:type="dxa"/>
          </w:tcPr>
          <w:p w14:paraId="4A3EB988" w14:textId="5BFA59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safety of corpus callosotomy and its effectiveness for drop attacks and other seizure types following prior </w:t>
            </w:r>
            <w:proofErr w:type="spellStart"/>
            <w:r w:rsidRPr="00251EA9">
              <w:rPr>
                <w:rFonts w:ascii="Arial" w:hAnsi="Arial" w:cs="Arial"/>
                <w:sz w:val="15"/>
                <w:szCs w:val="15"/>
              </w:rPr>
              <w:t>vagus</w:t>
            </w:r>
            <w:proofErr w:type="spellEnd"/>
            <w:r w:rsidRPr="00251EA9">
              <w:rPr>
                <w:rFonts w:ascii="Arial" w:hAnsi="Arial" w:cs="Arial"/>
                <w:sz w:val="15"/>
                <w:szCs w:val="15"/>
              </w:rPr>
              <w:t xml:space="preserve"> nerve stimulation in children with Lennox-</w:t>
            </w:r>
            <w:proofErr w:type="spellStart"/>
            <w:r w:rsidRPr="00251EA9">
              <w:rPr>
                <w:rFonts w:ascii="Arial" w:hAnsi="Arial" w:cs="Arial"/>
                <w:sz w:val="15"/>
                <w:szCs w:val="15"/>
              </w:rPr>
              <w:t>Gastaut</w:t>
            </w:r>
            <w:proofErr w:type="spellEnd"/>
            <w:r w:rsidRPr="00251EA9">
              <w:rPr>
                <w:rFonts w:ascii="Arial" w:hAnsi="Arial" w:cs="Arial"/>
                <w:sz w:val="15"/>
                <w:szCs w:val="15"/>
              </w:rPr>
              <w:t xml:space="preserve"> syndrome.</w:t>
            </w:r>
          </w:p>
        </w:tc>
        <w:tc>
          <w:tcPr>
            <w:tcW w:w="1134" w:type="dxa"/>
          </w:tcPr>
          <w:p w14:paraId="636082FA" w14:textId="2E56E29C" w:rsidR="006E5533" w:rsidRPr="00251EA9" w:rsidRDefault="006E5533" w:rsidP="006E5533">
            <w:pPr>
              <w:spacing w:line="360" w:lineRule="auto"/>
              <w:contextualSpacing/>
              <w:rPr>
                <w:rFonts w:ascii="Arial" w:hAnsi="Arial" w:cs="Arial"/>
                <w:sz w:val="15"/>
                <w:szCs w:val="15"/>
              </w:rPr>
            </w:pPr>
          </w:p>
        </w:tc>
        <w:tc>
          <w:tcPr>
            <w:tcW w:w="992" w:type="dxa"/>
          </w:tcPr>
          <w:p w14:paraId="088D923B" w14:textId="7822EE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A2F9A01" w14:textId="093F83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F33F786" w14:textId="7B894E45" w:rsidR="006E5533" w:rsidRPr="00251EA9" w:rsidRDefault="006E5533" w:rsidP="006E5533">
            <w:pPr>
              <w:rPr>
                <w:rFonts w:ascii="Arial" w:hAnsi="Arial" w:cs="Arial"/>
                <w:sz w:val="15"/>
                <w:szCs w:val="15"/>
              </w:rPr>
            </w:pPr>
            <w:r w:rsidRPr="00251EA9">
              <w:rPr>
                <w:rFonts w:ascii="Arial" w:hAnsi="Arial" w:cs="Arial"/>
                <w:sz w:val="15"/>
                <w:szCs w:val="15"/>
              </w:rPr>
              <w:t>4 wound infections reported.</w:t>
            </w:r>
          </w:p>
        </w:tc>
        <w:tc>
          <w:tcPr>
            <w:tcW w:w="1701" w:type="dxa"/>
          </w:tcPr>
          <w:p w14:paraId="17AB9D62" w14:textId="79643B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4621C3A" w14:textId="77777777" w:rsidTr="00A77951">
        <w:trPr>
          <w:trHeight w:val="586"/>
        </w:trPr>
        <w:tc>
          <w:tcPr>
            <w:tcW w:w="992" w:type="dxa"/>
          </w:tcPr>
          <w:p w14:paraId="6CF03E46" w14:textId="5220ECC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Rothlind</w:t>
            </w:r>
            <w:proofErr w:type="spellEnd"/>
            <w:r w:rsidRPr="00251EA9">
              <w:rPr>
                <w:rFonts w:ascii="Arial" w:hAnsi="Arial" w:cs="Arial"/>
                <w:sz w:val="15"/>
                <w:szCs w:val="15"/>
              </w:rPr>
              <w:t xml:space="preserve"> J. et al., 2021</w:t>
            </w:r>
          </w:p>
        </w:tc>
        <w:tc>
          <w:tcPr>
            <w:tcW w:w="851" w:type="dxa"/>
          </w:tcPr>
          <w:p w14:paraId="31D1F4AB" w14:textId="5090839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10.1016/j.parkreldis.2021.12.011</w:t>
            </w:r>
          </w:p>
        </w:tc>
        <w:tc>
          <w:tcPr>
            <w:tcW w:w="851" w:type="dxa"/>
          </w:tcPr>
          <w:p w14:paraId="5791E4C3" w14:textId="232659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301E4E2" w14:textId="1ABDE6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AB675FC" w14:textId="175881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w:t>
            </w:r>
          </w:p>
        </w:tc>
        <w:tc>
          <w:tcPr>
            <w:tcW w:w="1276" w:type="dxa"/>
          </w:tcPr>
          <w:p w14:paraId="54D9341D" w14:textId="2F42A2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2BB12822" w14:textId="38461F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examine the association between multi-domain cognitive decline (MCD) and demographic and baseline clinical variables and the incidence of serious </w:t>
            </w:r>
            <w:r w:rsidRPr="00251EA9">
              <w:rPr>
                <w:rFonts w:ascii="Arial" w:hAnsi="Arial" w:cs="Arial"/>
                <w:sz w:val="15"/>
                <w:szCs w:val="15"/>
              </w:rPr>
              <w:lastRenderedPageBreak/>
              <w:t>adverse events (SAE) arising within a six-month interval following DBS for Parkinson’s disease.</w:t>
            </w:r>
          </w:p>
        </w:tc>
        <w:tc>
          <w:tcPr>
            <w:tcW w:w="1134" w:type="dxa"/>
          </w:tcPr>
          <w:p w14:paraId="465D73E6" w14:textId="752DD2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w:t>
            </w:r>
          </w:p>
        </w:tc>
        <w:tc>
          <w:tcPr>
            <w:tcW w:w="992" w:type="dxa"/>
          </w:tcPr>
          <w:p w14:paraId="0A340657" w14:textId="31E416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8E3EB89" w14:textId="463C13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ACF9587" w14:textId="65969D24" w:rsidR="006E5533" w:rsidRPr="00251EA9" w:rsidRDefault="006E5533" w:rsidP="006E5533">
            <w:pPr>
              <w:rPr>
                <w:rFonts w:ascii="Arial" w:hAnsi="Arial" w:cs="Arial"/>
                <w:sz w:val="15"/>
                <w:szCs w:val="15"/>
              </w:rPr>
            </w:pPr>
            <w:r w:rsidRPr="00251EA9">
              <w:rPr>
                <w:rFonts w:ascii="Arial" w:hAnsi="Arial" w:cs="Arial"/>
                <w:sz w:val="15"/>
                <w:szCs w:val="15"/>
              </w:rPr>
              <w:t>A variety of complications were documented in study after DBS surgery, including, infections and small intracranial haemorrhages.</w:t>
            </w:r>
          </w:p>
        </w:tc>
        <w:tc>
          <w:tcPr>
            <w:tcW w:w="1701" w:type="dxa"/>
          </w:tcPr>
          <w:p w14:paraId="78A81CB4" w14:textId="3F42C7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C40EFF1" w14:textId="77777777" w:rsidTr="00A77951">
        <w:trPr>
          <w:trHeight w:val="586"/>
        </w:trPr>
        <w:tc>
          <w:tcPr>
            <w:tcW w:w="992" w:type="dxa"/>
          </w:tcPr>
          <w:p w14:paraId="7AA2BDF6" w14:textId="555123D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Rubeli</w:t>
            </w:r>
            <w:proofErr w:type="spellEnd"/>
            <w:r w:rsidRPr="00251EA9">
              <w:rPr>
                <w:rFonts w:ascii="Arial" w:hAnsi="Arial" w:cs="Arial"/>
                <w:sz w:val="15"/>
                <w:szCs w:val="15"/>
              </w:rPr>
              <w:t xml:space="preserve"> S.L. et al., 2019</w:t>
            </w:r>
          </w:p>
        </w:tc>
        <w:tc>
          <w:tcPr>
            <w:tcW w:w="851" w:type="dxa"/>
          </w:tcPr>
          <w:p w14:paraId="55416487" w14:textId="53143CA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10.3171/2019.</w:t>
            </w:r>
            <w:proofErr w:type="gramStart"/>
            <w:r w:rsidRPr="00A77951">
              <w:rPr>
                <w:rFonts w:ascii="Arial" w:hAnsi="Arial" w:cs="Arial"/>
                <w:sz w:val="15"/>
                <w:szCs w:val="15"/>
              </w:rPr>
              <w:t>5.FOCUS</w:t>
            </w:r>
            <w:proofErr w:type="gramEnd"/>
            <w:r w:rsidRPr="00A77951">
              <w:rPr>
                <w:rFonts w:ascii="Arial" w:hAnsi="Arial" w:cs="Arial"/>
                <w:sz w:val="15"/>
                <w:szCs w:val="15"/>
              </w:rPr>
              <w:t>19272</w:t>
            </w:r>
          </w:p>
        </w:tc>
        <w:tc>
          <w:tcPr>
            <w:tcW w:w="851" w:type="dxa"/>
          </w:tcPr>
          <w:p w14:paraId="505E8957" w14:textId="64204E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55C7BBED" w14:textId="44CD34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A814D75" w14:textId="7F6B71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D8583F3" w14:textId="3EF5A8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372E1A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quantify SSI rates in cranial</w:t>
            </w:r>
            <w:r w:rsidRPr="00251EA9">
              <w:rPr>
                <w:rFonts w:ascii="Arial" w:hAnsi="Arial" w:cs="Arial"/>
                <w:sz w:val="15"/>
                <w:szCs w:val="15"/>
              </w:rPr>
              <w:br/>
              <w:t xml:space="preserve">neurosurgery and quantify the impact of individual risk factors for SSI. </w:t>
            </w:r>
          </w:p>
          <w:p w14:paraId="06240A8D" w14:textId="29480F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whether standardised SSI surveillance combined with the implementation of an infection prevention bundle can reduce SSI.</w:t>
            </w:r>
          </w:p>
        </w:tc>
        <w:tc>
          <w:tcPr>
            <w:tcW w:w="1134" w:type="dxa"/>
          </w:tcPr>
          <w:p w14:paraId="2FB56DB5" w14:textId="0A2E4FCA" w:rsidR="006E5533" w:rsidRPr="00251EA9" w:rsidRDefault="006E5533" w:rsidP="006E5533">
            <w:pPr>
              <w:spacing w:line="360" w:lineRule="auto"/>
              <w:contextualSpacing/>
              <w:rPr>
                <w:rFonts w:ascii="Arial" w:hAnsi="Arial" w:cs="Arial"/>
                <w:sz w:val="15"/>
                <w:szCs w:val="15"/>
              </w:rPr>
            </w:pPr>
          </w:p>
        </w:tc>
        <w:tc>
          <w:tcPr>
            <w:tcW w:w="992" w:type="dxa"/>
          </w:tcPr>
          <w:p w14:paraId="5E3E9237" w14:textId="4AF7BF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17C438A" w14:textId="2DABA3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3737CCC4" w14:textId="11B37507" w:rsidR="006E5533" w:rsidRPr="00251EA9" w:rsidRDefault="006E5533" w:rsidP="006E5533">
            <w:pPr>
              <w:rPr>
                <w:rFonts w:ascii="Arial" w:hAnsi="Arial" w:cs="Arial"/>
                <w:sz w:val="15"/>
                <w:szCs w:val="15"/>
              </w:rPr>
            </w:pPr>
            <w:r w:rsidRPr="00251EA9">
              <w:rPr>
                <w:rFonts w:ascii="Arial" w:hAnsi="Arial" w:cs="Arial"/>
                <w:sz w:val="15"/>
                <w:szCs w:val="15"/>
              </w:rPr>
              <w:t>Overall, 36 SSIs occurred with a median time to infection of 20 days. 29 cases of SSIs (80.6%) were detected within 3 months after surgery. The infection rate significantly decreased from 7.8% to 3.7% between the pre- and post-infection prevention bundle period implementation.</w:t>
            </w:r>
          </w:p>
        </w:tc>
        <w:tc>
          <w:tcPr>
            <w:tcW w:w="1701" w:type="dxa"/>
          </w:tcPr>
          <w:p w14:paraId="72B7478D" w14:textId="297ABB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864BDCD" w14:textId="77777777" w:rsidTr="00A77951">
        <w:trPr>
          <w:trHeight w:val="586"/>
        </w:trPr>
        <w:tc>
          <w:tcPr>
            <w:tcW w:w="992" w:type="dxa"/>
          </w:tcPr>
          <w:p w14:paraId="79C221AB" w14:textId="03BF88F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Rumalla</w:t>
            </w:r>
            <w:proofErr w:type="spellEnd"/>
            <w:r w:rsidRPr="00251EA9">
              <w:rPr>
                <w:rFonts w:ascii="Arial" w:hAnsi="Arial" w:cs="Arial"/>
                <w:sz w:val="15"/>
                <w:szCs w:val="15"/>
              </w:rPr>
              <w:t xml:space="preserve"> K. et al., 2021</w:t>
            </w:r>
          </w:p>
        </w:tc>
        <w:tc>
          <w:tcPr>
            <w:tcW w:w="851" w:type="dxa"/>
          </w:tcPr>
          <w:p w14:paraId="32003BA8" w14:textId="4A687B02"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10.1016/j.wneu.2021.07.004</w:t>
            </w:r>
          </w:p>
        </w:tc>
        <w:tc>
          <w:tcPr>
            <w:tcW w:w="851" w:type="dxa"/>
          </w:tcPr>
          <w:p w14:paraId="279283ED" w14:textId="47FC76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ADBD6AB" w14:textId="2FCF3D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EC7211C" w14:textId="736759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84DF17B" w14:textId="18AF76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4135F25F" w14:textId="2D398D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incidence of and risk factors for SSI after microsurgical clipping for acute subarachnoid haemorrhage (</w:t>
            </w:r>
            <w:proofErr w:type="spellStart"/>
            <w:r w:rsidRPr="00251EA9">
              <w:rPr>
                <w:rFonts w:ascii="Arial" w:hAnsi="Arial" w:cs="Arial"/>
                <w:sz w:val="15"/>
                <w:szCs w:val="15"/>
              </w:rPr>
              <w:t>aSAH</w:t>
            </w:r>
            <w:proofErr w:type="spellEnd"/>
            <w:r w:rsidRPr="00251EA9">
              <w:rPr>
                <w:rFonts w:ascii="Arial" w:hAnsi="Arial" w:cs="Arial"/>
                <w:sz w:val="15"/>
                <w:szCs w:val="15"/>
              </w:rPr>
              <w:t>).</w:t>
            </w:r>
          </w:p>
        </w:tc>
        <w:tc>
          <w:tcPr>
            <w:tcW w:w="1134" w:type="dxa"/>
          </w:tcPr>
          <w:p w14:paraId="4D9FF590" w14:textId="4B171EAE" w:rsidR="006E5533" w:rsidRPr="00251EA9" w:rsidRDefault="006E5533" w:rsidP="006E5533">
            <w:pPr>
              <w:spacing w:line="360" w:lineRule="auto"/>
              <w:contextualSpacing/>
              <w:rPr>
                <w:rFonts w:ascii="Arial" w:hAnsi="Arial" w:cs="Arial"/>
                <w:sz w:val="15"/>
                <w:szCs w:val="15"/>
              </w:rPr>
            </w:pPr>
          </w:p>
        </w:tc>
        <w:tc>
          <w:tcPr>
            <w:tcW w:w="992" w:type="dxa"/>
          </w:tcPr>
          <w:p w14:paraId="0C9C60FE" w14:textId="5F11CD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641B548" w14:textId="698E93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1D4702A" w14:textId="4FBE5608" w:rsidR="006E5533" w:rsidRPr="00251EA9" w:rsidRDefault="006E5533" w:rsidP="006E5533">
            <w:pPr>
              <w:rPr>
                <w:rFonts w:ascii="Arial" w:hAnsi="Arial" w:cs="Arial"/>
                <w:sz w:val="15"/>
                <w:szCs w:val="15"/>
              </w:rPr>
            </w:pPr>
            <w:r w:rsidRPr="00251EA9">
              <w:rPr>
                <w:rFonts w:ascii="Arial" w:hAnsi="Arial" w:cs="Arial"/>
                <w:sz w:val="15"/>
                <w:szCs w:val="15"/>
              </w:rPr>
              <w:t xml:space="preserve">Reported 3.9% (n = 23) of patients with infection, including 9 cases of infection associated with reoperation for cranioplasty and 14 cases in other patients. Infection associated with microsurgical clipping occurred in 14 patients (2.5%), 13 of which were mild superficial infections. </w:t>
            </w:r>
          </w:p>
        </w:tc>
        <w:tc>
          <w:tcPr>
            <w:tcW w:w="1701" w:type="dxa"/>
          </w:tcPr>
          <w:p w14:paraId="4DDFA90A" w14:textId="51826C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 in discussion: "A meaningful comparison was limited by the heterogeneity of indications for surgery and the inconsistent definition of SSI (e.g., superficial infection vs. deep infection vs. both)"</w:t>
            </w:r>
          </w:p>
        </w:tc>
      </w:tr>
      <w:tr w:rsidR="006E5533" w:rsidRPr="00251EA9" w14:paraId="25A1DAEC" w14:textId="77777777" w:rsidTr="00A77951">
        <w:trPr>
          <w:trHeight w:val="586"/>
        </w:trPr>
        <w:tc>
          <w:tcPr>
            <w:tcW w:w="992" w:type="dxa"/>
          </w:tcPr>
          <w:p w14:paraId="6C074AB3" w14:textId="2003681A" w:rsidR="006E5533" w:rsidRPr="00251EA9" w:rsidRDefault="006E5533" w:rsidP="006E5533">
            <w:pPr>
              <w:spacing w:line="360" w:lineRule="auto"/>
              <w:contextualSpacing/>
              <w:rPr>
                <w:rFonts w:ascii="Arial" w:hAnsi="Arial" w:cs="Arial"/>
                <w:sz w:val="15"/>
                <w:szCs w:val="15"/>
              </w:rPr>
            </w:pPr>
            <w:proofErr w:type="spellStart"/>
            <w:r w:rsidRPr="00F8641E">
              <w:rPr>
                <w:rFonts w:ascii="Arial" w:hAnsi="Arial" w:cs="Arial"/>
                <w:sz w:val="15"/>
                <w:szCs w:val="15"/>
              </w:rPr>
              <w:t>Sæhle</w:t>
            </w:r>
            <w:proofErr w:type="spellEnd"/>
            <w:r w:rsidRPr="00F8641E">
              <w:rPr>
                <w:rFonts w:ascii="Arial" w:hAnsi="Arial" w:cs="Arial"/>
                <w:sz w:val="15"/>
                <w:szCs w:val="15"/>
              </w:rPr>
              <w:t xml:space="preserve"> T. et al., 2015</w:t>
            </w:r>
          </w:p>
        </w:tc>
        <w:tc>
          <w:tcPr>
            <w:tcW w:w="851" w:type="dxa"/>
          </w:tcPr>
          <w:p w14:paraId="0B1671EF" w14:textId="2543E47A" w:rsidR="006E5533" w:rsidRPr="00A77951" w:rsidRDefault="006E5533" w:rsidP="006E5533">
            <w:pPr>
              <w:spacing w:line="360" w:lineRule="auto"/>
              <w:contextualSpacing/>
              <w:rPr>
                <w:rFonts w:ascii="Arial" w:hAnsi="Arial" w:cs="Arial"/>
                <w:sz w:val="15"/>
                <w:szCs w:val="15"/>
              </w:rPr>
            </w:pPr>
            <w:hyperlink r:id="rId256"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12.JNS</w:t>
              </w:r>
              <w:proofErr w:type="gramEnd"/>
              <w:r w:rsidRPr="00A77951">
                <w:rPr>
                  <w:rStyle w:val="Hyperlink"/>
                  <w:rFonts w:ascii="Arial" w:hAnsi="Arial" w:cs="Arial"/>
                  <w:sz w:val="15"/>
                  <w:szCs w:val="15"/>
                </w:rPr>
                <w:t>141029</w:t>
              </w:r>
            </w:hyperlink>
          </w:p>
        </w:tc>
        <w:tc>
          <w:tcPr>
            <w:tcW w:w="851" w:type="dxa"/>
          </w:tcPr>
          <w:p w14:paraId="6EC9ACD6" w14:textId="56D6A2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Norway</w:t>
            </w:r>
          </w:p>
        </w:tc>
        <w:tc>
          <w:tcPr>
            <w:tcW w:w="1134" w:type="dxa"/>
          </w:tcPr>
          <w:p w14:paraId="49F878AA" w14:textId="4BC8B4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C39F363" w14:textId="4BAB16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63B10CE" w14:textId="228582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115324C"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complications and</w:t>
            </w:r>
            <w:r w:rsidRPr="00251EA9">
              <w:rPr>
                <w:rFonts w:ascii="Arial" w:hAnsi="Arial" w:cs="Arial"/>
                <w:sz w:val="15"/>
                <w:szCs w:val="15"/>
              </w:rPr>
              <w:br/>
              <w:t xml:space="preserve">impact of intracranial pressure monitoring. </w:t>
            </w:r>
          </w:p>
          <w:p w14:paraId="130081A3" w14:textId="453762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To determine the mean intracranial pressure (ICP) and characteristics of the cardiac-induced ICP waves in paediatric Vs adult over- and underdrainage.</w:t>
            </w:r>
          </w:p>
        </w:tc>
        <w:tc>
          <w:tcPr>
            <w:tcW w:w="1134" w:type="dxa"/>
          </w:tcPr>
          <w:p w14:paraId="1579F2AE" w14:textId="78B981C2" w:rsidR="006E5533" w:rsidRPr="00251EA9" w:rsidRDefault="006E5533" w:rsidP="006E5533">
            <w:pPr>
              <w:spacing w:line="360" w:lineRule="auto"/>
              <w:contextualSpacing/>
              <w:rPr>
                <w:rFonts w:ascii="Arial" w:hAnsi="Arial" w:cs="Arial"/>
                <w:sz w:val="15"/>
                <w:szCs w:val="15"/>
              </w:rPr>
            </w:pPr>
          </w:p>
        </w:tc>
        <w:tc>
          <w:tcPr>
            <w:tcW w:w="992" w:type="dxa"/>
          </w:tcPr>
          <w:p w14:paraId="025FB3FD" w14:textId="33668A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C889BEC" w14:textId="364FA6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FD26A42" w14:textId="326CABF3" w:rsidR="006E5533" w:rsidRPr="00251EA9" w:rsidRDefault="006E5533" w:rsidP="006E5533">
            <w:pPr>
              <w:rPr>
                <w:rFonts w:ascii="Arial" w:hAnsi="Arial" w:cs="Arial"/>
                <w:sz w:val="15"/>
                <w:szCs w:val="15"/>
              </w:rPr>
            </w:pPr>
            <w:r w:rsidRPr="00251EA9">
              <w:rPr>
                <w:rFonts w:ascii="Arial" w:hAnsi="Arial" w:cs="Arial"/>
                <w:sz w:val="15"/>
                <w:szCs w:val="15"/>
              </w:rPr>
              <w:t>Reported 1 superficial wound infection, 4 shunt infections.</w:t>
            </w:r>
          </w:p>
        </w:tc>
        <w:tc>
          <w:tcPr>
            <w:tcW w:w="1701" w:type="dxa"/>
          </w:tcPr>
          <w:p w14:paraId="16430EF7" w14:textId="3072A0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547BAC4" w14:textId="77777777" w:rsidTr="00A77951">
        <w:trPr>
          <w:trHeight w:val="586"/>
        </w:trPr>
        <w:tc>
          <w:tcPr>
            <w:tcW w:w="992" w:type="dxa"/>
          </w:tcPr>
          <w:p w14:paraId="20249126" w14:textId="293B615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Sacko</w:t>
            </w:r>
            <w:proofErr w:type="spellEnd"/>
            <w:r w:rsidRPr="00251EA9">
              <w:rPr>
                <w:rFonts w:ascii="Arial" w:hAnsi="Arial" w:cs="Arial"/>
                <w:sz w:val="15"/>
                <w:szCs w:val="15"/>
              </w:rPr>
              <w:t xml:space="preserve"> O. et al., 2007</w:t>
            </w:r>
          </w:p>
        </w:tc>
        <w:tc>
          <w:tcPr>
            <w:tcW w:w="851" w:type="dxa"/>
          </w:tcPr>
          <w:p w14:paraId="46952F0A" w14:textId="38A0F39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10.1227/NEU.0b013e31820c02a3</w:t>
            </w:r>
          </w:p>
        </w:tc>
        <w:tc>
          <w:tcPr>
            <w:tcW w:w="851" w:type="dxa"/>
          </w:tcPr>
          <w:p w14:paraId="35E12F81" w14:textId="2BC4D3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AE83365" w14:textId="53700B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590860C3" w14:textId="1DBE85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1750616" w14:textId="17BA96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1774D62" w14:textId="2E8761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safety and effectiveness of an awake craniotomy (AC) with brain mapping in comparison with a craniotomy performed under general anaesthesia (GA).</w:t>
            </w:r>
          </w:p>
        </w:tc>
        <w:tc>
          <w:tcPr>
            <w:tcW w:w="1134" w:type="dxa"/>
          </w:tcPr>
          <w:p w14:paraId="08E0AF2D" w14:textId="1AA654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Awake vs under general anaesthesia</w:t>
            </w:r>
          </w:p>
        </w:tc>
        <w:tc>
          <w:tcPr>
            <w:tcW w:w="992" w:type="dxa"/>
          </w:tcPr>
          <w:p w14:paraId="2EAD0D84" w14:textId="0D0949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FEC5553" w14:textId="12BE56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89218DB" w14:textId="6C081039" w:rsidR="006E5533" w:rsidRPr="00251EA9" w:rsidRDefault="006E5533" w:rsidP="006E5533">
            <w:pPr>
              <w:rPr>
                <w:rFonts w:ascii="Arial" w:hAnsi="Arial" w:cs="Arial"/>
                <w:sz w:val="15"/>
                <w:szCs w:val="15"/>
              </w:rPr>
            </w:pPr>
            <w:r w:rsidRPr="00251EA9">
              <w:rPr>
                <w:rFonts w:ascii="Arial" w:hAnsi="Arial" w:cs="Arial"/>
                <w:sz w:val="15"/>
                <w:szCs w:val="15"/>
              </w:rPr>
              <w:t>Reported 3 cases of wound infection in AC group and 4 cases in GA group.</w:t>
            </w:r>
          </w:p>
        </w:tc>
        <w:tc>
          <w:tcPr>
            <w:tcW w:w="1701" w:type="dxa"/>
          </w:tcPr>
          <w:p w14:paraId="47D0833E" w14:textId="5A58B1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58DD3C2" w14:textId="77777777" w:rsidTr="00A77951">
        <w:trPr>
          <w:trHeight w:val="586"/>
        </w:trPr>
        <w:tc>
          <w:tcPr>
            <w:tcW w:w="992" w:type="dxa"/>
          </w:tcPr>
          <w:p w14:paraId="6A12F058" w14:textId="073C08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Saenz A. et al., 2021</w:t>
            </w:r>
          </w:p>
        </w:tc>
        <w:tc>
          <w:tcPr>
            <w:tcW w:w="851" w:type="dxa"/>
          </w:tcPr>
          <w:p w14:paraId="2EC24241" w14:textId="11AE98F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10.1007/s00381-021-05256-y</w:t>
            </w:r>
          </w:p>
        </w:tc>
        <w:tc>
          <w:tcPr>
            <w:tcW w:w="851" w:type="dxa"/>
          </w:tcPr>
          <w:p w14:paraId="739B4C89" w14:textId="25B54E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Argentina</w:t>
            </w:r>
          </w:p>
        </w:tc>
        <w:tc>
          <w:tcPr>
            <w:tcW w:w="1134" w:type="dxa"/>
          </w:tcPr>
          <w:p w14:paraId="27D42B8B" w14:textId="6BB646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 study</w:t>
            </w:r>
          </w:p>
        </w:tc>
        <w:tc>
          <w:tcPr>
            <w:tcW w:w="992" w:type="dxa"/>
          </w:tcPr>
          <w:p w14:paraId="11972C12" w14:textId="2821B9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6F826755" w14:textId="246931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Neuro-oncology</w:t>
            </w:r>
          </w:p>
        </w:tc>
        <w:tc>
          <w:tcPr>
            <w:tcW w:w="1843" w:type="dxa"/>
          </w:tcPr>
          <w:p w14:paraId="78C31BF1" w14:textId="389C48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study the risk factors associated with SSI following a resection of posterior fossa tumours in a</w:t>
            </w:r>
            <w:r w:rsidRPr="00251EA9">
              <w:rPr>
                <w:rFonts w:ascii="Arial" w:hAnsi="Arial" w:cs="Arial"/>
                <w:sz w:val="15"/>
                <w:szCs w:val="15"/>
              </w:rPr>
              <w:br/>
              <w:t>purely paediatric population.</w:t>
            </w:r>
          </w:p>
        </w:tc>
        <w:tc>
          <w:tcPr>
            <w:tcW w:w="1134" w:type="dxa"/>
          </w:tcPr>
          <w:p w14:paraId="7013D453" w14:textId="5EA111DF" w:rsidR="006E5533" w:rsidRPr="00251EA9" w:rsidRDefault="006E5533" w:rsidP="006E5533">
            <w:pPr>
              <w:spacing w:line="360" w:lineRule="auto"/>
              <w:contextualSpacing/>
              <w:rPr>
                <w:rFonts w:ascii="Arial" w:hAnsi="Arial" w:cs="Arial"/>
                <w:sz w:val="15"/>
                <w:szCs w:val="15"/>
              </w:rPr>
            </w:pPr>
          </w:p>
        </w:tc>
        <w:tc>
          <w:tcPr>
            <w:tcW w:w="992" w:type="dxa"/>
          </w:tcPr>
          <w:p w14:paraId="43C56405" w14:textId="40BB0B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69AF501" w14:textId="31F064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01B5CB09" w14:textId="0E57DED8" w:rsidR="006E5533" w:rsidRPr="00251EA9" w:rsidRDefault="006E5533" w:rsidP="006E5533">
            <w:pPr>
              <w:rPr>
                <w:rFonts w:ascii="Arial" w:hAnsi="Arial" w:cs="Arial"/>
                <w:sz w:val="15"/>
                <w:szCs w:val="15"/>
              </w:rPr>
            </w:pPr>
            <w:r w:rsidRPr="00251EA9">
              <w:rPr>
                <w:rFonts w:ascii="Arial" w:hAnsi="Arial" w:cs="Arial"/>
                <w:sz w:val="15"/>
                <w:szCs w:val="15"/>
              </w:rPr>
              <w:t xml:space="preserve">Patients with ventriculoperitoneal shunt or external ventricular drainage placement had a greater chance of presenting a postoperative surgical site infection. Prolonged operative time and CSF leak through the wound also caused an increase in the risk of SSI in the postoperative period. </w:t>
            </w:r>
          </w:p>
        </w:tc>
        <w:tc>
          <w:tcPr>
            <w:tcW w:w="1701" w:type="dxa"/>
          </w:tcPr>
          <w:p w14:paraId="363AB711" w14:textId="6D0567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4E1CF60" w14:textId="77777777" w:rsidTr="00A77951">
        <w:trPr>
          <w:trHeight w:val="586"/>
        </w:trPr>
        <w:tc>
          <w:tcPr>
            <w:tcW w:w="992" w:type="dxa"/>
          </w:tcPr>
          <w:p w14:paraId="03F9FCC5" w14:textId="13790A2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Sakarunchai</w:t>
            </w:r>
            <w:proofErr w:type="spellEnd"/>
            <w:r w:rsidRPr="00251EA9">
              <w:rPr>
                <w:rFonts w:ascii="Arial" w:hAnsi="Arial" w:cs="Arial"/>
                <w:sz w:val="15"/>
                <w:szCs w:val="15"/>
              </w:rPr>
              <w:t xml:space="preserve"> I. et al., 2016</w:t>
            </w:r>
          </w:p>
        </w:tc>
        <w:tc>
          <w:tcPr>
            <w:tcW w:w="851" w:type="dxa"/>
          </w:tcPr>
          <w:p w14:paraId="28DDC4C4" w14:textId="722F07C8"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10.1016/j.inat.2016.01.003</w:t>
            </w:r>
          </w:p>
        </w:tc>
        <w:tc>
          <w:tcPr>
            <w:tcW w:w="851" w:type="dxa"/>
          </w:tcPr>
          <w:p w14:paraId="2862D288" w14:textId="48B960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72337163" w14:textId="1D78FF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A91D5D5" w14:textId="4F293D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7C51164" w14:textId="7B03E1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2E38E7F8" w14:textId="5963CF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the outcomes of treatment and establish the most effective technique for frontal air sinus reconstruction. </w:t>
            </w:r>
          </w:p>
        </w:tc>
        <w:tc>
          <w:tcPr>
            <w:tcW w:w="1134" w:type="dxa"/>
          </w:tcPr>
          <w:p w14:paraId="5827E93D" w14:textId="6518EB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0E2BA254" w14:textId="61D69A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AFF29D6" w14:textId="27CC91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9F4CEDB" w14:textId="2B58FAA3" w:rsidR="006E5533" w:rsidRPr="00251EA9" w:rsidRDefault="006E5533" w:rsidP="006E5533">
            <w:pPr>
              <w:rPr>
                <w:rFonts w:ascii="Arial" w:hAnsi="Arial" w:cs="Arial"/>
                <w:sz w:val="15"/>
                <w:szCs w:val="15"/>
              </w:rPr>
            </w:pPr>
            <w:r w:rsidRPr="00251EA9">
              <w:rPr>
                <w:rFonts w:ascii="Arial" w:hAnsi="Arial" w:cs="Arial"/>
                <w:sz w:val="15"/>
                <w:szCs w:val="15"/>
              </w:rPr>
              <w:t xml:space="preserve">One patient developed a surgical wound infection. </w:t>
            </w:r>
          </w:p>
        </w:tc>
        <w:tc>
          <w:tcPr>
            <w:tcW w:w="1701" w:type="dxa"/>
          </w:tcPr>
          <w:p w14:paraId="6FB098C6" w14:textId="3C2827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13AA11A" w14:textId="77777777" w:rsidTr="00A77951">
        <w:trPr>
          <w:trHeight w:val="586"/>
        </w:trPr>
        <w:tc>
          <w:tcPr>
            <w:tcW w:w="992" w:type="dxa"/>
          </w:tcPr>
          <w:p w14:paraId="0F69F6EB" w14:textId="7F2E6D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Saleh C. et al., 2015</w:t>
            </w:r>
          </w:p>
        </w:tc>
        <w:tc>
          <w:tcPr>
            <w:tcW w:w="851" w:type="dxa"/>
          </w:tcPr>
          <w:p w14:paraId="48D39A7F" w14:textId="114A6B8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10.1007/s11920-015-0565-1</w:t>
            </w:r>
          </w:p>
        </w:tc>
        <w:tc>
          <w:tcPr>
            <w:tcW w:w="851" w:type="dxa"/>
          </w:tcPr>
          <w:p w14:paraId="6F323EBB" w14:textId="3B8F6B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France </w:t>
            </w:r>
          </w:p>
        </w:tc>
        <w:tc>
          <w:tcPr>
            <w:tcW w:w="1134" w:type="dxa"/>
          </w:tcPr>
          <w:p w14:paraId="759D6FF6" w14:textId="27F1FB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Retrospective </w:t>
            </w:r>
          </w:p>
        </w:tc>
        <w:tc>
          <w:tcPr>
            <w:tcW w:w="992" w:type="dxa"/>
          </w:tcPr>
          <w:p w14:paraId="33DD1D17" w14:textId="773434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4B1C469" w14:textId="1F6610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72C8CDCD" w14:textId="231375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analyse the reported complications and to allow a comprehensive assessment of the benefits and risks in </w:t>
            </w:r>
            <w:r w:rsidRPr="00251EA9">
              <w:rPr>
                <w:rFonts w:ascii="Arial" w:hAnsi="Arial" w:cs="Arial"/>
                <w:sz w:val="15"/>
                <w:szCs w:val="15"/>
              </w:rPr>
              <w:lastRenderedPageBreak/>
              <w:t>DBS for psychiatric diseases.</w:t>
            </w:r>
          </w:p>
        </w:tc>
        <w:tc>
          <w:tcPr>
            <w:tcW w:w="1134" w:type="dxa"/>
          </w:tcPr>
          <w:p w14:paraId="1C8C33A0" w14:textId="3C9BA0DA" w:rsidR="006E5533" w:rsidRPr="00251EA9" w:rsidRDefault="006E5533" w:rsidP="006E5533">
            <w:pPr>
              <w:spacing w:line="360" w:lineRule="auto"/>
              <w:contextualSpacing/>
              <w:rPr>
                <w:rFonts w:ascii="Arial" w:hAnsi="Arial" w:cs="Arial"/>
                <w:sz w:val="15"/>
                <w:szCs w:val="15"/>
              </w:rPr>
            </w:pPr>
          </w:p>
        </w:tc>
        <w:tc>
          <w:tcPr>
            <w:tcW w:w="992" w:type="dxa"/>
          </w:tcPr>
          <w:p w14:paraId="49A5483B" w14:textId="171C22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4D0E7BB" w14:textId="7A8973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D56EB24" w14:textId="1356CEE8" w:rsidR="006E5533" w:rsidRPr="00251EA9" w:rsidRDefault="006E5533" w:rsidP="006E5533">
            <w:pPr>
              <w:rPr>
                <w:rFonts w:ascii="Arial" w:hAnsi="Arial" w:cs="Arial"/>
                <w:sz w:val="15"/>
                <w:szCs w:val="15"/>
              </w:rPr>
            </w:pPr>
            <w:r w:rsidRPr="00251EA9">
              <w:rPr>
                <w:rFonts w:ascii="Arial" w:hAnsi="Arial" w:cs="Arial"/>
                <w:sz w:val="15"/>
                <w:szCs w:val="15"/>
              </w:rPr>
              <w:t>7.7% of patients had infection as an adverse event.</w:t>
            </w:r>
          </w:p>
        </w:tc>
        <w:tc>
          <w:tcPr>
            <w:tcW w:w="1701" w:type="dxa"/>
          </w:tcPr>
          <w:p w14:paraId="4A87A7BC" w14:textId="7E6F7B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91DF4BD" w14:textId="77777777" w:rsidTr="00A77951">
        <w:trPr>
          <w:trHeight w:val="586"/>
        </w:trPr>
        <w:tc>
          <w:tcPr>
            <w:tcW w:w="992" w:type="dxa"/>
          </w:tcPr>
          <w:p w14:paraId="0EDC272F" w14:textId="09EF21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Salle H. et al., 2021</w:t>
            </w:r>
          </w:p>
        </w:tc>
        <w:tc>
          <w:tcPr>
            <w:tcW w:w="851" w:type="dxa"/>
          </w:tcPr>
          <w:p w14:paraId="7EE32567" w14:textId="6F0B2AC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10.1007/s15010-020-01534-0</w:t>
            </w:r>
          </w:p>
        </w:tc>
        <w:tc>
          <w:tcPr>
            <w:tcW w:w="851" w:type="dxa"/>
          </w:tcPr>
          <w:p w14:paraId="2ED7FB50" w14:textId="5B97C2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France</w:t>
            </w:r>
          </w:p>
        </w:tc>
        <w:tc>
          <w:tcPr>
            <w:tcW w:w="1134" w:type="dxa"/>
          </w:tcPr>
          <w:p w14:paraId="2ED0E79D" w14:textId="195B49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F523CE4" w14:textId="6CDDDA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0F6BBEA" w14:textId="7AD345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493C59F" w14:textId="3A6168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impact of SSI on the survival of glioblastoma patients.</w:t>
            </w:r>
          </w:p>
        </w:tc>
        <w:tc>
          <w:tcPr>
            <w:tcW w:w="1134" w:type="dxa"/>
          </w:tcPr>
          <w:p w14:paraId="34110E6C" w14:textId="45FEBD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w:t>
            </w:r>
          </w:p>
        </w:tc>
        <w:tc>
          <w:tcPr>
            <w:tcW w:w="992" w:type="dxa"/>
          </w:tcPr>
          <w:p w14:paraId="0D631EC7" w14:textId="6ACBC3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EA06E18" w14:textId="4E8B3F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5BAC523A" w14:textId="591E504B" w:rsidR="006E5533" w:rsidRPr="00251EA9" w:rsidRDefault="006E5533" w:rsidP="006E5533">
            <w:pPr>
              <w:rPr>
                <w:rFonts w:ascii="Arial" w:hAnsi="Arial" w:cs="Arial"/>
                <w:sz w:val="15"/>
                <w:szCs w:val="15"/>
              </w:rPr>
            </w:pPr>
            <w:r w:rsidRPr="00251EA9">
              <w:rPr>
                <w:rFonts w:ascii="Arial" w:hAnsi="Arial" w:cs="Arial"/>
                <w:sz w:val="15"/>
                <w:szCs w:val="15"/>
              </w:rPr>
              <w:t>Included data from 64 SSI cases and 58 non-infected glioblastoma patients. Infections occurred after surgery for primary tumours in 38 cases (group I) and after surgery for a recurrent tumour in 26 cases (group II). Patients in group I had significantly shorter survival</w:t>
            </w:r>
            <w:r w:rsidRPr="00251EA9">
              <w:rPr>
                <w:rFonts w:ascii="Arial" w:hAnsi="Arial" w:cs="Arial"/>
                <w:sz w:val="15"/>
                <w:szCs w:val="15"/>
              </w:rPr>
              <w:br/>
              <w:t xml:space="preserve">compared to the other two groups. The one-year survival rate of patients who developed infections after surgery for primary tumours was 50%. </w:t>
            </w:r>
          </w:p>
        </w:tc>
        <w:tc>
          <w:tcPr>
            <w:tcW w:w="1701" w:type="dxa"/>
          </w:tcPr>
          <w:p w14:paraId="7CDB6E28" w14:textId="13BD7E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r>
      <w:tr w:rsidR="006E5533" w:rsidRPr="00251EA9" w14:paraId="179E75FA" w14:textId="77777777" w:rsidTr="00A77951">
        <w:trPr>
          <w:trHeight w:val="586"/>
        </w:trPr>
        <w:tc>
          <w:tcPr>
            <w:tcW w:w="992" w:type="dxa"/>
          </w:tcPr>
          <w:p w14:paraId="4343D7D4" w14:textId="2279184D"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Salmanov</w:t>
            </w:r>
            <w:proofErr w:type="spellEnd"/>
            <w:r w:rsidRPr="00251EA9">
              <w:rPr>
                <w:rFonts w:ascii="Arial" w:hAnsi="Arial" w:cs="Arial"/>
                <w:sz w:val="15"/>
                <w:szCs w:val="15"/>
              </w:rPr>
              <w:t xml:space="preserve"> A.G. et al., 2022</w:t>
            </w:r>
          </w:p>
        </w:tc>
        <w:tc>
          <w:tcPr>
            <w:tcW w:w="851" w:type="dxa"/>
          </w:tcPr>
          <w:p w14:paraId="185D1F60" w14:textId="1A74D1E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PMID: 35092242</w:t>
            </w:r>
          </w:p>
        </w:tc>
        <w:tc>
          <w:tcPr>
            <w:tcW w:w="851" w:type="dxa"/>
          </w:tcPr>
          <w:p w14:paraId="1CBBB177" w14:textId="62A4E0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Ukraine</w:t>
            </w:r>
          </w:p>
        </w:tc>
        <w:tc>
          <w:tcPr>
            <w:tcW w:w="1134" w:type="dxa"/>
          </w:tcPr>
          <w:p w14:paraId="6793E6B6" w14:textId="3CA68D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006D512" w14:textId="15E6F7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128DE2C" w14:textId="0F81BD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7DFEE29" w14:textId="31AE04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incidence of SSI in patients undergoing neurosurgical procedures and antimicrobial resistance of responsible pathogens and determine their impact on inpatient mortality in Ukraine.</w:t>
            </w:r>
          </w:p>
        </w:tc>
        <w:tc>
          <w:tcPr>
            <w:tcW w:w="1134" w:type="dxa"/>
          </w:tcPr>
          <w:p w14:paraId="14C0933B" w14:textId="3399F7EA" w:rsidR="006E5533" w:rsidRPr="00251EA9" w:rsidRDefault="006E5533" w:rsidP="006E5533">
            <w:pPr>
              <w:spacing w:line="360" w:lineRule="auto"/>
              <w:contextualSpacing/>
              <w:rPr>
                <w:rFonts w:ascii="Arial" w:hAnsi="Arial" w:cs="Arial"/>
                <w:sz w:val="15"/>
                <w:szCs w:val="15"/>
              </w:rPr>
            </w:pPr>
          </w:p>
        </w:tc>
        <w:tc>
          <w:tcPr>
            <w:tcW w:w="992" w:type="dxa"/>
          </w:tcPr>
          <w:p w14:paraId="3ADD0D55" w14:textId="7B51B2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D5559FC" w14:textId="618379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5E69E5CC" w14:textId="484D902B" w:rsidR="006E5533" w:rsidRPr="00251EA9" w:rsidRDefault="006E5533" w:rsidP="006E5533">
            <w:pPr>
              <w:rPr>
                <w:rFonts w:ascii="Arial" w:hAnsi="Arial" w:cs="Arial"/>
                <w:sz w:val="15"/>
                <w:szCs w:val="15"/>
              </w:rPr>
            </w:pPr>
            <w:r w:rsidRPr="00251EA9">
              <w:rPr>
                <w:rFonts w:ascii="Arial" w:hAnsi="Arial" w:cs="Arial"/>
                <w:sz w:val="15"/>
                <w:szCs w:val="15"/>
              </w:rPr>
              <w:t>Of the 8741 neurosurgical patients, 1697 developed an SSI during the first 3 months with an overall incidence of SSI of 19.4%. Of the 1697 SSIs identified, 1191 (70.9%) were organ-space infections, 287 (16.9%) were superficial incisional infections, and 219 (12.9%) were deep incisional infections.</w:t>
            </w:r>
          </w:p>
        </w:tc>
        <w:tc>
          <w:tcPr>
            <w:tcW w:w="1701" w:type="dxa"/>
          </w:tcPr>
          <w:p w14:paraId="1FA1A75E" w14:textId="48199C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r>
      <w:tr w:rsidR="006E5533" w:rsidRPr="00251EA9" w14:paraId="31AEFC78" w14:textId="77777777" w:rsidTr="00A77951">
        <w:trPr>
          <w:trHeight w:val="586"/>
        </w:trPr>
        <w:tc>
          <w:tcPr>
            <w:tcW w:w="992" w:type="dxa"/>
          </w:tcPr>
          <w:p w14:paraId="3C04E5FF" w14:textId="6DCE57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Sander C. et al., 2021</w:t>
            </w:r>
          </w:p>
        </w:tc>
        <w:tc>
          <w:tcPr>
            <w:tcW w:w="851" w:type="dxa"/>
          </w:tcPr>
          <w:p w14:paraId="7EFB77E9" w14:textId="0EA4B0E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10.1016/j.wneu.2021.01.123</w:t>
            </w:r>
          </w:p>
        </w:tc>
        <w:tc>
          <w:tcPr>
            <w:tcW w:w="851" w:type="dxa"/>
          </w:tcPr>
          <w:p w14:paraId="22F83C02" w14:textId="453FE2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2822E06F" w14:textId="40566E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D08D5A5" w14:textId="25F749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6F8F42F" w14:textId="0EE91E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07BC6F5E" w14:textId="580EFC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reasons for readmission in view of different diagnoses in cranial neurosurgery.</w:t>
            </w:r>
          </w:p>
        </w:tc>
        <w:tc>
          <w:tcPr>
            <w:tcW w:w="1134" w:type="dxa"/>
          </w:tcPr>
          <w:p w14:paraId="630916C7" w14:textId="51F6195E" w:rsidR="006E5533" w:rsidRPr="00251EA9" w:rsidRDefault="006E5533" w:rsidP="006E5533">
            <w:pPr>
              <w:spacing w:line="360" w:lineRule="auto"/>
              <w:contextualSpacing/>
              <w:rPr>
                <w:rFonts w:ascii="Arial" w:hAnsi="Arial" w:cs="Arial"/>
                <w:sz w:val="15"/>
                <w:szCs w:val="15"/>
              </w:rPr>
            </w:pPr>
          </w:p>
        </w:tc>
        <w:tc>
          <w:tcPr>
            <w:tcW w:w="992" w:type="dxa"/>
          </w:tcPr>
          <w:p w14:paraId="6EBBC1E2" w14:textId="248EB6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409E307" w14:textId="7531B1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A575AFB" w14:textId="5612C82B" w:rsidR="006E5533" w:rsidRPr="00251EA9" w:rsidRDefault="006E5533" w:rsidP="006E5533">
            <w:pPr>
              <w:rPr>
                <w:rFonts w:ascii="Arial" w:hAnsi="Arial" w:cs="Arial"/>
                <w:sz w:val="15"/>
                <w:szCs w:val="15"/>
              </w:rPr>
            </w:pPr>
            <w:r w:rsidRPr="00251EA9">
              <w:rPr>
                <w:rFonts w:ascii="Arial" w:hAnsi="Arial" w:cs="Arial"/>
                <w:sz w:val="15"/>
                <w:szCs w:val="15"/>
              </w:rPr>
              <w:t>Reported 25, 14, 4, 3, 3 cases of SSI for neoplasm, vascular, trauma, hydrocephalus, functional surgeries respectively.</w:t>
            </w:r>
          </w:p>
        </w:tc>
        <w:tc>
          <w:tcPr>
            <w:tcW w:w="1701" w:type="dxa"/>
          </w:tcPr>
          <w:p w14:paraId="044A4E6A" w14:textId="77A9F3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347D911" w14:textId="77777777" w:rsidTr="00A77951">
        <w:trPr>
          <w:trHeight w:val="586"/>
        </w:trPr>
        <w:tc>
          <w:tcPr>
            <w:tcW w:w="992" w:type="dxa"/>
          </w:tcPr>
          <w:p w14:paraId="451F5A2C" w14:textId="09EA93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Sander C. et al., 2020</w:t>
            </w:r>
          </w:p>
        </w:tc>
        <w:tc>
          <w:tcPr>
            <w:tcW w:w="851" w:type="dxa"/>
          </w:tcPr>
          <w:p w14:paraId="3B018E90" w14:textId="5F246E8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10.1007/s00701-020-04521-4</w:t>
            </w:r>
          </w:p>
        </w:tc>
        <w:tc>
          <w:tcPr>
            <w:tcW w:w="851" w:type="dxa"/>
          </w:tcPr>
          <w:p w14:paraId="5ED31E21" w14:textId="59094A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6437B127" w14:textId="409FBE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479404DA" w14:textId="11EB71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48AF750" w14:textId="620C2E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4705E02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identify predictive factors for unplanned early readmission in surgical and non-surgical groups </w:t>
            </w:r>
            <w:proofErr w:type="gramStart"/>
            <w:r w:rsidRPr="00251EA9">
              <w:rPr>
                <w:rFonts w:ascii="Arial" w:hAnsi="Arial" w:cs="Arial"/>
                <w:sz w:val="15"/>
                <w:szCs w:val="15"/>
              </w:rPr>
              <w:t>in order to</w:t>
            </w:r>
            <w:proofErr w:type="gramEnd"/>
            <w:r w:rsidRPr="00251EA9">
              <w:rPr>
                <w:rFonts w:ascii="Arial" w:hAnsi="Arial" w:cs="Arial"/>
                <w:sz w:val="15"/>
                <w:szCs w:val="15"/>
              </w:rPr>
              <w:t xml:space="preserve"> define patients with high risk. </w:t>
            </w:r>
          </w:p>
          <w:p w14:paraId="323E82EB" w14:textId="4775B0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To detect the causes of preventable readmissions as an approach to reduce readmission rates and to enable prevention strategies.</w:t>
            </w:r>
          </w:p>
        </w:tc>
        <w:tc>
          <w:tcPr>
            <w:tcW w:w="1134" w:type="dxa"/>
          </w:tcPr>
          <w:p w14:paraId="23313675" w14:textId="684601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Surgical vs non-surgical groups</w:t>
            </w:r>
          </w:p>
        </w:tc>
        <w:tc>
          <w:tcPr>
            <w:tcW w:w="992" w:type="dxa"/>
          </w:tcPr>
          <w:p w14:paraId="3202EC1D" w14:textId="453A21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528E48F" w14:textId="145CF1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CD51B7C" w14:textId="6E0D4E16" w:rsidR="006E5533" w:rsidRPr="00251EA9" w:rsidRDefault="006E5533" w:rsidP="006E5533">
            <w:pPr>
              <w:rPr>
                <w:rFonts w:ascii="Arial" w:hAnsi="Arial" w:cs="Arial"/>
                <w:sz w:val="15"/>
                <w:szCs w:val="15"/>
              </w:rPr>
            </w:pPr>
            <w:r w:rsidRPr="00251EA9">
              <w:rPr>
                <w:rFonts w:ascii="Arial" w:hAnsi="Arial" w:cs="Arial"/>
                <w:sz w:val="15"/>
                <w:szCs w:val="15"/>
              </w:rPr>
              <w:t>Infections were the reason for readmission in 33.3% of patients.</w:t>
            </w:r>
          </w:p>
        </w:tc>
        <w:tc>
          <w:tcPr>
            <w:tcW w:w="1701" w:type="dxa"/>
          </w:tcPr>
          <w:p w14:paraId="168C6693" w14:textId="4827EB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A982CEC" w14:textId="77777777" w:rsidTr="00A77951">
        <w:trPr>
          <w:trHeight w:val="586"/>
        </w:trPr>
        <w:tc>
          <w:tcPr>
            <w:tcW w:w="992" w:type="dxa"/>
          </w:tcPr>
          <w:p w14:paraId="0F30BA83" w14:textId="7D44C65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Sangtongjaraskul</w:t>
            </w:r>
            <w:proofErr w:type="spellEnd"/>
            <w:r w:rsidRPr="00251EA9">
              <w:rPr>
                <w:rFonts w:ascii="Arial" w:hAnsi="Arial" w:cs="Arial"/>
                <w:sz w:val="15"/>
                <w:szCs w:val="15"/>
              </w:rPr>
              <w:t xml:space="preserve"> S. et al., 2023</w:t>
            </w:r>
          </w:p>
        </w:tc>
        <w:tc>
          <w:tcPr>
            <w:tcW w:w="851" w:type="dxa"/>
          </w:tcPr>
          <w:p w14:paraId="7ECBFFC7" w14:textId="13B1299B"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10.3171/2023.</w:t>
            </w:r>
            <w:proofErr w:type="gramStart"/>
            <w:r w:rsidRPr="00A77951">
              <w:rPr>
                <w:rFonts w:ascii="Arial" w:hAnsi="Arial" w:cs="Arial"/>
                <w:sz w:val="15"/>
                <w:szCs w:val="15"/>
              </w:rPr>
              <w:t>2.PEDS</w:t>
            </w:r>
            <w:proofErr w:type="gramEnd"/>
            <w:r w:rsidRPr="00A77951">
              <w:rPr>
                <w:rFonts w:ascii="Arial" w:hAnsi="Arial" w:cs="Arial"/>
                <w:sz w:val="15"/>
                <w:szCs w:val="15"/>
              </w:rPr>
              <w:t>22535</w:t>
            </w:r>
          </w:p>
        </w:tc>
        <w:tc>
          <w:tcPr>
            <w:tcW w:w="851" w:type="dxa"/>
          </w:tcPr>
          <w:p w14:paraId="5B6FEBA3" w14:textId="71947D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Thailand</w:t>
            </w:r>
          </w:p>
        </w:tc>
        <w:tc>
          <w:tcPr>
            <w:tcW w:w="1134" w:type="dxa"/>
          </w:tcPr>
          <w:p w14:paraId="6FAFA0F5" w14:textId="051904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FBEC18D" w14:textId="7FBE088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14142374" w14:textId="640F9C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Paediatrics/ Neuro-oncology</w:t>
            </w:r>
          </w:p>
        </w:tc>
        <w:tc>
          <w:tcPr>
            <w:tcW w:w="1843" w:type="dxa"/>
          </w:tcPr>
          <w:p w14:paraId="64F8C173"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identify the risk factors for intraoperative blood transfusion in this procedure. </w:t>
            </w:r>
          </w:p>
          <w:p w14:paraId="63A0DBD3" w14:textId="36223F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postoperative complications and clinical outcomes related to blood transfusion.</w:t>
            </w:r>
          </w:p>
        </w:tc>
        <w:tc>
          <w:tcPr>
            <w:tcW w:w="1134" w:type="dxa"/>
          </w:tcPr>
          <w:p w14:paraId="2D1E20D2" w14:textId="5AEDF2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Transfusion Vs non-transfusion groups.</w:t>
            </w:r>
          </w:p>
        </w:tc>
        <w:tc>
          <w:tcPr>
            <w:tcW w:w="992" w:type="dxa"/>
          </w:tcPr>
          <w:p w14:paraId="77DDD2BB" w14:textId="772FDB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3EA43DA" w14:textId="0AB2F0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D39B5AC" w14:textId="2087C327" w:rsidR="006E5533" w:rsidRPr="00251EA9" w:rsidRDefault="006E5533" w:rsidP="006E5533">
            <w:pPr>
              <w:rPr>
                <w:rFonts w:ascii="Arial" w:hAnsi="Arial" w:cs="Arial"/>
                <w:sz w:val="15"/>
                <w:szCs w:val="15"/>
              </w:rPr>
            </w:pPr>
            <w:r w:rsidRPr="00251EA9">
              <w:rPr>
                <w:rFonts w:ascii="Arial" w:hAnsi="Arial" w:cs="Arial"/>
                <w:sz w:val="15"/>
                <w:szCs w:val="15"/>
              </w:rPr>
              <w:t>The incidence rates of postoperative CNS infection (meningitis, infected ventriculoperitoneal shunt, and SSI) in the two groups was comparable.</w:t>
            </w:r>
          </w:p>
        </w:tc>
        <w:tc>
          <w:tcPr>
            <w:tcW w:w="1701" w:type="dxa"/>
          </w:tcPr>
          <w:p w14:paraId="49FB5928" w14:textId="7761AF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9204CC8" w14:textId="77777777" w:rsidTr="00A77951">
        <w:trPr>
          <w:trHeight w:val="586"/>
        </w:trPr>
        <w:tc>
          <w:tcPr>
            <w:tcW w:w="992" w:type="dxa"/>
          </w:tcPr>
          <w:p w14:paraId="1300B07C" w14:textId="0422BEA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Sangtongjaraskul</w:t>
            </w:r>
            <w:proofErr w:type="spellEnd"/>
            <w:r w:rsidRPr="00251EA9">
              <w:rPr>
                <w:rFonts w:ascii="Arial" w:hAnsi="Arial" w:cs="Arial"/>
                <w:sz w:val="15"/>
                <w:szCs w:val="15"/>
              </w:rPr>
              <w:t xml:space="preserve"> S. et al., 2023</w:t>
            </w:r>
          </w:p>
        </w:tc>
        <w:tc>
          <w:tcPr>
            <w:tcW w:w="851" w:type="dxa"/>
          </w:tcPr>
          <w:p w14:paraId="3CFB1579" w14:textId="0E95DCC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10.5005/jp-journals-10071-24418</w:t>
            </w:r>
          </w:p>
        </w:tc>
        <w:tc>
          <w:tcPr>
            <w:tcW w:w="851" w:type="dxa"/>
          </w:tcPr>
          <w:p w14:paraId="1C7F4483" w14:textId="493754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Thailand</w:t>
            </w:r>
          </w:p>
        </w:tc>
        <w:tc>
          <w:tcPr>
            <w:tcW w:w="1134" w:type="dxa"/>
          </w:tcPr>
          <w:p w14:paraId="597429A8" w14:textId="26B680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86F0A97" w14:textId="781C59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6F626A9" w14:textId="6600D4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C35F923" w14:textId="7D4419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identify the factors associated with an ICU stay of more than one day after paediatric brain tumour surgery. Additionally, postoperative complications and patient outcomes are also reviewed. </w:t>
            </w:r>
          </w:p>
        </w:tc>
        <w:tc>
          <w:tcPr>
            <w:tcW w:w="1134" w:type="dxa"/>
          </w:tcPr>
          <w:p w14:paraId="5DA38217" w14:textId="389B72B3" w:rsidR="006E5533" w:rsidRPr="00251EA9" w:rsidRDefault="006E5533" w:rsidP="006E5533">
            <w:pPr>
              <w:spacing w:line="360" w:lineRule="auto"/>
              <w:contextualSpacing/>
              <w:rPr>
                <w:rFonts w:ascii="Arial" w:hAnsi="Arial" w:cs="Arial"/>
                <w:sz w:val="15"/>
                <w:szCs w:val="15"/>
              </w:rPr>
            </w:pPr>
          </w:p>
        </w:tc>
        <w:tc>
          <w:tcPr>
            <w:tcW w:w="992" w:type="dxa"/>
          </w:tcPr>
          <w:p w14:paraId="64C2860B" w14:textId="1C3CB8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59D3E19" w14:textId="337AA5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C64005A" w14:textId="007C065B" w:rsidR="006E5533" w:rsidRPr="00251EA9" w:rsidRDefault="006E5533" w:rsidP="006E5533">
            <w:pPr>
              <w:rPr>
                <w:rFonts w:ascii="Arial" w:hAnsi="Arial" w:cs="Arial"/>
                <w:sz w:val="15"/>
                <w:szCs w:val="15"/>
              </w:rPr>
            </w:pPr>
            <w:r w:rsidRPr="00251EA9">
              <w:rPr>
                <w:rFonts w:ascii="Arial" w:hAnsi="Arial" w:cs="Arial"/>
                <w:sz w:val="15"/>
                <w:szCs w:val="15"/>
              </w:rPr>
              <w:t>16.93% of patients who were in ICU for 1-day experienced SSI. 33.61% of patients who had a prolonged ICU stay experienced SSI.</w:t>
            </w:r>
          </w:p>
        </w:tc>
        <w:tc>
          <w:tcPr>
            <w:tcW w:w="1701" w:type="dxa"/>
          </w:tcPr>
          <w:p w14:paraId="336E4A2C" w14:textId="469637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FED1482" w14:textId="77777777" w:rsidTr="00A77951">
        <w:trPr>
          <w:trHeight w:val="586"/>
        </w:trPr>
        <w:tc>
          <w:tcPr>
            <w:tcW w:w="992" w:type="dxa"/>
          </w:tcPr>
          <w:p w14:paraId="6BB40599" w14:textId="48A5883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Sankey E.W. et al., 2015</w:t>
            </w:r>
          </w:p>
        </w:tc>
        <w:tc>
          <w:tcPr>
            <w:tcW w:w="851" w:type="dxa"/>
          </w:tcPr>
          <w:p w14:paraId="75BB392A" w14:textId="2642897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10.3171/2015.</w:t>
            </w:r>
            <w:proofErr w:type="gramStart"/>
            <w:r w:rsidRPr="00A77951">
              <w:rPr>
                <w:rFonts w:ascii="Arial" w:hAnsi="Arial" w:cs="Arial"/>
                <w:sz w:val="15"/>
                <w:szCs w:val="15"/>
              </w:rPr>
              <w:t>4.JNS</w:t>
            </w:r>
            <w:proofErr w:type="gramEnd"/>
            <w:r w:rsidRPr="00A77951">
              <w:rPr>
                <w:rFonts w:ascii="Arial" w:hAnsi="Arial" w:cs="Arial"/>
                <w:sz w:val="15"/>
                <w:szCs w:val="15"/>
              </w:rPr>
              <w:t>15129</w:t>
            </w:r>
          </w:p>
        </w:tc>
        <w:tc>
          <w:tcPr>
            <w:tcW w:w="851" w:type="dxa"/>
          </w:tcPr>
          <w:p w14:paraId="74479CEA" w14:textId="02FDAB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A5BB138" w14:textId="703517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AAAA70F" w14:textId="093DBD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FD7ABB6" w14:textId="46BCC8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3FE346F9" w14:textId="2F3355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analyse 103 adult patients with </w:t>
            </w:r>
            <w:proofErr w:type="spellStart"/>
            <w:r w:rsidRPr="00251EA9">
              <w:rPr>
                <w:rFonts w:ascii="Arial" w:hAnsi="Arial" w:cs="Arial"/>
                <w:sz w:val="15"/>
                <w:szCs w:val="15"/>
              </w:rPr>
              <w:t>aqueductal</w:t>
            </w:r>
            <w:proofErr w:type="spellEnd"/>
            <w:r w:rsidRPr="00251EA9">
              <w:rPr>
                <w:rFonts w:ascii="Arial" w:hAnsi="Arial" w:cs="Arial"/>
                <w:sz w:val="15"/>
                <w:szCs w:val="15"/>
              </w:rPr>
              <w:t xml:space="preserve"> stenosis who underwent endoscopic third ventriculostomy (ETV) for obstructive hydrocephalus and </w:t>
            </w:r>
            <w:r w:rsidRPr="00251EA9">
              <w:rPr>
                <w:rFonts w:ascii="Arial" w:hAnsi="Arial" w:cs="Arial"/>
                <w:sz w:val="15"/>
                <w:szCs w:val="15"/>
              </w:rPr>
              <w:lastRenderedPageBreak/>
              <w:t>evaluated the effect of previous shunt placement on post-ETV outcomes.</w:t>
            </w:r>
          </w:p>
        </w:tc>
        <w:tc>
          <w:tcPr>
            <w:tcW w:w="1134" w:type="dxa"/>
          </w:tcPr>
          <w:p w14:paraId="0D26A0FE" w14:textId="001FE0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w:t>
            </w:r>
          </w:p>
        </w:tc>
        <w:tc>
          <w:tcPr>
            <w:tcW w:w="992" w:type="dxa"/>
          </w:tcPr>
          <w:p w14:paraId="1DFADE48" w14:textId="04E22B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C2E37DD" w14:textId="4648AD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421EC9B" w14:textId="084DAF1F" w:rsidR="006E5533" w:rsidRPr="00251EA9" w:rsidRDefault="006E5533" w:rsidP="006E5533">
            <w:pPr>
              <w:rPr>
                <w:rFonts w:ascii="Arial" w:hAnsi="Arial" w:cs="Arial"/>
                <w:sz w:val="15"/>
                <w:szCs w:val="15"/>
              </w:rPr>
            </w:pPr>
            <w:r w:rsidRPr="00251EA9">
              <w:rPr>
                <w:rFonts w:ascii="Arial" w:hAnsi="Arial" w:cs="Arial"/>
                <w:sz w:val="15"/>
                <w:szCs w:val="15"/>
              </w:rPr>
              <w:t xml:space="preserve">Nine (8.7%) pa- </w:t>
            </w:r>
            <w:proofErr w:type="spellStart"/>
            <w:r w:rsidRPr="00251EA9">
              <w:rPr>
                <w:rFonts w:ascii="Arial" w:hAnsi="Arial" w:cs="Arial"/>
                <w:sz w:val="15"/>
                <w:szCs w:val="15"/>
              </w:rPr>
              <w:t>tients</w:t>
            </w:r>
            <w:proofErr w:type="spellEnd"/>
            <w:r w:rsidRPr="00251EA9">
              <w:rPr>
                <w:rFonts w:ascii="Arial" w:hAnsi="Arial" w:cs="Arial"/>
                <w:sz w:val="15"/>
                <w:szCs w:val="15"/>
              </w:rPr>
              <w:t xml:space="preserve"> experienced transient, postoperative complications, including 1 lower-extremity DVT and 2 PEs requiring therapeutic anticoagulation, 1 wound infection resulting in </w:t>
            </w:r>
            <w:proofErr w:type="spellStart"/>
            <w:r w:rsidRPr="00251EA9">
              <w:rPr>
                <w:rFonts w:ascii="Arial" w:hAnsi="Arial" w:cs="Arial"/>
                <w:sz w:val="15"/>
                <w:szCs w:val="15"/>
              </w:rPr>
              <w:t>septicemia</w:t>
            </w:r>
            <w:proofErr w:type="spellEnd"/>
            <w:r w:rsidRPr="00251EA9">
              <w:rPr>
                <w:rFonts w:ascii="Arial" w:hAnsi="Arial" w:cs="Arial"/>
                <w:sz w:val="15"/>
                <w:szCs w:val="15"/>
              </w:rPr>
              <w:t xml:space="preserve"> and meningitis requiring 6 weeks of prolonged antibiotics, and 5 “other” complications. </w:t>
            </w:r>
          </w:p>
        </w:tc>
        <w:tc>
          <w:tcPr>
            <w:tcW w:w="1701" w:type="dxa"/>
          </w:tcPr>
          <w:p w14:paraId="347ECF8D" w14:textId="733909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4BB3D5C" w14:textId="77777777" w:rsidTr="00A77951">
        <w:trPr>
          <w:trHeight w:val="586"/>
        </w:trPr>
        <w:tc>
          <w:tcPr>
            <w:tcW w:w="992" w:type="dxa"/>
          </w:tcPr>
          <w:p w14:paraId="4C558BFD" w14:textId="20AF2FF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Saramma</w:t>
            </w:r>
            <w:proofErr w:type="spellEnd"/>
            <w:r w:rsidRPr="00251EA9">
              <w:rPr>
                <w:rFonts w:ascii="Arial" w:hAnsi="Arial" w:cs="Arial"/>
                <w:sz w:val="15"/>
                <w:szCs w:val="15"/>
              </w:rPr>
              <w:t xml:space="preserve"> P.P. et al., 2011</w:t>
            </w:r>
          </w:p>
        </w:tc>
        <w:tc>
          <w:tcPr>
            <w:tcW w:w="851" w:type="dxa"/>
          </w:tcPr>
          <w:p w14:paraId="7AAE6AC5" w14:textId="61A1752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10.4103/0028-3886.76850</w:t>
            </w:r>
          </w:p>
        </w:tc>
        <w:tc>
          <w:tcPr>
            <w:tcW w:w="851" w:type="dxa"/>
          </w:tcPr>
          <w:p w14:paraId="08E8496C" w14:textId="4255B5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525565E9" w14:textId="4C87C8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313385E5" w14:textId="4EFD45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0A46B66" w14:textId="4BD386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5EB8ED49" w14:textId="1CD0B5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effect of alcohol-based hand rub before and after each patient contact on SSI after elective neurosurgical procedures.</w:t>
            </w:r>
          </w:p>
        </w:tc>
        <w:tc>
          <w:tcPr>
            <w:tcW w:w="1134" w:type="dxa"/>
          </w:tcPr>
          <w:p w14:paraId="7774036D" w14:textId="0DCD08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Vs without alcohol rub</w:t>
            </w:r>
          </w:p>
        </w:tc>
        <w:tc>
          <w:tcPr>
            <w:tcW w:w="992" w:type="dxa"/>
          </w:tcPr>
          <w:p w14:paraId="38B45ABE" w14:textId="08478E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A0A0575" w14:textId="5B2D31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6D8062EC" w14:textId="1628344E" w:rsidR="006E5533" w:rsidRPr="00251EA9" w:rsidRDefault="006E5533" w:rsidP="006E5533">
            <w:pPr>
              <w:rPr>
                <w:rFonts w:ascii="Arial" w:hAnsi="Arial" w:cs="Arial"/>
                <w:sz w:val="15"/>
                <w:szCs w:val="15"/>
              </w:rPr>
            </w:pPr>
            <w:r w:rsidRPr="00251EA9">
              <w:rPr>
                <w:rFonts w:ascii="Arial" w:hAnsi="Arial" w:cs="Arial"/>
                <w:sz w:val="15"/>
                <w:szCs w:val="15"/>
              </w:rPr>
              <w:t>The SSI rate in the control group was 22 (2.3%) out of 974 compared to 14 (1.5%) out of 925 in the intervention group.</w:t>
            </w:r>
          </w:p>
        </w:tc>
        <w:tc>
          <w:tcPr>
            <w:tcW w:w="1701" w:type="dxa"/>
          </w:tcPr>
          <w:p w14:paraId="715FD6AA" w14:textId="7124CE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4A0A9CB" w14:textId="77777777" w:rsidTr="00A77951">
        <w:trPr>
          <w:trHeight w:val="586"/>
        </w:trPr>
        <w:tc>
          <w:tcPr>
            <w:tcW w:w="992" w:type="dxa"/>
          </w:tcPr>
          <w:p w14:paraId="006C411C" w14:textId="1CBEA55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Sathaporntheera</w:t>
            </w:r>
            <w:proofErr w:type="spellEnd"/>
            <w:r w:rsidRPr="00251EA9">
              <w:rPr>
                <w:rFonts w:ascii="Arial" w:hAnsi="Arial" w:cs="Arial"/>
                <w:sz w:val="15"/>
                <w:szCs w:val="15"/>
              </w:rPr>
              <w:t xml:space="preserve"> P. et al., 2020</w:t>
            </w:r>
          </w:p>
        </w:tc>
        <w:tc>
          <w:tcPr>
            <w:tcW w:w="851" w:type="dxa"/>
          </w:tcPr>
          <w:p w14:paraId="77A4B5B1" w14:textId="0A180C7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10.1016/j.inat.2020.100865</w:t>
            </w:r>
          </w:p>
        </w:tc>
        <w:tc>
          <w:tcPr>
            <w:tcW w:w="851" w:type="dxa"/>
          </w:tcPr>
          <w:p w14:paraId="540A8040" w14:textId="158119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Thailand</w:t>
            </w:r>
          </w:p>
        </w:tc>
        <w:tc>
          <w:tcPr>
            <w:tcW w:w="1134" w:type="dxa"/>
          </w:tcPr>
          <w:p w14:paraId="31E6F01E" w14:textId="36E40E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3967E2D" w14:textId="3496AC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F733E91" w14:textId="3BF24E9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49454AF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examine instances of cerebrospinal fluid leakage after </w:t>
            </w:r>
            <w:proofErr w:type="spellStart"/>
            <w:r w:rsidRPr="00251EA9">
              <w:rPr>
                <w:rFonts w:ascii="Arial" w:hAnsi="Arial" w:cs="Arial"/>
                <w:sz w:val="15"/>
                <w:szCs w:val="15"/>
              </w:rPr>
              <w:t>retrosigmoid</w:t>
            </w:r>
            <w:proofErr w:type="spellEnd"/>
            <w:r w:rsidRPr="00251EA9">
              <w:rPr>
                <w:rFonts w:ascii="Arial" w:hAnsi="Arial" w:cs="Arial"/>
                <w:sz w:val="15"/>
                <w:szCs w:val="15"/>
              </w:rPr>
              <w:t xml:space="preserve"> surgery. </w:t>
            </w:r>
          </w:p>
          <w:p w14:paraId="43341FAF" w14:textId="025A69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examine complications associated with CSF leakage.</w:t>
            </w:r>
          </w:p>
        </w:tc>
        <w:tc>
          <w:tcPr>
            <w:tcW w:w="1134" w:type="dxa"/>
          </w:tcPr>
          <w:p w14:paraId="41B062B4" w14:textId="4E192729" w:rsidR="006E5533" w:rsidRPr="00251EA9" w:rsidRDefault="006E5533" w:rsidP="006E5533">
            <w:pPr>
              <w:spacing w:line="360" w:lineRule="auto"/>
              <w:contextualSpacing/>
              <w:rPr>
                <w:rFonts w:ascii="Arial" w:hAnsi="Arial" w:cs="Arial"/>
                <w:sz w:val="15"/>
                <w:szCs w:val="15"/>
              </w:rPr>
            </w:pPr>
          </w:p>
        </w:tc>
        <w:tc>
          <w:tcPr>
            <w:tcW w:w="992" w:type="dxa"/>
          </w:tcPr>
          <w:p w14:paraId="26C75CF9" w14:textId="65A7A2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9467E2B" w14:textId="3B716D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0631CED" w14:textId="20368979" w:rsidR="006E5533" w:rsidRPr="00251EA9" w:rsidRDefault="006E5533" w:rsidP="006E5533">
            <w:pPr>
              <w:rPr>
                <w:rFonts w:ascii="Arial" w:hAnsi="Arial" w:cs="Arial"/>
                <w:sz w:val="15"/>
                <w:szCs w:val="15"/>
              </w:rPr>
            </w:pPr>
            <w:r w:rsidRPr="00251EA9">
              <w:rPr>
                <w:rFonts w:ascii="Arial" w:hAnsi="Arial" w:cs="Arial"/>
                <w:sz w:val="15"/>
                <w:szCs w:val="15"/>
              </w:rPr>
              <w:t xml:space="preserve">All types of CSF leakage, i.e., </w:t>
            </w:r>
            <w:proofErr w:type="spellStart"/>
            <w:r w:rsidRPr="00251EA9">
              <w:rPr>
                <w:rFonts w:ascii="Arial" w:hAnsi="Arial" w:cs="Arial"/>
                <w:sz w:val="15"/>
                <w:szCs w:val="15"/>
              </w:rPr>
              <w:t>pseudomeningocele</w:t>
            </w:r>
            <w:proofErr w:type="spellEnd"/>
            <w:r w:rsidRPr="00251EA9">
              <w:rPr>
                <w:rFonts w:ascii="Arial" w:hAnsi="Arial" w:cs="Arial"/>
                <w:sz w:val="15"/>
                <w:szCs w:val="15"/>
              </w:rPr>
              <w:t xml:space="preserve">, wound leakage, CSF </w:t>
            </w:r>
            <w:proofErr w:type="spellStart"/>
            <w:r w:rsidRPr="00251EA9">
              <w:rPr>
                <w:rFonts w:ascii="Arial" w:hAnsi="Arial" w:cs="Arial"/>
                <w:sz w:val="15"/>
                <w:szCs w:val="15"/>
              </w:rPr>
              <w:t>rhinorrhea</w:t>
            </w:r>
            <w:proofErr w:type="spellEnd"/>
            <w:r w:rsidRPr="00251EA9">
              <w:rPr>
                <w:rFonts w:ascii="Arial" w:hAnsi="Arial" w:cs="Arial"/>
                <w:sz w:val="15"/>
                <w:szCs w:val="15"/>
              </w:rPr>
              <w:t xml:space="preserve">, and CSF otorrhea, were risk factors for wound infection and meningitis. </w:t>
            </w:r>
          </w:p>
        </w:tc>
        <w:tc>
          <w:tcPr>
            <w:tcW w:w="1701" w:type="dxa"/>
          </w:tcPr>
          <w:p w14:paraId="655979C0" w14:textId="4DBD27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AA8171E" w14:textId="77777777" w:rsidTr="00A77951">
        <w:trPr>
          <w:trHeight w:val="586"/>
        </w:trPr>
        <w:tc>
          <w:tcPr>
            <w:tcW w:w="992" w:type="dxa"/>
          </w:tcPr>
          <w:p w14:paraId="2E3492C6" w14:textId="62D03A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Savin I. et al., 2018</w:t>
            </w:r>
          </w:p>
        </w:tc>
        <w:tc>
          <w:tcPr>
            <w:tcW w:w="851" w:type="dxa"/>
          </w:tcPr>
          <w:p w14:paraId="68D7AE44" w14:textId="57A427D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10.1016/j.jcrc.2018.01.022</w:t>
            </w:r>
          </w:p>
        </w:tc>
        <w:tc>
          <w:tcPr>
            <w:tcW w:w="851" w:type="dxa"/>
          </w:tcPr>
          <w:p w14:paraId="31EF7B51" w14:textId="427B94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Russia</w:t>
            </w:r>
          </w:p>
        </w:tc>
        <w:tc>
          <w:tcPr>
            <w:tcW w:w="1134" w:type="dxa"/>
          </w:tcPr>
          <w:p w14:paraId="4B5A8D8B" w14:textId="0A2888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BF4F365" w14:textId="687644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F2A6B18" w14:textId="1E1BFC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095B45DF" w14:textId="5763D9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define the incidence of healthcare-associated ventriculitis and meningitis (HAVM) in the neuro-ICU and to identify HAVM risk factors using tree-based machine learning algorithms.</w:t>
            </w:r>
          </w:p>
        </w:tc>
        <w:tc>
          <w:tcPr>
            <w:tcW w:w="1134" w:type="dxa"/>
          </w:tcPr>
          <w:p w14:paraId="0D9440CD" w14:textId="2CA74CF0" w:rsidR="006E5533" w:rsidRPr="00251EA9" w:rsidRDefault="006E5533" w:rsidP="006E5533">
            <w:pPr>
              <w:spacing w:line="360" w:lineRule="auto"/>
              <w:contextualSpacing/>
              <w:rPr>
                <w:rFonts w:ascii="Arial" w:hAnsi="Arial" w:cs="Arial"/>
                <w:sz w:val="15"/>
                <w:szCs w:val="15"/>
              </w:rPr>
            </w:pPr>
          </w:p>
        </w:tc>
        <w:tc>
          <w:tcPr>
            <w:tcW w:w="992" w:type="dxa"/>
          </w:tcPr>
          <w:p w14:paraId="0B86A236" w14:textId="006921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709ABC3" w14:textId="6468B5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90F2FE1" w14:textId="3E4CCFDC" w:rsidR="006E5533" w:rsidRPr="00251EA9" w:rsidRDefault="006E5533" w:rsidP="006E5533">
            <w:pPr>
              <w:rPr>
                <w:rFonts w:ascii="Arial" w:hAnsi="Arial" w:cs="Arial"/>
                <w:sz w:val="15"/>
                <w:szCs w:val="15"/>
              </w:rPr>
            </w:pPr>
            <w:r w:rsidRPr="00251EA9">
              <w:rPr>
                <w:rFonts w:ascii="Arial" w:hAnsi="Arial" w:cs="Arial"/>
                <w:sz w:val="15"/>
                <w:szCs w:val="15"/>
              </w:rPr>
              <w:t>Reported 20.2% rate of healthcare associated ventriculitis and meningitis in those with SSI.</w:t>
            </w:r>
          </w:p>
        </w:tc>
        <w:tc>
          <w:tcPr>
            <w:tcW w:w="1701" w:type="dxa"/>
          </w:tcPr>
          <w:p w14:paraId="36ACB4FD" w14:textId="56CE6B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9FF7E97" w14:textId="77777777" w:rsidTr="00A77951">
        <w:trPr>
          <w:trHeight w:val="586"/>
        </w:trPr>
        <w:tc>
          <w:tcPr>
            <w:tcW w:w="992" w:type="dxa"/>
          </w:tcPr>
          <w:p w14:paraId="320BF8F7" w14:textId="2477DC0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Sayadi</w:t>
            </w:r>
            <w:proofErr w:type="spellEnd"/>
            <w:r w:rsidRPr="00251EA9">
              <w:rPr>
                <w:rFonts w:ascii="Arial" w:hAnsi="Arial" w:cs="Arial"/>
                <w:sz w:val="15"/>
                <w:szCs w:val="15"/>
              </w:rPr>
              <w:t xml:space="preserve"> J.J. et al., 2023</w:t>
            </w:r>
          </w:p>
        </w:tc>
        <w:tc>
          <w:tcPr>
            <w:tcW w:w="851" w:type="dxa"/>
          </w:tcPr>
          <w:p w14:paraId="3D510017" w14:textId="4F9A77A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10.1016/j.neurom.2022.02.227</w:t>
            </w:r>
          </w:p>
        </w:tc>
        <w:tc>
          <w:tcPr>
            <w:tcW w:w="851" w:type="dxa"/>
          </w:tcPr>
          <w:p w14:paraId="105AEAB5" w14:textId="01F566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AEAE677" w14:textId="29E7A6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0982C5C" w14:textId="1907A39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8EAAA0E" w14:textId="4DBD59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7D8A8C76" w14:textId="108791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whether the use of antibacterial envelopes reduced implantable pulse generator (IPG) related SSIs.</w:t>
            </w:r>
          </w:p>
        </w:tc>
        <w:tc>
          <w:tcPr>
            <w:tcW w:w="1134" w:type="dxa"/>
          </w:tcPr>
          <w:p w14:paraId="473B7F9B" w14:textId="3BD7A0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Vs without antibacterial envelope</w:t>
            </w:r>
          </w:p>
        </w:tc>
        <w:tc>
          <w:tcPr>
            <w:tcW w:w="992" w:type="dxa"/>
          </w:tcPr>
          <w:p w14:paraId="509B3726" w14:textId="219D55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D9F7E79" w14:textId="3D1772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AC3E7B6" w14:textId="26FA6681" w:rsidR="006E5533" w:rsidRPr="00251EA9" w:rsidRDefault="006E5533" w:rsidP="006E5533">
            <w:pPr>
              <w:rPr>
                <w:rFonts w:ascii="Arial" w:hAnsi="Arial" w:cs="Arial"/>
                <w:sz w:val="15"/>
                <w:szCs w:val="15"/>
              </w:rPr>
            </w:pPr>
            <w:r w:rsidRPr="00251EA9">
              <w:rPr>
                <w:rFonts w:ascii="Arial" w:hAnsi="Arial" w:cs="Arial"/>
                <w:sz w:val="15"/>
                <w:szCs w:val="15"/>
              </w:rPr>
              <w:t>Total of 7 SSI cases occurred.</w:t>
            </w:r>
          </w:p>
        </w:tc>
        <w:tc>
          <w:tcPr>
            <w:tcW w:w="1701" w:type="dxa"/>
          </w:tcPr>
          <w:p w14:paraId="689CFF6A" w14:textId="4BCE97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F54AA3F" w14:textId="77777777" w:rsidTr="00A77951">
        <w:trPr>
          <w:trHeight w:val="586"/>
        </w:trPr>
        <w:tc>
          <w:tcPr>
            <w:tcW w:w="992" w:type="dxa"/>
          </w:tcPr>
          <w:p w14:paraId="4B37EFB8" w14:textId="5BA46D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Scheer M. et al., 2023</w:t>
            </w:r>
          </w:p>
        </w:tc>
        <w:tc>
          <w:tcPr>
            <w:tcW w:w="851" w:type="dxa"/>
          </w:tcPr>
          <w:p w14:paraId="4C87CFD8" w14:textId="73ECC26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10.3390/jpm13071117</w:t>
            </w:r>
          </w:p>
        </w:tc>
        <w:tc>
          <w:tcPr>
            <w:tcW w:w="851" w:type="dxa"/>
          </w:tcPr>
          <w:p w14:paraId="3BF43053" w14:textId="137F88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21EEA8C3" w14:textId="76C119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BCCF4B0" w14:textId="4BCE1F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0D3F873" w14:textId="0115A5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EEF3EED" w14:textId="429E23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define risk factors for SSIs in patients with glioblastoma undergoing surgery.</w:t>
            </w:r>
          </w:p>
        </w:tc>
        <w:tc>
          <w:tcPr>
            <w:tcW w:w="1134" w:type="dxa"/>
          </w:tcPr>
          <w:p w14:paraId="7B4DDA3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4B890AB" w14:textId="6003CB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792EE86" w14:textId="7D3E2B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0AD57502" w14:textId="71BFBE69" w:rsidR="006E5533" w:rsidRPr="00251EA9" w:rsidRDefault="006E5533" w:rsidP="006E5533">
            <w:pPr>
              <w:rPr>
                <w:rFonts w:ascii="Arial" w:hAnsi="Arial" w:cs="Arial"/>
                <w:sz w:val="15"/>
                <w:szCs w:val="15"/>
              </w:rPr>
            </w:pPr>
            <w:r w:rsidRPr="00251EA9">
              <w:rPr>
                <w:rFonts w:ascii="Arial" w:hAnsi="Arial" w:cs="Arial"/>
                <w:sz w:val="15"/>
                <w:szCs w:val="15"/>
              </w:rPr>
              <w:t>A total of 177 patients were included, of which 14 patients (7.9%)</w:t>
            </w:r>
            <w:r w:rsidRPr="00251EA9">
              <w:rPr>
                <w:rFonts w:ascii="Arial" w:hAnsi="Arial" w:cs="Arial"/>
                <w:sz w:val="15"/>
                <w:szCs w:val="15"/>
              </w:rPr>
              <w:br/>
              <w:t xml:space="preserve">suffered an SSI. These occurred after a median of 45 days. </w:t>
            </w:r>
          </w:p>
        </w:tc>
        <w:tc>
          <w:tcPr>
            <w:tcW w:w="1701" w:type="dxa"/>
          </w:tcPr>
          <w:p w14:paraId="39F6778A" w14:textId="568FE1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F623E5D" w14:textId="77777777" w:rsidTr="00A77951">
        <w:trPr>
          <w:trHeight w:val="586"/>
        </w:trPr>
        <w:tc>
          <w:tcPr>
            <w:tcW w:w="992" w:type="dxa"/>
          </w:tcPr>
          <w:p w14:paraId="3612CBB8" w14:textId="2C6047A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Schellekes</w:t>
            </w:r>
            <w:proofErr w:type="spellEnd"/>
            <w:r w:rsidRPr="00251EA9">
              <w:rPr>
                <w:rFonts w:ascii="Arial" w:hAnsi="Arial" w:cs="Arial"/>
                <w:sz w:val="15"/>
                <w:szCs w:val="15"/>
              </w:rPr>
              <w:t xml:space="preserve"> N. et al., 2021</w:t>
            </w:r>
          </w:p>
        </w:tc>
        <w:tc>
          <w:tcPr>
            <w:tcW w:w="851" w:type="dxa"/>
          </w:tcPr>
          <w:p w14:paraId="7E1F124A" w14:textId="5CEB55AA"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10.3171/2020.</w:t>
            </w:r>
            <w:proofErr w:type="gramStart"/>
            <w:r w:rsidRPr="00A77951">
              <w:rPr>
                <w:rFonts w:ascii="Arial" w:hAnsi="Arial" w:cs="Arial"/>
                <w:sz w:val="15"/>
                <w:szCs w:val="15"/>
              </w:rPr>
              <w:t>9.JNS</w:t>
            </w:r>
            <w:proofErr w:type="gramEnd"/>
            <w:r w:rsidRPr="00A77951">
              <w:rPr>
                <w:rFonts w:ascii="Arial" w:hAnsi="Arial" w:cs="Arial"/>
                <w:sz w:val="15"/>
                <w:szCs w:val="15"/>
              </w:rPr>
              <w:t>201980</w:t>
            </w:r>
          </w:p>
        </w:tc>
        <w:tc>
          <w:tcPr>
            <w:tcW w:w="851" w:type="dxa"/>
          </w:tcPr>
          <w:p w14:paraId="0A1E2A30" w14:textId="3EEEE2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Israel and Italy</w:t>
            </w:r>
          </w:p>
        </w:tc>
        <w:tc>
          <w:tcPr>
            <w:tcW w:w="1134" w:type="dxa"/>
          </w:tcPr>
          <w:p w14:paraId="42452CD5" w14:textId="2FDBEF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2D5C676" w14:textId="0B3C2B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E2B89F7" w14:textId="11A7AF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7588E31" w14:textId="1ECF1C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impact of resection of a solitary lesion on</w:t>
            </w:r>
            <w:r w:rsidRPr="00251EA9">
              <w:rPr>
                <w:rFonts w:ascii="Arial" w:hAnsi="Arial" w:cs="Arial"/>
                <w:sz w:val="15"/>
                <w:szCs w:val="15"/>
              </w:rPr>
              <w:br/>
              <w:t>survival of primary central nervous system lymphoma (PCNSL) patients.</w:t>
            </w:r>
          </w:p>
        </w:tc>
        <w:tc>
          <w:tcPr>
            <w:tcW w:w="1134" w:type="dxa"/>
          </w:tcPr>
          <w:p w14:paraId="5B53AFE3"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48F793F" w14:textId="2EE2AC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7F2B414C" w14:textId="16F65A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974F187" w14:textId="03EB9B66" w:rsidR="006E5533" w:rsidRPr="00251EA9" w:rsidRDefault="006E5533" w:rsidP="006E5533">
            <w:pPr>
              <w:rPr>
                <w:rFonts w:ascii="Arial" w:hAnsi="Arial" w:cs="Arial"/>
                <w:sz w:val="15"/>
                <w:szCs w:val="15"/>
              </w:rPr>
            </w:pPr>
            <w:r w:rsidRPr="00251EA9">
              <w:rPr>
                <w:rFonts w:ascii="Arial" w:hAnsi="Arial" w:cs="Arial"/>
                <w:sz w:val="15"/>
                <w:szCs w:val="15"/>
              </w:rPr>
              <w:t xml:space="preserve">The resection group had a nonsignificant trend of being younger with a higher incidence of postoperative SSIs. </w:t>
            </w:r>
          </w:p>
        </w:tc>
        <w:tc>
          <w:tcPr>
            <w:tcW w:w="1701" w:type="dxa"/>
          </w:tcPr>
          <w:p w14:paraId="566297B1" w14:textId="455EDA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3D91917" w14:textId="77777777" w:rsidTr="00A77951">
        <w:trPr>
          <w:trHeight w:val="586"/>
        </w:trPr>
        <w:tc>
          <w:tcPr>
            <w:tcW w:w="992" w:type="dxa"/>
          </w:tcPr>
          <w:p w14:paraId="264AA172" w14:textId="584848F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Schipmann</w:t>
            </w:r>
            <w:proofErr w:type="spellEnd"/>
            <w:r w:rsidRPr="00251EA9">
              <w:rPr>
                <w:rFonts w:ascii="Arial" w:hAnsi="Arial" w:cs="Arial"/>
                <w:sz w:val="15"/>
                <w:szCs w:val="15"/>
              </w:rPr>
              <w:t xml:space="preserve"> S. et al., 2022</w:t>
            </w:r>
          </w:p>
        </w:tc>
        <w:tc>
          <w:tcPr>
            <w:tcW w:w="851" w:type="dxa"/>
          </w:tcPr>
          <w:p w14:paraId="67EA1D31" w14:textId="4B42500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10.3171/2022.</w:t>
            </w:r>
            <w:proofErr w:type="gramStart"/>
            <w:r w:rsidRPr="00A77951">
              <w:rPr>
                <w:rFonts w:ascii="Arial" w:hAnsi="Arial" w:cs="Arial"/>
                <w:sz w:val="15"/>
                <w:szCs w:val="15"/>
              </w:rPr>
              <w:t>7.JNS</w:t>
            </w:r>
            <w:proofErr w:type="gramEnd"/>
            <w:r w:rsidRPr="00A77951">
              <w:rPr>
                <w:rFonts w:ascii="Arial" w:hAnsi="Arial" w:cs="Arial"/>
                <w:sz w:val="15"/>
                <w:szCs w:val="15"/>
              </w:rPr>
              <w:t>22691</w:t>
            </w:r>
          </w:p>
        </w:tc>
        <w:tc>
          <w:tcPr>
            <w:tcW w:w="851" w:type="dxa"/>
          </w:tcPr>
          <w:p w14:paraId="1820673C" w14:textId="40D903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2E2533F4" w14:textId="7C6C88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446D23C" w14:textId="3824CD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BFC234A" w14:textId="737BB3C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62E2790A" w14:textId="364D5C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characterise those patients in whom postoperative monitoring is</w:t>
            </w:r>
            <w:r w:rsidRPr="00251EA9">
              <w:rPr>
                <w:rFonts w:ascii="Arial" w:hAnsi="Arial" w:cs="Arial"/>
                <w:sz w:val="15"/>
                <w:szCs w:val="15"/>
              </w:rPr>
              <w:br/>
              <w:t>required by analysing early postoperative complications and associated risk factors.</w:t>
            </w:r>
          </w:p>
        </w:tc>
        <w:tc>
          <w:tcPr>
            <w:tcW w:w="1134" w:type="dxa"/>
          </w:tcPr>
          <w:p w14:paraId="254A6673" w14:textId="2578D9DC" w:rsidR="006E5533" w:rsidRPr="00251EA9" w:rsidRDefault="006E5533" w:rsidP="006E5533">
            <w:pPr>
              <w:spacing w:line="360" w:lineRule="auto"/>
              <w:contextualSpacing/>
              <w:rPr>
                <w:rFonts w:ascii="Arial" w:hAnsi="Arial" w:cs="Arial"/>
                <w:sz w:val="15"/>
                <w:szCs w:val="15"/>
              </w:rPr>
            </w:pPr>
          </w:p>
        </w:tc>
        <w:tc>
          <w:tcPr>
            <w:tcW w:w="992" w:type="dxa"/>
          </w:tcPr>
          <w:p w14:paraId="3249203F" w14:textId="7D7C17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A66DBE4" w14:textId="75D0EE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2F35A37" w14:textId="77777777" w:rsidR="006E5533" w:rsidRPr="00251EA9" w:rsidRDefault="006E5533" w:rsidP="006E5533">
            <w:pPr>
              <w:rPr>
                <w:rFonts w:ascii="Arial" w:hAnsi="Arial" w:cs="Arial"/>
                <w:sz w:val="15"/>
                <w:szCs w:val="15"/>
              </w:rPr>
            </w:pPr>
            <w:r w:rsidRPr="00251EA9">
              <w:rPr>
                <w:rFonts w:ascii="Arial" w:hAnsi="Arial" w:cs="Arial"/>
                <w:sz w:val="15"/>
                <w:szCs w:val="15"/>
              </w:rPr>
              <w:t>A higher rate of wound</w:t>
            </w:r>
          </w:p>
          <w:p w14:paraId="4CD89179" w14:textId="77777777" w:rsidR="006E5533" w:rsidRPr="00251EA9" w:rsidRDefault="006E5533" w:rsidP="006E5533">
            <w:pPr>
              <w:rPr>
                <w:rFonts w:ascii="Arial" w:hAnsi="Arial" w:cs="Arial"/>
                <w:sz w:val="15"/>
                <w:szCs w:val="15"/>
              </w:rPr>
            </w:pPr>
            <w:r w:rsidRPr="00251EA9">
              <w:rPr>
                <w:rFonts w:ascii="Arial" w:hAnsi="Arial" w:cs="Arial"/>
                <w:sz w:val="15"/>
                <w:szCs w:val="15"/>
              </w:rPr>
              <w:t xml:space="preserve">infections (2.1%–5.6%) is a reason for reoperation. The number of SSIs was comparatively low at 0.5% after 30 days. </w:t>
            </w:r>
          </w:p>
          <w:p w14:paraId="170E8CDA" w14:textId="6B49A2B1" w:rsidR="006E5533" w:rsidRPr="00251EA9" w:rsidRDefault="006E5533" w:rsidP="006E5533">
            <w:pPr>
              <w:rPr>
                <w:rFonts w:ascii="Arial" w:hAnsi="Arial" w:cs="Arial"/>
                <w:sz w:val="15"/>
                <w:szCs w:val="15"/>
              </w:rPr>
            </w:pPr>
          </w:p>
        </w:tc>
        <w:tc>
          <w:tcPr>
            <w:tcW w:w="1701" w:type="dxa"/>
          </w:tcPr>
          <w:p w14:paraId="243E4490" w14:textId="77E215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86F2EA7" w14:textId="77777777" w:rsidTr="00A77951">
        <w:trPr>
          <w:trHeight w:val="586"/>
        </w:trPr>
        <w:tc>
          <w:tcPr>
            <w:tcW w:w="992" w:type="dxa"/>
          </w:tcPr>
          <w:p w14:paraId="44ABD199" w14:textId="49807D8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Schipmann</w:t>
            </w:r>
            <w:proofErr w:type="spellEnd"/>
            <w:r w:rsidRPr="00251EA9">
              <w:rPr>
                <w:rFonts w:ascii="Arial" w:hAnsi="Arial" w:cs="Arial"/>
                <w:sz w:val="15"/>
                <w:szCs w:val="15"/>
              </w:rPr>
              <w:t xml:space="preserve"> S. et al., 2018</w:t>
            </w:r>
          </w:p>
        </w:tc>
        <w:tc>
          <w:tcPr>
            <w:tcW w:w="851" w:type="dxa"/>
          </w:tcPr>
          <w:p w14:paraId="05D4EAE5" w14:textId="4A04B3EC"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10.1007/s00701-018-03790-4</w:t>
            </w:r>
          </w:p>
        </w:tc>
        <w:tc>
          <w:tcPr>
            <w:tcW w:w="851" w:type="dxa"/>
          </w:tcPr>
          <w:p w14:paraId="0E94BF5D" w14:textId="2FBCE8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7B7E1205" w14:textId="574799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E8655B5" w14:textId="545000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292DF63" w14:textId="2AC397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790C29E" w14:textId="2A20B4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pre-operative factors associated with adverse events occurring within 30-days after neurosurgical tumour treatment.</w:t>
            </w:r>
          </w:p>
        </w:tc>
        <w:tc>
          <w:tcPr>
            <w:tcW w:w="1134" w:type="dxa"/>
          </w:tcPr>
          <w:p w14:paraId="5786DF5E" w14:textId="284A9FDF" w:rsidR="006E5533" w:rsidRPr="00251EA9" w:rsidRDefault="006E5533" w:rsidP="006E5533">
            <w:pPr>
              <w:spacing w:line="360" w:lineRule="auto"/>
              <w:contextualSpacing/>
              <w:rPr>
                <w:rFonts w:ascii="Arial" w:hAnsi="Arial" w:cs="Arial"/>
                <w:sz w:val="15"/>
                <w:szCs w:val="15"/>
              </w:rPr>
            </w:pPr>
          </w:p>
        </w:tc>
        <w:tc>
          <w:tcPr>
            <w:tcW w:w="992" w:type="dxa"/>
          </w:tcPr>
          <w:p w14:paraId="6C340D49" w14:textId="279D73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3EE9831" w14:textId="0A3848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Presence of clinical or radiological features with obtained cultures being positive.</w:t>
            </w:r>
          </w:p>
        </w:tc>
        <w:tc>
          <w:tcPr>
            <w:tcW w:w="2693" w:type="dxa"/>
          </w:tcPr>
          <w:p w14:paraId="13514E38" w14:textId="792DBD07" w:rsidR="006E5533" w:rsidRPr="00251EA9" w:rsidRDefault="006E5533" w:rsidP="006E5533">
            <w:pPr>
              <w:rPr>
                <w:rFonts w:ascii="Arial" w:hAnsi="Arial" w:cs="Arial"/>
                <w:sz w:val="15"/>
                <w:szCs w:val="15"/>
              </w:rPr>
            </w:pPr>
            <w:r w:rsidRPr="00251EA9">
              <w:rPr>
                <w:rFonts w:ascii="Arial" w:hAnsi="Arial" w:cs="Arial"/>
                <w:sz w:val="15"/>
                <w:szCs w:val="15"/>
              </w:rPr>
              <w:t>12.% nosocomial infections, of which 46.8% were SSI</w:t>
            </w:r>
            <w:r w:rsidRPr="00251EA9">
              <w:rPr>
                <w:rFonts w:ascii="Arial" w:hAnsi="Arial" w:cs="Arial"/>
                <w:sz w:val="15"/>
                <w:szCs w:val="15"/>
              </w:rPr>
              <w:br/>
              <w:t>22.3% (n = 21) were superficial (SSI grade I), 42.6% (n = 40) were deep (SSI grade II), and 35.1% (n = 33) affected the brain.</w:t>
            </w:r>
          </w:p>
        </w:tc>
        <w:tc>
          <w:tcPr>
            <w:tcW w:w="1701" w:type="dxa"/>
          </w:tcPr>
          <w:p w14:paraId="31327996" w14:textId="72C5E3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6C1F879" w14:textId="77777777" w:rsidTr="00A77951">
        <w:trPr>
          <w:trHeight w:val="586"/>
        </w:trPr>
        <w:tc>
          <w:tcPr>
            <w:tcW w:w="992" w:type="dxa"/>
          </w:tcPr>
          <w:p w14:paraId="081790A5" w14:textId="10E0713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Schipmann</w:t>
            </w:r>
            <w:proofErr w:type="spellEnd"/>
            <w:r w:rsidRPr="00251EA9">
              <w:rPr>
                <w:rFonts w:ascii="Arial" w:hAnsi="Arial" w:cs="Arial"/>
                <w:sz w:val="15"/>
                <w:szCs w:val="15"/>
              </w:rPr>
              <w:t xml:space="preserve"> S. et al., 2022</w:t>
            </w:r>
          </w:p>
        </w:tc>
        <w:tc>
          <w:tcPr>
            <w:tcW w:w="851" w:type="dxa"/>
          </w:tcPr>
          <w:p w14:paraId="5192765A" w14:textId="317731F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10.1007/s00701-021-05044-2</w:t>
            </w:r>
          </w:p>
        </w:tc>
        <w:tc>
          <w:tcPr>
            <w:tcW w:w="851" w:type="dxa"/>
          </w:tcPr>
          <w:p w14:paraId="0B14AE36" w14:textId="287A21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336BFDCC" w14:textId="57BE1D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0F44D15" w14:textId="48D4A8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73DED87" w14:textId="47B4BF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DCE3826" w14:textId="5C85A7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applicability of quality indicators in patients that underwent surgery for vestibular schwannoma and to identify potential new disease-specific quality indicators.</w:t>
            </w:r>
          </w:p>
        </w:tc>
        <w:tc>
          <w:tcPr>
            <w:tcW w:w="1134" w:type="dxa"/>
          </w:tcPr>
          <w:p w14:paraId="5B4CD70E" w14:textId="0E65F364" w:rsidR="006E5533" w:rsidRPr="00251EA9" w:rsidRDefault="006E5533" w:rsidP="006E5533">
            <w:pPr>
              <w:spacing w:line="360" w:lineRule="auto"/>
              <w:contextualSpacing/>
              <w:rPr>
                <w:rFonts w:ascii="Arial" w:hAnsi="Arial" w:cs="Arial"/>
                <w:sz w:val="15"/>
                <w:szCs w:val="15"/>
              </w:rPr>
            </w:pPr>
          </w:p>
        </w:tc>
        <w:tc>
          <w:tcPr>
            <w:tcW w:w="992" w:type="dxa"/>
          </w:tcPr>
          <w:p w14:paraId="2DE31857" w14:textId="71CC15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C299CCA" w14:textId="29CDB4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370F3C2" w14:textId="09605EF1" w:rsidR="006E5533" w:rsidRPr="00251EA9" w:rsidRDefault="006E5533" w:rsidP="006E5533">
            <w:pPr>
              <w:rPr>
                <w:rFonts w:ascii="Arial" w:hAnsi="Arial" w:cs="Arial"/>
                <w:sz w:val="15"/>
                <w:szCs w:val="15"/>
              </w:rPr>
            </w:pPr>
            <w:r w:rsidRPr="00251EA9">
              <w:rPr>
                <w:rFonts w:ascii="Arial" w:hAnsi="Arial" w:cs="Arial"/>
                <w:sz w:val="15"/>
                <w:szCs w:val="15"/>
              </w:rPr>
              <w:t>The SSI rate was 1% (n = 1). No further infections manifested between days 31 and 90, consequently, there was no difference between the 30-day and 90-day nosocomial and surgical site infections rates.</w:t>
            </w:r>
          </w:p>
        </w:tc>
        <w:tc>
          <w:tcPr>
            <w:tcW w:w="1701" w:type="dxa"/>
          </w:tcPr>
          <w:p w14:paraId="7F443569" w14:textId="61551C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2779DC6" w14:textId="77777777" w:rsidTr="00A77951">
        <w:trPr>
          <w:trHeight w:val="586"/>
        </w:trPr>
        <w:tc>
          <w:tcPr>
            <w:tcW w:w="992" w:type="dxa"/>
          </w:tcPr>
          <w:p w14:paraId="1AB5F05D" w14:textId="2934E0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Schmeiser B. et al., 2017</w:t>
            </w:r>
          </w:p>
        </w:tc>
        <w:tc>
          <w:tcPr>
            <w:tcW w:w="851" w:type="dxa"/>
          </w:tcPr>
          <w:p w14:paraId="146AD3BF" w14:textId="44C574CD"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10.1093/neuros/nyx138</w:t>
            </w:r>
          </w:p>
        </w:tc>
        <w:tc>
          <w:tcPr>
            <w:tcW w:w="851" w:type="dxa"/>
          </w:tcPr>
          <w:p w14:paraId="50D2D8E1" w14:textId="1DFB23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43D71950" w14:textId="391506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DF2E948" w14:textId="614688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AEC331D" w14:textId="0F68E7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(temporal lobe resection for epilepsy)</w:t>
            </w:r>
          </w:p>
        </w:tc>
        <w:tc>
          <w:tcPr>
            <w:tcW w:w="1843" w:type="dxa"/>
          </w:tcPr>
          <w:p w14:paraId="3271D613" w14:textId="30B73D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epileptological and neuropsychological results as well as complications of different surgical strategies.</w:t>
            </w:r>
          </w:p>
        </w:tc>
        <w:tc>
          <w:tcPr>
            <w:tcW w:w="1134" w:type="dxa"/>
          </w:tcPr>
          <w:p w14:paraId="542E5804" w14:textId="00ADCF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10F36560" w14:textId="388532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484D822" w14:textId="1B37F3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7647C66" w14:textId="1A6997A5" w:rsidR="006E5533" w:rsidRPr="00251EA9" w:rsidRDefault="006E5533" w:rsidP="006E5533">
            <w:pPr>
              <w:rPr>
                <w:rFonts w:ascii="Arial" w:hAnsi="Arial" w:cs="Arial"/>
                <w:sz w:val="15"/>
                <w:szCs w:val="15"/>
              </w:rPr>
            </w:pPr>
            <w:r w:rsidRPr="00251EA9">
              <w:rPr>
                <w:rFonts w:ascii="Arial" w:hAnsi="Arial" w:cs="Arial"/>
                <w:sz w:val="15"/>
                <w:szCs w:val="15"/>
              </w:rPr>
              <w:t>Post-op infection occurred in 13 patients (3%).</w:t>
            </w:r>
          </w:p>
        </w:tc>
        <w:tc>
          <w:tcPr>
            <w:tcW w:w="1701" w:type="dxa"/>
          </w:tcPr>
          <w:p w14:paraId="45052C0C" w14:textId="60CFFC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D46B14D" w14:textId="77777777" w:rsidTr="00A77951">
        <w:trPr>
          <w:trHeight w:val="586"/>
        </w:trPr>
        <w:tc>
          <w:tcPr>
            <w:tcW w:w="992" w:type="dxa"/>
          </w:tcPr>
          <w:p w14:paraId="08EA4413" w14:textId="408D1C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Schneider M. et al., 2021</w:t>
            </w:r>
          </w:p>
        </w:tc>
        <w:tc>
          <w:tcPr>
            <w:tcW w:w="851" w:type="dxa"/>
          </w:tcPr>
          <w:p w14:paraId="6DA1A95A" w14:textId="661EB7A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10.1007/s10143-020-01281-8</w:t>
            </w:r>
          </w:p>
        </w:tc>
        <w:tc>
          <w:tcPr>
            <w:tcW w:w="851" w:type="dxa"/>
          </w:tcPr>
          <w:p w14:paraId="1E42319F" w14:textId="58D947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6C765463" w14:textId="6A431F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2903994" w14:textId="3F068F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1FD8D8D" w14:textId="300F8F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72C2933" w14:textId="044C8A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pre-operatively collectable patient-related risk factors that were associated with early postoperative complications following surgery for supratentorial located meningioma.</w:t>
            </w:r>
          </w:p>
        </w:tc>
        <w:tc>
          <w:tcPr>
            <w:tcW w:w="1134" w:type="dxa"/>
          </w:tcPr>
          <w:p w14:paraId="34354E3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C074349" w14:textId="337471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DAD5283" w14:textId="6D0711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D434355" w14:textId="712FC573" w:rsidR="006E5533" w:rsidRPr="00251EA9" w:rsidRDefault="006E5533" w:rsidP="006E5533">
            <w:pPr>
              <w:rPr>
                <w:rFonts w:ascii="Arial" w:hAnsi="Arial" w:cs="Arial"/>
                <w:sz w:val="15"/>
                <w:szCs w:val="15"/>
              </w:rPr>
            </w:pPr>
            <w:r w:rsidRPr="00251EA9">
              <w:rPr>
                <w:rFonts w:ascii="Arial" w:hAnsi="Arial" w:cs="Arial"/>
                <w:sz w:val="15"/>
                <w:szCs w:val="15"/>
              </w:rPr>
              <w:t>2% of patients experienced wound infection.</w:t>
            </w:r>
          </w:p>
        </w:tc>
        <w:tc>
          <w:tcPr>
            <w:tcW w:w="1701" w:type="dxa"/>
          </w:tcPr>
          <w:p w14:paraId="587AE241" w14:textId="10E25F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12F3622" w14:textId="77777777" w:rsidTr="00A77951">
        <w:trPr>
          <w:trHeight w:val="586"/>
        </w:trPr>
        <w:tc>
          <w:tcPr>
            <w:tcW w:w="992" w:type="dxa"/>
          </w:tcPr>
          <w:p w14:paraId="5394CAA4" w14:textId="110013C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Schodel</w:t>
            </w:r>
            <w:proofErr w:type="spellEnd"/>
            <w:r w:rsidRPr="00251EA9">
              <w:rPr>
                <w:rFonts w:ascii="Arial" w:hAnsi="Arial" w:cs="Arial"/>
                <w:sz w:val="15"/>
                <w:szCs w:val="15"/>
              </w:rPr>
              <w:t xml:space="preserve"> P. et al., 2020</w:t>
            </w:r>
          </w:p>
        </w:tc>
        <w:tc>
          <w:tcPr>
            <w:tcW w:w="851" w:type="dxa"/>
          </w:tcPr>
          <w:p w14:paraId="64D81E18" w14:textId="4378AA68"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10.1002/cam4.3402</w:t>
            </w:r>
          </w:p>
        </w:tc>
        <w:tc>
          <w:tcPr>
            <w:tcW w:w="851" w:type="dxa"/>
          </w:tcPr>
          <w:p w14:paraId="0E2EC66E" w14:textId="164C36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337F1D10" w14:textId="0E4750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E8AC402" w14:textId="2B2391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C8E485C" w14:textId="068889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97ABDC7" w14:textId="1FDAE9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course of patients undergoing surgical treatment for symptomatic brain metastases, focusing on the subsequent use of systemic therapy and its effects on survival.</w:t>
            </w:r>
          </w:p>
        </w:tc>
        <w:tc>
          <w:tcPr>
            <w:tcW w:w="1134" w:type="dxa"/>
          </w:tcPr>
          <w:p w14:paraId="14CF324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BC92728" w14:textId="47DEEAC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EF0276A" w14:textId="3E4208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E24C6F9" w14:textId="52A896B3" w:rsidR="006E5533" w:rsidRPr="00251EA9" w:rsidRDefault="006E5533" w:rsidP="006E5533">
            <w:pPr>
              <w:rPr>
                <w:rFonts w:ascii="Arial" w:hAnsi="Arial" w:cs="Arial"/>
                <w:sz w:val="15"/>
                <w:szCs w:val="15"/>
              </w:rPr>
            </w:pPr>
            <w:r w:rsidRPr="00251EA9">
              <w:rPr>
                <w:rFonts w:ascii="Arial" w:hAnsi="Arial" w:cs="Arial"/>
                <w:sz w:val="15"/>
                <w:szCs w:val="15"/>
              </w:rPr>
              <w:t>38 cases of wound infection out of 750 patients.</w:t>
            </w:r>
          </w:p>
        </w:tc>
        <w:tc>
          <w:tcPr>
            <w:tcW w:w="1701" w:type="dxa"/>
          </w:tcPr>
          <w:p w14:paraId="63F24ADF" w14:textId="2696D1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D63EAF2" w14:textId="77777777" w:rsidTr="00A77951">
        <w:trPr>
          <w:trHeight w:val="586"/>
        </w:trPr>
        <w:tc>
          <w:tcPr>
            <w:tcW w:w="992" w:type="dxa"/>
          </w:tcPr>
          <w:p w14:paraId="6B83F8B3" w14:textId="6DCFA2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Schutz A. et al., 2018</w:t>
            </w:r>
          </w:p>
        </w:tc>
        <w:tc>
          <w:tcPr>
            <w:tcW w:w="851" w:type="dxa"/>
          </w:tcPr>
          <w:p w14:paraId="0440F98C" w14:textId="072E33B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10.3171/2018.</w:t>
            </w:r>
            <w:proofErr w:type="gramStart"/>
            <w:r w:rsidRPr="00A77951">
              <w:rPr>
                <w:rFonts w:ascii="Arial" w:hAnsi="Arial" w:cs="Arial"/>
                <w:sz w:val="15"/>
                <w:szCs w:val="15"/>
              </w:rPr>
              <w:t>6.JNS</w:t>
            </w:r>
            <w:proofErr w:type="gramEnd"/>
            <w:r w:rsidRPr="00A77951">
              <w:rPr>
                <w:rFonts w:ascii="Arial" w:hAnsi="Arial" w:cs="Arial"/>
                <w:sz w:val="15"/>
                <w:szCs w:val="15"/>
              </w:rPr>
              <w:t>172605</w:t>
            </w:r>
          </w:p>
        </w:tc>
        <w:tc>
          <w:tcPr>
            <w:tcW w:w="851" w:type="dxa"/>
          </w:tcPr>
          <w:p w14:paraId="40E8CD42" w14:textId="2A192E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3E173BE9" w14:textId="0AB4E8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C6238CE" w14:textId="19E028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F2A0488" w14:textId="534D2B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09FCE379" w14:textId="319AC8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risk factors for bone flap resorption (BFR) after autologous cranioplasty, including medical conditions and antihypertensive drug</w:t>
            </w:r>
            <w:r w:rsidRPr="00251EA9">
              <w:rPr>
                <w:rFonts w:ascii="Arial" w:hAnsi="Arial" w:cs="Arial"/>
                <w:sz w:val="15"/>
                <w:szCs w:val="15"/>
              </w:rPr>
              <w:br/>
              <w:t xml:space="preserve">therapies, with a focus </w:t>
            </w:r>
            <w:r w:rsidRPr="00251EA9">
              <w:rPr>
                <w:rFonts w:ascii="Arial" w:hAnsi="Arial" w:cs="Arial"/>
                <w:sz w:val="15"/>
                <w:szCs w:val="15"/>
              </w:rPr>
              <w:lastRenderedPageBreak/>
              <w:t>on angiotensin-converting enzyme inhibitors (ACEIs).</w:t>
            </w:r>
          </w:p>
        </w:tc>
        <w:tc>
          <w:tcPr>
            <w:tcW w:w="1134" w:type="dxa"/>
          </w:tcPr>
          <w:p w14:paraId="45AF5B6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352F621" w14:textId="683898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0B93D28" w14:textId="0CE32C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D6C1A65" w14:textId="149947F1" w:rsidR="006E5533" w:rsidRPr="00251EA9" w:rsidRDefault="006E5533" w:rsidP="006E5533">
            <w:pPr>
              <w:rPr>
                <w:rFonts w:ascii="Arial" w:hAnsi="Arial" w:cs="Arial"/>
                <w:sz w:val="15"/>
                <w:szCs w:val="15"/>
              </w:rPr>
            </w:pPr>
            <w:r w:rsidRPr="00251EA9">
              <w:rPr>
                <w:rFonts w:ascii="Arial" w:hAnsi="Arial" w:cs="Arial"/>
                <w:sz w:val="15"/>
                <w:szCs w:val="15"/>
              </w:rPr>
              <w:t>A total of 47 patients (29.7%) were clinically or radiologically diagnosed with BFR. Seven patients (4.4%) developed a wound infection after cranioplasty, of which none developed BFR.</w:t>
            </w:r>
          </w:p>
        </w:tc>
        <w:tc>
          <w:tcPr>
            <w:tcW w:w="1701" w:type="dxa"/>
          </w:tcPr>
          <w:p w14:paraId="673D7FFD" w14:textId="0CDAFB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75E628E" w14:textId="77777777" w:rsidTr="00A77951">
        <w:trPr>
          <w:trHeight w:val="586"/>
        </w:trPr>
        <w:tc>
          <w:tcPr>
            <w:tcW w:w="992" w:type="dxa"/>
          </w:tcPr>
          <w:p w14:paraId="19D56365" w14:textId="446F19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Schwarz F. et al., 2015</w:t>
            </w:r>
          </w:p>
        </w:tc>
        <w:tc>
          <w:tcPr>
            <w:tcW w:w="851" w:type="dxa"/>
          </w:tcPr>
          <w:p w14:paraId="0E750FB9" w14:textId="1282EED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10.1016/j.clineuro.2015.08.002</w:t>
            </w:r>
          </w:p>
        </w:tc>
        <w:tc>
          <w:tcPr>
            <w:tcW w:w="851" w:type="dxa"/>
          </w:tcPr>
          <w:p w14:paraId="2A52E48C" w14:textId="7C6437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491693F1" w14:textId="33FF22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2367087" w14:textId="5390A3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D8794B3" w14:textId="053F29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56096EE" w14:textId="0AEA53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risk factors for reoperation for surgical complications or recurrent hematomas.</w:t>
            </w:r>
          </w:p>
        </w:tc>
        <w:tc>
          <w:tcPr>
            <w:tcW w:w="1134" w:type="dxa"/>
          </w:tcPr>
          <w:p w14:paraId="758B1B9F"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4AFA9EE" w14:textId="3C1929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2170361" w14:textId="075117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7E953B7" w14:textId="6B540D9B" w:rsidR="006E5533" w:rsidRPr="00251EA9" w:rsidRDefault="006E5533" w:rsidP="006E5533">
            <w:pPr>
              <w:rPr>
                <w:rFonts w:ascii="Arial" w:hAnsi="Arial" w:cs="Arial"/>
                <w:sz w:val="15"/>
                <w:szCs w:val="15"/>
              </w:rPr>
            </w:pPr>
            <w:r w:rsidRPr="00251EA9">
              <w:rPr>
                <w:rFonts w:ascii="Arial" w:hAnsi="Arial" w:cs="Arial"/>
                <w:sz w:val="15"/>
                <w:szCs w:val="15"/>
              </w:rPr>
              <w:t>After initial burr hole trephination, 26 of 193 patients (13.5%) had another operation for surgical complications, including 3 cases of wound infection.</w:t>
            </w:r>
          </w:p>
        </w:tc>
        <w:tc>
          <w:tcPr>
            <w:tcW w:w="1701" w:type="dxa"/>
          </w:tcPr>
          <w:p w14:paraId="6D3D6526" w14:textId="58A2F2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19F4212" w14:textId="77777777" w:rsidTr="00A77951">
        <w:trPr>
          <w:trHeight w:val="586"/>
        </w:trPr>
        <w:tc>
          <w:tcPr>
            <w:tcW w:w="992" w:type="dxa"/>
          </w:tcPr>
          <w:p w14:paraId="2014E9A4" w14:textId="310F2FC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Seicean</w:t>
            </w:r>
            <w:proofErr w:type="spellEnd"/>
            <w:r w:rsidRPr="00251EA9">
              <w:rPr>
                <w:rFonts w:ascii="Arial" w:hAnsi="Arial" w:cs="Arial"/>
                <w:sz w:val="15"/>
                <w:szCs w:val="15"/>
              </w:rPr>
              <w:t xml:space="preserve"> A. et al., 2020</w:t>
            </w:r>
          </w:p>
        </w:tc>
        <w:tc>
          <w:tcPr>
            <w:tcW w:w="851" w:type="dxa"/>
          </w:tcPr>
          <w:p w14:paraId="7321687B" w14:textId="44107AA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10.1016/j.inat.2020.100692</w:t>
            </w:r>
          </w:p>
        </w:tc>
        <w:tc>
          <w:tcPr>
            <w:tcW w:w="851" w:type="dxa"/>
          </w:tcPr>
          <w:p w14:paraId="5D53F3EB" w14:textId="77EA67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8C1792D" w14:textId="01C069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152A863" w14:textId="30821F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B12AD50" w14:textId="7377BE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268FBD9E" w14:textId="782D8C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and describe the outcomes of ASA 5 patients who</w:t>
            </w:r>
            <w:r w:rsidRPr="00251EA9">
              <w:rPr>
                <w:rFonts w:ascii="Arial" w:hAnsi="Arial" w:cs="Arial"/>
                <w:sz w:val="15"/>
                <w:szCs w:val="15"/>
              </w:rPr>
              <w:br/>
              <w:t>underwent neurosurgery and identify risk factors for adverse outcome(s) in this population of “moribund” patients.</w:t>
            </w:r>
          </w:p>
        </w:tc>
        <w:tc>
          <w:tcPr>
            <w:tcW w:w="1134" w:type="dxa"/>
          </w:tcPr>
          <w:p w14:paraId="736A0AEC" w14:textId="7D107AD9" w:rsidR="006E5533" w:rsidRPr="00251EA9" w:rsidRDefault="006E5533" w:rsidP="006E5533">
            <w:pPr>
              <w:spacing w:line="360" w:lineRule="auto"/>
              <w:contextualSpacing/>
              <w:rPr>
                <w:rFonts w:ascii="Arial" w:hAnsi="Arial" w:cs="Arial"/>
                <w:sz w:val="15"/>
                <w:szCs w:val="15"/>
              </w:rPr>
            </w:pPr>
          </w:p>
        </w:tc>
        <w:tc>
          <w:tcPr>
            <w:tcW w:w="992" w:type="dxa"/>
          </w:tcPr>
          <w:p w14:paraId="4631E63C" w14:textId="71B8B5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35A7839" w14:textId="766AAA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0C2CFD0" w14:textId="153F9588" w:rsidR="006E5533" w:rsidRPr="00251EA9" w:rsidRDefault="006E5533" w:rsidP="006E5533">
            <w:pPr>
              <w:rPr>
                <w:rFonts w:ascii="Arial" w:hAnsi="Arial" w:cs="Arial"/>
                <w:sz w:val="15"/>
                <w:szCs w:val="15"/>
              </w:rPr>
            </w:pPr>
            <w:r w:rsidRPr="00251EA9">
              <w:rPr>
                <w:rFonts w:ascii="Arial" w:hAnsi="Arial" w:cs="Arial"/>
                <w:sz w:val="15"/>
                <w:szCs w:val="15"/>
              </w:rPr>
              <w:t>Reported a rate of 0.6% for superficial SSI and 1.3% for deep wound infection.</w:t>
            </w:r>
          </w:p>
        </w:tc>
        <w:tc>
          <w:tcPr>
            <w:tcW w:w="1701" w:type="dxa"/>
          </w:tcPr>
          <w:p w14:paraId="0CAB45BE" w14:textId="2D98C8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911E5EF" w14:textId="77777777" w:rsidTr="00A77951">
        <w:trPr>
          <w:trHeight w:val="586"/>
        </w:trPr>
        <w:tc>
          <w:tcPr>
            <w:tcW w:w="992" w:type="dxa"/>
          </w:tcPr>
          <w:p w14:paraId="34741A22" w14:textId="349263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Serrato P. et al., 2023</w:t>
            </w:r>
          </w:p>
        </w:tc>
        <w:tc>
          <w:tcPr>
            <w:tcW w:w="851" w:type="dxa"/>
          </w:tcPr>
          <w:p w14:paraId="44C2CD4D" w14:textId="473E3162" w:rsidR="006E5533" w:rsidRPr="00A77951" w:rsidRDefault="006E5533" w:rsidP="006E5533">
            <w:pPr>
              <w:spacing w:line="360" w:lineRule="auto"/>
              <w:contextualSpacing/>
              <w:rPr>
                <w:rFonts w:ascii="Arial" w:hAnsi="Arial" w:cs="Arial"/>
                <w:sz w:val="15"/>
                <w:szCs w:val="15"/>
              </w:rPr>
            </w:pPr>
            <w:hyperlink r:id="rId257" w:history="1">
              <w:r w:rsidRPr="00A77951">
                <w:rPr>
                  <w:rStyle w:val="Hyperlink"/>
                  <w:rFonts w:ascii="Arial" w:hAnsi="Arial" w:cs="Arial"/>
                  <w:sz w:val="15"/>
                  <w:szCs w:val="15"/>
                </w:rPr>
                <w:t>10.1097/SCS.0000000000009920</w:t>
              </w:r>
            </w:hyperlink>
          </w:p>
        </w:tc>
        <w:tc>
          <w:tcPr>
            <w:tcW w:w="851" w:type="dxa"/>
          </w:tcPr>
          <w:p w14:paraId="651B6430" w14:textId="1746984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6DF7D78" w14:textId="3BD55A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6DD6459" w14:textId="36E816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165F788F" w14:textId="30461F5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67A0D1B3" w14:textId="337A65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the factors associated with extended operative time (EOT) for paediatric patients with craniosynostosis undergoing cranial vault remodelling (CVR).</w:t>
            </w:r>
          </w:p>
        </w:tc>
        <w:tc>
          <w:tcPr>
            <w:tcW w:w="1134" w:type="dxa"/>
          </w:tcPr>
          <w:p w14:paraId="1F99B25F" w14:textId="3FAC0FDF" w:rsidR="006E5533" w:rsidRPr="00251EA9" w:rsidRDefault="006E5533" w:rsidP="006E5533">
            <w:pPr>
              <w:spacing w:line="360" w:lineRule="auto"/>
              <w:contextualSpacing/>
              <w:rPr>
                <w:rFonts w:ascii="Arial" w:hAnsi="Arial" w:cs="Arial"/>
                <w:sz w:val="15"/>
                <w:szCs w:val="15"/>
              </w:rPr>
            </w:pPr>
          </w:p>
        </w:tc>
        <w:tc>
          <w:tcPr>
            <w:tcW w:w="992" w:type="dxa"/>
          </w:tcPr>
          <w:p w14:paraId="665CA107" w14:textId="5D8CC7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A9A846E" w14:textId="593796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4D71F3D" w14:textId="4A5FA4AE" w:rsidR="006E5533" w:rsidRPr="00251EA9" w:rsidRDefault="006E5533" w:rsidP="006E5533">
            <w:pPr>
              <w:rPr>
                <w:rFonts w:ascii="Arial" w:hAnsi="Arial" w:cs="Arial"/>
                <w:sz w:val="15"/>
                <w:szCs w:val="15"/>
              </w:rPr>
            </w:pPr>
            <w:r w:rsidRPr="00251EA9">
              <w:rPr>
                <w:rFonts w:ascii="Arial" w:hAnsi="Arial" w:cs="Arial"/>
                <w:sz w:val="15"/>
                <w:szCs w:val="15"/>
              </w:rPr>
              <w:t>The EOT cohort had significantly more cases of SSI (normal operative time (NOT): 0.9% vs. EOT: 1.4%), deep SSI (NOT: 0.3% vs. EOT: 0.7%), organ space SSI (NOT: 0.1% vs. EOT: 0.5%)</w:t>
            </w:r>
          </w:p>
        </w:tc>
        <w:tc>
          <w:tcPr>
            <w:tcW w:w="1701" w:type="dxa"/>
          </w:tcPr>
          <w:p w14:paraId="2BD6589A" w14:textId="1EA349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FD14939" w14:textId="77777777" w:rsidTr="00A77951">
        <w:trPr>
          <w:trHeight w:val="586"/>
        </w:trPr>
        <w:tc>
          <w:tcPr>
            <w:tcW w:w="992" w:type="dxa"/>
          </w:tcPr>
          <w:p w14:paraId="36E02825" w14:textId="5E0ABA0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Servello</w:t>
            </w:r>
            <w:proofErr w:type="spellEnd"/>
            <w:r w:rsidRPr="00251EA9">
              <w:rPr>
                <w:rFonts w:ascii="Arial" w:hAnsi="Arial" w:cs="Arial"/>
                <w:sz w:val="15"/>
                <w:szCs w:val="15"/>
              </w:rPr>
              <w:t xml:space="preserve"> D. et al., 2015</w:t>
            </w:r>
          </w:p>
        </w:tc>
        <w:tc>
          <w:tcPr>
            <w:tcW w:w="851" w:type="dxa"/>
          </w:tcPr>
          <w:p w14:paraId="53144896" w14:textId="37F958D7"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10.1007/s00701-023-05799-w</w:t>
            </w:r>
          </w:p>
        </w:tc>
        <w:tc>
          <w:tcPr>
            <w:tcW w:w="851" w:type="dxa"/>
          </w:tcPr>
          <w:p w14:paraId="5070F7B2" w14:textId="5D5C2E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18DB42DB" w14:textId="493A56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EA08135" w14:textId="3F4B0A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E89AA30" w14:textId="339426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6252EEC5" w14:textId="130690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DBS complications (both procedure-related and hardware-related) and further assess potential predictive factors.</w:t>
            </w:r>
          </w:p>
        </w:tc>
        <w:tc>
          <w:tcPr>
            <w:tcW w:w="1134" w:type="dxa"/>
          </w:tcPr>
          <w:p w14:paraId="229ED4A9" w14:textId="7DD28736" w:rsidR="006E5533" w:rsidRPr="00251EA9" w:rsidRDefault="006E5533" w:rsidP="006E5533">
            <w:pPr>
              <w:spacing w:line="360" w:lineRule="auto"/>
              <w:contextualSpacing/>
              <w:rPr>
                <w:rFonts w:ascii="Arial" w:hAnsi="Arial" w:cs="Arial"/>
                <w:sz w:val="15"/>
                <w:szCs w:val="15"/>
              </w:rPr>
            </w:pPr>
          </w:p>
        </w:tc>
        <w:tc>
          <w:tcPr>
            <w:tcW w:w="992" w:type="dxa"/>
          </w:tcPr>
          <w:p w14:paraId="425109BF" w14:textId="03CC48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9EFC0A0" w14:textId="01FF35F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3DBD849B" w14:textId="00D66CA0" w:rsidR="006E5533" w:rsidRPr="00251EA9" w:rsidRDefault="006E5533" w:rsidP="006E5533">
            <w:pPr>
              <w:rPr>
                <w:rFonts w:ascii="Arial" w:hAnsi="Arial" w:cs="Arial"/>
                <w:sz w:val="15"/>
                <w:szCs w:val="15"/>
              </w:rPr>
            </w:pPr>
            <w:r w:rsidRPr="00251EA9">
              <w:rPr>
                <w:rFonts w:ascii="Arial" w:hAnsi="Arial" w:cs="Arial"/>
                <w:sz w:val="15"/>
                <w:szCs w:val="15"/>
              </w:rPr>
              <w:t xml:space="preserve">9 cases of wound infection were reported. </w:t>
            </w:r>
          </w:p>
        </w:tc>
        <w:tc>
          <w:tcPr>
            <w:tcW w:w="1701" w:type="dxa"/>
          </w:tcPr>
          <w:p w14:paraId="2A94F6EA" w14:textId="72ABD11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B1FBED9" w14:textId="77777777" w:rsidTr="00A77951">
        <w:trPr>
          <w:trHeight w:val="586"/>
        </w:trPr>
        <w:tc>
          <w:tcPr>
            <w:tcW w:w="992" w:type="dxa"/>
          </w:tcPr>
          <w:p w14:paraId="1C3DF1EB" w14:textId="0EA141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Shafei M. et al., 2021</w:t>
            </w:r>
          </w:p>
        </w:tc>
        <w:tc>
          <w:tcPr>
            <w:tcW w:w="851" w:type="dxa"/>
          </w:tcPr>
          <w:p w14:paraId="2413AB11" w14:textId="73D1FA95"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10.1016/j.jocn.2021.06.042</w:t>
            </w:r>
          </w:p>
        </w:tc>
        <w:tc>
          <w:tcPr>
            <w:tcW w:w="851" w:type="dxa"/>
          </w:tcPr>
          <w:p w14:paraId="0F7693F3" w14:textId="24C53D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Iran</w:t>
            </w:r>
          </w:p>
        </w:tc>
        <w:tc>
          <w:tcPr>
            <w:tcW w:w="1134" w:type="dxa"/>
          </w:tcPr>
          <w:p w14:paraId="53168101" w14:textId="43CD2E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215FF841" w14:textId="768D13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9C396DF" w14:textId="051F3E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F7FF13B" w14:textId="79860B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risk of developing infection in subcutaneous pocketing </w:t>
            </w:r>
            <w:r w:rsidRPr="00251EA9">
              <w:rPr>
                <w:rFonts w:ascii="Arial" w:hAnsi="Arial" w:cs="Arial"/>
                <w:sz w:val="15"/>
                <w:szCs w:val="15"/>
              </w:rPr>
              <w:lastRenderedPageBreak/>
              <w:t>(SP) vs cryopreservation (CP).</w:t>
            </w:r>
          </w:p>
        </w:tc>
        <w:tc>
          <w:tcPr>
            <w:tcW w:w="1134" w:type="dxa"/>
          </w:tcPr>
          <w:p w14:paraId="4A5646F7" w14:textId="266AFB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Subcutaneous pocketing Vs </w:t>
            </w:r>
            <w:r w:rsidRPr="00251EA9">
              <w:rPr>
                <w:rFonts w:ascii="Arial" w:hAnsi="Arial" w:cs="Arial"/>
                <w:sz w:val="15"/>
                <w:szCs w:val="15"/>
              </w:rPr>
              <w:lastRenderedPageBreak/>
              <w:t xml:space="preserve">cryopreservation </w:t>
            </w:r>
          </w:p>
        </w:tc>
        <w:tc>
          <w:tcPr>
            <w:tcW w:w="992" w:type="dxa"/>
          </w:tcPr>
          <w:p w14:paraId="6AED4619" w14:textId="4E3050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Yes</w:t>
            </w:r>
          </w:p>
        </w:tc>
        <w:tc>
          <w:tcPr>
            <w:tcW w:w="1701" w:type="dxa"/>
          </w:tcPr>
          <w:p w14:paraId="2BA71B27" w14:textId="35F673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4C97A90" w14:textId="3BAF2A58" w:rsidR="006E5533" w:rsidRPr="00251EA9" w:rsidRDefault="006E5533" w:rsidP="006E5533">
            <w:pPr>
              <w:rPr>
                <w:rFonts w:ascii="Arial" w:hAnsi="Arial" w:cs="Arial"/>
                <w:sz w:val="15"/>
                <w:szCs w:val="15"/>
              </w:rPr>
            </w:pPr>
            <w:r w:rsidRPr="00251EA9">
              <w:rPr>
                <w:rFonts w:ascii="Arial" w:hAnsi="Arial" w:cs="Arial"/>
                <w:sz w:val="15"/>
                <w:szCs w:val="15"/>
              </w:rPr>
              <w:t>Four patients in the cryopreservation group (n = 50) indicated post-operative bone flap infection (8%) compared to no infection in the subcutaneous pocket method.</w:t>
            </w:r>
          </w:p>
        </w:tc>
        <w:tc>
          <w:tcPr>
            <w:tcW w:w="1701" w:type="dxa"/>
          </w:tcPr>
          <w:p w14:paraId="006FC686" w14:textId="52ACB6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FEA174A" w14:textId="77777777" w:rsidTr="00A77951">
        <w:trPr>
          <w:trHeight w:val="586"/>
        </w:trPr>
        <w:tc>
          <w:tcPr>
            <w:tcW w:w="992" w:type="dxa"/>
          </w:tcPr>
          <w:p w14:paraId="5B77F892" w14:textId="4150EE9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Shaftel</w:t>
            </w:r>
            <w:proofErr w:type="spellEnd"/>
            <w:r w:rsidRPr="00251EA9">
              <w:rPr>
                <w:rFonts w:ascii="Arial" w:hAnsi="Arial" w:cs="Arial"/>
                <w:sz w:val="15"/>
                <w:szCs w:val="15"/>
              </w:rPr>
              <w:t xml:space="preserve"> K.A. et al., 2022</w:t>
            </w:r>
          </w:p>
        </w:tc>
        <w:tc>
          <w:tcPr>
            <w:tcW w:w="851" w:type="dxa"/>
          </w:tcPr>
          <w:p w14:paraId="2101DB1C" w14:textId="59871519"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10.1227/neu.0000000000002119</w:t>
            </w:r>
          </w:p>
        </w:tc>
        <w:tc>
          <w:tcPr>
            <w:tcW w:w="851" w:type="dxa"/>
          </w:tcPr>
          <w:p w14:paraId="2487ED54" w14:textId="33BE7B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DA885C3" w14:textId="00EE4B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5203FF1" w14:textId="35C50D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141B993" w14:textId="22DDC5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178F8A6" w14:textId="57B018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causes for hospital readmission within 30-days after surgical subdural haematoma (SDH) evacuation with burr hole </w:t>
            </w:r>
            <w:proofErr w:type="spellStart"/>
            <w:r w:rsidRPr="00251EA9">
              <w:rPr>
                <w:rFonts w:ascii="Arial" w:hAnsi="Arial" w:cs="Arial"/>
                <w:sz w:val="15"/>
                <w:szCs w:val="15"/>
              </w:rPr>
              <w:t>craniostomy</w:t>
            </w:r>
            <w:proofErr w:type="spellEnd"/>
            <w:r w:rsidRPr="00251EA9">
              <w:rPr>
                <w:rFonts w:ascii="Arial" w:hAnsi="Arial" w:cs="Arial"/>
                <w:sz w:val="15"/>
                <w:szCs w:val="15"/>
              </w:rPr>
              <w:t xml:space="preserve"> and evaluate readmission rates and independent predictors of readmission.</w:t>
            </w:r>
          </w:p>
        </w:tc>
        <w:tc>
          <w:tcPr>
            <w:tcW w:w="1134" w:type="dxa"/>
          </w:tcPr>
          <w:p w14:paraId="38E7AD48"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AEF66BE" w14:textId="0ED60E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D455AB8" w14:textId="12BF30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8B61A90" w14:textId="3B4E7B36" w:rsidR="006E5533" w:rsidRPr="00251EA9" w:rsidRDefault="006E5533" w:rsidP="006E5533">
            <w:pPr>
              <w:rPr>
                <w:rFonts w:ascii="Arial" w:hAnsi="Arial" w:cs="Arial"/>
                <w:sz w:val="15"/>
                <w:szCs w:val="15"/>
              </w:rPr>
            </w:pPr>
            <w:r w:rsidRPr="00251EA9">
              <w:rPr>
                <w:rFonts w:ascii="Arial" w:hAnsi="Arial" w:cs="Arial"/>
                <w:sz w:val="15"/>
                <w:szCs w:val="15"/>
              </w:rPr>
              <w:t>The most common cause of readmission was recurrent SDH and the next most common was postoperative infection (1.8%).</w:t>
            </w:r>
          </w:p>
        </w:tc>
        <w:tc>
          <w:tcPr>
            <w:tcW w:w="1701" w:type="dxa"/>
          </w:tcPr>
          <w:p w14:paraId="6D25D85B" w14:textId="53BC9C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CE0167C" w14:textId="77777777" w:rsidTr="00A77951">
        <w:trPr>
          <w:trHeight w:val="586"/>
        </w:trPr>
        <w:tc>
          <w:tcPr>
            <w:tcW w:w="992" w:type="dxa"/>
          </w:tcPr>
          <w:p w14:paraId="69DB7B62" w14:textId="4D3B0C7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Shallwani</w:t>
            </w:r>
            <w:proofErr w:type="spellEnd"/>
            <w:r w:rsidRPr="00251EA9">
              <w:rPr>
                <w:rFonts w:ascii="Arial" w:hAnsi="Arial" w:cs="Arial"/>
                <w:sz w:val="15"/>
                <w:szCs w:val="15"/>
              </w:rPr>
              <w:t xml:space="preserve"> H. et al., 2018</w:t>
            </w:r>
          </w:p>
        </w:tc>
        <w:tc>
          <w:tcPr>
            <w:tcW w:w="851" w:type="dxa"/>
          </w:tcPr>
          <w:p w14:paraId="222861EF" w14:textId="2E413A5F"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10.1093/neuros/nyx211</w:t>
            </w:r>
          </w:p>
        </w:tc>
        <w:tc>
          <w:tcPr>
            <w:tcW w:w="851" w:type="dxa"/>
          </w:tcPr>
          <w:p w14:paraId="24194A5A" w14:textId="602672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94619D0" w14:textId="4A66FB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1592678" w14:textId="4BC3F64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reported</w:t>
            </w:r>
          </w:p>
        </w:tc>
        <w:tc>
          <w:tcPr>
            <w:tcW w:w="1276" w:type="dxa"/>
          </w:tcPr>
          <w:p w14:paraId="24257E45" w14:textId="53D871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4D69EB24" w14:textId="2FC00D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report SSI rates class I (clean) surgical procedures 13 months before and 13 months after surgical skull caps were banned at a single site with 25 operating rooms.</w:t>
            </w:r>
          </w:p>
        </w:tc>
        <w:tc>
          <w:tcPr>
            <w:tcW w:w="1134" w:type="dxa"/>
          </w:tcPr>
          <w:p w14:paraId="736EA84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739C031" w14:textId="3884F0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D8F1E4B" w14:textId="2D69D6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68A253E" w14:textId="2E4EA395" w:rsidR="006E5533" w:rsidRPr="00251EA9" w:rsidRDefault="006E5533" w:rsidP="006E5533">
            <w:pPr>
              <w:rPr>
                <w:rFonts w:ascii="Arial" w:hAnsi="Arial" w:cs="Arial"/>
                <w:sz w:val="15"/>
                <w:szCs w:val="15"/>
              </w:rPr>
            </w:pPr>
            <w:r w:rsidRPr="00251EA9">
              <w:rPr>
                <w:rFonts w:ascii="Arial" w:hAnsi="Arial" w:cs="Arial"/>
                <w:sz w:val="15"/>
                <w:szCs w:val="15"/>
              </w:rPr>
              <w:t xml:space="preserve">An overall increase of 0.07% (0.77%-0.84%) in the cumulative rate of SSI in all class I </w:t>
            </w:r>
            <w:proofErr w:type="gramStart"/>
            <w:r w:rsidRPr="00251EA9">
              <w:rPr>
                <w:rFonts w:ascii="Arial" w:hAnsi="Arial" w:cs="Arial"/>
                <w:sz w:val="15"/>
                <w:szCs w:val="15"/>
              </w:rPr>
              <w:t>operating</w:t>
            </w:r>
            <w:proofErr w:type="gramEnd"/>
            <w:r w:rsidRPr="00251EA9">
              <w:rPr>
                <w:rFonts w:ascii="Arial" w:hAnsi="Arial" w:cs="Arial"/>
                <w:sz w:val="15"/>
                <w:szCs w:val="15"/>
              </w:rPr>
              <w:t xml:space="preserve"> room cases and of 0.03% (0.79%-0.82%) in the cumulative rate of SSI in all spinal</w:t>
            </w:r>
            <w:r w:rsidRPr="00251EA9">
              <w:rPr>
                <w:rFonts w:ascii="Arial" w:hAnsi="Arial" w:cs="Arial"/>
                <w:sz w:val="15"/>
                <w:szCs w:val="15"/>
              </w:rPr>
              <w:br/>
              <w:t>procedures was noted. The cumulative rate of SSI in neurosurgery craniotomy/ craniectomy cases decreased from 0.95% to 0.75%.</w:t>
            </w:r>
          </w:p>
        </w:tc>
        <w:tc>
          <w:tcPr>
            <w:tcW w:w="1701" w:type="dxa"/>
          </w:tcPr>
          <w:p w14:paraId="2CC3C16C" w14:textId="326101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162A969" w14:textId="77777777" w:rsidTr="00A77951">
        <w:trPr>
          <w:trHeight w:val="586"/>
        </w:trPr>
        <w:tc>
          <w:tcPr>
            <w:tcW w:w="992" w:type="dxa"/>
          </w:tcPr>
          <w:p w14:paraId="26A0BFDD" w14:textId="503FEB7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Sharafat</w:t>
            </w:r>
            <w:proofErr w:type="spellEnd"/>
            <w:r w:rsidRPr="00251EA9">
              <w:rPr>
                <w:rFonts w:ascii="Arial" w:hAnsi="Arial" w:cs="Arial"/>
                <w:sz w:val="15"/>
                <w:szCs w:val="15"/>
              </w:rPr>
              <w:t xml:space="preserve"> S. et al., 2023</w:t>
            </w:r>
          </w:p>
        </w:tc>
        <w:tc>
          <w:tcPr>
            <w:tcW w:w="851" w:type="dxa"/>
          </w:tcPr>
          <w:p w14:paraId="3192C246" w14:textId="176923A2"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10.12669/pjms.39.1.6408</w:t>
            </w:r>
          </w:p>
        </w:tc>
        <w:tc>
          <w:tcPr>
            <w:tcW w:w="851" w:type="dxa"/>
          </w:tcPr>
          <w:p w14:paraId="7FED4AA3" w14:textId="2F4D65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Pakistan</w:t>
            </w:r>
          </w:p>
        </w:tc>
        <w:tc>
          <w:tcPr>
            <w:tcW w:w="1134" w:type="dxa"/>
          </w:tcPr>
          <w:p w14:paraId="4D5548C0" w14:textId="676026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BD4B934" w14:textId="033CE7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AD1D65D" w14:textId="0F16F9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F19526D" w14:textId="39088C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management of posterior fossa extradural hematoma (PFEDH).</w:t>
            </w:r>
          </w:p>
        </w:tc>
        <w:tc>
          <w:tcPr>
            <w:tcW w:w="1134" w:type="dxa"/>
          </w:tcPr>
          <w:p w14:paraId="797BF29D" w14:textId="6D7F8162" w:rsidR="006E5533" w:rsidRPr="00251EA9" w:rsidRDefault="006E5533" w:rsidP="006E5533">
            <w:pPr>
              <w:spacing w:line="360" w:lineRule="auto"/>
              <w:contextualSpacing/>
              <w:rPr>
                <w:rFonts w:ascii="Arial" w:hAnsi="Arial" w:cs="Arial"/>
                <w:sz w:val="15"/>
                <w:szCs w:val="15"/>
              </w:rPr>
            </w:pPr>
          </w:p>
        </w:tc>
        <w:tc>
          <w:tcPr>
            <w:tcW w:w="992" w:type="dxa"/>
          </w:tcPr>
          <w:p w14:paraId="23177B21" w14:textId="21F762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6DB71D6" w14:textId="3BD39F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BAAF835" w14:textId="64C66EF4" w:rsidR="006E5533" w:rsidRPr="00251EA9" w:rsidRDefault="006E5533" w:rsidP="006E5533">
            <w:pPr>
              <w:rPr>
                <w:rFonts w:ascii="Arial" w:hAnsi="Arial" w:cs="Arial"/>
                <w:sz w:val="15"/>
                <w:szCs w:val="15"/>
              </w:rPr>
            </w:pPr>
            <w:r w:rsidRPr="00251EA9">
              <w:rPr>
                <w:rFonts w:ascii="Arial" w:hAnsi="Arial" w:cs="Arial"/>
                <w:sz w:val="15"/>
                <w:szCs w:val="15"/>
              </w:rPr>
              <w:t>5 patients were observed having a post-operative wound infection.</w:t>
            </w:r>
          </w:p>
        </w:tc>
        <w:tc>
          <w:tcPr>
            <w:tcW w:w="1701" w:type="dxa"/>
          </w:tcPr>
          <w:p w14:paraId="2900DE73" w14:textId="0474CD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256607A" w14:textId="77777777" w:rsidTr="00A77951">
        <w:trPr>
          <w:trHeight w:val="586"/>
        </w:trPr>
        <w:tc>
          <w:tcPr>
            <w:tcW w:w="992" w:type="dxa"/>
          </w:tcPr>
          <w:p w14:paraId="7FE39890" w14:textId="07C43DE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Sheitoyan-Pesant</w:t>
            </w:r>
            <w:proofErr w:type="spellEnd"/>
            <w:r w:rsidRPr="00251EA9">
              <w:rPr>
                <w:rFonts w:ascii="Arial" w:hAnsi="Arial" w:cs="Arial"/>
                <w:sz w:val="15"/>
                <w:szCs w:val="15"/>
              </w:rPr>
              <w:t xml:space="preserve"> C. et al., 2017</w:t>
            </w:r>
          </w:p>
        </w:tc>
        <w:tc>
          <w:tcPr>
            <w:tcW w:w="851" w:type="dxa"/>
          </w:tcPr>
          <w:p w14:paraId="6983742F" w14:textId="3788BE84"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10.1016/j.ajic.2016.11.020</w:t>
            </w:r>
          </w:p>
        </w:tc>
        <w:tc>
          <w:tcPr>
            <w:tcW w:w="851" w:type="dxa"/>
          </w:tcPr>
          <w:p w14:paraId="5960DAE6" w14:textId="3E7CF3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Canada</w:t>
            </w:r>
          </w:p>
        </w:tc>
        <w:tc>
          <w:tcPr>
            <w:tcW w:w="1134" w:type="dxa"/>
          </w:tcPr>
          <w:p w14:paraId="73BA9CDE" w14:textId="6FFAC3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920DF64" w14:textId="1FE5AB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26EB26" w14:textId="006F97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3917F941" w14:textId="7205EA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an outbreak of neurosurgical SSIs at a tertiary care hospital in Quebec, Canada, to identify the outbreak's cause.</w:t>
            </w:r>
          </w:p>
        </w:tc>
        <w:tc>
          <w:tcPr>
            <w:tcW w:w="1134" w:type="dxa"/>
          </w:tcPr>
          <w:p w14:paraId="67C21465" w14:textId="67F89016" w:rsidR="006E5533" w:rsidRPr="00251EA9" w:rsidRDefault="006E5533" w:rsidP="006E5533">
            <w:pPr>
              <w:spacing w:line="360" w:lineRule="auto"/>
              <w:contextualSpacing/>
              <w:rPr>
                <w:rFonts w:ascii="Arial" w:hAnsi="Arial" w:cs="Arial"/>
                <w:sz w:val="15"/>
                <w:szCs w:val="15"/>
              </w:rPr>
            </w:pPr>
          </w:p>
        </w:tc>
        <w:tc>
          <w:tcPr>
            <w:tcW w:w="992" w:type="dxa"/>
          </w:tcPr>
          <w:p w14:paraId="1B95421B" w14:textId="6A7FB8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815D05D" w14:textId="1A96B9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7E74F5D" w14:textId="70B6F714" w:rsidR="006E5533" w:rsidRPr="00251EA9" w:rsidRDefault="006E5533" w:rsidP="006E5533">
            <w:pPr>
              <w:rPr>
                <w:rFonts w:ascii="Arial" w:hAnsi="Arial" w:cs="Arial"/>
                <w:sz w:val="15"/>
                <w:szCs w:val="15"/>
              </w:rPr>
            </w:pPr>
            <w:r w:rsidRPr="00251EA9">
              <w:rPr>
                <w:rFonts w:ascii="Arial" w:hAnsi="Arial" w:cs="Arial"/>
                <w:sz w:val="15"/>
                <w:szCs w:val="15"/>
              </w:rPr>
              <w:t>Of 80 patients who underwent craniotomy, 7 (8.75%) cases of infection occurred. This rate was significantly higher than that in the period between 2002 and 2014, wherein 51 infections occurred among 2,011 surgeries (2.5%).</w:t>
            </w:r>
          </w:p>
        </w:tc>
        <w:tc>
          <w:tcPr>
            <w:tcW w:w="1701" w:type="dxa"/>
          </w:tcPr>
          <w:p w14:paraId="4FDC5284" w14:textId="28F44B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3D174C2" w14:textId="77777777" w:rsidTr="00A77951">
        <w:trPr>
          <w:trHeight w:val="586"/>
        </w:trPr>
        <w:tc>
          <w:tcPr>
            <w:tcW w:w="992" w:type="dxa"/>
          </w:tcPr>
          <w:p w14:paraId="26CFEA1A" w14:textId="07D819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Shekhar H. et al., 2016</w:t>
            </w:r>
          </w:p>
        </w:tc>
        <w:tc>
          <w:tcPr>
            <w:tcW w:w="851" w:type="dxa"/>
          </w:tcPr>
          <w:p w14:paraId="5912A889" w14:textId="14019E6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10.3109/02688697.2015.1096903</w:t>
            </w:r>
          </w:p>
        </w:tc>
        <w:tc>
          <w:tcPr>
            <w:tcW w:w="851" w:type="dxa"/>
          </w:tcPr>
          <w:p w14:paraId="1154A424" w14:textId="160EE4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7729B17F" w14:textId="11E92B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58B4CBA" w14:textId="4CB33D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C0B2B27" w14:textId="70FF5C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738337C1" w14:textId="787D65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whether the introduction of antibiotic-impregnated EVDs in 2004 has decreased the ventriculostomy-related infection (VRI) rate.</w:t>
            </w:r>
          </w:p>
        </w:tc>
        <w:tc>
          <w:tcPr>
            <w:tcW w:w="1134" w:type="dxa"/>
          </w:tcPr>
          <w:p w14:paraId="0BFED6FC" w14:textId="7EBFE6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Insertion of antibiotic-impregnated catheters Vs standard catheters</w:t>
            </w:r>
          </w:p>
        </w:tc>
        <w:tc>
          <w:tcPr>
            <w:tcW w:w="992" w:type="dxa"/>
          </w:tcPr>
          <w:p w14:paraId="4A8A3C5E" w14:textId="422746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C13673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Fever associated with positive CSF culture. </w:t>
            </w:r>
          </w:p>
          <w:p w14:paraId="343AAC2E" w14:textId="5F6B9C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Gram stain of sample, CSF pleocytosis, documentation of ventriculitis as diagnosis in clinical notes.</w:t>
            </w:r>
          </w:p>
        </w:tc>
        <w:tc>
          <w:tcPr>
            <w:tcW w:w="2693" w:type="dxa"/>
          </w:tcPr>
          <w:p w14:paraId="49EC25DF" w14:textId="6E791CCC" w:rsidR="006E5533" w:rsidRPr="00251EA9" w:rsidRDefault="006E5533" w:rsidP="006E5533">
            <w:pPr>
              <w:rPr>
                <w:rFonts w:ascii="Arial" w:hAnsi="Arial" w:cs="Arial"/>
                <w:sz w:val="15"/>
                <w:szCs w:val="15"/>
              </w:rPr>
            </w:pPr>
            <w:r w:rsidRPr="00251EA9">
              <w:rPr>
                <w:rFonts w:ascii="Arial" w:hAnsi="Arial" w:cs="Arial"/>
                <w:sz w:val="15"/>
                <w:szCs w:val="15"/>
              </w:rPr>
              <w:t>Out of the 99 patients included in this study, 20 patients developed a VRI.</w:t>
            </w:r>
            <w:r w:rsidRPr="00251EA9">
              <w:rPr>
                <w:rFonts w:ascii="Arial" w:hAnsi="Arial" w:cs="Arial"/>
                <w:sz w:val="15"/>
                <w:szCs w:val="15"/>
              </w:rPr>
              <w:br/>
              <w:t>Steroid use was associated to a higher infection rate (22 versus 11%).</w:t>
            </w:r>
          </w:p>
        </w:tc>
        <w:tc>
          <w:tcPr>
            <w:tcW w:w="1701" w:type="dxa"/>
          </w:tcPr>
          <w:p w14:paraId="0375A898" w14:textId="7C58F5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3CA6056" w14:textId="77777777" w:rsidTr="00A77951">
        <w:trPr>
          <w:trHeight w:val="586"/>
        </w:trPr>
        <w:tc>
          <w:tcPr>
            <w:tcW w:w="992" w:type="dxa"/>
          </w:tcPr>
          <w:p w14:paraId="210FB4E2" w14:textId="5F7F11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Sherrod B. et al., 2017</w:t>
            </w:r>
          </w:p>
        </w:tc>
        <w:tc>
          <w:tcPr>
            <w:tcW w:w="851" w:type="dxa"/>
          </w:tcPr>
          <w:p w14:paraId="7BFBAD70" w14:textId="1D279896"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10.1016/j.clineuro.2017.05.027</w:t>
            </w:r>
          </w:p>
        </w:tc>
        <w:tc>
          <w:tcPr>
            <w:tcW w:w="851" w:type="dxa"/>
          </w:tcPr>
          <w:p w14:paraId="729B028A" w14:textId="04A9F6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FBD4A10" w14:textId="248404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BCF313C" w14:textId="201C4C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6A0BA71" w14:textId="576284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(temporal lobe resection for epilepsy)</w:t>
            </w:r>
          </w:p>
        </w:tc>
        <w:tc>
          <w:tcPr>
            <w:tcW w:w="1843" w:type="dxa"/>
          </w:tcPr>
          <w:p w14:paraId="4F1D4D41" w14:textId="17A39D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short-term morbidity and mortality following temporal lobectomy using a validated national database.</w:t>
            </w:r>
          </w:p>
        </w:tc>
        <w:tc>
          <w:tcPr>
            <w:tcW w:w="1134" w:type="dxa"/>
          </w:tcPr>
          <w:p w14:paraId="3229860A" w14:textId="525D24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7E07F5C9" w14:textId="0BCEC6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26D1D27" w14:textId="0CA99E4A"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Split into superficial incisional, deep incisional, or organ/space (includes osteomyelitis, ventriculitis, meningitis, and intracranial abscesses)</w:t>
            </w:r>
          </w:p>
        </w:tc>
        <w:tc>
          <w:tcPr>
            <w:tcW w:w="2693" w:type="dxa"/>
          </w:tcPr>
          <w:p w14:paraId="7F0421D4" w14:textId="08DB7C18" w:rsidR="006E5533" w:rsidRPr="00251EA9" w:rsidRDefault="006E5533" w:rsidP="006E5533">
            <w:pPr>
              <w:rPr>
                <w:rFonts w:ascii="Arial" w:hAnsi="Arial" w:cs="Arial"/>
                <w:sz w:val="15"/>
                <w:szCs w:val="15"/>
              </w:rPr>
            </w:pPr>
            <w:r w:rsidRPr="00251EA9">
              <w:rPr>
                <w:rFonts w:ascii="Arial" w:hAnsi="Arial" w:cs="Arial"/>
                <w:sz w:val="15"/>
                <w:szCs w:val="15"/>
              </w:rPr>
              <w:t xml:space="preserve">A total of 202 temporal lobectomy (TL) procedures were analysed. Reported a rate of 2% for SSI. </w:t>
            </w:r>
          </w:p>
        </w:tc>
        <w:tc>
          <w:tcPr>
            <w:tcW w:w="1701" w:type="dxa"/>
          </w:tcPr>
          <w:p w14:paraId="5C92B8DA" w14:textId="613064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0D46C24" w14:textId="77777777" w:rsidTr="00A77951">
        <w:trPr>
          <w:trHeight w:val="586"/>
        </w:trPr>
        <w:tc>
          <w:tcPr>
            <w:tcW w:w="992" w:type="dxa"/>
          </w:tcPr>
          <w:p w14:paraId="45A6F7F8" w14:textId="230F74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Shi Z. et al., 2017</w:t>
            </w:r>
          </w:p>
        </w:tc>
        <w:tc>
          <w:tcPr>
            <w:tcW w:w="851" w:type="dxa"/>
          </w:tcPr>
          <w:p w14:paraId="1C12AD6C" w14:textId="131575EE"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10.1080/02688697.2016.1253827</w:t>
            </w:r>
          </w:p>
        </w:tc>
        <w:tc>
          <w:tcPr>
            <w:tcW w:w="851" w:type="dxa"/>
          </w:tcPr>
          <w:p w14:paraId="3183C06F" w14:textId="42CC9B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267A25E9" w14:textId="596CE4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70D2F57" w14:textId="3DFB38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FDDF254" w14:textId="0A82BD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0A62C33" w14:textId="37876C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risk factors for and the incidence, outcomes, and causative pathogens of post-craniotomy intracranial infection (PCII) in patients with brain tumours.</w:t>
            </w:r>
          </w:p>
        </w:tc>
        <w:tc>
          <w:tcPr>
            <w:tcW w:w="1134" w:type="dxa"/>
          </w:tcPr>
          <w:p w14:paraId="11FA7666" w14:textId="615047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w:t>
            </w:r>
          </w:p>
        </w:tc>
        <w:tc>
          <w:tcPr>
            <w:tcW w:w="992" w:type="dxa"/>
          </w:tcPr>
          <w:p w14:paraId="509CE0AD" w14:textId="5DCD06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B062354" w14:textId="60441B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Meningitis, brain abscess, subdural empyema, and/ or epidural</w:t>
            </w:r>
            <w:r w:rsidR="00555D01">
              <w:rPr>
                <w:rFonts w:ascii="Arial" w:hAnsi="Arial" w:cs="Arial"/>
                <w:sz w:val="15"/>
                <w:szCs w:val="15"/>
              </w:rPr>
              <w:t xml:space="preserve"> </w:t>
            </w:r>
            <w:r w:rsidRPr="00251EA9">
              <w:rPr>
                <w:rFonts w:ascii="Arial" w:hAnsi="Arial" w:cs="Arial"/>
                <w:sz w:val="15"/>
                <w:szCs w:val="15"/>
              </w:rPr>
              <w:t>abscess.</w:t>
            </w:r>
            <w:r w:rsidR="00555D01">
              <w:rPr>
                <w:rFonts w:ascii="Arial" w:hAnsi="Arial" w:cs="Arial"/>
                <w:sz w:val="15"/>
                <w:szCs w:val="15"/>
              </w:rPr>
              <w:t xml:space="preserve"> </w:t>
            </w:r>
            <w:r w:rsidRPr="00251EA9">
              <w:rPr>
                <w:rFonts w:ascii="Arial" w:hAnsi="Arial" w:cs="Arial"/>
                <w:sz w:val="15"/>
                <w:szCs w:val="15"/>
              </w:rPr>
              <w:t>Postoperative meningitis was</w:t>
            </w:r>
            <w:r w:rsidR="00555D01">
              <w:rPr>
                <w:rFonts w:ascii="Arial" w:hAnsi="Arial" w:cs="Arial"/>
                <w:sz w:val="15"/>
                <w:szCs w:val="15"/>
              </w:rPr>
              <w:t xml:space="preserve"> </w:t>
            </w:r>
            <w:r w:rsidRPr="00251EA9">
              <w:rPr>
                <w:rFonts w:ascii="Arial" w:hAnsi="Arial" w:cs="Arial"/>
                <w:sz w:val="15"/>
                <w:szCs w:val="15"/>
              </w:rPr>
              <w:t>defined as at least one of the</w:t>
            </w:r>
            <w:r w:rsidR="00555D01">
              <w:rPr>
                <w:rFonts w:ascii="Arial" w:hAnsi="Arial" w:cs="Arial"/>
                <w:sz w:val="15"/>
                <w:szCs w:val="15"/>
              </w:rPr>
              <w:t xml:space="preserve"> </w:t>
            </w:r>
            <w:r w:rsidRPr="00251EA9">
              <w:rPr>
                <w:rFonts w:ascii="Arial" w:hAnsi="Arial" w:cs="Arial"/>
                <w:sz w:val="15"/>
                <w:szCs w:val="15"/>
              </w:rPr>
              <w:t>following:</w:t>
            </w:r>
          </w:p>
          <w:p w14:paraId="6586439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Organisms cultured from the CSF</w:t>
            </w:r>
          </w:p>
          <w:p w14:paraId="2D641A7A" w14:textId="3C50C3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One of the</w:t>
            </w:r>
            <w:r w:rsidR="00555D01">
              <w:rPr>
                <w:rFonts w:ascii="Arial" w:hAnsi="Arial" w:cs="Arial"/>
                <w:sz w:val="15"/>
                <w:szCs w:val="15"/>
              </w:rPr>
              <w:t xml:space="preserve"> </w:t>
            </w:r>
            <w:r w:rsidRPr="00251EA9">
              <w:rPr>
                <w:rFonts w:ascii="Arial" w:hAnsi="Arial" w:cs="Arial"/>
                <w:sz w:val="15"/>
                <w:szCs w:val="15"/>
              </w:rPr>
              <w:t xml:space="preserve">following signs or symptoms: fever of &gt;38 C, headache, meningeal signs, and at least one of the </w:t>
            </w:r>
            <w:r w:rsidRPr="00251EA9">
              <w:rPr>
                <w:rFonts w:ascii="Arial" w:hAnsi="Arial" w:cs="Arial"/>
                <w:sz w:val="15"/>
                <w:szCs w:val="15"/>
              </w:rPr>
              <w:lastRenderedPageBreak/>
              <w:t>following: (a) increased white cell count, decreased glucose level, and elevated</w:t>
            </w:r>
            <w:r w:rsidR="00555D01">
              <w:rPr>
                <w:rFonts w:ascii="Arial" w:hAnsi="Arial" w:cs="Arial"/>
                <w:sz w:val="15"/>
                <w:szCs w:val="15"/>
              </w:rPr>
              <w:t xml:space="preserve"> </w:t>
            </w:r>
            <w:r w:rsidRPr="00251EA9">
              <w:rPr>
                <w:rFonts w:ascii="Arial" w:hAnsi="Arial" w:cs="Arial"/>
                <w:sz w:val="15"/>
                <w:szCs w:val="15"/>
              </w:rPr>
              <w:t>protein in the CSF; (b) organisms on a Gram stain of</w:t>
            </w:r>
            <w:r w:rsidRPr="00251EA9">
              <w:rPr>
                <w:rFonts w:ascii="Arial" w:hAnsi="Arial" w:cs="Arial"/>
                <w:sz w:val="15"/>
                <w:szCs w:val="15"/>
              </w:rPr>
              <w:br/>
              <w:t>the CSF; (c) positive antigen test of the CSF; (d) organisms cultured from the blood; or (e)</w:t>
            </w:r>
            <w:r w:rsidR="00555D01">
              <w:rPr>
                <w:rFonts w:ascii="Arial" w:hAnsi="Arial" w:cs="Arial"/>
                <w:sz w:val="15"/>
                <w:szCs w:val="15"/>
              </w:rPr>
              <w:t xml:space="preserve"> </w:t>
            </w:r>
            <w:r w:rsidRPr="00251EA9">
              <w:rPr>
                <w:rFonts w:ascii="Arial" w:hAnsi="Arial" w:cs="Arial"/>
                <w:sz w:val="15"/>
                <w:szCs w:val="15"/>
              </w:rPr>
              <w:t xml:space="preserve">diagnostic single-antibody </w:t>
            </w:r>
            <w:proofErr w:type="spellStart"/>
            <w:r w:rsidRPr="00251EA9">
              <w:rPr>
                <w:rFonts w:ascii="Arial" w:hAnsi="Arial" w:cs="Arial"/>
                <w:sz w:val="15"/>
                <w:szCs w:val="15"/>
              </w:rPr>
              <w:t>titer</w:t>
            </w:r>
            <w:proofErr w:type="spellEnd"/>
            <w:r w:rsidRPr="00251EA9">
              <w:rPr>
                <w:rFonts w:ascii="Arial" w:hAnsi="Arial" w:cs="Arial"/>
                <w:sz w:val="15"/>
                <w:szCs w:val="15"/>
              </w:rPr>
              <w:t xml:space="preserve"> (IgM) or four-fold increase in paired sera (IgG) for a pathogen.</w:t>
            </w:r>
          </w:p>
        </w:tc>
        <w:tc>
          <w:tcPr>
            <w:tcW w:w="2693" w:type="dxa"/>
          </w:tcPr>
          <w:p w14:paraId="745874B0" w14:textId="2FEE34F9" w:rsidR="006E5533" w:rsidRPr="00251EA9" w:rsidRDefault="006E5533" w:rsidP="006E5533">
            <w:pPr>
              <w:rPr>
                <w:rFonts w:ascii="Arial" w:hAnsi="Arial" w:cs="Arial"/>
                <w:sz w:val="15"/>
                <w:szCs w:val="15"/>
              </w:rPr>
            </w:pPr>
            <w:r w:rsidRPr="00251EA9">
              <w:rPr>
                <w:rFonts w:ascii="Arial" w:hAnsi="Arial" w:cs="Arial"/>
                <w:sz w:val="15"/>
                <w:szCs w:val="15"/>
              </w:rPr>
              <w:lastRenderedPageBreak/>
              <w:t>The overall incidence of PCII was 6.8%, and 82.1% of all cases were diagnosed within two weeks after the craniotomy. Postoperative administration of antibiotics reduced the incidence of PCII.</w:t>
            </w:r>
          </w:p>
        </w:tc>
        <w:tc>
          <w:tcPr>
            <w:tcW w:w="1701" w:type="dxa"/>
          </w:tcPr>
          <w:p w14:paraId="357493C3"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"Two factors potentially contribute to the broad range of SSI incidences reported in the literature. First, some studies grouped superficial incisional</w:t>
            </w:r>
          </w:p>
          <w:p w14:paraId="54556AC4"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SSI, deep incisional SSI, and organ/space SSI together. However, great variation is noted in the incidence of and risk factors for different sites of </w:t>
            </w:r>
            <w:r w:rsidRPr="00251EA9">
              <w:rPr>
                <w:rFonts w:ascii="Arial" w:hAnsi="Arial" w:cs="Arial"/>
                <w:sz w:val="15"/>
                <w:szCs w:val="15"/>
              </w:rPr>
              <w:lastRenderedPageBreak/>
              <w:t xml:space="preserve">infection. Second, the reported cases of craniotomy could include traumatic brain injury, stroke, vascular malformation, and brain </w:t>
            </w:r>
            <w:proofErr w:type="spellStart"/>
            <w:r w:rsidRPr="00251EA9">
              <w:rPr>
                <w:rFonts w:ascii="Arial" w:hAnsi="Arial" w:cs="Arial"/>
                <w:sz w:val="15"/>
                <w:szCs w:val="15"/>
              </w:rPr>
              <w:t>tumors</w:t>
            </w:r>
            <w:proofErr w:type="spellEnd"/>
            <w:r w:rsidRPr="00251EA9">
              <w:rPr>
                <w:rFonts w:ascii="Arial" w:hAnsi="Arial" w:cs="Arial"/>
                <w:sz w:val="15"/>
                <w:szCs w:val="15"/>
              </w:rPr>
              <w:t>, which complicates comparisons among studies.” “Another reason for the differences in reported incidences was the</w:t>
            </w:r>
          </w:p>
          <w:p w14:paraId="6BEDD39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definition of infection. Therefore, to investigate post-craniotomy infections, standard criteria for population, and diagnosis should be</w:t>
            </w:r>
          </w:p>
          <w:p w14:paraId="008170E3" w14:textId="1DDC3C40" w:rsidR="006E5533" w:rsidRPr="00251EA9" w:rsidRDefault="006E5533" w:rsidP="006E5533">
            <w:pPr>
              <w:spacing w:line="360" w:lineRule="auto"/>
              <w:contextualSpacing/>
              <w:rPr>
                <w:rFonts w:ascii="Arial" w:hAnsi="Arial" w:cs="Arial"/>
                <w:b/>
                <w:bCs/>
                <w:sz w:val="15"/>
                <w:szCs w:val="15"/>
                <w:u w:val="single"/>
              </w:rPr>
            </w:pPr>
            <w:r w:rsidRPr="00251EA9">
              <w:rPr>
                <w:rFonts w:ascii="Arial" w:hAnsi="Arial" w:cs="Arial"/>
                <w:sz w:val="15"/>
                <w:szCs w:val="15"/>
              </w:rPr>
              <w:t>considered."</w:t>
            </w:r>
          </w:p>
        </w:tc>
      </w:tr>
      <w:tr w:rsidR="006E5533" w:rsidRPr="00251EA9" w14:paraId="28171ED3" w14:textId="77777777" w:rsidTr="00A77951">
        <w:trPr>
          <w:trHeight w:val="586"/>
        </w:trPr>
        <w:tc>
          <w:tcPr>
            <w:tcW w:w="992" w:type="dxa"/>
          </w:tcPr>
          <w:p w14:paraId="18AF6FB0" w14:textId="6EA2704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Shibahashi</w:t>
            </w:r>
            <w:proofErr w:type="spellEnd"/>
            <w:r w:rsidRPr="00251EA9">
              <w:rPr>
                <w:rFonts w:ascii="Arial" w:hAnsi="Arial" w:cs="Arial"/>
                <w:sz w:val="15"/>
                <w:szCs w:val="15"/>
              </w:rPr>
              <w:t xml:space="preserve"> K. et al., 2017</w:t>
            </w:r>
          </w:p>
        </w:tc>
        <w:tc>
          <w:tcPr>
            <w:tcW w:w="851" w:type="dxa"/>
          </w:tcPr>
          <w:p w14:paraId="25FF6D82" w14:textId="3959F138" w:rsidR="006E5533" w:rsidRPr="00A77951" w:rsidRDefault="006E5533" w:rsidP="006E5533">
            <w:pPr>
              <w:spacing w:line="360" w:lineRule="auto"/>
              <w:contextualSpacing/>
              <w:rPr>
                <w:rFonts w:ascii="Arial" w:hAnsi="Arial" w:cs="Arial"/>
                <w:sz w:val="15"/>
                <w:szCs w:val="15"/>
              </w:rPr>
            </w:pPr>
            <w:hyperlink r:id="rId258" w:tgtFrame="_blank" w:history="1">
              <w:r w:rsidRPr="00A77951">
                <w:rPr>
                  <w:rStyle w:val="Hyperlink"/>
                  <w:rFonts w:ascii="Arial" w:hAnsi="Arial" w:cs="Arial"/>
                  <w:sz w:val="15"/>
                  <w:szCs w:val="15"/>
                </w:rPr>
                <w:t>10.1016/j.wneu.2017.01.106</w:t>
              </w:r>
            </w:hyperlink>
          </w:p>
        </w:tc>
        <w:tc>
          <w:tcPr>
            <w:tcW w:w="851" w:type="dxa"/>
          </w:tcPr>
          <w:p w14:paraId="1D5C78D9" w14:textId="13CFFD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7F94E25D" w14:textId="13E68B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DBCF935" w14:textId="168AFE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5B11DA1" w14:textId="54B786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16CA65E2" w14:textId="1547C5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We reviewed &gt;10 years of institutional experience to identify</w:t>
            </w:r>
            <w:r w:rsidRPr="00251EA9">
              <w:rPr>
                <w:rFonts w:ascii="Arial" w:hAnsi="Arial" w:cs="Arial"/>
                <w:sz w:val="15"/>
                <w:szCs w:val="15"/>
              </w:rPr>
              <w:br/>
              <w:t>risk factors of surgical site infection (SSI) after cranioplasty.</w:t>
            </w:r>
          </w:p>
        </w:tc>
        <w:tc>
          <w:tcPr>
            <w:tcW w:w="1134" w:type="dxa"/>
          </w:tcPr>
          <w:p w14:paraId="6DB35203"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35E1ECD" w14:textId="01E689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A34589F"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Records indicating subcutaneous</w:t>
            </w:r>
            <w:r w:rsidRPr="00251EA9">
              <w:rPr>
                <w:rFonts w:ascii="Arial" w:hAnsi="Arial" w:cs="Arial"/>
                <w:sz w:val="15"/>
                <w:szCs w:val="15"/>
              </w:rPr>
              <w:br/>
              <w:t>abscess</w:t>
            </w:r>
          </w:p>
          <w:p w14:paraId="3538889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2. Surgical records indicating bone flap removal; and </w:t>
            </w:r>
          </w:p>
          <w:p w14:paraId="1CD04C8E" w14:textId="54DD0CB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3. Surgical records of wound revision. </w:t>
            </w:r>
          </w:p>
        </w:tc>
        <w:tc>
          <w:tcPr>
            <w:tcW w:w="2693" w:type="dxa"/>
          </w:tcPr>
          <w:p w14:paraId="7E15B242" w14:textId="1898CC63" w:rsidR="006E5533" w:rsidRPr="00251EA9" w:rsidRDefault="006E5533" w:rsidP="006E5533">
            <w:pPr>
              <w:rPr>
                <w:rFonts w:ascii="Arial" w:hAnsi="Arial" w:cs="Arial"/>
                <w:sz w:val="15"/>
                <w:szCs w:val="15"/>
              </w:rPr>
            </w:pPr>
            <w:r w:rsidRPr="00251EA9">
              <w:rPr>
                <w:rFonts w:ascii="Arial" w:hAnsi="Arial" w:cs="Arial"/>
                <w:sz w:val="15"/>
                <w:szCs w:val="15"/>
              </w:rPr>
              <w:t>There were 13 cases of SSI (8.4%) and 2 cases of postoperative wound dehiscence (1.3%). There was a significant relationship between operative time and SSI.</w:t>
            </w:r>
          </w:p>
        </w:tc>
        <w:tc>
          <w:tcPr>
            <w:tcW w:w="1701" w:type="dxa"/>
          </w:tcPr>
          <w:p w14:paraId="2164838B" w14:textId="6169BF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1548572" w14:textId="77777777" w:rsidTr="00A77951">
        <w:trPr>
          <w:trHeight w:val="586"/>
        </w:trPr>
        <w:tc>
          <w:tcPr>
            <w:tcW w:w="992" w:type="dxa"/>
          </w:tcPr>
          <w:p w14:paraId="6259A78A" w14:textId="2387667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Shibamura-Fujiogi</w:t>
            </w:r>
            <w:proofErr w:type="spellEnd"/>
            <w:r w:rsidRPr="00251EA9">
              <w:rPr>
                <w:rFonts w:ascii="Arial" w:hAnsi="Arial" w:cs="Arial"/>
                <w:sz w:val="15"/>
                <w:szCs w:val="15"/>
              </w:rPr>
              <w:t xml:space="preserve"> M. et al., 2021</w:t>
            </w:r>
          </w:p>
        </w:tc>
        <w:tc>
          <w:tcPr>
            <w:tcW w:w="851" w:type="dxa"/>
          </w:tcPr>
          <w:p w14:paraId="7AF82BDF" w14:textId="4A87CF4E" w:rsidR="006E5533" w:rsidRPr="00A77951" w:rsidRDefault="006E5533" w:rsidP="006E5533">
            <w:pPr>
              <w:spacing w:line="360" w:lineRule="auto"/>
              <w:contextualSpacing/>
              <w:rPr>
                <w:rFonts w:ascii="Arial" w:hAnsi="Arial" w:cs="Arial"/>
                <w:sz w:val="15"/>
                <w:szCs w:val="15"/>
              </w:rPr>
            </w:pPr>
            <w:hyperlink r:id="rId259" w:tgtFrame="_blank" w:history="1">
              <w:r w:rsidRPr="00A77951">
                <w:rPr>
                  <w:rStyle w:val="Hyperlink"/>
                  <w:rFonts w:ascii="Arial" w:hAnsi="Arial" w:cs="Arial"/>
                  <w:sz w:val="15"/>
                  <w:szCs w:val="15"/>
                </w:rPr>
                <w:t>10.1186/s12871-</w:t>
              </w:r>
              <w:r w:rsidRPr="00A77951">
                <w:rPr>
                  <w:rStyle w:val="Hyperlink"/>
                  <w:rFonts w:ascii="Arial" w:hAnsi="Arial" w:cs="Arial"/>
                  <w:sz w:val="15"/>
                  <w:szCs w:val="15"/>
                </w:rPr>
                <w:lastRenderedPageBreak/>
                <w:t>021-01342-5</w:t>
              </w:r>
            </w:hyperlink>
          </w:p>
        </w:tc>
        <w:tc>
          <w:tcPr>
            <w:tcW w:w="851" w:type="dxa"/>
          </w:tcPr>
          <w:p w14:paraId="247D39B8" w14:textId="0A4EED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USA</w:t>
            </w:r>
          </w:p>
        </w:tc>
        <w:tc>
          <w:tcPr>
            <w:tcW w:w="1134" w:type="dxa"/>
          </w:tcPr>
          <w:p w14:paraId="731C007D" w14:textId="1F0D08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44BA18A" w14:textId="0E360E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480F4CA" w14:textId="4AEFB6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CSF dynamics</w:t>
            </w:r>
          </w:p>
        </w:tc>
        <w:tc>
          <w:tcPr>
            <w:tcW w:w="1843" w:type="dxa"/>
          </w:tcPr>
          <w:p w14:paraId="523BB210" w14:textId="71B971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risk factors associated with SSIs following CSF diversion</w:t>
            </w:r>
            <w:r w:rsidRPr="00251EA9">
              <w:rPr>
                <w:rFonts w:ascii="Arial" w:hAnsi="Arial" w:cs="Arial"/>
                <w:sz w:val="15"/>
                <w:szCs w:val="15"/>
              </w:rPr>
              <w:br/>
            </w:r>
            <w:r w:rsidRPr="00251EA9">
              <w:rPr>
                <w:rFonts w:ascii="Arial" w:hAnsi="Arial" w:cs="Arial"/>
                <w:sz w:val="15"/>
                <w:szCs w:val="15"/>
              </w:rPr>
              <w:lastRenderedPageBreak/>
              <w:t xml:space="preserve">surgeries following </w:t>
            </w:r>
            <w:proofErr w:type="gramStart"/>
            <w:r w:rsidRPr="00251EA9">
              <w:rPr>
                <w:rFonts w:ascii="Arial" w:hAnsi="Arial" w:cs="Arial"/>
                <w:sz w:val="15"/>
                <w:szCs w:val="15"/>
              </w:rPr>
              <w:t>a</w:t>
            </w:r>
            <w:proofErr w:type="gramEnd"/>
            <w:r w:rsidRPr="00251EA9">
              <w:rPr>
                <w:rFonts w:ascii="Arial" w:hAnsi="Arial" w:cs="Arial"/>
                <w:sz w:val="15"/>
                <w:szCs w:val="15"/>
              </w:rPr>
              <w:t xml:space="preserve"> SSI bundle at a single quaternary care paediatric hospital.</w:t>
            </w:r>
          </w:p>
        </w:tc>
        <w:tc>
          <w:tcPr>
            <w:tcW w:w="1134" w:type="dxa"/>
          </w:tcPr>
          <w:p w14:paraId="572AF0FE" w14:textId="7240E9DD" w:rsidR="006E5533" w:rsidRPr="00251EA9" w:rsidRDefault="006E5533" w:rsidP="006E5533">
            <w:pPr>
              <w:spacing w:line="360" w:lineRule="auto"/>
              <w:contextualSpacing/>
              <w:rPr>
                <w:rFonts w:ascii="Arial" w:hAnsi="Arial" w:cs="Arial"/>
                <w:sz w:val="15"/>
                <w:szCs w:val="15"/>
              </w:rPr>
            </w:pPr>
          </w:p>
        </w:tc>
        <w:tc>
          <w:tcPr>
            <w:tcW w:w="992" w:type="dxa"/>
          </w:tcPr>
          <w:p w14:paraId="256C30AB" w14:textId="4922BD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293D548" w14:textId="561B57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3C69F7BC" w14:textId="7730DF3E" w:rsidR="006E5533" w:rsidRPr="00251EA9" w:rsidRDefault="006E5533" w:rsidP="006E5533">
            <w:pPr>
              <w:rPr>
                <w:rFonts w:ascii="Arial" w:hAnsi="Arial" w:cs="Arial"/>
                <w:sz w:val="15"/>
                <w:szCs w:val="15"/>
              </w:rPr>
            </w:pPr>
            <w:r w:rsidRPr="00251EA9">
              <w:rPr>
                <w:rFonts w:ascii="Arial" w:hAnsi="Arial" w:cs="Arial"/>
                <w:sz w:val="15"/>
                <w:szCs w:val="15"/>
              </w:rPr>
              <w:t>A total of 558 CSF diversion procedures with an overall SSI rate of 3.4% were recorded. The SSI rates</w:t>
            </w:r>
            <w:r w:rsidRPr="00251EA9">
              <w:rPr>
                <w:rFonts w:ascii="Arial" w:hAnsi="Arial" w:cs="Arial"/>
                <w:sz w:val="15"/>
                <w:szCs w:val="15"/>
              </w:rPr>
              <w:br/>
              <w:t xml:space="preserve">for shunt, external ventricular drain </w:t>
            </w:r>
            <w:r w:rsidRPr="00251EA9">
              <w:rPr>
                <w:rFonts w:ascii="Arial" w:hAnsi="Arial" w:cs="Arial"/>
                <w:sz w:val="15"/>
                <w:szCs w:val="15"/>
              </w:rPr>
              <w:lastRenderedPageBreak/>
              <w:t>(EVD) placement, and endoscopic third ventriculostomy (ETV) were 4.3, 6.9 and 0%, respectively.</w:t>
            </w:r>
          </w:p>
        </w:tc>
        <w:tc>
          <w:tcPr>
            <w:tcW w:w="1701" w:type="dxa"/>
          </w:tcPr>
          <w:p w14:paraId="4851B333" w14:textId="4D425E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r>
      <w:tr w:rsidR="006E5533" w:rsidRPr="00251EA9" w14:paraId="028CEFF9" w14:textId="77777777" w:rsidTr="00A77951">
        <w:trPr>
          <w:trHeight w:val="586"/>
        </w:trPr>
        <w:tc>
          <w:tcPr>
            <w:tcW w:w="992" w:type="dxa"/>
          </w:tcPr>
          <w:p w14:paraId="74080CC9" w14:textId="7348CC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Shiferaw A.A. et al., 2024</w:t>
            </w:r>
          </w:p>
        </w:tc>
        <w:tc>
          <w:tcPr>
            <w:tcW w:w="851" w:type="dxa"/>
          </w:tcPr>
          <w:p w14:paraId="36E8A31D" w14:textId="5728B4A2" w:rsidR="006E5533" w:rsidRPr="00A77951" w:rsidRDefault="006E5533" w:rsidP="006E5533">
            <w:pPr>
              <w:spacing w:line="360" w:lineRule="auto"/>
              <w:contextualSpacing/>
              <w:rPr>
                <w:rFonts w:ascii="Arial" w:hAnsi="Arial" w:cs="Arial"/>
                <w:sz w:val="15"/>
                <w:szCs w:val="15"/>
              </w:rPr>
            </w:pPr>
            <w:hyperlink r:id="rId260" w:tgtFrame="_blank" w:history="1">
              <w:r w:rsidRPr="00A77951">
                <w:rPr>
                  <w:rStyle w:val="Hyperlink"/>
                  <w:rFonts w:ascii="Arial" w:hAnsi="Arial" w:cs="Arial"/>
                  <w:sz w:val="15"/>
                  <w:szCs w:val="15"/>
                </w:rPr>
                <w:t>10.1016/j.wneu.2023.10.077</w:t>
              </w:r>
            </w:hyperlink>
          </w:p>
        </w:tc>
        <w:tc>
          <w:tcPr>
            <w:tcW w:w="851" w:type="dxa"/>
          </w:tcPr>
          <w:p w14:paraId="73DF735A" w14:textId="0705AC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Ethiopia</w:t>
            </w:r>
          </w:p>
        </w:tc>
        <w:tc>
          <w:tcPr>
            <w:tcW w:w="1134" w:type="dxa"/>
          </w:tcPr>
          <w:p w14:paraId="5E59391B" w14:textId="02D5DF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FF0B2ED" w14:textId="32525E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00CFA13" w14:textId="38F749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CE28BC9" w14:textId="6F9B1D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patients, perioperative care, and outcomes undergoing supratentorial and infratentorial craniotomy for brain tumour resection in a tertiary-care hospital in Ethiopia.</w:t>
            </w:r>
          </w:p>
        </w:tc>
        <w:tc>
          <w:tcPr>
            <w:tcW w:w="1134" w:type="dxa"/>
          </w:tcPr>
          <w:p w14:paraId="5A19729D" w14:textId="2CD8D0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1D4ECDA6" w14:textId="0B0E39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3342042" w14:textId="74EC24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1C684B4" w14:textId="076F3576" w:rsidR="006E5533" w:rsidRPr="00251EA9" w:rsidRDefault="006E5533" w:rsidP="006E5533">
            <w:pPr>
              <w:rPr>
                <w:rFonts w:ascii="Arial" w:hAnsi="Arial" w:cs="Arial"/>
                <w:sz w:val="15"/>
                <w:szCs w:val="15"/>
              </w:rPr>
            </w:pPr>
            <w:r w:rsidRPr="00251EA9">
              <w:rPr>
                <w:rFonts w:ascii="Arial" w:hAnsi="Arial" w:cs="Arial"/>
                <w:sz w:val="15"/>
                <w:szCs w:val="15"/>
              </w:rPr>
              <w:t>Approximately one in ten patients experienced postoperative obstructive hydrocephalus, surgical site infections, or pneumonia. SSI occurred in 14 cases (9%).</w:t>
            </w:r>
          </w:p>
        </w:tc>
        <w:tc>
          <w:tcPr>
            <w:tcW w:w="1701" w:type="dxa"/>
          </w:tcPr>
          <w:p w14:paraId="27DDC9A1" w14:textId="742C8C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402510B" w14:textId="77777777" w:rsidTr="00A77951">
        <w:trPr>
          <w:trHeight w:val="586"/>
        </w:trPr>
        <w:tc>
          <w:tcPr>
            <w:tcW w:w="992" w:type="dxa"/>
          </w:tcPr>
          <w:p w14:paraId="461FB38A" w14:textId="629929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Shimizu K. et al., 2015</w:t>
            </w:r>
          </w:p>
        </w:tc>
        <w:tc>
          <w:tcPr>
            <w:tcW w:w="851" w:type="dxa"/>
          </w:tcPr>
          <w:p w14:paraId="74D71B4C" w14:textId="4FA687C3" w:rsidR="006E5533" w:rsidRPr="00A77951" w:rsidRDefault="006E5533" w:rsidP="006E5533">
            <w:pPr>
              <w:spacing w:line="360" w:lineRule="auto"/>
              <w:contextualSpacing/>
              <w:rPr>
                <w:rFonts w:ascii="Arial" w:hAnsi="Arial" w:cs="Arial"/>
                <w:sz w:val="15"/>
                <w:szCs w:val="15"/>
              </w:rPr>
            </w:pPr>
            <w:hyperlink r:id="rId261" w:tgtFrame="_blank" w:history="1">
              <w:r w:rsidRPr="00A77951">
                <w:rPr>
                  <w:rStyle w:val="Hyperlink"/>
                  <w:rFonts w:ascii="Arial" w:hAnsi="Arial" w:cs="Arial"/>
                  <w:sz w:val="15"/>
                  <w:szCs w:val="15"/>
                </w:rPr>
                <w:t>10.1055/s-0034-1396660</w:t>
              </w:r>
            </w:hyperlink>
          </w:p>
        </w:tc>
        <w:tc>
          <w:tcPr>
            <w:tcW w:w="851" w:type="dxa"/>
          </w:tcPr>
          <w:p w14:paraId="493799C3" w14:textId="6BF84F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7512A581" w14:textId="4027CF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676433A2" w14:textId="69F5F6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A1DABBE" w14:textId="6A1639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2F523BFE" w14:textId="1C327A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the details and advantages of the authors’ surgical procedure with practical operative findings and excellent results.</w:t>
            </w:r>
          </w:p>
        </w:tc>
        <w:tc>
          <w:tcPr>
            <w:tcW w:w="1134" w:type="dxa"/>
          </w:tcPr>
          <w:p w14:paraId="00D439F2" w14:textId="4C45D2B2" w:rsidR="006E5533" w:rsidRPr="00251EA9" w:rsidRDefault="006E5533" w:rsidP="006E5533">
            <w:pPr>
              <w:spacing w:line="360" w:lineRule="auto"/>
              <w:contextualSpacing/>
              <w:rPr>
                <w:rFonts w:ascii="Arial" w:hAnsi="Arial" w:cs="Arial"/>
                <w:sz w:val="15"/>
                <w:szCs w:val="15"/>
              </w:rPr>
            </w:pPr>
          </w:p>
        </w:tc>
        <w:tc>
          <w:tcPr>
            <w:tcW w:w="992" w:type="dxa"/>
          </w:tcPr>
          <w:p w14:paraId="68BFB501" w14:textId="32A5F2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D8FDB22" w14:textId="6BF6FE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2D65848" w14:textId="4E2BE466" w:rsidR="006E5533" w:rsidRPr="00251EA9" w:rsidRDefault="006E5533" w:rsidP="006E5533">
            <w:pPr>
              <w:rPr>
                <w:rFonts w:ascii="Arial" w:hAnsi="Arial" w:cs="Arial"/>
                <w:sz w:val="15"/>
                <w:szCs w:val="15"/>
              </w:rPr>
            </w:pPr>
            <w:r w:rsidRPr="00251EA9">
              <w:rPr>
                <w:rFonts w:ascii="Arial" w:hAnsi="Arial" w:cs="Arial"/>
                <w:sz w:val="15"/>
                <w:szCs w:val="15"/>
              </w:rPr>
              <w:t>Two patients (2%) had a wound infection, one of which needed the removal of the titanium plate.</w:t>
            </w:r>
          </w:p>
        </w:tc>
        <w:tc>
          <w:tcPr>
            <w:tcW w:w="1701" w:type="dxa"/>
          </w:tcPr>
          <w:p w14:paraId="64058D15" w14:textId="0800A1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FCF13E0" w14:textId="77777777" w:rsidTr="00A77951">
        <w:trPr>
          <w:trHeight w:val="586"/>
        </w:trPr>
        <w:tc>
          <w:tcPr>
            <w:tcW w:w="992" w:type="dxa"/>
          </w:tcPr>
          <w:p w14:paraId="67593E56" w14:textId="0B14B7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Shin Y.S. et al., 2024</w:t>
            </w:r>
          </w:p>
        </w:tc>
        <w:tc>
          <w:tcPr>
            <w:tcW w:w="851" w:type="dxa"/>
          </w:tcPr>
          <w:p w14:paraId="42B2858E" w14:textId="42B326AC" w:rsidR="006E5533" w:rsidRPr="00A77951" w:rsidRDefault="006E5533" w:rsidP="006E5533">
            <w:pPr>
              <w:spacing w:line="360" w:lineRule="auto"/>
              <w:contextualSpacing/>
              <w:rPr>
                <w:rFonts w:ascii="Arial" w:hAnsi="Arial" w:cs="Arial"/>
                <w:sz w:val="15"/>
                <w:szCs w:val="15"/>
              </w:rPr>
            </w:pPr>
            <w:hyperlink r:id="rId262" w:tgtFrame="_blank" w:history="1">
              <w:r w:rsidRPr="00A77951">
                <w:rPr>
                  <w:rStyle w:val="Hyperlink"/>
                  <w:rFonts w:ascii="Arial" w:hAnsi="Arial" w:cs="Arial"/>
                  <w:sz w:val="15"/>
                  <w:szCs w:val="15"/>
                </w:rPr>
                <w:t>10.23736/S0390-5616.19.04693-9</w:t>
              </w:r>
            </w:hyperlink>
          </w:p>
        </w:tc>
        <w:tc>
          <w:tcPr>
            <w:tcW w:w="851" w:type="dxa"/>
          </w:tcPr>
          <w:p w14:paraId="65B94853" w14:textId="7DA207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10188540" w14:textId="4E7BFE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7BCADB6" w14:textId="66D4AE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C60E134" w14:textId="5D6E2E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BAC69AB" w14:textId="07D495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clarify the relationships between tobacco smoking and postoperative complications following craniotomy.</w:t>
            </w:r>
          </w:p>
        </w:tc>
        <w:tc>
          <w:tcPr>
            <w:tcW w:w="1134" w:type="dxa"/>
          </w:tcPr>
          <w:p w14:paraId="505EC6E5" w14:textId="5454DF3A" w:rsidR="006E5533" w:rsidRPr="00251EA9" w:rsidRDefault="006E5533" w:rsidP="006E5533">
            <w:pPr>
              <w:spacing w:line="360" w:lineRule="auto"/>
              <w:contextualSpacing/>
              <w:rPr>
                <w:rFonts w:ascii="Arial" w:hAnsi="Arial" w:cs="Arial"/>
                <w:sz w:val="15"/>
                <w:szCs w:val="15"/>
              </w:rPr>
            </w:pPr>
          </w:p>
        </w:tc>
        <w:tc>
          <w:tcPr>
            <w:tcW w:w="992" w:type="dxa"/>
          </w:tcPr>
          <w:p w14:paraId="5F01301B" w14:textId="57CAE3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B9F71BF" w14:textId="0E0BE5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EDB827B" w14:textId="6045936E" w:rsidR="006E5533" w:rsidRPr="00251EA9" w:rsidRDefault="006E5533" w:rsidP="006E5533">
            <w:pPr>
              <w:rPr>
                <w:rFonts w:ascii="Arial" w:hAnsi="Arial" w:cs="Arial"/>
                <w:sz w:val="15"/>
                <w:szCs w:val="15"/>
              </w:rPr>
            </w:pPr>
            <w:r w:rsidRPr="00251EA9">
              <w:rPr>
                <w:rFonts w:ascii="Arial" w:hAnsi="Arial" w:cs="Arial"/>
                <w:sz w:val="15"/>
                <w:szCs w:val="15"/>
              </w:rPr>
              <w:t xml:space="preserve">The incidence of major complications and overall complications were also significantly higher among smokers than never smokers. </w:t>
            </w:r>
          </w:p>
        </w:tc>
        <w:tc>
          <w:tcPr>
            <w:tcW w:w="1701" w:type="dxa"/>
          </w:tcPr>
          <w:p w14:paraId="06297736" w14:textId="75951C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E9D8A7B" w14:textId="77777777" w:rsidTr="00A77951">
        <w:trPr>
          <w:trHeight w:val="586"/>
        </w:trPr>
        <w:tc>
          <w:tcPr>
            <w:tcW w:w="992" w:type="dxa"/>
          </w:tcPr>
          <w:p w14:paraId="6C277033" w14:textId="18E3436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Shinoura</w:t>
            </w:r>
            <w:proofErr w:type="spellEnd"/>
            <w:r w:rsidRPr="00251EA9">
              <w:rPr>
                <w:rFonts w:ascii="Arial" w:hAnsi="Arial" w:cs="Arial"/>
                <w:sz w:val="15"/>
                <w:szCs w:val="15"/>
              </w:rPr>
              <w:t xml:space="preserve"> N. et al., 2004</w:t>
            </w:r>
          </w:p>
        </w:tc>
        <w:tc>
          <w:tcPr>
            <w:tcW w:w="851" w:type="dxa"/>
          </w:tcPr>
          <w:p w14:paraId="6A6EAC2B" w14:textId="6DDF5E5C" w:rsidR="006E5533" w:rsidRPr="00A77951" w:rsidRDefault="006E5533" w:rsidP="006E5533">
            <w:pPr>
              <w:spacing w:line="360" w:lineRule="auto"/>
              <w:contextualSpacing/>
              <w:rPr>
                <w:rFonts w:ascii="Arial" w:hAnsi="Arial" w:cs="Arial"/>
                <w:sz w:val="15"/>
                <w:szCs w:val="15"/>
              </w:rPr>
            </w:pPr>
            <w:hyperlink r:id="rId263" w:tgtFrame="_blank" w:history="1">
              <w:r w:rsidRPr="00A77951">
                <w:rPr>
                  <w:rStyle w:val="Hyperlink"/>
                  <w:rFonts w:ascii="Arial" w:hAnsi="Arial" w:cs="Arial"/>
                  <w:sz w:val="15"/>
                  <w:szCs w:val="15"/>
                </w:rPr>
                <w:t>10.1080/02688690400022771</w:t>
              </w:r>
            </w:hyperlink>
          </w:p>
        </w:tc>
        <w:tc>
          <w:tcPr>
            <w:tcW w:w="851" w:type="dxa"/>
          </w:tcPr>
          <w:p w14:paraId="40084DD6" w14:textId="4C0C2D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199EE795" w14:textId="2DBD9F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026F4A2" w14:textId="7038FE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Both</w:t>
            </w:r>
          </w:p>
        </w:tc>
        <w:tc>
          <w:tcPr>
            <w:tcW w:w="1276" w:type="dxa"/>
          </w:tcPr>
          <w:p w14:paraId="7183927C" w14:textId="48B5E2F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5F97A29F" w14:textId="06FA89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risk factors and blood count data after craniotomies for brain tumours and found that we could predict infection within four</w:t>
            </w:r>
            <w:r w:rsidRPr="00251EA9">
              <w:rPr>
                <w:rFonts w:ascii="Arial" w:hAnsi="Arial" w:cs="Arial"/>
                <w:sz w:val="15"/>
                <w:szCs w:val="15"/>
              </w:rPr>
              <w:br/>
              <w:t xml:space="preserve">days after craniotomies </w:t>
            </w:r>
            <w:r w:rsidRPr="00251EA9">
              <w:rPr>
                <w:rFonts w:ascii="Arial" w:hAnsi="Arial" w:cs="Arial"/>
                <w:sz w:val="15"/>
                <w:szCs w:val="15"/>
              </w:rPr>
              <w:lastRenderedPageBreak/>
              <w:t>according to those analyses.</w:t>
            </w:r>
          </w:p>
        </w:tc>
        <w:tc>
          <w:tcPr>
            <w:tcW w:w="1134" w:type="dxa"/>
          </w:tcPr>
          <w:p w14:paraId="5746947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9BB5A5F" w14:textId="2275B6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CC452FF"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Purulent discharge from the incision, bacteria isolated</w:t>
            </w:r>
          </w:p>
          <w:p w14:paraId="3386DBFC" w14:textId="14DDB5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from serous drainage, or a clinical diagnosis of infection by the attending</w:t>
            </w:r>
            <w:r w:rsidR="005710DD">
              <w:rPr>
                <w:rFonts w:ascii="Arial" w:hAnsi="Arial" w:cs="Arial"/>
                <w:sz w:val="15"/>
                <w:szCs w:val="15"/>
              </w:rPr>
              <w:t xml:space="preserve"> </w:t>
            </w:r>
            <w:r w:rsidRPr="00251EA9">
              <w:rPr>
                <w:rFonts w:ascii="Arial" w:hAnsi="Arial" w:cs="Arial"/>
                <w:sz w:val="15"/>
                <w:szCs w:val="15"/>
              </w:rPr>
              <w:t>neurosurgeon.</w:t>
            </w:r>
          </w:p>
        </w:tc>
        <w:tc>
          <w:tcPr>
            <w:tcW w:w="2693" w:type="dxa"/>
          </w:tcPr>
          <w:p w14:paraId="57B2147C" w14:textId="3F9BB27A" w:rsidR="006E5533" w:rsidRPr="00251EA9" w:rsidRDefault="006E5533" w:rsidP="006E5533">
            <w:pPr>
              <w:rPr>
                <w:rFonts w:ascii="Arial" w:hAnsi="Arial" w:cs="Arial"/>
                <w:sz w:val="15"/>
                <w:szCs w:val="15"/>
              </w:rPr>
            </w:pPr>
            <w:r w:rsidRPr="00251EA9">
              <w:rPr>
                <w:rFonts w:ascii="Arial" w:hAnsi="Arial" w:cs="Arial"/>
                <w:sz w:val="15"/>
                <w:szCs w:val="15"/>
              </w:rPr>
              <w:t xml:space="preserve">Reported 3 people had a scalp infection out of all patients. </w:t>
            </w:r>
          </w:p>
        </w:tc>
        <w:tc>
          <w:tcPr>
            <w:tcW w:w="1701" w:type="dxa"/>
          </w:tcPr>
          <w:p w14:paraId="65C8ACE4" w14:textId="436811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2DEFD19" w14:textId="77777777" w:rsidTr="00A77951">
        <w:trPr>
          <w:trHeight w:val="586"/>
        </w:trPr>
        <w:tc>
          <w:tcPr>
            <w:tcW w:w="992" w:type="dxa"/>
          </w:tcPr>
          <w:p w14:paraId="6109B534" w14:textId="5145A9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Sicking J. et al., 2018</w:t>
            </w:r>
          </w:p>
        </w:tc>
        <w:tc>
          <w:tcPr>
            <w:tcW w:w="851" w:type="dxa"/>
          </w:tcPr>
          <w:p w14:paraId="6A0C758D" w14:textId="2D33F35F" w:rsidR="006E5533" w:rsidRPr="00A77951" w:rsidRDefault="006E5533" w:rsidP="006E5533">
            <w:pPr>
              <w:spacing w:line="360" w:lineRule="auto"/>
              <w:contextualSpacing/>
              <w:rPr>
                <w:rFonts w:ascii="Arial" w:hAnsi="Arial" w:cs="Arial"/>
                <w:sz w:val="15"/>
                <w:szCs w:val="15"/>
              </w:rPr>
            </w:pPr>
            <w:hyperlink r:id="rId264" w:tgtFrame="_blank" w:history="1">
              <w:r w:rsidRPr="00A77951">
                <w:rPr>
                  <w:rStyle w:val="Hyperlink"/>
                  <w:rFonts w:ascii="Arial" w:hAnsi="Arial" w:cs="Arial"/>
                  <w:sz w:val="15"/>
                  <w:szCs w:val="15"/>
                </w:rPr>
                <w:t>10.1007/s00701-018-3617-6</w:t>
              </w:r>
            </w:hyperlink>
          </w:p>
        </w:tc>
        <w:tc>
          <w:tcPr>
            <w:tcW w:w="851" w:type="dxa"/>
          </w:tcPr>
          <w:p w14:paraId="4C796BA6" w14:textId="02BF5F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69239E63" w14:textId="107E9C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6802910" w14:textId="05736D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DB41045" w14:textId="49EE8E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FE10F85" w14:textId="7818F6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development of surgical management of primarily diagnosed intracranial meningioma, perioperative morbidity, and patients’ prognosis in a German neurosurgical department over a 25-year period.</w:t>
            </w:r>
          </w:p>
        </w:tc>
        <w:tc>
          <w:tcPr>
            <w:tcW w:w="1134" w:type="dxa"/>
          </w:tcPr>
          <w:p w14:paraId="481D1CBC" w14:textId="70C6D956" w:rsidR="006E5533" w:rsidRPr="00251EA9" w:rsidRDefault="006E5533" w:rsidP="006E5533">
            <w:pPr>
              <w:spacing w:line="360" w:lineRule="auto"/>
              <w:contextualSpacing/>
              <w:rPr>
                <w:rFonts w:ascii="Arial" w:hAnsi="Arial" w:cs="Arial"/>
                <w:sz w:val="15"/>
                <w:szCs w:val="15"/>
              </w:rPr>
            </w:pPr>
          </w:p>
        </w:tc>
        <w:tc>
          <w:tcPr>
            <w:tcW w:w="992" w:type="dxa"/>
          </w:tcPr>
          <w:p w14:paraId="1FE433B6" w14:textId="0A92D5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0A097AD" w14:textId="43CB2C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1E54662" w14:textId="77777777" w:rsidR="006E5533" w:rsidRPr="00251EA9" w:rsidRDefault="006E5533" w:rsidP="006E5533">
            <w:pPr>
              <w:rPr>
                <w:rFonts w:ascii="Arial" w:hAnsi="Arial" w:cs="Arial"/>
                <w:sz w:val="15"/>
                <w:szCs w:val="15"/>
              </w:rPr>
            </w:pPr>
            <w:r w:rsidRPr="00251EA9">
              <w:rPr>
                <w:rFonts w:ascii="Arial" w:hAnsi="Arial" w:cs="Arial"/>
                <w:sz w:val="15"/>
                <w:szCs w:val="15"/>
              </w:rPr>
              <w:t xml:space="preserve">The risk of both postoperative surgical site infection and CSF leakage increased during the time of study. The frequency of surgical reintervention for postoperative surgical site infection matched observations in previous series. </w:t>
            </w:r>
          </w:p>
          <w:p w14:paraId="7BE7710E" w14:textId="64650107" w:rsidR="006E5533" w:rsidRPr="00251EA9" w:rsidRDefault="006E5533" w:rsidP="006E5533">
            <w:pPr>
              <w:rPr>
                <w:rFonts w:ascii="Arial" w:hAnsi="Arial" w:cs="Arial"/>
                <w:sz w:val="15"/>
                <w:szCs w:val="15"/>
              </w:rPr>
            </w:pPr>
          </w:p>
        </w:tc>
        <w:tc>
          <w:tcPr>
            <w:tcW w:w="1701" w:type="dxa"/>
          </w:tcPr>
          <w:p w14:paraId="78E9228A" w14:textId="10B45A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DF2DB4B" w14:textId="77777777" w:rsidTr="00A77951">
        <w:trPr>
          <w:trHeight w:val="586"/>
        </w:trPr>
        <w:tc>
          <w:tcPr>
            <w:tcW w:w="992" w:type="dxa"/>
          </w:tcPr>
          <w:p w14:paraId="45BACEE3" w14:textId="2A8F71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Singh A.K. et al., 2014</w:t>
            </w:r>
          </w:p>
        </w:tc>
        <w:tc>
          <w:tcPr>
            <w:tcW w:w="851" w:type="dxa"/>
          </w:tcPr>
          <w:p w14:paraId="46FF9360" w14:textId="3D0C5868" w:rsidR="006E5533" w:rsidRPr="00A77951" w:rsidRDefault="006E5533" w:rsidP="006E5533">
            <w:pPr>
              <w:spacing w:line="360" w:lineRule="auto"/>
              <w:contextualSpacing/>
              <w:rPr>
                <w:rFonts w:ascii="Arial" w:hAnsi="Arial" w:cs="Arial"/>
                <w:sz w:val="15"/>
                <w:szCs w:val="15"/>
              </w:rPr>
            </w:pPr>
            <w:hyperlink r:id="rId265" w:tgtFrame="_blank" w:history="1">
              <w:r w:rsidRPr="00A77951">
                <w:rPr>
                  <w:rStyle w:val="Hyperlink"/>
                  <w:rFonts w:ascii="Arial" w:hAnsi="Arial" w:cs="Arial"/>
                  <w:sz w:val="15"/>
                  <w:szCs w:val="15"/>
                </w:rPr>
                <w:t>10.4103/0028-3886.132364</w:t>
              </w:r>
            </w:hyperlink>
          </w:p>
        </w:tc>
        <w:tc>
          <w:tcPr>
            <w:tcW w:w="851" w:type="dxa"/>
          </w:tcPr>
          <w:p w14:paraId="2A9FC756" w14:textId="50FE66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4EAF0529" w14:textId="072122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2B65C459" w14:textId="3CF70D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A2A449F" w14:textId="4B3E1F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4297941A" w14:textId="777507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effect of subdural drains on recurrence rate of haematoma.</w:t>
            </w:r>
          </w:p>
        </w:tc>
        <w:tc>
          <w:tcPr>
            <w:tcW w:w="1134" w:type="dxa"/>
          </w:tcPr>
          <w:p w14:paraId="4C198B87" w14:textId="77C4DC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Drain Vs without drain group</w:t>
            </w:r>
          </w:p>
        </w:tc>
        <w:tc>
          <w:tcPr>
            <w:tcW w:w="992" w:type="dxa"/>
          </w:tcPr>
          <w:p w14:paraId="0B0A8AF8" w14:textId="7AA2B6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E82062A" w14:textId="4200ED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D334A54" w14:textId="230DACB1" w:rsidR="006E5533" w:rsidRPr="00251EA9" w:rsidRDefault="006E5533" w:rsidP="006E5533">
            <w:pPr>
              <w:rPr>
                <w:rFonts w:ascii="Arial" w:hAnsi="Arial" w:cs="Arial"/>
                <w:sz w:val="15"/>
                <w:szCs w:val="15"/>
              </w:rPr>
            </w:pPr>
            <w:r w:rsidRPr="00251EA9">
              <w:rPr>
                <w:rFonts w:ascii="Arial" w:hAnsi="Arial" w:cs="Arial"/>
                <w:sz w:val="15"/>
                <w:szCs w:val="15"/>
              </w:rPr>
              <w:t xml:space="preserve">SSI between the 2 groups was not significant. </w:t>
            </w:r>
          </w:p>
        </w:tc>
        <w:tc>
          <w:tcPr>
            <w:tcW w:w="1701" w:type="dxa"/>
          </w:tcPr>
          <w:p w14:paraId="43B766E3" w14:textId="3EF129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A381DC6" w14:textId="77777777" w:rsidTr="00A77951">
        <w:trPr>
          <w:trHeight w:val="586"/>
        </w:trPr>
        <w:tc>
          <w:tcPr>
            <w:tcW w:w="992" w:type="dxa"/>
          </w:tcPr>
          <w:p w14:paraId="715E36E3" w14:textId="63122A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Skyman S. et al., 2020</w:t>
            </w:r>
          </w:p>
        </w:tc>
        <w:tc>
          <w:tcPr>
            <w:tcW w:w="851" w:type="dxa"/>
          </w:tcPr>
          <w:p w14:paraId="1A547316" w14:textId="1DA85FE8" w:rsidR="006E5533" w:rsidRPr="00A77951" w:rsidRDefault="006E5533" w:rsidP="006E5533">
            <w:pPr>
              <w:spacing w:line="360" w:lineRule="auto"/>
              <w:contextualSpacing/>
              <w:rPr>
                <w:rFonts w:ascii="Arial" w:hAnsi="Arial" w:cs="Arial"/>
                <w:sz w:val="15"/>
                <w:szCs w:val="15"/>
              </w:rPr>
            </w:pPr>
            <w:hyperlink r:id="rId266" w:tgtFrame="_blank" w:history="1">
              <w:r w:rsidRPr="00A77951">
                <w:rPr>
                  <w:rStyle w:val="Hyperlink"/>
                  <w:rFonts w:ascii="Arial" w:hAnsi="Arial" w:cs="Arial"/>
                  <w:sz w:val="15"/>
                  <w:szCs w:val="15"/>
                </w:rPr>
                <w:t>10.1007/s00701-020-04309-6</w:t>
              </w:r>
            </w:hyperlink>
          </w:p>
        </w:tc>
        <w:tc>
          <w:tcPr>
            <w:tcW w:w="851" w:type="dxa"/>
          </w:tcPr>
          <w:p w14:paraId="466C9A20" w14:textId="45C4BA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Sweden</w:t>
            </w:r>
          </w:p>
        </w:tc>
        <w:tc>
          <w:tcPr>
            <w:tcW w:w="1134" w:type="dxa"/>
          </w:tcPr>
          <w:p w14:paraId="4F619A9C" w14:textId="1AEF01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Quasi-experimental design</w:t>
            </w:r>
          </w:p>
        </w:tc>
        <w:tc>
          <w:tcPr>
            <w:tcW w:w="992" w:type="dxa"/>
          </w:tcPr>
          <w:p w14:paraId="6E753C78" w14:textId="1A01AC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29DB3B8" w14:textId="1BB22E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7045185" w14:textId="20F611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effect of a change</w:t>
            </w:r>
            <w:r w:rsidRPr="00251EA9">
              <w:rPr>
                <w:rFonts w:ascii="Arial" w:hAnsi="Arial" w:cs="Arial"/>
                <w:sz w:val="15"/>
                <w:szCs w:val="15"/>
              </w:rPr>
              <w:br/>
              <w:t>in antibiotic prophylaxis regimen from Cloxacillin to Cefuroxime in patients with intracranial tumours, treated surgically with a craniotomy.</w:t>
            </w:r>
          </w:p>
        </w:tc>
        <w:tc>
          <w:tcPr>
            <w:tcW w:w="1134" w:type="dxa"/>
          </w:tcPr>
          <w:p w14:paraId="1BB80D39" w14:textId="1B0732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Cloxacillin Vs Cefuroxime as antibiotic prophylaxis</w:t>
            </w:r>
          </w:p>
        </w:tc>
        <w:tc>
          <w:tcPr>
            <w:tcW w:w="992" w:type="dxa"/>
          </w:tcPr>
          <w:p w14:paraId="7EDFF621" w14:textId="208FF0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0F2598E" w14:textId="59D3F1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1C62894F" w14:textId="68CC18A1" w:rsidR="006E5533" w:rsidRPr="00251EA9" w:rsidRDefault="006E5533" w:rsidP="006E5533">
            <w:pPr>
              <w:rPr>
                <w:rFonts w:ascii="Arial" w:hAnsi="Arial" w:cs="Arial"/>
                <w:sz w:val="15"/>
                <w:szCs w:val="15"/>
              </w:rPr>
            </w:pPr>
            <w:r w:rsidRPr="00251EA9">
              <w:rPr>
                <w:rFonts w:ascii="Arial" w:hAnsi="Arial" w:cs="Arial"/>
                <w:sz w:val="15"/>
                <w:szCs w:val="15"/>
              </w:rPr>
              <w:t xml:space="preserve">The pre-intervention group had a significant higher incidence of SSI, 13.3% vs 5.4% in the intervention group. The number of reoperations due to SSI were significantly reduced in the intervention group, 3.4% vs 8.3%, as was the total antibiotic use and the number of visits in the outpatient clinic. </w:t>
            </w:r>
          </w:p>
        </w:tc>
        <w:tc>
          <w:tcPr>
            <w:tcW w:w="1701" w:type="dxa"/>
          </w:tcPr>
          <w:p w14:paraId="0B3A64C2" w14:textId="53198C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BA92A33" w14:textId="77777777" w:rsidTr="00A77951">
        <w:trPr>
          <w:trHeight w:val="586"/>
        </w:trPr>
        <w:tc>
          <w:tcPr>
            <w:tcW w:w="992" w:type="dxa"/>
          </w:tcPr>
          <w:p w14:paraId="4DCF316F" w14:textId="65544F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Slattery W.H. III et al., 2001</w:t>
            </w:r>
          </w:p>
        </w:tc>
        <w:tc>
          <w:tcPr>
            <w:tcW w:w="851" w:type="dxa"/>
          </w:tcPr>
          <w:p w14:paraId="238A696C" w14:textId="5F73FDC1" w:rsidR="006E5533" w:rsidRPr="00A77951" w:rsidRDefault="006E5533" w:rsidP="006E5533">
            <w:pPr>
              <w:spacing w:line="360" w:lineRule="auto"/>
              <w:contextualSpacing/>
              <w:rPr>
                <w:rFonts w:ascii="Arial" w:hAnsi="Arial" w:cs="Arial"/>
                <w:sz w:val="15"/>
                <w:szCs w:val="15"/>
              </w:rPr>
            </w:pPr>
            <w:hyperlink r:id="rId267" w:tgtFrame="_blank" w:history="1">
              <w:r w:rsidRPr="00A77951">
                <w:rPr>
                  <w:rStyle w:val="Hyperlink"/>
                  <w:rFonts w:ascii="Arial" w:hAnsi="Arial" w:cs="Arial"/>
                  <w:sz w:val="15"/>
                  <w:szCs w:val="15"/>
                </w:rPr>
                <w:t>10.1097/00129492-200111000-00031</w:t>
              </w:r>
            </w:hyperlink>
          </w:p>
        </w:tc>
        <w:tc>
          <w:tcPr>
            <w:tcW w:w="851" w:type="dxa"/>
          </w:tcPr>
          <w:p w14:paraId="20A84AE4" w14:textId="421EDF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34DBEF4" w14:textId="1F1FDD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8A38457" w14:textId="0751F8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418AE17" w14:textId="4ECEC6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1DB4979" w14:textId="383D28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review complications that occur </w:t>
            </w:r>
            <w:proofErr w:type="gramStart"/>
            <w:r w:rsidRPr="00251EA9">
              <w:rPr>
                <w:rFonts w:ascii="Arial" w:hAnsi="Arial" w:cs="Arial"/>
                <w:sz w:val="15"/>
                <w:szCs w:val="15"/>
              </w:rPr>
              <w:t>during the course of</w:t>
            </w:r>
            <w:proofErr w:type="gramEnd"/>
            <w:r w:rsidRPr="00251EA9">
              <w:rPr>
                <w:rFonts w:ascii="Arial" w:hAnsi="Arial" w:cs="Arial"/>
                <w:sz w:val="15"/>
                <w:szCs w:val="15"/>
              </w:rPr>
              <w:t xml:space="preserve"> acoustic neuroma surgery.</w:t>
            </w:r>
          </w:p>
        </w:tc>
        <w:tc>
          <w:tcPr>
            <w:tcW w:w="1134" w:type="dxa"/>
          </w:tcPr>
          <w:p w14:paraId="149E8BBD" w14:textId="0E73D3FB" w:rsidR="006E5533" w:rsidRPr="00251EA9" w:rsidRDefault="006E5533" w:rsidP="006E5533">
            <w:pPr>
              <w:spacing w:line="360" w:lineRule="auto"/>
              <w:contextualSpacing/>
              <w:rPr>
                <w:rFonts w:ascii="Arial" w:hAnsi="Arial" w:cs="Arial"/>
                <w:i/>
                <w:iCs/>
                <w:sz w:val="15"/>
                <w:szCs w:val="15"/>
              </w:rPr>
            </w:pPr>
          </w:p>
        </w:tc>
        <w:tc>
          <w:tcPr>
            <w:tcW w:w="992" w:type="dxa"/>
          </w:tcPr>
          <w:p w14:paraId="216390E7" w14:textId="4D2A29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3BAAD16" w14:textId="49E197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B8EDD31" w14:textId="0AE78FFA" w:rsidR="006E5533" w:rsidRPr="00251EA9" w:rsidRDefault="006E5533" w:rsidP="006E5533">
            <w:pPr>
              <w:rPr>
                <w:rFonts w:ascii="Arial" w:hAnsi="Arial" w:cs="Arial"/>
                <w:sz w:val="15"/>
                <w:szCs w:val="15"/>
              </w:rPr>
            </w:pPr>
            <w:r w:rsidRPr="00251EA9">
              <w:rPr>
                <w:rFonts w:ascii="Arial" w:hAnsi="Arial" w:cs="Arial"/>
                <w:sz w:val="15"/>
                <w:szCs w:val="15"/>
              </w:rPr>
              <w:t>Three patients received intravenous antibiotics to treat infection. One middle fossa infection occurred within 3 days of the surgery, and the other two occurred 3 and 4 weeks after surgery.</w:t>
            </w:r>
          </w:p>
        </w:tc>
        <w:tc>
          <w:tcPr>
            <w:tcW w:w="1701" w:type="dxa"/>
          </w:tcPr>
          <w:p w14:paraId="22C85D1F" w14:textId="21EA55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5DC7278" w14:textId="77777777" w:rsidTr="00A77951">
        <w:trPr>
          <w:trHeight w:val="586"/>
        </w:trPr>
        <w:tc>
          <w:tcPr>
            <w:tcW w:w="992" w:type="dxa"/>
          </w:tcPr>
          <w:p w14:paraId="1F7A1C73" w14:textId="16631A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Slot E.M.H. et al., 2023</w:t>
            </w:r>
          </w:p>
        </w:tc>
        <w:tc>
          <w:tcPr>
            <w:tcW w:w="851" w:type="dxa"/>
          </w:tcPr>
          <w:p w14:paraId="2D5517ED" w14:textId="7FDAB0F9" w:rsidR="006E5533" w:rsidRPr="00A77951" w:rsidRDefault="006E5533" w:rsidP="006E5533">
            <w:pPr>
              <w:spacing w:line="360" w:lineRule="auto"/>
              <w:contextualSpacing/>
              <w:rPr>
                <w:rFonts w:ascii="Arial" w:hAnsi="Arial" w:cs="Arial"/>
                <w:sz w:val="15"/>
                <w:szCs w:val="15"/>
              </w:rPr>
            </w:pPr>
            <w:hyperlink r:id="rId268" w:tgtFrame="_blank" w:history="1">
              <w:r w:rsidRPr="00A77951">
                <w:rPr>
                  <w:rStyle w:val="Hyperlink"/>
                  <w:rFonts w:ascii="Arial" w:hAnsi="Arial" w:cs="Arial"/>
                  <w:sz w:val="15"/>
                  <w:szCs w:val="15"/>
                </w:rPr>
                <w:t>10.3171/2022.</w:t>
              </w:r>
              <w:proofErr w:type="gramStart"/>
              <w:r w:rsidRPr="00A77951">
                <w:rPr>
                  <w:rStyle w:val="Hyperlink"/>
                  <w:rFonts w:ascii="Arial" w:hAnsi="Arial" w:cs="Arial"/>
                  <w:sz w:val="15"/>
                  <w:szCs w:val="15"/>
                </w:rPr>
                <w:t>11.PEDS</w:t>
              </w:r>
              <w:proofErr w:type="gramEnd"/>
              <w:r w:rsidRPr="00A77951">
                <w:rPr>
                  <w:rStyle w:val="Hyperlink"/>
                  <w:rFonts w:ascii="Arial" w:hAnsi="Arial" w:cs="Arial"/>
                  <w:sz w:val="15"/>
                  <w:szCs w:val="15"/>
                </w:rPr>
                <w:t>22421</w:t>
              </w:r>
            </w:hyperlink>
          </w:p>
        </w:tc>
        <w:tc>
          <w:tcPr>
            <w:tcW w:w="851" w:type="dxa"/>
          </w:tcPr>
          <w:p w14:paraId="2AA234A8" w14:textId="1BC989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The Netherlands</w:t>
            </w:r>
          </w:p>
        </w:tc>
        <w:tc>
          <w:tcPr>
            <w:tcW w:w="1134" w:type="dxa"/>
          </w:tcPr>
          <w:p w14:paraId="2BCAD272" w14:textId="0C0379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EF828D9" w14:textId="1F2AF8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143C09C" w14:textId="424E16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F40E7DB" w14:textId="0E4BFF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establish the incidence of CSF leakage after intradural cranial surgery in the paediatric population.</w:t>
            </w:r>
          </w:p>
        </w:tc>
        <w:tc>
          <w:tcPr>
            <w:tcW w:w="1134" w:type="dxa"/>
          </w:tcPr>
          <w:p w14:paraId="480B8577" w14:textId="1498DB76" w:rsidR="006E5533" w:rsidRPr="00251EA9" w:rsidRDefault="006E5533" w:rsidP="006E5533">
            <w:pPr>
              <w:spacing w:line="360" w:lineRule="auto"/>
              <w:contextualSpacing/>
              <w:rPr>
                <w:rFonts w:ascii="Arial" w:hAnsi="Arial" w:cs="Arial"/>
                <w:sz w:val="15"/>
                <w:szCs w:val="15"/>
              </w:rPr>
            </w:pPr>
          </w:p>
        </w:tc>
        <w:tc>
          <w:tcPr>
            <w:tcW w:w="992" w:type="dxa"/>
          </w:tcPr>
          <w:p w14:paraId="7D0BF5F3" w14:textId="63A1A0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EE775AB" w14:textId="682078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09A0DD8" w14:textId="58BA0616" w:rsidR="006E5533" w:rsidRPr="00251EA9" w:rsidRDefault="006E5533" w:rsidP="006E5533">
            <w:pPr>
              <w:rPr>
                <w:rFonts w:ascii="Arial" w:hAnsi="Arial" w:cs="Arial"/>
                <w:sz w:val="15"/>
                <w:szCs w:val="15"/>
              </w:rPr>
            </w:pPr>
            <w:r w:rsidRPr="00251EA9">
              <w:rPr>
                <w:rFonts w:ascii="Arial" w:hAnsi="Arial" w:cs="Arial"/>
                <w:sz w:val="15"/>
                <w:szCs w:val="15"/>
              </w:rPr>
              <w:t>11 patients experienced wound infections.</w:t>
            </w:r>
          </w:p>
        </w:tc>
        <w:tc>
          <w:tcPr>
            <w:tcW w:w="1701" w:type="dxa"/>
          </w:tcPr>
          <w:p w14:paraId="5111E073" w14:textId="537D1C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676DB09" w14:textId="77777777" w:rsidTr="00A77951">
        <w:trPr>
          <w:trHeight w:val="586"/>
        </w:trPr>
        <w:tc>
          <w:tcPr>
            <w:tcW w:w="992" w:type="dxa"/>
          </w:tcPr>
          <w:p w14:paraId="48B0984C" w14:textId="593FC9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Smith K. et al., 2022</w:t>
            </w:r>
          </w:p>
        </w:tc>
        <w:tc>
          <w:tcPr>
            <w:tcW w:w="851" w:type="dxa"/>
          </w:tcPr>
          <w:p w14:paraId="3C26E330" w14:textId="03C434D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10.1097/01.ccm.0000809444.94667.19</w:t>
            </w:r>
          </w:p>
        </w:tc>
        <w:tc>
          <w:tcPr>
            <w:tcW w:w="851" w:type="dxa"/>
          </w:tcPr>
          <w:p w14:paraId="39CF7B12" w14:textId="2903F5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7B124BF" w14:textId="66A326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11DBB0F8" w14:textId="0E40C1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420DE0E" w14:textId="769C7D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6BF38F42" w14:textId="487313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incidence of SSIs in patients receiving extended versus brief antibiotic prophylaxis following neurosurgical drain placement (NDP).</w:t>
            </w:r>
          </w:p>
        </w:tc>
        <w:tc>
          <w:tcPr>
            <w:tcW w:w="1134" w:type="dxa"/>
          </w:tcPr>
          <w:p w14:paraId="79CBBE73" w14:textId="186407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Extended vs brief antibiotic prophylaxis</w:t>
            </w:r>
          </w:p>
        </w:tc>
        <w:tc>
          <w:tcPr>
            <w:tcW w:w="992" w:type="dxa"/>
          </w:tcPr>
          <w:p w14:paraId="18563C23" w14:textId="0525AA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F4DD605" w14:textId="5B64D7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8184659" w14:textId="467817AF" w:rsidR="006E5533" w:rsidRPr="00251EA9" w:rsidRDefault="006E5533" w:rsidP="006E5533">
            <w:pPr>
              <w:rPr>
                <w:rFonts w:ascii="Arial" w:hAnsi="Arial" w:cs="Arial"/>
                <w:sz w:val="15"/>
                <w:szCs w:val="15"/>
              </w:rPr>
            </w:pPr>
            <w:r w:rsidRPr="00251EA9">
              <w:rPr>
                <w:rFonts w:ascii="Arial" w:hAnsi="Arial" w:cs="Arial"/>
                <w:sz w:val="15"/>
                <w:szCs w:val="15"/>
              </w:rPr>
              <w:t>The extended group had more SSIs compared to the brief group; however, this did not reach statistical significance.</w:t>
            </w:r>
          </w:p>
        </w:tc>
        <w:tc>
          <w:tcPr>
            <w:tcW w:w="1701" w:type="dxa"/>
          </w:tcPr>
          <w:p w14:paraId="464F9794" w14:textId="6D9630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679346F" w14:textId="77777777" w:rsidTr="00A77951">
        <w:trPr>
          <w:trHeight w:val="586"/>
        </w:trPr>
        <w:tc>
          <w:tcPr>
            <w:tcW w:w="992" w:type="dxa"/>
          </w:tcPr>
          <w:p w14:paraId="3BC98A9B" w14:textId="5CFDDAE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Sneh-Arbib</w:t>
            </w:r>
            <w:proofErr w:type="spellEnd"/>
            <w:r w:rsidRPr="00251EA9">
              <w:rPr>
                <w:rFonts w:ascii="Arial" w:hAnsi="Arial" w:cs="Arial"/>
                <w:sz w:val="15"/>
                <w:szCs w:val="15"/>
              </w:rPr>
              <w:t xml:space="preserve"> O. et al., 2013</w:t>
            </w:r>
          </w:p>
        </w:tc>
        <w:tc>
          <w:tcPr>
            <w:tcW w:w="851" w:type="dxa"/>
          </w:tcPr>
          <w:p w14:paraId="37ADB4A4" w14:textId="192B3994" w:rsidR="006E5533" w:rsidRPr="00A77951" w:rsidRDefault="006E5533" w:rsidP="006E5533">
            <w:pPr>
              <w:spacing w:line="360" w:lineRule="auto"/>
              <w:contextualSpacing/>
              <w:rPr>
                <w:rFonts w:ascii="Arial" w:hAnsi="Arial" w:cs="Arial"/>
                <w:sz w:val="15"/>
                <w:szCs w:val="15"/>
              </w:rPr>
            </w:pPr>
            <w:hyperlink r:id="rId269" w:tgtFrame="_blank" w:history="1">
              <w:r w:rsidRPr="00A77951">
                <w:rPr>
                  <w:rStyle w:val="Hyperlink"/>
                  <w:rFonts w:ascii="Arial" w:hAnsi="Arial" w:cs="Arial"/>
                  <w:sz w:val="15"/>
                  <w:szCs w:val="15"/>
                </w:rPr>
                <w:t>10.1007/s10096-013-1904-y</w:t>
              </w:r>
            </w:hyperlink>
          </w:p>
        </w:tc>
        <w:tc>
          <w:tcPr>
            <w:tcW w:w="851" w:type="dxa"/>
          </w:tcPr>
          <w:p w14:paraId="3DD72B82" w14:textId="19E64B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Israel</w:t>
            </w:r>
          </w:p>
        </w:tc>
        <w:tc>
          <w:tcPr>
            <w:tcW w:w="1134" w:type="dxa"/>
          </w:tcPr>
          <w:p w14:paraId="02ACF3D8" w14:textId="5C25FB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4013623C" w14:textId="2301AA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2AC7D8D" w14:textId="004AEF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Craniotomy</w:t>
            </w:r>
          </w:p>
        </w:tc>
        <w:tc>
          <w:tcPr>
            <w:tcW w:w="1843" w:type="dxa"/>
          </w:tcPr>
          <w:p w14:paraId="6E596E53" w14:textId="0164B7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examine factors associated with post-neurosurgical SSIs, focusing on post-operative factors.</w:t>
            </w:r>
          </w:p>
        </w:tc>
        <w:tc>
          <w:tcPr>
            <w:tcW w:w="1134" w:type="dxa"/>
          </w:tcPr>
          <w:p w14:paraId="77EA59C3" w14:textId="0FE20A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w:t>
            </w:r>
          </w:p>
        </w:tc>
        <w:tc>
          <w:tcPr>
            <w:tcW w:w="992" w:type="dxa"/>
          </w:tcPr>
          <w:p w14:paraId="74829887" w14:textId="2B630E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1227BA3" w14:textId="4F94C53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32EDFB26" w14:textId="3A773C7A" w:rsidR="006E5533" w:rsidRPr="00251EA9" w:rsidRDefault="006E5533" w:rsidP="006E5533">
            <w:pPr>
              <w:rPr>
                <w:rFonts w:ascii="Arial" w:hAnsi="Arial" w:cs="Arial"/>
                <w:sz w:val="15"/>
                <w:szCs w:val="15"/>
              </w:rPr>
            </w:pPr>
            <w:r w:rsidRPr="00251EA9">
              <w:rPr>
                <w:rFonts w:ascii="Arial" w:hAnsi="Arial" w:cs="Arial"/>
                <w:sz w:val="15"/>
                <w:szCs w:val="15"/>
              </w:rPr>
              <w:t>A total of 502 patients were included, with an overall SSI rate of 5.6 % (28 patients), of which 3.2 % were intracerebral. Non-elective surgery, external CSF drainage/ monitoring devices, re-operation, and</w:t>
            </w:r>
            <w:r w:rsidRPr="00251EA9">
              <w:rPr>
                <w:rFonts w:ascii="Arial" w:hAnsi="Arial" w:cs="Arial"/>
                <w:sz w:val="15"/>
                <w:szCs w:val="15"/>
              </w:rPr>
              <w:br/>
              <w:t xml:space="preserve">post-operative respiratory failure were independently associated with subsequent SSI. </w:t>
            </w:r>
          </w:p>
        </w:tc>
        <w:tc>
          <w:tcPr>
            <w:tcW w:w="1701" w:type="dxa"/>
          </w:tcPr>
          <w:p w14:paraId="48DF5AF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"The reported</w:t>
            </w:r>
          </w:p>
          <w:p w14:paraId="3BB21132"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infection rate after intracranial neurosurgery in large cohorts published in the period 1985–2007 ranged between 0 and</w:t>
            </w:r>
          </w:p>
          <w:p w14:paraId="394A85FA"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6.2%. This wide range is probably partially real and partially</w:t>
            </w:r>
          </w:p>
          <w:p w14:paraId="6EC8BFF6" w14:textId="7B02A7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due to different definitions and SSI categories included in different studies."</w:t>
            </w:r>
          </w:p>
        </w:tc>
      </w:tr>
      <w:tr w:rsidR="006E5533" w:rsidRPr="00251EA9" w14:paraId="7A57C383" w14:textId="77777777" w:rsidTr="00A77951">
        <w:trPr>
          <w:trHeight w:val="586"/>
        </w:trPr>
        <w:tc>
          <w:tcPr>
            <w:tcW w:w="992" w:type="dxa"/>
          </w:tcPr>
          <w:p w14:paraId="1F303093" w14:textId="7D4517D7" w:rsidR="006E5533" w:rsidRPr="00251EA9" w:rsidRDefault="006E5533" w:rsidP="006E5533">
            <w:pPr>
              <w:spacing w:line="360" w:lineRule="auto"/>
              <w:contextualSpacing/>
              <w:rPr>
                <w:rFonts w:ascii="Arial" w:hAnsi="Arial" w:cs="Arial"/>
                <w:sz w:val="15"/>
                <w:szCs w:val="15"/>
              </w:rPr>
            </w:pPr>
            <w:proofErr w:type="gramStart"/>
            <w:r w:rsidRPr="00251EA9">
              <w:rPr>
                <w:rFonts w:ascii="Arial" w:hAnsi="Arial" w:cs="Arial"/>
                <w:sz w:val="15"/>
                <w:szCs w:val="15"/>
              </w:rPr>
              <w:t>So</w:t>
            </w:r>
            <w:proofErr w:type="gramEnd"/>
            <w:r w:rsidRPr="00251EA9">
              <w:rPr>
                <w:rFonts w:ascii="Arial" w:hAnsi="Arial" w:cs="Arial"/>
                <w:sz w:val="15"/>
                <w:szCs w:val="15"/>
              </w:rPr>
              <w:t xml:space="preserve"> R. et al., 2022</w:t>
            </w:r>
          </w:p>
        </w:tc>
        <w:tc>
          <w:tcPr>
            <w:tcW w:w="851" w:type="dxa"/>
          </w:tcPr>
          <w:p w14:paraId="430DB6E0" w14:textId="2A4C9BB6" w:rsidR="006E5533" w:rsidRPr="00A77951" w:rsidRDefault="006E5533" w:rsidP="006E5533">
            <w:pPr>
              <w:spacing w:line="360" w:lineRule="auto"/>
              <w:contextualSpacing/>
              <w:rPr>
                <w:rFonts w:ascii="Arial" w:hAnsi="Arial" w:cs="Arial"/>
                <w:sz w:val="15"/>
                <w:szCs w:val="15"/>
              </w:rPr>
            </w:pPr>
            <w:hyperlink r:id="rId270" w:tgtFrame="_blank" w:history="1">
              <w:r w:rsidRPr="00A77951">
                <w:rPr>
                  <w:rStyle w:val="Hyperlink"/>
                  <w:rFonts w:ascii="Arial" w:hAnsi="Arial" w:cs="Arial"/>
                  <w:sz w:val="15"/>
                  <w:szCs w:val="15"/>
                </w:rPr>
                <w:t>10.1227/ons.0000000000000546</w:t>
              </w:r>
            </w:hyperlink>
          </w:p>
        </w:tc>
        <w:tc>
          <w:tcPr>
            <w:tcW w:w="851" w:type="dxa"/>
          </w:tcPr>
          <w:p w14:paraId="16C43718" w14:textId="033DAF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0825656" w14:textId="52720C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336C0B7" w14:textId="161854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68BEB0D" w14:textId="5421AE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40C5040A" w14:textId="48B618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postoperative pain and numbness outcomes after microvascular decompression in patients with trigeminal </w:t>
            </w:r>
            <w:r w:rsidRPr="00251EA9">
              <w:rPr>
                <w:rFonts w:ascii="Arial" w:hAnsi="Arial" w:cs="Arial"/>
                <w:sz w:val="15"/>
                <w:szCs w:val="15"/>
              </w:rPr>
              <w:lastRenderedPageBreak/>
              <w:t>neuralgia of exclusive venous compression.</w:t>
            </w:r>
          </w:p>
        </w:tc>
        <w:tc>
          <w:tcPr>
            <w:tcW w:w="1134" w:type="dxa"/>
          </w:tcPr>
          <w:p w14:paraId="6138B934"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825DFA6" w14:textId="6FA73D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001C264" w14:textId="5EB74C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E8B3D10" w14:textId="265FC044" w:rsidR="006E5533" w:rsidRPr="00251EA9" w:rsidRDefault="006E5533" w:rsidP="006E5533">
            <w:pPr>
              <w:rPr>
                <w:rFonts w:ascii="Arial" w:hAnsi="Arial" w:cs="Arial"/>
                <w:sz w:val="15"/>
                <w:szCs w:val="15"/>
              </w:rPr>
            </w:pPr>
            <w:r w:rsidRPr="00251EA9">
              <w:rPr>
                <w:rFonts w:ascii="Arial" w:hAnsi="Arial" w:cs="Arial"/>
                <w:sz w:val="15"/>
                <w:szCs w:val="15"/>
              </w:rPr>
              <w:t>Reported 3 cases of wound infection in the transposition group and 3 cases in the coagulation group.</w:t>
            </w:r>
          </w:p>
        </w:tc>
        <w:tc>
          <w:tcPr>
            <w:tcW w:w="1701" w:type="dxa"/>
          </w:tcPr>
          <w:p w14:paraId="5EB25445" w14:textId="6D2CA7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598090E" w14:textId="77777777" w:rsidTr="00A77951">
        <w:trPr>
          <w:trHeight w:val="586"/>
        </w:trPr>
        <w:tc>
          <w:tcPr>
            <w:tcW w:w="992" w:type="dxa"/>
          </w:tcPr>
          <w:p w14:paraId="0AE13831" w14:textId="370A4FB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Soleman</w:t>
            </w:r>
            <w:proofErr w:type="spellEnd"/>
            <w:r w:rsidRPr="00251EA9">
              <w:rPr>
                <w:rFonts w:ascii="Arial" w:hAnsi="Arial" w:cs="Arial"/>
                <w:sz w:val="15"/>
                <w:szCs w:val="15"/>
              </w:rPr>
              <w:t xml:space="preserve"> J. et al., 2021</w:t>
            </w:r>
          </w:p>
        </w:tc>
        <w:tc>
          <w:tcPr>
            <w:tcW w:w="851" w:type="dxa"/>
          </w:tcPr>
          <w:p w14:paraId="6FB6407A" w14:textId="57FE70C1" w:rsidR="006E5533" w:rsidRPr="00A77951" w:rsidRDefault="006E5533" w:rsidP="006E5533">
            <w:pPr>
              <w:spacing w:line="360" w:lineRule="auto"/>
              <w:contextualSpacing/>
              <w:rPr>
                <w:rFonts w:ascii="Arial" w:hAnsi="Arial" w:cs="Arial"/>
                <w:sz w:val="15"/>
                <w:szCs w:val="15"/>
              </w:rPr>
            </w:pPr>
            <w:hyperlink r:id="rId271" w:tgtFrame="_blank" w:history="1">
              <w:r w:rsidRPr="00A77951">
                <w:rPr>
                  <w:rStyle w:val="Hyperlink"/>
                  <w:rFonts w:ascii="Arial" w:hAnsi="Arial" w:cs="Arial"/>
                  <w:sz w:val="15"/>
                  <w:szCs w:val="15"/>
                </w:rPr>
                <w:t>10.1016/j.wneu.2020.10.138</w:t>
              </w:r>
            </w:hyperlink>
          </w:p>
        </w:tc>
        <w:tc>
          <w:tcPr>
            <w:tcW w:w="851" w:type="dxa"/>
          </w:tcPr>
          <w:p w14:paraId="7D35758E" w14:textId="481D56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06EBCCEA" w14:textId="0B1130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F20D818" w14:textId="5F7CB5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A0ED534" w14:textId="53F59E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3616067B" w14:textId="02871E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30-day mortality and morbidity rate in elderly patients undergoing cranial surgery and the clinical outcome measured by the modified Rankin Scale score.</w:t>
            </w:r>
          </w:p>
        </w:tc>
        <w:tc>
          <w:tcPr>
            <w:tcW w:w="1134" w:type="dxa"/>
          </w:tcPr>
          <w:p w14:paraId="06036751" w14:textId="14B664DD" w:rsidR="006E5533" w:rsidRPr="00251EA9" w:rsidRDefault="006E5533" w:rsidP="006E5533">
            <w:pPr>
              <w:spacing w:line="360" w:lineRule="auto"/>
              <w:contextualSpacing/>
              <w:rPr>
                <w:rFonts w:ascii="Arial" w:hAnsi="Arial" w:cs="Arial"/>
                <w:sz w:val="15"/>
                <w:szCs w:val="15"/>
              </w:rPr>
            </w:pPr>
          </w:p>
        </w:tc>
        <w:tc>
          <w:tcPr>
            <w:tcW w:w="992" w:type="dxa"/>
          </w:tcPr>
          <w:p w14:paraId="4B9F3E9B" w14:textId="502B03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319248" w14:textId="39D4A4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3C5A30F" w14:textId="2EA4B5F6" w:rsidR="006E5533" w:rsidRPr="00251EA9" w:rsidRDefault="006E5533" w:rsidP="006E5533">
            <w:pPr>
              <w:rPr>
                <w:rFonts w:ascii="Arial" w:hAnsi="Arial" w:cs="Arial"/>
                <w:sz w:val="15"/>
                <w:szCs w:val="15"/>
              </w:rPr>
            </w:pPr>
            <w:r w:rsidRPr="00251EA9">
              <w:rPr>
                <w:rFonts w:ascii="Arial" w:hAnsi="Arial" w:cs="Arial"/>
                <w:sz w:val="15"/>
                <w:szCs w:val="15"/>
              </w:rPr>
              <w:t xml:space="preserve">Postoperative infection occurred in 14 patients (2.1%). </w:t>
            </w:r>
          </w:p>
        </w:tc>
        <w:tc>
          <w:tcPr>
            <w:tcW w:w="1701" w:type="dxa"/>
          </w:tcPr>
          <w:p w14:paraId="500D3431" w14:textId="20FF3D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0DE8557" w14:textId="77777777" w:rsidTr="00A77951">
        <w:trPr>
          <w:trHeight w:val="586"/>
        </w:trPr>
        <w:tc>
          <w:tcPr>
            <w:tcW w:w="992" w:type="dxa"/>
          </w:tcPr>
          <w:p w14:paraId="18F39A11" w14:textId="28809D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Soto J. et al., 2023</w:t>
            </w:r>
          </w:p>
        </w:tc>
        <w:tc>
          <w:tcPr>
            <w:tcW w:w="851" w:type="dxa"/>
          </w:tcPr>
          <w:p w14:paraId="1919CFC5" w14:textId="57387B92" w:rsidR="006E5533" w:rsidRPr="00A77951" w:rsidRDefault="006E5533" w:rsidP="006E5533">
            <w:pPr>
              <w:spacing w:line="360" w:lineRule="auto"/>
              <w:contextualSpacing/>
              <w:rPr>
                <w:rFonts w:ascii="Arial" w:hAnsi="Arial" w:cs="Arial"/>
                <w:sz w:val="15"/>
                <w:szCs w:val="15"/>
              </w:rPr>
            </w:pPr>
            <w:hyperlink r:id="rId272" w:tgtFrame="_blank" w:history="1">
              <w:r w:rsidRPr="00A77951">
                <w:rPr>
                  <w:rStyle w:val="Hyperlink"/>
                  <w:rFonts w:ascii="Arial" w:hAnsi="Arial" w:cs="Arial"/>
                  <w:sz w:val="15"/>
                  <w:szCs w:val="15"/>
                </w:rPr>
                <w:t>10.1016/j.wneu.2023.04.020</w:t>
              </w:r>
            </w:hyperlink>
          </w:p>
        </w:tc>
        <w:tc>
          <w:tcPr>
            <w:tcW w:w="851" w:type="dxa"/>
          </w:tcPr>
          <w:p w14:paraId="546A4A14" w14:textId="5F68A7D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CA8BB2F" w14:textId="743B37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021AC5A" w14:textId="4FF1BE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6DDCDF6" w14:textId="10F3BC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66334B54" w14:textId="479BC1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characterise factors associated with complications for supratentorial craniotomy for primary malignant brain tumour resection.</w:t>
            </w:r>
          </w:p>
        </w:tc>
        <w:tc>
          <w:tcPr>
            <w:tcW w:w="1134" w:type="dxa"/>
          </w:tcPr>
          <w:p w14:paraId="58DDC41C" w14:textId="5FD4E2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4EB943E8" w14:textId="76E35E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46EFE0A" w14:textId="6EB07A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114888C" w14:textId="757DEB2D" w:rsidR="006E5533" w:rsidRPr="00251EA9" w:rsidRDefault="006E5533" w:rsidP="006E5533">
            <w:pPr>
              <w:rPr>
                <w:rFonts w:ascii="Arial" w:hAnsi="Arial" w:cs="Arial"/>
                <w:sz w:val="15"/>
                <w:szCs w:val="15"/>
              </w:rPr>
            </w:pPr>
            <w:r w:rsidRPr="00251EA9">
              <w:rPr>
                <w:rFonts w:ascii="Arial" w:hAnsi="Arial" w:cs="Arial"/>
                <w:sz w:val="15"/>
                <w:szCs w:val="15"/>
              </w:rPr>
              <w:t xml:space="preserve">Reported a rate of 0.6% for superficial SSI, 0.4% for deep SSI and 1.3% for organ/ space SSI. </w:t>
            </w:r>
          </w:p>
        </w:tc>
        <w:tc>
          <w:tcPr>
            <w:tcW w:w="1701" w:type="dxa"/>
          </w:tcPr>
          <w:p w14:paraId="2BC71E34" w14:textId="698E42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BDD8AF1" w14:textId="77777777" w:rsidTr="00A77951">
        <w:trPr>
          <w:trHeight w:val="586"/>
        </w:trPr>
        <w:tc>
          <w:tcPr>
            <w:tcW w:w="992" w:type="dxa"/>
          </w:tcPr>
          <w:p w14:paraId="79E7B8A8" w14:textId="5788AA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Sousa S. et al., 2023</w:t>
            </w:r>
          </w:p>
        </w:tc>
        <w:tc>
          <w:tcPr>
            <w:tcW w:w="851" w:type="dxa"/>
          </w:tcPr>
          <w:p w14:paraId="7410FB39" w14:textId="2CE9799D" w:rsidR="006E5533" w:rsidRPr="00A77951" w:rsidRDefault="006E5533" w:rsidP="006E5533">
            <w:pPr>
              <w:spacing w:line="360" w:lineRule="auto"/>
              <w:contextualSpacing/>
              <w:rPr>
                <w:rFonts w:ascii="Arial" w:hAnsi="Arial" w:cs="Arial"/>
                <w:sz w:val="15"/>
                <w:szCs w:val="15"/>
              </w:rPr>
            </w:pPr>
            <w:hyperlink r:id="rId273" w:tgtFrame="_blank" w:history="1">
              <w:r w:rsidRPr="00A77951">
                <w:rPr>
                  <w:rStyle w:val="Hyperlink"/>
                  <w:rFonts w:ascii="Arial" w:hAnsi="Arial" w:cs="Arial"/>
                  <w:sz w:val="15"/>
                  <w:szCs w:val="15"/>
                </w:rPr>
                <w:t>10.3171/2023.</w:t>
              </w:r>
              <w:proofErr w:type="gramStart"/>
              <w:r w:rsidRPr="00A77951">
                <w:rPr>
                  <w:rStyle w:val="Hyperlink"/>
                  <w:rFonts w:ascii="Arial" w:hAnsi="Arial" w:cs="Arial"/>
                  <w:sz w:val="15"/>
                  <w:szCs w:val="15"/>
                </w:rPr>
                <w:t>2.JNS</w:t>
              </w:r>
              <w:proofErr w:type="gramEnd"/>
              <w:r w:rsidRPr="00A77951">
                <w:rPr>
                  <w:rStyle w:val="Hyperlink"/>
                  <w:rFonts w:ascii="Arial" w:hAnsi="Arial" w:cs="Arial"/>
                  <w:sz w:val="15"/>
                  <w:szCs w:val="15"/>
                </w:rPr>
                <w:t>222262</w:t>
              </w:r>
            </w:hyperlink>
          </w:p>
        </w:tc>
        <w:tc>
          <w:tcPr>
            <w:tcW w:w="851" w:type="dxa"/>
          </w:tcPr>
          <w:p w14:paraId="49A3F4C0" w14:textId="14D895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Portugal</w:t>
            </w:r>
          </w:p>
        </w:tc>
        <w:tc>
          <w:tcPr>
            <w:tcW w:w="1134" w:type="dxa"/>
          </w:tcPr>
          <w:p w14:paraId="31F13CFF" w14:textId="04B7B6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0EBDD4E9" w14:textId="6A88877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39DB30E" w14:textId="14CB2D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3EAF3B4" w14:textId="6E4537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best strategy to reduce postoperative complications and to improve functional outcomes.</w:t>
            </w:r>
          </w:p>
        </w:tc>
        <w:tc>
          <w:tcPr>
            <w:tcW w:w="1134" w:type="dxa"/>
          </w:tcPr>
          <w:p w14:paraId="17943582" w14:textId="708148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Early mobilisation vs 48-hour bed rest</w:t>
            </w:r>
          </w:p>
        </w:tc>
        <w:tc>
          <w:tcPr>
            <w:tcW w:w="992" w:type="dxa"/>
          </w:tcPr>
          <w:p w14:paraId="2BD56C1B" w14:textId="6C3466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5A12445" w14:textId="6EE1C8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1F94A74" w14:textId="34BCA329" w:rsidR="006E5533" w:rsidRPr="00251EA9" w:rsidRDefault="006E5533" w:rsidP="006E5533">
            <w:pPr>
              <w:rPr>
                <w:rFonts w:ascii="Arial" w:hAnsi="Arial" w:cs="Arial"/>
                <w:sz w:val="15"/>
                <w:szCs w:val="15"/>
              </w:rPr>
            </w:pPr>
            <w:r w:rsidRPr="00251EA9">
              <w:rPr>
                <w:rFonts w:ascii="Arial" w:hAnsi="Arial" w:cs="Arial"/>
                <w:sz w:val="15"/>
                <w:szCs w:val="15"/>
              </w:rPr>
              <w:t xml:space="preserve">Reported 1 infection in bed rest group compared to 2 in early mobilisation group. </w:t>
            </w:r>
          </w:p>
        </w:tc>
        <w:tc>
          <w:tcPr>
            <w:tcW w:w="1701" w:type="dxa"/>
          </w:tcPr>
          <w:p w14:paraId="53AA0062" w14:textId="0BEE62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EE70F53" w14:textId="77777777" w:rsidTr="00A77951">
        <w:trPr>
          <w:trHeight w:val="586"/>
        </w:trPr>
        <w:tc>
          <w:tcPr>
            <w:tcW w:w="992" w:type="dxa"/>
          </w:tcPr>
          <w:p w14:paraId="63C867CE" w14:textId="4F570A3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Spille</w:t>
            </w:r>
            <w:proofErr w:type="spellEnd"/>
            <w:r w:rsidRPr="00251EA9">
              <w:rPr>
                <w:rFonts w:ascii="Arial" w:hAnsi="Arial" w:cs="Arial"/>
                <w:sz w:val="15"/>
                <w:szCs w:val="15"/>
              </w:rPr>
              <w:t xml:space="preserve"> D.C. et al., 2022</w:t>
            </w:r>
          </w:p>
        </w:tc>
        <w:tc>
          <w:tcPr>
            <w:tcW w:w="851" w:type="dxa"/>
          </w:tcPr>
          <w:p w14:paraId="1254264A" w14:textId="13EB5341" w:rsidR="006E5533" w:rsidRPr="00A77951" w:rsidRDefault="006E5533" w:rsidP="006E5533">
            <w:pPr>
              <w:spacing w:line="360" w:lineRule="auto"/>
              <w:contextualSpacing/>
              <w:rPr>
                <w:rFonts w:ascii="Arial" w:hAnsi="Arial" w:cs="Arial"/>
                <w:sz w:val="15"/>
                <w:szCs w:val="15"/>
              </w:rPr>
            </w:pPr>
            <w:hyperlink r:id="rId274" w:tgtFrame="_blank" w:history="1">
              <w:r w:rsidRPr="00A77951">
                <w:rPr>
                  <w:rStyle w:val="Hyperlink"/>
                  <w:rFonts w:ascii="Arial" w:hAnsi="Arial" w:cs="Arial"/>
                  <w:sz w:val="15"/>
                  <w:szCs w:val="15"/>
                </w:rPr>
                <w:t>10.1055/a-1911-8678</w:t>
              </w:r>
            </w:hyperlink>
          </w:p>
        </w:tc>
        <w:tc>
          <w:tcPr>
            <w:tcW w:w="851" w:type="dxa"/>
          </w:tcPr>
          <w:p w14:paraId="1A433669" w14:textId="7AA553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1F8B1531" w14:textId="48AB3B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5B8B15F" w14:textId="704A8A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097968AD" w14:textId="0D9DC84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1B15C30" w14:textId="4B73B4D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currently applied quality indicators in meningioma surgery and the identification of potential new measures.</w:t>
            </w:r>
          </w:p>
        </w:tc>
        <w:tc>
          <w:tcPr>
            <w:tcW w:w="1134" w:type="dxa"/>
          </w:tcPr>
          <w:p w14:paraId="5C2A5EC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082BAC1" w14:textId="442B7F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2435C60" w14:textId="6BD5D7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D3B95AF" w14:textId="71CA9B97" w:rsidR="006E5533" w:rsidRPr="00251EA9" w:rsidRDefault="006E5533" w:rsidP="006E5533">
            <w:pPr>
              <w:rPr>
                <w:rFonts w:ascii="Arial" w:hAnsi="Arial" w:cs="Arial"/>
                <w:sz w:val="15"/>
                <w:szCs w:val="15"/>
              </w:rPr>
            </w:pPr>
            <w:r w:rsidRPr="00251EA9">
              <w:rPr>
                <w:rFonts w:ascii="Arial" w:hAnsi="Arial" w:cs="Arial"/>
                <w:sz w:val="15"/>
                <w:szCs w:val="15"/>
              </w:rPr>
              <w:t xml:space="preserve">1 incident of SSI reported. </w:t>
            </w:r>
          </w:p>
        </w:tc>
        <w:tc>
          <w:tcPr>
            <w:tcW w:w="1701" w:type="dxa"/>
          </w:tcPr>
          <w:p w14:paraId="31EA2701" w14:textId="52D95C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D242A3C" w14:textId="77777777" w:rsidTr="00A77951">
        <w:trPr>
          <w:trHeight w:val="586"/>
        </w:trPr>
        <w:tc>
          <w:tcPr>
            <w:tcW w:w="992" w:type="dxa"/>
          </w:tcPr>
          <w:p w14:paraId="6FA9E809" w14:textId="79177718"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Sponton</w:t>
            </w:r>
            <w:proofErr w:type="spellEnd"/>
            <w:r w:rsidRPr="00251EA9">
              <w:rPr>
                <w:rFonts w:ascii="Arial" w:hAnsi="Arial" w:cs="Arial"/>
                <w:sz w:val="15"/>
                <w:szCs w:val="15"/>
              </w:rPr>
              <w:t xml:space="preserve"> L. et al., 2022</w:t>
            </w:r>
          </w:p>
        </w:tc>
        <w:tc>
          <w:tcPr>
            <w:tcW w:w="851" w:type="dxa"/>
          </w:tcPr>
          <w:p w14:paraId="5C924849" w14:textId="45E5A893" w:rsidR="006E5533" w:rsidRPr="00A77951" w:rsidRDefault="006E5533" w:rsidP="006E5533">
            <w:pPr>
              <w:spacing w:line="360" w:lineRule="auto"/>
              <w:contextualSpacing/>
              <w:rPr>
                <w:rFonts w:ascii="Arial" w:hAnsi="Arial" w:cs="Arial"/>
                <w:sz w:val="15"/>
                <w:szCs w:val="15"/>
              </w:rPr>
            </w:pPr>
            <w:hyperlink r:id="rId275" w:tgtFrame="_blank" w:history="1">
              <w:r w:rsidRPr="00A77951">
                <w:rPr>
                  <w:rStyle w:val="Hyperlink"/>
                  <w:rFonts w:ascii="Arial" w:hAnsi="Arial" w:cs="Arial"/>
                  <w:sz w:val="15"/>
                  <w:szCs w:val="15"/>
                </w:rPr>
                <w:t>10.1055/s-0042-1751000</w:t>
              </w:r>
            </w:hyperlink>
          </w:p>
        </w:tc>
        <w:tc>
          <w:tcPr>
            <w:tcW w:w="851" w:type="dxa"/>
          </w:tcPr>
          <w:p w14:paraId="643793C2" w14:textId="4F02AF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432C684C" w14:textId="4562F6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9A9F7E4" w14:textId="501CA8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89795DC" w14:textId="18E0B4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Skull base/ Neuro-oncology</w:t>
            </w:r>
          </w:p>
        </w:tc>
        <w:tc>
          <w:tcPr>
            <w:tcW w:w="1843" w:type="dxa"/>
          </w:tcPr>
          <w:p w14:paraId="5A5CDCF5" w14:textId="7AC65D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present the largest retrospective single-institution and long-term follow-up study of endoscopic-assisted </w:t>
            </w:r>
            <w:r w:rsidRPr="00251EA9">
              <w:rPr>
                <w:rFonts w:ascii="Arial" w:hAnsi="Arial" w:cs="Arial"/>
                <w:sz w:val="15"/>
                <w:szCs w:val="15"/>
              </w:rPr>
              <w:lastRenderedPageBreak/>
              <w:t>supraorbital approach (</w:t>
            </w:r>
            <w:proofErr w:type="spellStart"/>
            <w:r w:rsidRPr="00251EA9">
              <w:rPr>
                <w:rFonts w:ascii="Arial" w:hAnsi="Arial" w:cs="Arial"/>
                <w:sz w:val="15"/>
                <w:szCs w:val="15"/>
              </w:rPr>
              <w:t>eSOA</w:t>
            </w:r>
            <w:proofErr w:type="spellEnd"/>
            <w:r w:rsidRPr="00251EA9">
              <w:rPr>
                <w:rFonts w:ascii="Arial" w:hAnsi="Arial" w:cs="Arial"/>
                <w:sz w:val="15"/>
                <w:szCs w:val="15"/>
              </w:rPr>
              <w:t>) for anterior skull base meningiomas (ASBM) resection, providing further insight regarding indication, surgical considerations, complications, and outcome.</w:t>
            </w:r>
          </w:p>
        </w:tc>
        <w:tc>
          <w:tcPr>
            <w:tcW w:w="1134" w:type="dxa"/>
          </w:tcPr>
          <w:p w14:paraId="37957A2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C7BC0CB" w14:textId="25832F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2A02668" w14:textId="7B6EB5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4EE2498" w14:textId="6FE55AC8" w:rsidR="006E5533" w:rsidRPr="00251EA9" w:rsidRDefault="006E5533" w:rsidP="006E5533">
            <w:pPr>
              <w:rPr>
                <w:rFonts w:ascii="Arial" w:hAnsi="Arial" w:cs="Arial"/>
                <w:sz w:val="15"/>
                <w:szCs w:val="15"/>
              </w:rPr>
            </w:pPr>
            <w:r w:rsidRPr="00251EA9">
              <w:rPr>
                <w:rFonts w:ascii="Arial" w:hAnsi="Arial" w:cs="Arial"/>
                <w:sz w:val="15"/>
                <w:szCs w:val="15"/>
              </w:rPr>
              <w:t xml:space="preserve">1.1% rate of wound infection and 1.7% rate of meningitis reported. </w:t>
            </w:r>
          </w:p>
        </w:tc>
        <w:tc>
          <w:tcPr>
            <w:tcW w:w="1701" w:type="dxa"/>
          </w:tcPr>
          <w:p w14:paraId="7EFEB9A0" w14:textId="2B28D9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3FBB364" w14:textId="77777777" w:rsidTr="00A77951">
        <w:trPr>
          <w:trHeight w:val="586"/>
        </w:trPr>
        <w:tc>
          <w:tcPr>
            <w:tcW w:w="992" w:type="dxa"/>
          </w:tcPr>
          <w:p w14:paraId="60B9E757" w14:textId="1520412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Spuck</w:t>
            </w:r>
            <w:proofErr w:type="spellEnd"/>
            <w:r w:rsidRPr="00251EA9">
              <w:rPr>
                <w:rFonts w:ascii="Arial" w:hAnsi="Arial" w:cs="Arial"/>
                <w:sz w:val="15"/>
                <w:szCs w:val="15"/>
              </w:rPr>
              <w:t xml:space="preserve"> S et al. 2010</w:t>
            </w:r>
          </w:p>
        </w:tc>
        <w:tc>
          <w:tcPr>
            <w:tcW w:w="851" w:type="dxa"/>
          </w:tcPr>
          <w:p w14:paraId="6338C883" w14:textId="1680DF94" w:rsidR="006E5533" w:rsidRPr="00A77951" w:rsidRDefault="006E5533" w:rsidP="006E5533">
            <w:pPr>
              <w:spacing w:line="360" w:lineRule="auto"/>
              <w:contextualSpacing/>
              <w:rPr>
                <w:rFonts w:ascii="Arial" w:hAnsi="Arial" w:cs="Arial"/>
                <w:sz w:val="15"/>
                <w:szCs w:val="15"/>
              </w:rPr>
            </w:pPr>
            <w:hyperlink r:id="rId276" w:tgtFrame="_blank" w:history="1">
              <w:r w:rsidRPr="00A77951">
                <w:rPr>
                  <w:rStyle w:val="Hyperlink"/>
                  <w:rFonts w:ascii="Arial" w:hAnsi="Arial" w:cs="Arial"/>
                  <w:sz w:val="15"/>
                  <w:szCs w:val="15"/>
                </w:rPr>
                <w:t>10.1227/NEU.0b013e3181f88867</w:t>
              </w:r>
            </w:hyperlink>
          </w:p>
        </w:tc>
        <w:tc>
          <w:tcPr>
            <w:tcW w:w="851" w:type="dxa"/>
          </w:tcPr>
          <w:p w14:paraId="56ECE453" w14:textId="0F8AAE1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59001752" w14:textId="55331F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38B9674" w14:textId="23FC23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4D17CF09" w14:textId="107539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(VNS insertion for epilepsy)</w:t>
            </w:r>
          </w:p>
        </w:tc>
        <w:tc>
          <w:tcPr>
            <w:tcW w:w="1843" w:type="dxa"/>
          </w:tcPr>
          <w:p w14:paraId="256E5F84" w14:textId="5AA56A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surgical and technical complications after implantation of left-sided VNS in patients with therapy-refractory epilepsy and depression.</w:t>
            </w:r>
          </w:p>
        </w:tc>
        <w:tc>
          <w:tcPr>
            <w:tcW w:w="1134" w:type="dxa"/>
          </w:tcPr>
          <w:p w14:paraId="16531D3A" w14:textId="16E6A78D" w:rsidR="006E5533" w:rsidRPr="00251EA9" w:rsidRDefault="006E5533" w:rsidP="006E5533">
            <w:pPr>
              <w:spacing w:line="360" w:lineRule="auto"/>
              <w:contextualSpacing/>
              <w:rPr>
                <w:rFonts w:ascii="Arial" w:hAnsi="Arial" w:cs="Arial"/>
                <w:sz w:val="15"/>
                <w:szCs w:val="15"/>
              </w:rPr>
            </w:pPr>
          </w:p>
        </w:tc>
        <w:tc>
          <w:tcPr>
            <w:tcW w:w="992" w:type="dxa"/>
          </w:tcPr>
          <w:p w14:paraId="0D94FE7C" w14:textId="5898AF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7F3884E" w14:textId="0F42D5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4C0E716" w14:textId="6E9A0A7B" w:rsidR="006E5533" w:rsidRPr="00251EA9" w:rsidRDefault="006E5533" w:rsidP="006E5533">
            <w:pPr>
              <w:rPr>
                <w:rFonts w:ascii="Arial" w:hAnsi="Arial" w:cs="Arial"/>
                <w:sz w:val="15"/>
                <w:szCs w:val="15"/>
              </w:rPr>
            </w:pPr>
            <w:r w:rsidRPr="00251EA9">
              <w:rPr>
                <w:rFonts w:ascii="Arial" w:hAnsi="Arial" w:cs="Arial"/>
                <w:sz w:val="15"/>
                <w:szCs w:val="15"/>
              </w:rPr>
              <w:t xml:space="preserve">Complications induced by the operations were deep wound infection or disturbed wound healing in 3.8% and in 2.8% directly after implantation. 4 episodes of infection reported. </w:t>
            </w:r>
          </w:p>
        </w:tc>
        <w:tc>
          <w:tcPr>
            <w:tcW w:w="1701" w:type="dxa"/>
          </w:tcPr>
          <w:p w14:paraId="376E0D29" w14:textId="2641A6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7E6A3FA" w14:textId="77777777" w:rsidTr="00A77951">
        <w:trPr>
          <w:trHeight w:val="586"/>
        </w:trPr>
        <w:tc>
          <w:tcPr>
            <w:tcW w:w="992" w:type="dxa"/>
          </w:tcPr>
          <w:p w14:paraId="331EFE9D" w14:textId="0AC7BE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Stoker M.A. et al., 2012</w:t>
            </w:r>
          </w:p>
        </w:tc>
        <w:tc>
          <w:tcPr>
            <w:tcW w:w="851" w:type="dxa"/>
          </w:tcPr>
          <w:p w14:paraId="54D8F414" w14:textId="690DF1E0" w:rsidR="006E5533" w:rsidRPr="00A77951" w:rsidRDefault="006E5533" w:rsidP="006E5533">
            <w:pPr>
              <w:spacing w:line="360" w:lineRule="auto"/>
              <w:contextualSpacing/>
              <w:rPr>
                <w:rFonts w:ascii="Arial" w:hAnsi="Arial" w:cs="Arial"/>
                <w:sz w:val="15"/>
                <w:szCs w:val="15"/>
              </w:rPr>
            </w:pPr>
            <w:hyperlink r:id="rId277" w:tgtFrame="_blank" w:history="1">
              <w:r w:rsidRPr="00A77951">
                <w:rPr>
                  <w:rStyle w:val="Hyperlink"/>
                  <w:rFonts w:ascii="Arial" w:hAnsi="Arial" w:cs="Arial"/>
                  <w:sz w:val="15"/>
                  <w:szCs w:val="15"/>
                </w:rPr>
                <w:t>10.1055/s-0032-1312709</w:t>
              </w:r>
            </w:hyperlink>
          </w:p>
        </w:tc>
        <w:tc>
          <w:tcPr>
            <w:tcW w:w="851" w:type="dxa"/>
          </w:tcPr>
          <w:p w14:paraId="471A9DE2" w14:textId="699351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327C090" w14:textId="3DFA22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7134FE0" w14:textId="0FA15D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AEBE5A6" w14:textId="2C5841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16D5B74C" w14:textId="1CAE46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retrospectively assess whether variations in operative protocol influenced the incidence of CSF leakage following microvascular decompression.</w:t>
            </w:r>
          </w:p>
        </w:tc>
        <w:tc>
          <w:tcPr>
            <w:tcW w:w="1134" w:type="dxa"/>
          </w:tcPr>
          <w:p w14:paraId="1FE5959C" w14:textId="64C6A0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Complete vs incomplete reconstruction </w:t>
            </w:r>
          </w:p>
        </w:tc>
        <w:tc>
          <w:tcPr>
            <w:tcW w:w="992" w:type="dxa"/>
          </w:tcPr>
          <w:p w14:paraId="45A94196" w14:textId="0BADB7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945EF03" w14:textId="28765D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AEEFF8F" w14:textId="4C119107" w:rsidR="006E5533" w:rsidRPr="00251EA9" w:rsidRDefault="006E5533" w:rsidP="006E5533">
            <w:pPr>
              <w:rPr>
                <w:rFonts w:ascii="Arial" w:hAnsi="Arial" w:cs="Arial"/>
                <w:sz w:val="15"/>
                <w:szCs w:val="15"/>
              </w:rPr>
            </w:pPr>
            <w:r w:rsidRPr="00251EA9">
              <w:rPr>
                <w:rFonts w:ascii="Arial" w:hAnsi="Arial" w:cs="Arial"/>
                <w:sz w:val="15"/>
                <w:szCs w:val="15"/>
              </w:rPr>
              <w:t>3% infection rate in complete reconstruction group. Total 6% infection rate among all patients.</w:t>
            </w:r>
          </w:p>
        </w:tc>
        <w:tc>
          <w:tcPr>
            <w:tcW w:w="1701" w:type="dxa"/>
          </w:tcPr>
          <w:p w14:paraId="1DCEF701" w14:textId="5DF641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D186B87" w14:textId="77777777" w:rsidTr="00A77951">
        <w:trPr>
          <w:trHeight w:val="586"/>
        </w:trPr>
        <w:tc>
          <w:tcPr>
            <w:tcW w:w="992" w:type="dxa"/>
          </w:tcPr>
          <w:p w14:paraId="22991295" w14:textId="3641C5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Strahm C. et al., 2018</w:t>
            </w:r>
          </w:p>
        </w:tc>
        <w:tc>
          <w:tcPr>
            <w:tcW w:w="851" w:type="dxa"/>
          </w:tcPr>
          <w:p w14:paraId="21E2F6B4" w14:textId="570518A8" w:rsidR="006E5533" w:rsidRPr="00A77951" w:rsidRDefault="006E5533" w:rsidP="006E5533">
            <w:pPr>
              <w:spacing w:line="360" w:lineRule="auto"/>
              <w:contextualSpacing/>
              <w:rPr>
                <w:rFonts w:ascii="Arial" w:hAnsi="Arial" w:cs="Arial"/>
                <w:sz w:val="15"/>
                <w:szCs w:val="15"/>
              </w:rPr>
            </w:pPr>
            <w:hyperlink r:id="rId278" w:tgtFrame="_blank" w:history="1">
              <w:r w:rsidRPr="00A77951">
                <w:rPr>
                  <w:rStyle w:val="Hyperlink"/>
                  <w:rFonts w:ascii="Arial" w:hAnsi="Arial" w:cs="Arial"/>
                  <w:sz w:val="15"/>
                  <w:szCs w:val="15"/>
                </w:rPr>
                <w:t>10.1016/j.wneu.2017.12.062</w:t>
              </w:r>
            </w:hyperlink>
          </w:p>
        </w:tc>
        <w:tc>
          <w:tcPr>
            <w:tcW w:w="851" w:type="dxa"/>
          </w:tcPr>
          <w:p w14:paraId="656A9F3D" w14:textId="000EE5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466BE171" w14:textId="420EAA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3B496AD" w14:textId="71BA9F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2053088" w14:textId="49EF8C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C23A867" w14:textId="48E921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determine infection rate (IR) and to identify modifiable risk factors (RF) in cranial neurosurgery in a neurosurgical department for tertiary referral as part of an infection control surveillance to reduce </w:t>
            </w:r>
            <w:r w:rsidRPr="00251EA9">
              <w:rPr>
                <w:rFonts w:ascii="Arial" w:hAnsi="Arial" w:cs="Arial"/>
                <w:sz w:val="15"/>
                <w:szCs w:val="15"/>
              </w:rPr>
              <w:lastRenderedPageBreak/>
              <w:t>surgical site infections (SSI).</w:t>
            </w:r>
          </w:p>
        </w:tc>
        <w:tc>
          <w:tcPr>
            <w:tcW w:w="1134" w:type="dxa"/>
          </w:tcPr>
          <w:p w14:paraId="4F002679"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3D0CC7E" w14:textId="14675B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C41E421" w14:textId="67E7DF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56D97E1C" w14:textId="56CC78C4" w:rsidR="006E5533" w:rsidRPr="00251EA9" w:rsidRDefault="006E5533" w:rsidP="006E5533">
            <w:pPr>
              <w:rPr>
                <w:rFonts w:ascii="Arial" w:hAnsi="Arial" w:cs="Arial"/>
                <w:sz w:val="15"/>
                <w:szCs w:val="15"/>
              </w:rPr>
            </w:pPr>
            <w:r w:rsidRPr="00251EA9">
              <w:rPr>
                <w:rFonts w:ascii="Arial" w:hAnsi="Arial" w:cs="Arial"/>
                <w:sz w:val="15"/>
                <w:szCs w:val="15"/>
              </w:rPr>
              <w:t xml:space="preserve">Overall, 24 infections in 333 index procedures were recorded, resulting in an IR overall of 7.2%. Most infections were deep seated and only 1 was superficial. </w:t>
            </w:r>
          </w:p>
        </w:tc>
        <w:tc>
          <w:tcPr>
            <w:tcW w:w="1701" w:type="dxa"/>
          </w:tcPr>
          <w:p w14:paraId="70C7D3E2" w14:textId="63FCE2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22B252B" w14:textId="77777777" w:rsidTr="00A77951">
        <w:trPr>
          <w:trHeight w:val="586"/>
        </w:trPr>
        <w:tc>
          <w:tcPr>
            <w:tcW w:w="992" w:type="dxa"/>
          </w:tcPr>
          <w:p w14:paraId="0004CD0F" w14:textId="7092532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Sughrue</w:t>
            </w:r>
            <w:proofErr w:type="spellEnd"/>
            <w:r w:rsidRPr="00251EA9">
              <w:rPr>
                <w:rFonts w:ascii="Arial" w:hAnsi="Arial" w:cs="Arial"/>
                <w:sz w:val="15"/>
                <w:szCs w:val="15"/>
              </w:rPr>
              <w:t xml:space="preserve"> M.E. et al., 2011</w:t>
            </w:r>
          </w:p>
        </w:tc>
        <w:tc>
          <w:tcPr>
            <w:tcW w:w="851" w:type="dxa"/>
          </w:tcPr>
          <w:p w14:paraId="1603FDDE" w14:textId="798FCFA7" w:rsidR="006E5533" w:rsidRPr="00A77951" w:rsidRDefault="006E5533" w:rsidP="006E5533">
            <w:pPr>
              <w:spacing w:line="360" w:lineRule="auto"/>
              <w:contextualSpacing/>
              <w:rPr>
                <w:rFonts w:ascii="Arial" w:hAnsi="Arial" w:cs="Arial"/>
                <w:sz w:val="15"/>
                <w:szCs w:val="15"/>
              </w:rPr>
            </w:pPr>
            <w:hyperlink r:id="rId279" w:tgtFrame="_blank" w:history="1">
              <w:r w:rsidRPr="00A77951">
                <w:rPr>
                  <w:rStyle w:val="Hyperlink"/>
                  <w:rFonts w:ascii="Arial" w:hAnsi="Arial" w:cs="Arial"/>
                  <w:sz w:val="15"/>
                  <w:szCs w:val="15"/>
                </w:rPr>
                <w:t>10.1016/j.jocn.2011.01.016</w:t>
              </w:r>
            </w:hyperlink>
          </w:p>
        </w:tc>
        <w:tc>
          <w:tcPr>
            <w:tcW w:w="851" w:type="dxa"/>
          </w:tcPr>
          <w:p w14:paraId="533B59F1" w14:textId="74726E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6F653D0" w14:textId="0F3CA8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52FA0B0F" w14:textId="385EBF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8716A3" w14:textId="5A07B64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(decompressive hemicraniectomy)</w:t>
            </w:r>
          </w:p>
        </w:tc>
        <w:tc>
          <w:tcPr>
            <w:tcW w:w="1843" w:type="dxa"/>
          </w:tcPr>
          <w:p w14:paraId="227C6367" w14:textId="151E47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present authors’ experience with an improved technique for wound closure after unilateral decompressive hemicraniectomy with a wide cruciate durotomy. </w:t>
            </w:r>
          </w:p>
        </w:tc>
        <w:tc>
          <w:tcPr>
            <w:tcW w:w="1134" w:type="dxa"/>
          </w:tcPr>
          <w:p w14:paraId="18FE2762" w14:textId="45A16D0C" w:rsidR="006E5533" w:rsidRPr="00251EA9" w:rsidRDefault="006E5533" w:rsidP="006E5533">
            <w:pPr>
              <w:spacing w:line="360" w:lineRule="auto"/>
              <w:contextualSpacing/>
              <w:rPr>
                <w:rFonts w:ascii="Arial" w:hAnsi="Arial" w:cs="Arial"/>
                <w:sz w:val="15"/>
                <w:szCs w:val="15"/>
              </w:rPr>
            </w:pPr>
          </w:p>
        </w:tc>
        <w:tc>
          <w:tcPr>
            <w:tcW w:w="992" w:type="dxa"/>
          </w:tcPr>
          <w:p w14:paraId="6939A095" w14:textId="48A134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2D266FE" w14:textId="07D2A6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Purulent drainage from the cranial incision or extra-axial empyema found on re-operation.</w:t>
            </w:r>
          </w:p>
        </w:tc>
        <w:tc>
          <w:tcPr>
            <w:tcW w:w="2693" w:type="dxa"/>
          </w:tcPr>
          <w:p w14:paraId="3CC60992" w14:textId="01286B02" w:rsidR="006E5533" w:rsidRPr="00251EA9" w:rsidRDefault="006E5533" w:rsidP="006E5533">
            <w:pPr>
              <w:rPr>
                <w:rFonts w:ascii="Arial" w:hAnsi="Arial" w:cs="Arial"/>
                <w:sz w:val="15"/>
                <w:szCs w:val="15"/>
              </w:rPr>
            </w:pPr>
            <w:r w:rsidRPr="00251EA9">
              <w:rPr>
                <w:rFonts w:ascii="Arial" w:hAnsi="Arial" w:cs="Arial"/>
                <w:sz w:val="15"/>
                <w:szCs w:val="15"/>
              </w:rPr>
              <w:t>Patients closed using authors’ new technique experienced markedly reduced rates</w:t>
            </w:r>
            <w:r w:rsidRPr="00251EA9">
              <w:rPr>
                <w:rFonts w:ascii="Arial" w:hAnsi="Arial" w:cs="Arial"/>
                <w:sz w:val="15"/>
                <w:szCs w:val="15"/>
              </w:rPr>
              <w:br/>
              <w:t>of wound infection (p &lt; 0.01).</w:t>
            </w:r>
          </w:p>
        </w:tc>
        <w:tc>
          <w:tcPr>
            <w:tcW w:w="1701" w:type="dxa"/>
          </w:tcPr>
          <w:p w14:paraId="146A0414" w14:textId="6FBCB4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CC44325" w14:textId="77777777" w:rsidTr="00A77951">
        <w:trPr>
          <w:trHeight w:val="586"/>
        </w:trPr>
        <w:tc>
          <w:tcPr>
            <w:tcW w:w="992" w:type="dxa"/>
          </w:tcPr>
          <w:p w14:paraId="36F0479E" w14:textId="077AA3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Tabata S. et al., 2022</w:t>
            </w:r>
          </w:p>
        </w:tc>
        <w:tc>
          <w:tcPr>
            <w:tcW w:w="851" w:type="dxa"/>
          </w:tcPr>
          <w:p w14:paraId="4DFD7D96" w14:textId="1D1E25B8" w:rsidR="006E5533" w:rsidRPr="00A77951" w:rsidRDefault="006E5533" w:rsidP="006E5533">
            <w:pPr>
              <w:spacing w:line="360" w:lineRule="auto"/>
              <w:contextualSpacing/>
              <w:rPr>
                <w:rFonts w:ascii="Arial" w:hAnsi="Arial" w:cs="Arial"/>
                <w:sz w:val="15"/>
                <w:szCs w:val="15"/>
              </w:rPr>
            </w:pPr>
            <w:hyperlink r:id="rId280" w:tgtFrame="_blank" w:history="1">
              <w:r w:rsidRPr="00A77951">
                <w:rPr>
                  <w:rStyle w:val="Hyperlink"/>
                  <w:rFonts w:ascii="Arial" w:hAnsi="Arial" w:cs="Arial"/>
                  <w:sz w:val="15"/>
                  <w:szCs w:val="15"/>
                </w:rPr>
                <w:t>10.1016/j.jocn.2022.02.020</w:t>
              </w:r>
            </w:hyperlink>
          </w:p>
        </w:tc>
        <w:tc>
          <w:tcPr>
            <w:tcW w:w="851" w:type="dxa"/>
          </w:tcPr>
          <w:p w14:paraId="3AF85862" w14:textId="2786256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6463753A" w14:textId="79A5B4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69512CD" w14:textId="2E7649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FFF2F6B" w14:textId="1557D6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6BCAF9C1" w14:textId="239E2A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retrospectively analyse the risk factors related to graft infection after cranioplasty.</w:t>
            </w:r>
          </w:p>
        </w:tc>
        <w:tc>
          <w:tcPr>
            <w:tcW w:w="1134" w:type="dxa"/>
          </w:tcPr>
          <w:p w14:paraId="64DC51CE" w14:textId="22C5CB9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733B2CDE" w14:textId="2113C8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035231B" w14:textId="6505C3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190905C" w14:textId="7A8F6A2F" w:rsidR="006E5533" w:rsidRPr="00251EA9" w:rsidRDefault="006E5533" w:rsidP="006E5533">
            <w:pPr>
              <w:rPr>
                <w:rFonts w:ascii="Arial" w:hAnsi="Arial" w:cs="Arial"/>
                <w:sz w:val="15"/>
                <w:szCs w:val="15"/>
              </w:rPr>
            </w:pPr>
            <w:r w:rsidRPr="00251EA9">
              <w:rPr>
                <w:rFonts w:ascii="Arial" w:hAnsi="Arial" w:cs="Arial"/>
                <w:sz w:val="15"/>
                <w:szCs w:val="15"/>
              </w:rPr>
              <w:t xml:space="preserve">Graft infection after cranioplasty was identified in 16 patients (8.3%). In 12 of the 16 infected cases, diffusion-weighted MRI revealed subcutaneous and/ or intracranial abscesses. Smoking and presence of an allergy were identified to be risk factors for post-cranioplasty graft infection. </w:t>
            </w:r>
          </w:p>
        </w:tc>
        <w:tc>
          <w:tcPr>
            <w:tcW w:w="1701" w:type="dxa"/>
          </w:tcPr>
          <w:p w14:paraId="31FEF330" w14:textId="1E33BF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DB8D044" w14:textId="77777777" w:rsidTr="00A77951">
        <w:trPr>
          <w:trHeight w:val="586"/>
        </w:trPr>
        <w:tc>
          <w:tcPr>
            <w:tcW w:w="992" w:type="dxa"/>
          </w:tcPr>
          <w:p w14:paraId="0CEA0702" w14:textId="75971B2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Tacconelli</w:t>
            </w:r>
            <w:proofErr w:type="spellEnd"/>
            <w:r w:rsidRPr="00251EA9">
              <w:rPr>
                <w:rFonts w:ascii="Arial" w:hAnsi="Arial" w:cs="Arial"/>
                <w:sz w:val="15"/>
                <w:szCs w:val="15"/>
              </w:rPr>
              <w:t xml:space="preserve"> E. et al., 2008</w:t>
            </w:r>
          </w:p>
        </w:tc>
        <w:tc>
          <w:tcPr>
            <w:tcW w:w="851" w:type="dxa"/>
          </w:tcPr>
          <w:p w14:paraId="5A862E3D" w14:textId="2899B4A0" w:rsidR="006E5533" w:rsidRPr="00A77951" w:rsidRDefault="006E5533" w:rsidP="006E5533">
            <w:pPr>
              <w:spacing w:line="360" w:lineRule="auto"/>
              <w:contextualSpacing/>
              <w:rPr>
                <w:rFonts w:ascii="Arial" w:hAnsi="Arial" w:cs="Arial"/>
                <w:sz w:val="15"/>
                <w:szCs w:val="15"/>
              </w:rPr>
            </w:pPr>
            <w:hyperlink r:id="rId281" w:tgtFrame="_blank" w:history="1">
              <w:r w:rsidRPr="00A77951">
                <w:rPr>
                  <w:rStyle w:val="Hyperlink"/>
                  <w:rFonts w:ascii="Arial" w:hAnsi="Arial" w:cs="Arial"/>
                  <w:sz w:val="15"/>
                  <w:szCs w:val="15"/>
                </w:rPr>
                <w:t>10.1016/j.jhin.2008.04.032</w:t>
              </w:r>
            </w:hyperlink>
          </w:p>
        </w:tc>
        <w:tc>
          <w:tcPr>
            <w:tcW w:w="851" w:type="dxa"/>
          </w:tcPr>
          <w:p w14:paraId="091B7CAB" w14:textId="0DAA71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7E8A74A6" w14:textId="20ACFC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clinical trial</w:t>
            </w:r>
          </w:p>
        </w:tc>
        <w:tc>
          <w:tcPr>
            <w:tcW w:w="992" w:type="dxa"/>
          </w:tcPr>
          <w:p w14:paraId="20A9FDEA" w14:textId="570AD2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47ECC5B" w14:textId="0B4CFD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7F728A6F" w14:textId="52831E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efficacy of vancomycin and cefazolin in preventing bacterial infections following CSF insertion and to record any adverse effects.</w:t>
            </w:r>
          </w:p>
        </w:tc>
        <w:tc>
          <w:tcPr>
            <w:tcW w:w="1134" w:type="dxa"/>
          </w:tcPr>
          <w:p w14:paraId="6835BA2F" w14:textId="0B438D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703492A2" w14:textId="0D6006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14D4191"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At least one of the following: </w:t>
            </w:r>
          </w:p>
          <w:p w14:paraId="3BD94FD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1. Organism cultured from CSF</w:t>
            </w:r>
          </w:p>
          <w:p w14:paraId="1AD99240"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2. Organism cultured from the blood </w:t>
            </w:r>
          </w:p>
          <w:p w14:paraId="2BEA50D5" w14:textId="27CC67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3. Treatment with appropriate antibiotic therapy and at least one of the following: (a) fever (&gt;38 degrees) and clinical signs of central nervous system infections, (b) decreased glucose in CSF.</w:t>
            </w:r>
          </w:p>
        </w:tc>
        <w:tc>
          <w:tcPr>
            <w:tcW w:w="2693" w:type="dxa"/>
          </w:tcPr>
          <w:p w14:paraId="572BB825" w14:textId="2E868FE8" w:rsidR="006E5533" w:rsidRPr="00251EA9" w:rsidRDefault="006E5533" w:rsidP="006E5533">
            <w:pPr>
              <w:rPr>
                <w:rFonts w:ascii="Arial" w:hAnsi="Arial" w:cs="Arial"/>
                <w:sz w:val="15"/>
                <w:szCs w:val="15"/>
              </w:rPr>
            </w:pPr>
            <w:r w:rsidRPr="00251EA9">
              <w:rPr>
                <w:rFonts w:ascii="Arial" w:hAnsi="Arial" w:cs="Arial"/>
                <w:sz w:val="15"/>
                <w:szCs w:val="15"/>
              </w:rPr>
              <w:t xml:space="preserve">Shunt infections were significantly less likely to be observed in patients who were on vancomycin prophylaxis (4% vs 14%). Four patients developed shunt infections in the vancomycin group compared with 12 patients in the cefazolin group. </w:t>
            </w:r>
          </w:p>
        </w:tc>
        <w:tc>
          <w:tcPr>
            <w:tcW w:w="1701" w:type="dxa"/>
          </w:tcPr>
          <w:p w14:paraId="43444932" w14:textId="1DAC1C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9FBC0FB" w14:textId="77777777" w:rsidTr="00A77951">
        <w:trPr>
          <w:trHeight w:val="586"/>
        </w:trPr>
        <w:tc>
          <w:tcPr>
            <w:tcW w:w="992" w:type="dxa"/>
          </w:tcPr>
          <w:p w14:paraId="23879D6D" w14:textId="19368CC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Tacconi</w:t>
            </w:r>
            <w:proofErr w:type="spellEnd"/>
            <w:r w:rsidRPr="00251EA9">
              <w:rPr>
                <w:rFonts w:ascii="Arial" w:hAnsi="Arial" w:cs="Arial"/>
                <w:sz w:val="15"/>
                <w:szCs w:val="15"/>
              </w:rPr>
              <w:t xml:space="preserve"> L. et al., 2019</w:t>
            </w:r>
          </w:p>
        </w:tc>
        <w:tc>
          <w:tcPr>
            <w:tcW w:w="851" w:type="dxa"/>
          </w:tcPr>
          <w:p w14:paraId="2C83E4DC" w14:textId="2BB31B1E" w:rsidR="006E5533" w:rsidRPr="00A77951" w:rsidRDefault="006E5533" w:rsidP="006E5533">
            <w:pPr>
              <w:spacing w:line="360" w:lineRule="auto"/>
              <w:contextualSpacing/>
              <w:rPr>
                <w:rFonts w:ascii="Arial" w:hAnsi="Arial" w:cs="Arial"/>
                <w:sz w:val="15"/>
                <w:szCs w:val="15"/>
              </w:rPr>
            </w:pPr>
            <w:hyperlink r:id="rId282" w:tgtFrame="_blank" w:history="1">
              <w:r w:rsidRPr="00A77951">
                <w:rPr>
                  <w:rStyle w:val="Hyperlink"/>
                  <w:rFonts w:ascii="Arial" w:hAnsi="Arial" w:cs="Arial"/>
                  <w:sz w:val="15"/>
                  <w:szCs w:val="15"/>
                </w:rPr>
                <w:t>10.1016/j.wneu.2018.10.023</w:t>
              </w:r>
            </w:hyperlink>
          </w:p>
        </w:tc>
        <w:tc>
          <w:tcPr>
            <w:tcW w:w="851" w:type="dxa"/>
          </w:tcPr>
          <w:p w14:paraId="24AF1752" w14:textId="114B94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6C1E6B85" w14:textId="5FF315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60FB923" w14:textId="523E9F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43E5C3E" w14:textId="39C433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676578E8" w14:textId="23F6E6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the results on the</w:t>
            </w:r>
            <w:r w:rsidRPr="00251EA9">
              <w:rPr>
                <w:rFonts w:ascii="Arial" w:hAnsi="Arial" w:cs="Arial"/>
                <w:sz w:val="15"/>
                <w:szCs w:val="15"/>
              </w:rPr>
              <w:br/>
              <w:t>use of skin glue (Dermabond C) for the closure of cranial wounds in terms of cosmetic results, patient satisfaction, and complications.</w:t>
            </w:r>
          </w:p>
        </w:tc>
        <w:tc>
          <w:tcPr>
            <w:tcW w:w="1134" w:type="dxa"/>
          </w:tcPr>
          <w:p w14:paraId="3ADC59F0" w14:textId="65CC3F70" w:rsidR="006E5533" w:rsidRPr="00251EA9" w:rsidRDefault="006E5533" w:rsidP="006E5533">
            <w:pPr>
              <w:spacing w:line="360" w:lineRule="auto"/>
              <w:contextualSpacing/>
              <w:rPr>
                <w:rFonts w:ascii="Arial" w:hAnsi="Arial" w:cs="Arial"/>
                <w:sz w:val="15"/>
                <w:szCs w:val="15"/>
              </w:rPr>
            </w:pPr>
          </w:p>
        </w:tc>
        <w:tc>
          <w:tcPr>
            <w:tcW w:w="992" w:type="dxa"/>
          </w:tcPr>
          <w:p w14:paraId="3273171E" w14:textId="3B5949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44AA5F4" w14:textId="5472C2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ECD4321" w14:textId="2F4C14AE" w:rsidR="006E5533" w:rsidRPr="00251EA9" w:rsidRDefault="006E5533" w:rsidP="006E5533">
            <w:pPr>
              <w:rPr>
                <w:rFonts w:ascii="Arial" w:hAnsi="Arial" w:cs="Arial"/>
                <w:sz w:val="15"/>
                <w:szCs w:val="15"/>
              </w:rPr>
            </w:pPr>
            <w:r w:rsidRPr="00251EA9">
              <w:rPr>
                <w:rFonts w:ascii="Arial" w:hAnsi="Arial" w:cs="Arial"/>
                <w:sz w:val="15"/>
                <w:szCs w:val="15"/>
              </w:rPr>
              <w:t>No reported cases of wound complication or infection.</w:t>
            </w:r>
          </w:p>
        </w:tc>
        <w:tc>
          <w:tcPr>
            <w:tcW w:w="1701" w:type="dxa"/>
          </w:tcPr>
          <w:p w14:paraId="63951962" w14:textId="75E3F3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244FD43" w14:textId="77777777" w:rsidTr="00A77951">
        <w:trPr>
          <w:trHeight w:val="586"/>
        </w:trPr>
        <w:tc>
          <w:tcPr>
            <w:tcW w:w="992" w:type="dxa"/>
          </w:tcPr>
          <w:p w14:paraId="1E5B39B5" w14:textId="488E792B"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Tafreshi</w:t>
            </w:r>
            <w:proofErr w:type="spellEnd"/>
            <w:r w:rsidRPr="00251EA9">
              <w:rPr>
                <w:rFonts w:ascii="Arial" w:hAnsi="Arial" w:cs="Arial"/>
                <w:sz w:val="15"/>
                <w:szCs w:val="15"/>
              </w:rPr>
              <w:t xml:space="preserve"> A.R. et al., 2021</w:t>
            </w:r>
          </w:p>
        </w:tc>
        <w:tc>
          <w:tcPr>
            <w:tcW w:w="851" w:type="dxa"/>
          </w:tcPr>
          <w:p w14:paraId="36D979F6" w14:textId="11242232" w:rsidR="006E5533" w:rsidRPr="00A77951" w:rsidRDefault="006E5533" w:rsidP="006E5533">
            <w:pPr>
              <w:spacing w:line="360" w:lineRule="auto"/>
              <w:contextualSpacing/>
              <w:rPr>
                <w:rFonts w:ascii="Arial" w:hAnsi="Arial" w:cs="Arial"/>
                <w:sz w:val="15"/>
                <w:szCs w:val="15"/>
              </w:rPr>
            </w:pPr>
            <w:hyperlink r:id="rId283" w:tgtFrame="_blank" w:history="1">
              <w:r w:rsidRPr="00A77951">
                <w:rPr>
                  <w:rStyle w:val="Hyperlink"/>
                  <w:rFonts w:ascii="Arial" w:hAnsi="Arial" w:cs="Arial"/>
                  <w:sz w:val="15"/>
                  <w:szCs w:val="15"/>
                </w:rPr>
                <w:t>10.1016/j.clineuro.2020.106372</w:t>
              </w:r>
            </w:hyperlink>
          </w:p>
        </w:tc>
        <w:tc>
          <w:tcPr>
            <w:tcW w:w="851" w:type="dxa"/>
          </w:tcPr>
          <w:p w14:paraId="2CC18D67" w14:textId="10B602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85A682F" w14:textId="0903CED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F5B9CA7" w14:textId="1ED860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8959ABE" w14:textId="211429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7E5E5053" w14:textId="2C9F08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differences in postsurgical complication rates in patients undergoing the most common types of neurostimulation surgery.</w:t>
            </w:r>
          </w:p>
        </w:tc>
        <w:tc>
          <w:tcPr>
            <w:tcW w:w="1134" w:type="dxa"/>
          </w:tcPr>
          <w:p w14:paraId="033C702D" w14:textId="6C18EFC1" w:rsidR="006E5533" w:rsidRPr="00251EA9" w:rsidRDefault="006E5533" w:rsidP="006E5533">
            <w:pPr>
              <w:spacing w:line="360" w:lineRule="auto"/>
              <w:contextualSpacing/>
              <w:rPr>
                <w:rFonts w:ascii="Arial" w:hAnsi="Arial" w:cs="Arial"/>
                <w:sz w:val="15"/>
                <w:szCs w:val="15"/>
              </w:rPr>
            </w:pPr>
          </w:p>
        </w:tc>
        <w:tc>
          <w:tcPr>
            <w:tcW w:w="992" w:type="dxa"/>
          </w:tcPr>
          <w:p w14:paraId="40A810BD" w14:textId="467FF0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A970AD1" w14:textId="3F38F7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F86AA79" w14:textId="72A0DEB0" w:rsidR="006E5533" w:rsidRPr="00251EA9" w:rsidRDefault="006E5533" w:rsidP="006E5533">
            <w:pPr>
              <w:rPr>
                <w:rFonts w:ascii="Arial" w:hAnsi="Arial" w:cs="Arial"/>
                <w:sz w:val="15"/>
                <w:szCs w:val="15"/>
              </w:rPr>
            </w:pPr>
            <w:r w:rsidRPr="00251EA9">
              <w:rPr>
                <w:rFonts w:ascii="Arial" w:hAnsi="Arial" w:cs="Arial"/>
                <w:sz w:val="15"/>
                <w:szCs w:val="15"/>
              </w:rPr>
              <w:t>Similar readmission rates due to infection were seen in Parkinson’s disease (17 cases, 8.2 %), essential tremor (13 cases, 6.5 %), seizure (17 cases, 8.2 %) and dystonia (18 cases, 8.6 %) groups.</w:t>
            </w:r>
          </w:p>
        </w:tc>
        <w:tc>
          <w:tcPr>
            <w:tcW w:w="1701" w:type="dxa"/>
          </w:tcPr>
          <w:p w14:paraId="4C46C6C9" w14:textId="368108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20C83E" w14:textId="77777777" w:rsidTr="00A77951">
        <w:trPr>
          <w:trHeight w:val="586"/>
        </w:trPr>
        <w:tc>
          <w:tcPr>
            <w:tcW w:w="992" w:type="dxa"/>
          </w:tcPr>
          <w:p w14:paraId="3F4EF688" w14:textId="3DDC1060"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Takami</w:t>
            </w:r>
            <w:proofErr w:type="spellEnd"/>
            <w:r w:rsidRPr="00251EA9">
              <w:rPr>
                <w:rFonts w:ascii="Arial" w:hAnsi="Arial" w:cs="Arial"/>
                <w:sz w:val="15"/>
                <w:szCs w:val="15"/>
              </w:rPr>
              <w:t xml:space="preserve"> H. et al., 2021</w:t>
            </w:r>
          </w:p>
        </w:tc>
        <w:tc>
          <w:tcPr>
            <w:tcW w:w="851" w:type="dxa"/>
          </w:tcPr>
          <w:p w14:paraId="41A892D8" w14:textId="324098E7" w:rsidR="006E5533" w:rsidRPr="00A77951" w:rsidRDefault="006E5533" w:rsidP="006E5533">
            <w:pPr>
              <w:spacing w:line="360" w:lineRule="auto"/>
              <w:contextualSpacing/>
              <w:rPr>
                <w:rFonts w:ascii="Arial" w:hAnsi="Arial" w:cs="Arial"/>
                <w:sz w:val="15"/>
                <w:szCs w:val="15"/>
              </w:rPr>
            </w:pPr>
            <w:hyperlink r:id="rId284" w:tgtFrame="_blank" w:history="1">
              <w:r w:rsidRPr="00A77951">
                <w:rPr>
                  <w:rStyle w:val="Hyperlink"/>
                  <w:rFonts w:ascii="Arial" w:hAnsi="Arial" w:cs="Arial"/>
                  <w:sz w:val="15"/>
                  <w:szCs w:val="15"/>
                </w:rPr>
                <w:t>10.1016/j.wneu.2021.11.010</w:t>
              </w:r>
            </w:hyperlink>
          </w:p>
        </w:tc>
        <w:tc>
          <w:tcPr>
            <w:tcW w:w="851" w:type="dxa"/>
          </w:tcPr>
          <w:p w14:paraId="5354A109" w14:textId="1A4938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Canada</w:t>
            </w:r>
          </w:p>
        </w:tc>
        <w:tc>
          <w:tcPr>
            <w:tcW w:w="1134" w:type="dxa"/>
          </w:tcPr>
          <w:p w14:paraId="70B2CA1B" w14:textId="7DA42E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60066F8" w14:textId="06B4B4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87B06FF" w14:textId="160F29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12C82261" w14:textId="4B610D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incidence and the risk factors for post-discharge readmission after </w:t>
            </w:r>
            <w:proofErr w:type="gramStart"/>
            <w:r w:rsidRPr="00251EA9">
              <w:rPr>
                <w:rFonts w:ascii="Arial" w:hAnsi="Arial" w:cs="Arial"/>
                <w:sz w:val="15"/>
                <w:szCs w:val="15"/>
              </w:rPr>
              <w:t>awake</w:t>
            </w:r>
            <w:proofErr w:type="gramEnd"/>
            <w:r w:rsidRPr="00251EA9">
              <w:rPr>
                <w:rFonts w:ascii="Arial" w:hAnsi="Arial" w:cs="Arial"/>
                <w:sz w:val="15"/>
                <w:szCs w:val="15"/>
              </w:rPr>
              <w:t xml:space="preserve"> surgeries.</w:t>
            </w:r>
          </w:p>
        </w:tc>
        <w:tc>
          <w:tcPr>
            <w:tcW w:w="1134" w:type="dxa"/>
          </w:tcPr>
          <w:p w14:paraId="22DBB07E" w14:textId="654089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610E8FAA" w14:textId="6227C8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6AA47F3" w14:textId="209ADA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D96EAED" w14:textId="3E2D7A70" w:rsidR="006E5533" w:rsidRPr="00251EA9" w:rsidRDefault="006E5533" w:rsidP="006E5533">
            <w:pPr>
              <w:rPr>
                <w:rFonts w:ascii="Arial" w:hAnsi="Arial" w:cs="Arial"/>
                <w:sz w:val="15"/>
                <w:szCs w:val="15"/>
              </w:rPr>
            </w:pPr>
            <w:r w:rsidRPr="00251EA9">
              <w:rPr>
                <w:rFonts w:ascii="Arial" w:hAnsi="Arial" w:cs="Arial"/>
                <w:sz w:val="15"/>
                <w:szCs w:val="15"/>
              </w:rPr>
              <w:t>1.4% rate of surgical site infection reported. Postoperative CT scans are of importance to predict the cases at risk for infection.</w:t>
            </w:r>
          </w:p>
        </w:tc>
        <w:tc>
          <w:tcPr>
            <w:tcW w:w="1701" w:type="dxa"/>
          </w:tcPr>
          <w:p w14:paraId="31BF6209" w14:textId="43D4C6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F4F337E" w14:textId="77777777" w:rsidTr="00A77951">
        <w:trPr>
          <w:trHeight w:val="586"/>
        </w:trPr>
        <w:tc>
          <w:tcPr>
            <w:tcW w:w="992" w:type="dxa"/>
          </w:tcPr>
          <w:p w14:paraId="4924BB71" w14:textId="7606D7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Takeuchi S. et al., 2015</w:t>
            </w:r>
          </w:p>
        </w:tc>
        <w:tc>
          <w:tcPr>
            <w:tcW w:w="851" w:type="dxa"/>
          </w:tcPr>
          <w:p w14:paraId="1D48C169" w14:textId="7336AD5B" w:rsidR="006E5533" w:rsidRPr="00A77951" w:rsidRDefault="006E5533" w:rsidP="006E5533">
            <w:pPr>
              <w:spacing w:line="360" w:lineRule="auto"/>
              <w:contextualSpacing/>
              <w:rPr>
                <w:rFonts w:ascii="Arial" w:hAnsi="Arial" w:cs="Arial"/>
                <w:sz w:val="15"/>
                <w:szCs w:val="15"/>
              </w:rPr>
            </w:pPr>
            <w:hyperlink r:id="rId285" w:tgtFrame="_blank" w:history="1">
              <w:r w:rsidRPr="00A77951">
                <w:rPr>
                  <w:rStyle w:val="Hyperlink"/>
                  <w:rFonts w:ascii="Arial" w:hAnsi="Arial" w:cs="Arial"/>
                  <w:sz w:val="15"/>
                  <w:szCs w:val="15"/>
                </w:rPr>
                <w:t>10.1016/j.wneu.2015.01.030</w:t>
              </w:r>
            </w:hyperlink>
          </w:p>
        </w:tc>
        <w:tc>
          <w:tcPr>
            <w:tcW w:w="851" w:type="dxa"/>
          </w:tcPr>
          <w:p w14:paraId="2137CAD9" w14:textId="732797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746DB6C7" w14:textId="64F632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3009E93B" w14:textId="3B595A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7453682" w14:textId="241AE3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0548C3F1" w14:textId="4E379B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a procedure for maintaining the patency of the nasofrontal duct and direct suture of the exposed and violated frontal sinus mucosa.</w:t>
            </w:r>
          </w:p>
        </w:tc>
        <w:tc>
          <w:tcPr>
            <w:tcW w:w="1134" w:type="dxa"/>
          </w:tcPr>
          <w:p w14:paraId="53919631" w14:textId="3A13B424" w:rsidR="006E5533" w:rsidRPr="00251EA9" w:rsidRDefault="006E5533" w:rsidP="006E5533">
            <w:pPr>
              <w:spacing w:line="360" w:lineRule="auto"/>
              <w:contextualSpacing/>
              <w:rPr>
                <w:rFonts w:ascii="Arial" w:hAnsi="Arial" w:cs="Arial"/>
                <w:sz w:val="15"/>
                <w:szCs w:val="15"/>
              </w:rPr>
            </w:pPr>
          </w:p>
        </w:tc>
        <w:tc>
          <w:tcPr>
            <w:tcW w:w="992" w:type="dxa"/>
          </w:tcPr>
          <w:p w14:paraId="133BC4FF" w14:textId="09DB7E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7013364" w14:textId="5EB306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41D6B7C" w14:textId="5998279A" w:rsidR="006E5533" w:rsidRPr="00251EA9" w:rsidRDefault="006E5533" w:rsidP="006E5533">
            <w:pPr>
              <w:rPr>
                <w:rFonts w:ascii="Arial" w:hAnsi="Arial" w:cs="Arial"/>
                <w:sz w:val="15"/>
                <w:szCs w:val="15"/>
              </w:rPr>
            </w:pPr>
            <w:r w:rsidRPr="00251EA9">
              <w:rPr>
                <w:rFonts w:ascii="Arial" w:hAnsi="Arial" w:cs="Arial"/>
                <w:sz w:val="15"/>
                <w:szCs w:val="15"/>
              </w:rPr>
              <w:t>The frequencies of mucocele development and infection after obliteration with fat only are approximately 10% and 3%, respectively.</w:t>
            </w:r>
          </w:p>
        </w:tc>
        <w:tc>
          <w:tcPr>
            <w:tcW w:w="1701" w:type="dxa"/>
          </w:tcPr>
          <w:p w14:paraId="77B113BD" w14:textId="16733C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5F8DCFD" w14:textId="77777777" w:rsidTr="00A77951">
        <w:trPr>
          <w:trHeight w:val="586"/>
        </w:trPr>
        <w:tc>
          <w:tcPr>
            <w:tcW w:w="992" w:type="dxa"/>
          </w:tcPr>
          <w:p w14:paraId="7E04C466" w14:textId="68FFF5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Tanaka K. et al., 2019</w:t>
            </w:r>
          </w:p>
        </w:tc>
        <w:tc>
          <w:tcPr>
            <w:tcW w:w="851" w:type="dxa"/>
          </w:tcPr>
          <w:p w14:paraId="6501CE38" w14:textId="13A57B4A" w:rsidR="006E5533" w:rsidRPr="00A77951" w:rsidRDefault="006E5533" w:rsidP="006E5533">
            <w:pPr>
              <w:spacing w:line="360" w:lineRule="auto"/>
              <w:contextualSpacing/>
              <w:rPr>
                <w:rFonts w:ascii="Arial" w:hAnsi="Arial" w:cs="Arial"/>
                <w:sz w:val="15"/>
                <w:szCs w:val="15"/>
              </w:rPr>
            </w:pPr>
            <w:hyperlink r:id="rId286" w:tgtFrame="_blank" w:history="1">
              <w:r w:rsidRPr="00A77951">
                <w:rPr>
                  <w:rStyle w:val="Hyperlink"/>
                  <w:rFonts w:ascii="Arial" w:hAnsi="Arial" w:cs="Arial"/>
                  <w:sz w:val="15"/>
                  <w:szCs w:val="15"/>
                </w:rPr>
                <w:t>10.1016/j.anl.2022.03.006</w:t>
              </w:r>
            </w:hyperlink>
          </w:p>
        </w:tc>
        <w:tc>
          <w:tcPr>
            <w:tcW w:w="851" w:type="dxa"/>
          </w:tcPr>
          <w:p w14:paraId="17EF7877" w14:textId="6FFBA4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58ED2700" w14:textId="416CD9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CFE0691" w14:textId="1154F6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84E9ACD" w14:textId="467D96E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5A95982B" w14:textId="5DAD60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clarify the early postoperative survival-related complications after skull base reconstruction which should be treated </w:t>
            </w:r>
            <w:r w:rsidRPr="00251EA9">
              <w:rPr>
                <w:rFonts w:ascii="Arial" w:hAnsi="Arial" w:cs="Arial"/>
                <w:sz w:val="15"/>
                <w:szCs w:val="15"/>
              </w:rPr>
              <w:lastRenderedPageBreak/>
              <w:t>actively by plastic surgeons.</w:t>
            </w:r>
          </w:p>
        </w:tc>
        <w:tc>
          <w:tcPr>
            <w:tcW w:w="1134" w:type="dxa"/>
          </w:tcPr>
          <w:p w14:paraId="37FB8077" w14:textId="5F672236" w:rsidR="006E5533" w:rsidRPr="00251EA9" w:rsidRDefault="006E5533" w:rsidP="006E5533">
            <w:pPr>
              <w:spacing w:line="360" w:lineRule="auto"/>
              <w:contextualSpacing/>
              <w:rPr>
                <w:rFonts w:ascii="Arial" w:hAnsi="Arial" w:cs="Arial"/>
                <w:sz w:val="15"/>
                <w:szCs w:val="15"/>
              </w:rPr>
            </w:pPr>
          </w:p>
        </w:tc>
        <w:tc>
          <w:tcPr>
            <w:tcW w:w="992" w:type="dxa"/>
          </w:tcPr>
          <w:p w14:paraId="467C1CB6" w14:textId="7B1A30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26656E6" w14:textId="67237C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B2074CB" w14:textId="25FE36D6" w:rsidR="006E5533" w:rsidRPr="00251EA9" w:rsidRDefault="006E5533" w:rsidP="006E5533">
            <w:pPr>
              <w:rPr>
                <w:rFonts w:ascii="Arial" w:hAnsi="Arial" w:cs="Arial"/>
                <w:sz w:val="15"/>
                <w:szCs w:val="15"/>
              </w:rPr>
            </w:pPr>
            <w:r w:rsidRPr="00251EA9">
              <w:rPr>
                <w:rFonts w:ascii="Arial" w:hAnsi="Arial" w:cs="Arial"/>
                <w:sz w:val="15"/>
                <w:szCs w:val="15"/>
              </w:rPr>
              <w:t>Reported wound infection in 7 patients.</w:t>
            </w:r>
          </w:p>
        </w:tc>
        <w:tc>
          <w:tcPr>
            <w:tcW w:w="1701" w:type="dxa"/>
          </w:tcPr>
          <w:p w14:paraId="372D7546" w14:textId="6F126A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EF74D40" w14:textId="77777777" w:rsidTr="00A77951">
        <w:trPr>
          <w:trHeight w:val="586"/>
        </w:trPr>
        <w:tc>
          <w:tcPr>
            <w:tcW w:w="992" w:type="dxa"/>
          </w:tcPr>
          <w:p w14:paraId="33B1B5A4" w14:textId="372B30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Tandon N. et al., 2019</w:t>
            </w:r>
          </w:p>
        </w:tc>
        <w:tc>
          <w:tcPr>
            <w:tcW w:w="851" w:type="dxa"/>
          </w:tcPr>
          <w:p w14:paraId="71154300" w14:textId="4E7789D8" w:rsidR="006E5533" w:rsidRPr="00A77951" w:rsidRDefault="006E5533" w:rsidP="006E5533">
            <w:pPr>
              <w:spacing w:line="360" w:lineRule="auto"/>
              <w:contextualSpacing/>
              <w:rPr>
                <w:rFonts w:ascii="Arial" w:hAnsi="Arial" w:cs="Arial"/>
                <w:sz w:val="15"/>
                <w:szCs w:val="15"/>
              </w:rPr>
            </w:pPr>
            <w:hyperlink r:id="rId287" w:tgtFrame="_blank" w:history="1">
              <w:r w:rsidRPr="00A77951">
                <w:rPr>
                  <w:rStyle w:val="Hyperlink"/>
                  <w:rFonts w:ascii="Arial" w:hAnsi="Arial" w:cs="Arial"/>
                  <w:sz w:val="15"/>
                  <w:szCs w:val="15"/>
                </w:rPr>
                <w:t>10.1001/jamaneurol.2019.0098</w:t>
              </w:r>
            </w:hyperlink>
          </w:p>
        </w:tc>
        <w:tc>
          <w:tcPr>
            <w:tcW w:w="851" w:type="dxa"/>
          </w:tcPr>
          <w:p w14:paraId="43922A39" w14:textId="08BD32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96A97C9" w14:textId="6A6811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694DD402" w14:textId="0EA2FC0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9CB3055" w14:textId="7A2163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330A2464" w14:textId="792050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perform a comparative analysis of the relative efficacy, procedural morbidity, and epilepsy outcomes consequent to </w:t>
            </w:r>
            <w:proofErr w:type="spellStart"/>
            <w:r w:rsidRPr="00251EA9">
              <w:rPr>
                <w:rFonts w:ascii="Arial" w:hAnsi="Arial" w:cs="Arial"/>
                <w:sz w:val="15"/>
                <w:szCs w:val="15"/>
              </w:rPr>
              <w:t>stereoelectroencephalography</w:t>
            </w:r>
            <w:proofErr w:type="spellEnd"/>
            <w:r w:rsidRPr="00251EA9">
              <w:rPr>
                <w:rFonts w:ascii="Arial" w:hAnsi="Arial" w:cs="Arial"/>
                <w:sz w:val="15"/>
                <w:szCs w:val="15"/>
              </w:rPr>
              <w:t xml:space="preserve"> and subdural grids in similar patient populations.</w:t>
            </w:r>
          </w:p>
        </w:tc>
        <w:tc>
          <w:tcPr>
            <w:tcW w:w="1134" w:type="dxa"/>
          </w:tcPr>
          <w:p w14:paraId="2722DF4E" w14:textId="67B8B1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Subdural Grids vs </w:t>
            </w:r>
            <w:proofErr w:type="spellStart"/>
            <w:r w:rsidRPr="00251EA9">
              <w:rPr>
                <w:rFonts w:ascii="Arial" w:hAnsi="Arial" w:cs="Arial"/>
                <w:sz w:val="15"/>
                <w:szCs w:val="15"/>
              </w:rPr>
              <w:t>Stereoelectroencephalography</w:t>
            </w:r>
            <w:proofErr w:type="spellEnd"/>
          </w:p>
        </w:tc>
        <w:tc>
          <w:tcPr>
            <w:tcW w:w="992" w:type="dxa"/>
          </w:tcPr>
          <w:p w14:paraId="7FDD780B" w14:textId="507D58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E532D7D" w14:textId="7942EE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804F90B" w14:textId="1BE4494F" w:rsidR="006E5533" w:rsidRPr="00251EA9" w:rsidRDefault="006E5533" w:rsidP="006E5533">
            <w:pPr>
              <w:rPr>
                <w:rFonts w:ascii="Arial" w:hAnsi="Arial" w:cs="Arial"/>
                <w:sz w:val="15"/>
                <w:szCs w:val="15"/>
              </w:rPr>
            </w:pPr>
            <w:r w:rsidRPr="00251EA9">
              <w:rPr>
                <w:rFonts w:ascii="Arial" w:hAnsi="Arial" w:cs="Arial"/>
                <w:sz w:val="15"/>
                <w:szCs w:val="15"/>
              </w:rPr>
              <w:t>3 subdural grid related infections recorded.</w:t>
            </w:r>
          </w:p>
        </w:tc>
        <w:tc>
          <w:tcPr>
            <w:tcW w:w="1701" w:type="dxa"/>
          </w:tcPr>
          <w:p w14:paraId="41D2CC60" w14:textId="00CC89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EF6254B" w14:textId="77777777" w:rsidTr="00A77951">
        <w:trPr>
          <w:trHeight w:val="586"/>
        </w:trPr>
        <w:tc>
          <w:tcPr>
            <w:tcW w:w="992" w:type="dxa"/>
          </w:tcPr>
          <w:p w14:paraId="3F43A98D" w14:textId="54D405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Tang K. et al., 2001</w:t>
            </w:r>
          </w:p>
        </w:tc>
        <w:tc>
          <w:tcPr>
            <w:tcW w:w="851" w:type="dxa"/>
          </w:tcPr>
          <w:p w14:paraId="51D4673B" w14:textId="5AEFF3A4" w:rsidR="006E5533" w:rsidRPr="00A77951" w:rsidRDefault="006E5533" w:rsidP="006E5533">
            <w:pPr>
              <w:spacing w:line="360" w:lineRule="auto"/>
              <w:contextualSpacing/>
              <w:rPr>
                <w:rFonts w:ascii="Arial" w:hAnsi="Arial" w:cs="Arial"/>
                <w:sz w:val="15"/>
                <w:szCs w:val="15"/>
              </w:rPr>
            </w:pPr>
            <w:hyperlink r:id="rId288" w:tgtFrame="_blank" w:history="1">
              <w:r w:rsidRPr="00A77951">
                <w:rPr>
                  <w:rStyle w:val="Hyperlink"/>
                  <w:rFonts w:ascii="Arial" w:hAnsi="Arial" w:cs="Arial"/>
                  <w:sz w:val="15"/>
                  <w:szCs w:val="15"/>
                </w:rPr>
                <w:t>10.1159/000050379</w:t>
              </w:r>
            </w:hyperlink>
          </w:p>
        </w:tc>
        <w:tc>
          <w:tcPr>
            <w:tcW w:w="851" w:type="dxa"/>
          </w:tcPr>
          <w:p w14:paraId="21CC605D" w14:textId="4A91C7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389996F8" w14:textId="195AD0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non-randomised</w:t>
            </w:r>
          </w:p>
        </w:tc>
        <w:tc>
          <w:tcPr>
            <w:tcW w:w="992" w:type="dxa"/>
          </w:tcPr>
          <w:p w14:paraId="774170FF" w14:textId="1FCDF6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2498DCBA" w14:textId="214B33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1758893D" w14:textId="460995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w:t>
            </w:r>
            <w:proofErr w:type="gramStart"/>
            <w:r w:rsidRPr="00251EA9">
              <w:rPr>
                <w:rFonts w:ascii="Arial" w:hAnsi="Arial" w:cs="Arial"/>
                <w:sz w:val="15"/>
                <w:szCs w:val="15"/>
              </w:rPr>
              <w:t>whether or not</w:t>
            </w:r>
            <w:proofErr w:type="gramEnd"/>
            <w:r w:rsidRPr="00251EA9">
              <w:rPr>
                <w:rFonts w:ascii="Arial" w:hAnsi="Arial" w:cs="Arial"/>
                <w:sz w:val="15"/>
                <w:szCs w:val="15"/>
              </w:rPr>
              <w:t xml:space="preserve"> shaving hair in neurosurgical operations carries an increased infection rate.</w:t>
            </w:r>
          </w:p>
        </w:tc>
        <w:tc>
          <w:tcPr>
            <w:tcW w:w="1134" w:type="dxa"/>
          </w:tcPr>
          <w:p w14:paraId="3A95AF72" w14:textId="0FB373AF" w:rsidR="006E5533" w:rsidRPr="00251EA9" w:rsidRDefault="006E5533" w:rsidP="006E5533">
            <w:pPr>
              <w:spacing w:line="360" w:lineRule="auto"/>
              <w:contextualSpacing/>
              <w:rPr>
                <w:rFonts w:ascii="Arial" w:hAnsi="Arial" w:cs="Arial"/>
                <w:sz w:val="15"/>
                <w:szCs w:val="15"/>
              </w:rPr>
            </w:pPr>
          </w:p>
        </w:tc>
        <w:tc>
          <w:tcPr>
            <w:tcW w:w="992" w:type="dxa"/>
          </w:tcPr>
          <w:p w14:paraId="1B786A6E" w14:textId="12A282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597B268" w14:textId="3E34AC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7A445AD" w14:textId="7B1125DC" w:rsidR="006E5533" w:rsidRPr="00251EA9" w:rsidRDefault="006E5533" w:rsidP="006E5533">
            <w:pPr>
              <w:rPr>
                <w:rFonts w:ascii="Arial" w:hAnsi="Arial" w:cs="Arial"/>
                <w:sz w:val="15"/>
                <w:szCs w:val="15"/>
              </w:rPr>
            </w:pPr>
            <w:r w:rsidRPr="00251EA9">
              <w:rPr>
                <w:rFonts w:ascii="Arial" w:hAnsi="Arial" w:cs="Arial"/>
                <w:sz w:val="15"/>
                <w:szCs w:val="15"/>
              </w:rPr>
              <w:t>The only complications observed were 4 incidences of wound dehiscence (2 in the hair shave and 2 in the no hair shave group) and 3 shunt infections (2 in the hair shave and 1 in the no hair shave group). Age was a significant factor in shunt infection, as all shunt infections were seen in patients aged less</w:t>
            </w:r>
            <w:r w:rsidRPr="00251EA9">
              <w:rPr>
                <w:rFonts w:ascii="Arial" w:hAnsi="Arial" w:cs="Arial"/>
                <w:sz w:val="15"/>
                <w:szCs w:val="15"/>
              </w:rPr>
              <w:br/>
              <w:t>than 6 months, regardless of whether the hair was</w:t>
            </w:r>
            <w:r w:rsidRPr="00251EA9">
              <w:rPr>
                <w:rFonts w:ascii="Arial" w:hAnsi="Arial" w:cs="Arial"/>
                <w:sz w:val="15"/>
                <w:szCs w:val="15"/>
              </w:rPr>
              <w:br/>
              <w:t>shaved or not.</w:t>
            </w:r>
          </w:p>
        </w:tc>
        <w:tc>
          <w:tcPr>
            <w:tcW w:w="1701" w:type="dxa"/>
          </w:tcPr>
          <w:p w14:paraId="5411EE77" w14:textId="30648D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AD8445A" w14:textId="77777777" w:rsidTr="00A77951">
        <w:trPr>
          <w:trHeight w:val="586"/>
        </w:trPr>
        <w:tc>
          <w:tcPr>
            <w:tcW w:w="992" w:type="dxa"/>
          </w:tcPr>
          <w:p w14:paraId="4D97F756" w14:textId="013EBD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Taylor B.E.S et al., 2016</w:t>
            </w:r>
          </w:p>
        </w:tc>
        <w:tc>
          <w:tcPr>
            <w:tcW w:w="851" w:type="dxa"/>
          </w:tcPr>
          <w:p w14:paraId="1156AEE4" w14:textId="4262C20E" w:rsidR="006E5533" w:rsidRPr="00A77951" w:rsidRDefault="006E5533" w:rsidP="006E5533">
            <w:pPr>
              <w:spacing w:line="360" w:lineRule="auto"/>
              <w:contextualSpacing/>
              <w:rPr>
                <w:rFonts w:ascii="Arial" w:hAnsi="Arial" w:cs="Arial"/>
                <w:sz w:val="15"/>
                <w:szCs w:val="15"/>
              </w:rPr>
            </w:pPr>
            <w:hyperlink r:id="rId289" w:tgtFrame="_blank" w:history="1">
              <w:r w:rsidRPr="00A77951">
                <w:rPr>
                  <w:rStyle w:val="Hyperlink"/>
                  <w:rFonts w:ascii="Arial" w:hAnsi="Arial" w:cs="Arial"/>
                  <w:sz w:val="15"/>
                  <w:szCs w:val="15"/>
                </w:rPr>
                <w:t>10.1227/NEU.0000000000001110</w:t>
              </w:r>
            </w:hyperlink>
          </w:p>
        </w:tc>
        <w:tc>
          <w:tcPr>
            <w:tcW w:w="851" w:type="dxa"/>
          </w:tcPr>
          <w:p w14:paraId="59F87E26" w14:textId="1BD1C1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D0C64D4" w14:textId="6EE525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F84D781" w14:textId="721855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64C5C6F" w14:textId="64F0DE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2A82EFBC" w14:textId="2494C0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incidence, timing, and causes of 30-day readmission after neurosurgical procedures.</w:t>
            </w:r>
          </w:p>
        </w:tc>
        <w:tc>
          <w:tcPr>
            <w:tcW w:w="1134" w:type="dxa"/>
          </w:tcPr>
          <w:p w14:paraId="7C33B7DD" w14:textId="7269C030" w:rsidR="006E5533" w:rsidRPr="00251EA9" w:rsidRDefault="006E5533" w:rsidP="006E5533">
            <w:pPr>
              <w:spacing w:line="360" w:lineRule="auto"/>
              <w:contextualSpacing/>
              <w:rPr>
                <w:rFonts w:ascii="Arial" w:hAnsi="Arial" w:cs="Arial"/>
                <w:sz w:val="15"/>
                <w:szCs w:val="15"/>
              </w:rPr>
            </w:pPr>
          </w:p>
        </w:tc>
        <w:tc>
          <w:tcPr>
            <w:tcW w:w="992" w:type="dxa"/>
          </w:tcPr>
          <w:p w14:paraId="67219ECE" w14:textId="612F57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FD6390E" w14:textId="04B1463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8577700" w14:textId="5FACFD79" w:rsidR="006E5533" w:rsidRPr="00251EA9" w:rsidRDefault="006E5533" w:rsidP="006E5533">
            <w:pPr>
              <w:rPr>
                <w:rFonts w:ascii="Arial" w:hAnsi="Arial" w:cs="Arial"/>
                <w:sz w:val="15"/>
                <w:szCs w:val="15"/>
              </w:rPr>
            </w:pPr>
            <w:r w:rsidRPr="00251EA9">
              <w:rPr>
                <w:rFonts w:ascii="Arial" w:hAnsi="Arial" w:cs="Arial"/>
                <w:sz w:val="15"/>
                <w:szCs w:val="15"/>
              </w:rPr>
              <w:t>Seizures, wound complications (without infection), and CSF leaks each accounted for &lt;5% of readmissions. Infection and medical complications are the main drivers of readmission.</w:t>
            </w:r>
          </w:p>
        </w:tc>
        <w:tc>
          <w:tcPr>
            <w:tcW w:w="1701" w:type="dxa"/>
          </w:tcPr>
          <w:p w14:paraId="3E7CF538" w14:textId="2A2456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DE15AA4" w14:textId="77777777" w:rsidTr="00A77951">
        <w:trPr>
          <w:trHeight w:val="586"/>
        </w:trPr>
        <w:tc>
          <w:tcPr>
            <w:tcW w:w="992" w:type="dxa"/>
          </w:tcPr>
          <w:p w14:paraId="6A9A0220" w14:textId="39F4C35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Teshita</w:t>
            </w:r>
            <w:proofErr w:type="spellEnd"/>
            <w:r w:rsidRPr="00251EA9">
              <w:rPr>
                <w:rFonts w:ascii="Arial" w:hAnsi="Arial" w:cs="Arial"/>
                <w:sz w:val="15"/>
                <w:szCs w:val="15"/>
              </w:rPr>
              <w:t xml:space="preserve"> G. et al., 2024</w:t>
            </w:r>
          </w:p>
        </w:tc>
        <w:tc>
          <w:tcPr>
            <w:tcW w:w="851" w:type="dxa"/>
          </w:tcPr>
          <w:p w14:paraId="600789F1" w14:textId="61BB6701" w:rsidR="006E5533" w:rsidRPr="00A77951" w:rsidRDefault="006E5533" w:rsidP="006E5533">
            <w:pPr>
              <w:spacing w:line="360" w:lineRule="auto"/>
              <w:contextualSpacing/>
              <w:rPr>
                <w:rFonts w:ascii="Arial" w:hAnsi="Arial" w:cs="Arial"/>
                <w:sz w:val="15"/>
                <w:szCs w:val="15"/>
              </w:rPr>
            </w:pPr>
            <w:hyperlink r:id="rId290" w:tgtFrame="_blank" w:history="1">
              <w:r w:rsidRPr="00A77951">
                <w:rPr>
                  <w:rStyle w:val="Hyperlink"/>
                  <w:rFonts w:ascii="Arial" w:hAnsi="Arial" w:cs="Arial"/>
                  <w:sz w:val="15"/>
                  <w:szCs w:val="15"/>
                </w:rPr>
                <w:t>10.1016/j.wnsx.2023.100264</w:t>
              </w:r>
            </w:hyperlink>
          </w:p>
        </w:tc>
        <w:tc>
          <w:tcPr>
            <w:tcW w:w="851" w:type="dxa"/>
          </w:tcPr>
          <w:p w14:paraId="31507A11" w14:textId="4760A7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Ethiopia</w:t>
            </w:r>
          </w:p>
        </w:tc>
        <w:tc>
          <w:tcPr>
            <w:tcW w:w="1134" w:type="dxa"/>
          </w:tcPr>
          <w:p w14:paraId="77679BFD" w14:textId="5687F8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CD8337E" w14:textId="44FF78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D3C48E7" w14:textId="26B40D0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3CC5C7D8" w14:textId="150C77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clinical characteristics and functional outcomes and the associated factors of surgically treated head trauma patients with acute subdural haematoma.</w:t>
            </w:r>
          </w:p>
        </w:tc>
        <w:tc>
          <w:tcPr>
            <w:tcW w:w="1134" w:type="dxa"/>
          </w:tcPr>
          <w:p w14:paraId="0A90821D"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4DC4170" w14:textId="469F29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0C75AA6" w14:textId="62E976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AED80E7" w14:textId="775E74A3" w:rsidR="006E5533" w:rsidRPr="00251EA9" w:rsidRDefault="006E5533" w:rsidP="006E5533">
            <w:pPr>
              <w:rPr>
                <w:rFonts w:ascii="Arial" w:hAnsi="Arial" w:cs="Arial"/>
                <w:sz w:val="15"/>
                <w:szCs w:val="15"/>
              </w:rPr>
            </w:pPr>
            <w:r w:rsidRPr="00251EA9">
              <w:rPr>
                <w:rFonts w:ascii="Arial" w:hAnsi="Arial" w:cs="Arial"/>
                <w:sz w:val="15"/>
                <w:szCs w:val="15"/>
              </w:rPr>
              <w:t>Reported 59 patients experienced complications, with most of them being SSIs.</w:t>
            </w:r>
          </w:p>
        </w:tc>
        <w:tc>
          <w:tcPr>
            <w:tcW w:w="1701" w:type="dxa"/>
          </w:tcPr>
          <w:p w14:paraId="7476D549" w14:textId="069988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80120F9" w14:textId="77777777" w:rsidTr="00A77951">
        <w:trPr>
          <w:trHeight w:val="586"/>
        </w:trPr>
        <w:tc>
          <w:tcPr>
            <w:tcW w:w="992" w:type="dxa"/>
          </w:tcPr>
          <w:p w14:paraId="741F03E4" w14:textId="7BCBEB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Test M.R. et al., 2019</w:t>
            </w:r>
          </w:p>
        </w:tc>
        <w:tc>
          <w:tcPr>
            <w:tcW w:w="851" w:type="dxa"/>
          </w:tcPr>
          <w:p w14:paraId="71848D1F" w14:textId="6D6B7BFC" w:rsidR="006E5533" w:rsidRPr="00A77951" w:rsidRDefault="006E5533" w:rsidP="006E5533">
            <w:pPr>
              <w:spacing w:line="360" w:lineRule="auto"/>
              <w:contextualSpacing/>
              <w:rPr>
                <w:rFonts w:ascii="Arial" w:hAnsi="Arial" w:cs="Arial"/>
                <w:sz w:val="15"/>
                <w:szCs w:val="15"/>
              </w:rPr>
            </w:pPr>
            <w:hyperlink r:id="rId291" w:tgtFrame="_blank" w:history="1">
              <w:r w:rsidRPr="00A77951">
                <w:rPr>
                  <w:rStyle w:val="Hyperlink"/>
                  <w:rFonts w:ascii="Arial" w:hAnsi="Arial" w:cs="Arial"/>
                  <w:sz w:val="15"/>
                  <w:szCs w:val="15"/>
                </w:rPr>
                <w:t>10.3171/2019.</w:t>
              </w:r>
              <w:proofErr w:type="gramStart"/>
              <w:r w:rsidRPr="00A77951">
                <w:rPr>
                  <w:rStyle w:val="Hyperlink"/>
                  <w:rFonts w:ascii="Arial" w:hAnsi="Arial" w:cs="Arial"/>
                  <w:sz w:val="15"/>
                  <w:szCs w:val="15"/>
                </w:rPr>
                <w:t>2.PEDS</w:t>
              </w:r>
              <w:proofErr w:type="gramEnd"/>
              <w:r w:rsidRPr="00A77951">
                <w:rPr>
                  <w:rStyle w:val="Hyperlink"/>
                  <w:rFonts w:ascii="Arial" w:hAnsi="Arial" w:cs="Arial"/>
                  <w:sz w:val="15"/>
                  <w:szCs w:val="15"/>
                </w:rPr>
                <w:t>18638</w:t>
              </w:r>
            </w:hyperlink>
          </w:p>
        </w:tc>
        <w:tc>
          <w:tcPr>
            <w:tcW w:w="851" w:type="dxa"/>
          </w:tcPr>
          <w:p w14:paraId="64E52ABA" w14:textId="174472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6A506CC" w14:textId="764B39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402A929" w14:textId="7C8ABB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352056B2" w14:textId="6FE376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 CSF dynamics</w:t>
            </w:r>
          </w:p>
        </w:tc>
        <w:tc>
          <w:tcPr>
            <w:tcW w:w="1843" w:type="dxa"/>
          </w:tcPr>
          <w:p w14:paraId="37FE3EDB"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relationship between the causative organism of CSF shunt infections and the timing of infection. </w:t>
            </w:r>
          </w:p>
          <w:p w14:paraId="34AACB79" w14:textId="2FBE2B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relationship between the causative organism and clinical features of the infection. </w:t>
            </w:r>
          </w:p>
        </w:tc>
        <w:tc>
          <w:tcPr>
            <w:tcW w:w="1134" w:type="dxa"/>
          </w:tcPr>
          <w:p w14:paraId="174CAE83" w14:textId="2D911234" w:rsidR="006E5533" w:rsidRPr="00251EA9" w:rsidRDefault="006E5533" w:rsidP="006E5533">
            <w:pPr>
              <w:spacing w:line="360" w:lineRule="auto"/>
              <w:contextualSpacing/>
              <w:rPr>
                <w:rFonts w:ascii="Arial" w:hAnsi="Arial" w:cs="Arial"/>
                <w:sz w:val="15"/>
                <w:szCs w:val="15"/>
              </w:rPr>
            </w:pPr>
          </w:p>
        </w:tc>
        <w:tc>
          <w:tcPr>
            <w:tcW w:w="992" w:type="dxa"/>
          </w:tcPr>
          <w:p w14:paraId="73CF8AFD" w14:textId="4F68822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DAF6D03" w14:textId="31DD23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Infectious Diseases Society of America’s 2017 Clinical Practice Guidelines for Healthcare- Associated Ventriculitis and Meningitis:</w:t>
            </w:r>
          </w:p>
          <w:p w14:paraId="7C13FCF9" w14:textId="5DF5EE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fever, lethargy, headache, nausea, vomiting, abdominal pain, surgical site changes, neurological changes, and </w:t>
            </w:r>
            <w:proofErr w:type="spellStart"/>
            <w:r w:rsidRPr="00251EA9">
              <w:rPr>
                <w:rFonts w:ascii="Arial" w:hAnsi="Arial" w:cs="Arial"/>
                <w:sz w:val="15"/>
                <w:szCs w:val="15"/>
              </w:rPr>
              <w:t>leukocytosis</w:t>
            </w:r>
            <w:proofErr w:type="spellEnd"/>
            <w:r w:rsidRPr="00251EA9">
              <w:rPr>
                <w:rFonts w:ascii="Arial" w:hAnsi="Arial" w:cs="Arial"/>
                <w:sz w:val="15"/>
                <w:szCs w:val="15"/>
              </w:rPr>
              <w:t xml:space="preserve">. Surgical site change was defined as documented redness or swelling at the surgical site, leakage of CSF, or visible hardware. </w:t>
            </w:r>
          </w:p>
        </w:tc>
        <w:tc>
          <w:tcPr>
            <w:tcW w:w="2693" w:type="dxa"/>
          </w:tcPr>
          <w:p w14:paraId="25DCE068" w14:textId="2DAD99D7" w:rsidR="006E5533" w:rsidRPr="00251EA9" w:rsidRDefault="006E5533" w:rsidP="006E5533">
            <w:pPr>
              <w:rPr>
                <w:rFonts w:ascii="Arial" w:hAnsi="Arial" w:cs="Arial"/>
                <w:sz w:val="15"/>
                <w:szCs w:val="15"/>
              </w:rPr>
            </w:pPr>
            <w:r w:rsidRPr="00251EA9">
              <w:rPr>
                <w:rFonts w:ascii="Arial" w:hAnsi="Arial" w:cs="Arial"/>
                <w:sz w:val="15"/>
                <w:szCs w:val="15"/>
              </w:rPr>
              <w:t xml:space="preserve">Children with infection caused by Staphylococcus aureus were more likely to present with surgical site changes and </w:t>
            </w:r>
            <w:proofErr w:type="spellStart"/>
            <w:r w:rsidRPr="00251EA9">
              <w:rPr>
                <w:rFonts w:ascii="Arial" w:hAnsi="Arial" w:cs="Arial"/>
                <w:sz w:val="15"/>
                <w:szCs w:val="15"/>
              </w:rPr>
              <w:t>leukocytosis</w:t>
            </w:r>
            <w:proofErr w:type="spellEnd"/>
            <w:r w:rsidRPr="00251EA9">
              <w:rPr>
                <w:rFonts w:ascii="Arial" w:hAnsi="Arial" w:cs="Arial"/>
                <w:sz w:val="15"/>
                <w:szCs w:val="15"/>
              </w:rPr>
              <w:t xml:space="preserve"> at the time of diagnosis. </w:t>
            </w:r>
          </w:p>
        </w:tc>
        <w:tc>
          <w:tcPr>
            <w:tcW w:w="1701" w:type="dxa"/>
          </w:tcPr>
          <w:p w14:paraId="2599CAAD" w14:textId="587B0D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939BC0C" w14:textId="77777777" w:rsidTr="00A77951">
        <w:trPr>
          <w:trHeight w:val="586"/>
        </w:trPr>
        <w:tc>
          <w:tcPr>
            <w:tcW w:w="992" w:type="dxa"/>
          </w:tcPr>
          <w:p w14:paraId="60AEE559" w14:textId="473143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Tew J. et al., 2017</w:t>
            </w:r>
          </w:p>
        </w:tc>
        <w:tc>
          <w:tcPr>
            <w:tcW w:w="851" w:type="dxa"/>
          </w:tcPr>
          <w:p w14:paraId="3D8ABFEA" w14:textId="4F805E98" w:rsidR="006E5533" w:rsidRPr="00A77951" w:rsidRDefault="006E5533" w:rsidP="006E5533">
            <w:pPr>
              <w:spacing w:line="360" w:lineRule="auto"/>
              <w:contextualSpacing/>
              <w:rPr>
                <w:rFonts w:ascii="Arial" w:hAnsi="Arial" w:cs="Arial"/>
                <w:sz w:val="15"/>
                <w:szCs w:val="15"/>
              </w:rPr>
            </w:pPr>
            <w:hyperlink r:id="rId292" w:tgtFrame="_blank" w:history="1">
              <w:r w:rsidRPr="00A77951">
                <w:rPr>
                  <w:rStyle w:val="Hyperlink"/>
                  <w:rFonts w:ascii="Arial" w:hAnsi="Arial" w:cs="Arial"/>
                  <w:sz w:val="15"/>
                  <w:szCs w:val="15"/>
                </w:rPr>
                <w:t>10.1093/</w:t>
              </w:r>
              <w:proofErr w:type="spellStart"/>
              <w:r w:rsidRPr="00A77951">
                <w:rPr>
                  <w:rStyle w:val="Hyperlink"/>
                  <w:rFonts w:ascii="Arial" w:hAnsi="Arial" w:cs="Arial"/>
                  <w:sz w:val="15"/>
                  <w:szCs w:val="15"/>
                </w:rPr>
                <w:t>ons</w:t>
              </w:r>
              <w:proofErr w:type="spellEnd"/>
              <w:r w:rsidRPr="00A77951">
                <w:rPr>
                  <w:rStyle w:val="Hyperlink"/>
                  <w:rFonts w:ascii="Arial" w:hAnsi="Arial" w:cs="Arial"/>
                  <w:sz w:val="15"/>
                  <w:szCs w:val="15"/>
                </w:rPr>
                <w:t>/opw004</w:t>
              </w:r>
            </w:hyperlink>
          </w:p>
        </w:tc>
        <w:tc>
          <w:tcPr>
            <w:tcW w:w="851" w:type="dxa"/>
          </w:tcPr>
          <w:p w14:paraId="30A15F86" w14:textId="7BE14E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9DA6981" w14:textId="7F8D6B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randomised trial</w:t>
            </w:r>
          </w:p>
        </w:tc>
        <w:tc>
          <w:tcPr>
            <w:tcW w:w="992" w:type="dxa"/>
          </w:tcPr>
          <w:p w14:paraId="0B0E3AD4" w14:textId="3F6737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BF39D00" w14:textId="1440402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(dural closure)</w:t>
            </w:r>
          </w:p>
        </w:tc>
        <w:tc>
          <w:tcPr>
            <w:tcW w:w="1843" w:type="dxa"/>
          </w:tcPr>
          <w:p w14:paraId="0BDAD581" w14:textId="71CA60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safety and efficacy of a novel hydrogel, </w:t>
            </w:r>
            <w:proofErr w:type="spellStart"/>
            <w:r w:rsidRPr="00251EA9">
              <w:rPr>
                <w:rFonts w:ascii="Arial" w:hAnsi="Arial" w:cs="Arial"/>
                <w:sz w:val="15"/>
                <w:szCs w:val="15"/>
              </w:rPr>
              <w:t>Adherus</w:t>
            </w:r>
            <w:proofErr w:type="spellEnd"/>
            <w:r w:rsidRPr="00251EA9">
              <w:rPr>
                <w:rFonts w:ascii="Arial" w:hAnsi="Arial" w:cs="Arial"/>
                <w:sz w:val="15"/>
                <w:szCs w:val="15"/>
              </w:rPr>
              <w:t xml:space="preserve"> Dural Sealant, when compared with control, </w:t>
            </w:r>
            <w:proofErr w:type="spellStart"/>
            <w:r w:rsidRPr="00251EA9">
              <w:rPr>
                <w:rFonts w:ascii="Arial" w:hAnsi="Arial" w:cs="Arial"/>
                <w:sz w:val="15"/>
                <w:szCs w:val="15"/>
              </w:rPr>
              <w:t>DuraSeal</w:t>
            </w:r>
            <w:proofErr w:type="spellEnd"/>
            <w:r w:rsidRPr="00251EA9">
              <w:rPr>
                <w:rFonts w:ascii="Arial" w:hAnsi="Arial" w:cs="Arial"/>
                <w:sz w:val="15"/>
                <w:szCs w:val="15"/>
              </w:rPr>
              <w:t xml:space="preserve"> Dural Sealant System, as an adjunct to standard</w:t>
            </w:r>
            <w:r w:rsidRPr="00251EA9">
              <w:rPr>
                <w:rFonts w:ascii="Arial" w:hAnsi="Arial" w:cs="Arial"/>
                <w:sz w:val="15"/>
                <w:szCs w:val="15"/>
              </w:rPr>
              <w:br/>
              <w:t>methods of dural repair.</w:t>
            </w:r>
          </w:p>
        </w:tc>
        <w:tc>
          <w:tcPr>
            <w:tcW w:w="1134" w:type="dxa"/>
          </w:tcPr>
          <w:p w14:paraId="653D7ACC" w14:textId="7BD9C3F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Adherus</w:t>
            </w:r>
            <w:proofErr w:type="spellEnd"/>
            <w:r w:rsidRPr="00251EA9">
              <w:rPr>
                <w:rFonts w:ascii="Arial" w:hAnsi="Arial" w:cs="Arial"/>
                <w:sz w:val="15"/>
                <w:szCs w:val="15"/>
              </w:rPr>
              <w:t xml:space="preserve"> Dural Sealant Vs control (</w:t>
            </w:r>
            <w:proofErr w:type="spellStart"/>
            <w:r w:rsidRPr="00251EA9">
              <w:rPr>
                <w:rFonts w:ascii="Arial" w:hAnsi="Arial" w:cs="Arial"/>
                <w:sz w:val="15"/>
                <w:szCs w:val="15"/>
              </w:rPr>
              <w:t>DuraSeal</w:t>
            </w:r>
            <w:proofErr w:type="spellEnd"/>
            <w:r w:rsidRPr="00251EA9">
              <w:rPr>
                <w:rFonts w:ascii="Arial" w:hAnsi="Arial" w:cs="Arial"/>
                <w:sz w:val="15"/>
                <w:szCs w:val="15"/>
              </w:rPr>
              <w:t xml:space="preserve"> Dural Sealant)</w:t>
            </w:r>
          </w:p>
        </w:tc>
        <w:tc>
          <w:tcPr>
            <w:tcW w:w="992" w:type="dxa"/>
          </w:tcPr>
          <w:p w14:paraId="029CC226" w14:textId="6948CE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2D0DDB5" w14:textId="0A0C8D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1D6418C" w14:textId="13CCDB5A" w:rsidR="006E5533" w:rsidRPr="00251EA9" w:rsidRDefault="006E5533" w:rsidP="006E5533">
            <w:pPr>
              <w:rPr>
                <w:rFonts w:ascii="Arial" w:hAnsi="Arial" w:cs="Arial"/>
                <w:sz w:val="15"/>
                <w:szCs w:val="15"/>
              </w:rPr>
            </w:pPr>
            <w:r w:rsidRPr="00251EA9">
              <w:rPr>
                <w:rFonts w:ascii="Arial" w:hAnsi="Arial" w:cs="Arial"/>
                <w:sz w:val="15"/>
                <w:szCs w:val="15"/>
              </w:rPr>
              <w:t>Of 117 control cases, 2 patients had unplanned reoperations for surgical site infections. Five (4.0%) control patients had serious device-related adverse effects including incision-site infection (2 cases).</w:t>
            </w:r>
          </w:p>
        </w:tc>
        <w:tc>
          <w:tcPr>
            <w:tcW w:w="1701" w:type="dxa"/>
          </w:tcPr>
          <w:p w14:paraId="039D6BB5" w14:textId="04A853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2FEC5F5" w14:textId="77777777" w:rsidTr="00A77951">
        <w:trPr>
          <w:trHeight w:val="586"/>
        </w:trPr>
        <w:tc>
          <w:tcPr>
            <w:tcW w:w="992" w:type="dxa"/>
          </w:tcPr>
          <w:p w14:paraId="67843A26" w14:textId="793AAEA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Thenier</w:t>
            </w:r>
            <w:proofErr w:type="spellEnd"/>
            <w:r w:rsidRPr="00251EA9">
              <w:rPr>
                <w:rFonts w:ascii="Arial" w:hAnsi="Arial" w:cs="Arial"/>
                <w:sz w:val="15"/>
                <w:szCs w:val="15"/>
              </w:rPr>
              <w:t>-Villa J.L. et al., 2018</w:t>
            </w:r>
          </w:p>
        </w:tc>
        <w:tc>
          <w:tcPr>
            <w:tcW w:w="851" w:type="dxa"/>
          </w:tcPr>
          <w:p w14:paraId="58FF7E1E" w14:textId="0AB9C45D" w:rsidR="006E5533" w:rsidRPr="00A77951" w:rsidRDefault="006E5533" w:rsidP="006E5533">
            <w:pPr>
              <w:spacing w:line="360" w:lineRule="auto"/>
              <w:contextualSpacing/>
              <w:rPr>
                <w:rFonts w:ascii="Arial" w:hAnsi="Arial" w:cs="Arial"/>
                <w:sz w:val="15"/>
                <w:szCs w:val="15"/>
              </w:rPr>
            </w:pPr>
            <w:hyperlink r:id="rId293" w:tgtFrame="_blank" w:history="1">
              <w:r w:rsidRPr="00A77951">
                <w:rPr>
                  <w:rStyle w:val="Hyperlink"/>
                  <w:rFonts w:ascii="Arial" w:hAnsi="Arial" w:cs="Arial"/>
                  <w:sz w:val="15"/>
                  <w:szCs w:val="15"/>
                </w:rPr>
                <w:t>10.3171/2018.</w:t>
              </w:r>
              <w:proofErr w:type="gramStart"/>
              <w:r w:rsidRPr="00A77951">
                <w:rPr>
                  <w:rStyle w:val="Hyperlink"/>
                  <w:rFonts w:ascii="Arial" w:hAnsi="Arial" w:cs="Arial"/>
                  <w:sz w:val="15"/>
                  <w:szCs w:val="15"/>
                </w:rPr>
                <w:t>2.P</w:t>
              </w:r>
              <w:r w:rsidRPr="00A77951">
                <w:rPr>
                  <w:rStyle w:val="Hyperlink"/>
                  <w:rFonts w:ascii="Arial" w:hAnsi="Arial" w:cs="Arial"/>
                  <w:sz w:val="15"/>
                  <w:szCs w:val="15"/>
                </w:rPr>
                <w:lastRenderedPageBreak/>
                <w:t>EDS</w:t>
              </w:r>
              <w:proofErr w:type="gramEnd"/>
              <w:r w:rsidRPr="00A77951">
                <w:rPr>
                  <w:rStyle w:val="Hyperlink"/>
                  <w:rFonts w:ascii="Arial" w:hAnsi="Arial" w:cs="Arial"/>
                  <w:sz w:val="15"/>
                  <w:szCs w:val="15"/>
                </w:rPr>
                <w:t>17717</w:t>
              </w:r>
            </w:hyperlink>
          </w:p>
        </w:tc>
        <w:tc>
          <w:tcPr>
            <w:tcW w:w="851" w:type="dxa"/>
          </w:tcPr>
          <w:p w14:paraId="56B7BCAA" w14:textId="62720CE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Spain</w:t>
            </w:r>
          </w:p>
        </w:tc>
        <w:tc>
          <w:tcPr>
            <w:tcW w:w="1134" w:type="dxa"/>
          </w:tcPr>
          <w:p w14:paraId="61CD9F12" w14:textId="0D0EA9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85C6329" w14:textId="7A6250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7B54EBC4" w14:textId="47A74483"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03E5B02C" w14:textId="46B3DE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and analyse the radiological and clinical evolution of </w:t>
            </w:r>
            <w:r w:rsidRPr="00251EA9">
              <w:rPr>
                <w:rFonts w:ascii="Arial" w:hAnsi="Arial" w:cs="Arial"/>
                <w:sz w:val="15"/>
                <w:szCs w:val="15"/>
              </w:rPr>
              <w:lastRenderedPageBreak/>
              <w:t>bone defects after craniosynostosis.</w:t>
            </w:r>
          </w:p>
        </w:tc>
        <w:tc>
          <w:tcPr>
            <w:tcW w:w="1134" w:type="dxa"/>
          </w:tcPr>
          <w:p w14:paraId="1DA4461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2221D2D" w14:textId="5E6C9E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1C616FF" w14:textId="6860BE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76D11B3" w14:textId="5602A0CE" w:rsidR="006E5533" w:rsidRPr="00251EA9" w:rsidRDefault="006E5533" w:rsidP="006E5533">
            <w:pPr>
              <w:rPr>
                <w:rFonts w:ascii="Arial" w:hAnsi="Arial" w:cs="Arial"/>
                <w:sz w:val="15"/>
                <w:szCs w:val="15"/>
              </w:rPr>
            </w:pPr>
            <w:r w:rsidRPr="00251EA9">
              <w:rPr>
                <w:rFonts w:ascii="Arial" w:hAnsi="Arial" w:cs="Arial"/>
                <w:sz w:val="15"/>
                <w:szCs w:val="15"/>
              </w:rPr>
              <w:t>6.9% of patients experienced SSI as a complication.</w:t>
            </w:r>
          </w:p>
        </w:tc>
        <w:tc>
          <w:tcPr>
            <w:tcW w:w="1701" w:type="dxa"/>
          </w:tcPr>
          <w:p w14:paraId="4E4CCA6E" w14:textId="4EF2BD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7859B87" w14:textId="77777777" w:rsidTr="00A77951">
        <w:trPr>
          <w:trHeight w:val="1755"/>
        </w:trPr>
        <w:tc>
          <w:tcPr>
            <w:tcW w:w="992" w:type="dxa"/>
          </w:tcPr>
          <w:p w14:paraId="202EAB23" w14:textId="5B3ADC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Thompson D.N.P. et al., 2007</w:t>
            </w:r>
          </w:p>
        </w:tc>
        <w:tc>
          <w:tcPr>
            <w:tcW w:w="851" w:type="dxa"/>
          </w:tcPr>
          <w:p w14:paraId="06E0E1EE" w14:textId="13AEE0C8" w:rsidR="006E5533" w:rsidRPr="00A77951" w:rsidRDefault="006E5533" w:rsidP="006E5533">
            <w:pPr>
              <w:spacing w:line="360" w:lineRule="auto"/>
              <w:contextualSpacing/>
              <w:rPr>
                <w:rFonts w:ascii="Arial" w:hAnsi="Arial" w:cs="Arial"/>
                <w:sz w:val="15"/>
                <w:szCs w:val="15"/>
              </w:rPr>
            </w:pPr>
            <w:hyperlink r:id="rId294" w:tgtFrame="_blank" w:history="1">
              <w:r w:rsidRPr="00A77951">
                <w:rPr>
                  <w:rStyle w:val="Hyperlink"/>
                  <w:rFonts w:ascii="Arial" w:hAnsi="Arial" w:cs="Arial"/>
                  <w:sz w:val="15"/>
                  <w:szCs w:val="15"/>
                </w:rPr>
                <w:t>10.3171/ped.2007.106.1.15</w:t>
              </w:r>
            </w:hyperlink>
          </w:p>
        </w:tc>
        <w:tc>
          <w:tcPr>
            <w:tcW w:w="851" w:type="dxa"/>
          </w:tcPr>
          <w:p w14:paraId="39681A68" w14:textId="73EA54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69C9E690" w14:textId="068702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019F19E7" w14:textId="3BC480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4FB1627F" w14:textId="648877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631C8916" w14:textId="0D22A9E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establish whether microbiological contamination at the time of shunt insertion can be detected and used to predict the likelihood of subsequent shunt infection. </w:t>
            </w:r>
          </w:p>
        </w:tc>
        <w:tc>
          <w:tcPr>
            <w:tcW w:w="1134" w:type="dxa"/>
          </w:tcPr>
          <w:p w14:paraId="58C40C53"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419A53D" w14:textId="1B660E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6E5143E" w14:textId="2F128EE5" w:rsidR="006E5533" w:rsidRPr="00251EA9" w:rsidRDefault="006E5533" w:rsidP="006E5533">
            <w:pPr>
              <w:spacing w:line="360" w:lineRule="auto"/>
              <w:contextualSpacing/>
              <w:rPr>
                <w:rFonts w:ascii="Arial" w:hAnsi="Arial" w:cs="Arial"/>
                <w:i/>
                <w:iCs/>
                <w:sz w:val="15"/>
                <w:szCs w:val="15"/>
              </w:rPr>
            </w:pPr>
            <w:r w:rsidRPr="00251EA9">
              <w:rPr>
                <w:rFonts w:ascii="Arial" w:hAnsi="Arial" w:cs="Arial"/>
                <w:sz w:val="15"/>
                <w:szCs w:val="15"/>
              </w:rPr>
              <w:t>Organism was confirmed by CSF culture.</w:t>
            </w:r>
          </w:p>
        </w:tc>
        <w:tc>
          <w:tcPr>
            <w:tcW w:w="2693" w:type="dxa"/>
          </w:tcPr>
          <w:p w14:paraId="6D464465" w14:textId="15BAE46D" w:rsidR="006E5533" w:rsidRPr="00251EA9" w:rsidRDefault="006E5533" w:rsidP="006E5533">
            <w:pPr>
              <w:rPr>
                <w:rFonts w:ascii="Arial" w:hAnsi="Arial" w:cs="Arial"/>
                <w:sz w:val="15"/>
                <w:szCs w:val="15"/>
              </w:rPr>
            </w:pPr>
            <w:r w:rsidRPr="00251EA9">
              <w:rPr>
                <w:rFonts w:ascii="Arial" w:hAnsi="Arial" w:cs="Arial"/>
                <w:sz w:val="15"/>
                <w:szCs w:val="15"/>
              </w:rPr>
              <w:t>Reported a total of 108 total shunt insertions yielding 325 swab samples. Organisms were identified in cultures of 50 swab samples (15%) obtained in 40 patients (37%). In seven of these 40 patients (17.5%) a CSF</w:t>
            </w:r>
            <w:r w:rsidRPr="00251EA9">
              <w:rPr>
                <w:rFonts w:ascii="Arial" w:hAnsi="Arial" w:cs="Arial"/>
                <w:sz w:val="15"/>
                <w:szCs w:val="15"/>
              </w:rPr>
              <w:br/>
              <w:t xml:space="preserve">infection subsequently developed. </w:t>
            </w:r>
          </w:p>
        </w:tc>
        <w:tc>
          <w:tcPr>
            <w:tcW w:w="1701" w:type="dxa"/>
          </w:tcPr>
          <w:p w14:paraId="3BBAC789" w14:textId="6C085C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E57C6AE" w14:textId="77777777" w:rsidTr="00A77951">
        <w:trPr>
          <w:trHeight w:val="586"/>
        </w:trPr>
        <w:tc>
          <w:tcPr>
            <w:tcW w:w="992" w:type="dxa"/>
          </w:tcPr>
          <w:p w14:paraId="6BB172F1" w14:textId="367D75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Thu L.T.A. et al., 2007</w:t>
            </w:r>
          </w:p>
        </w:tc>
        <w:tc>
          <w:tcPr>
            <w:tcW w:w="851" w:type="dxa"/>
          </w:tcPr>
          <w:p w14:paraId="7546DA78" w14:textId="36F20697" w:rsidR="006E5533" w:rsidRPr="00A77951" w:rsidRDefault="006E5533" w:rsidP="006E5533">
            <w:pPr>
              <w:spacing w:line="360" w:lineRule="auto"/>
              <w:contextualSpacing/>
              <w:rPr>
                <w:rFonts w:ascii="Arial" w:hAnsi="Arial" w:cs="Arial"/>
                <w:sz w:val="15"/>
                <w:szCs w:val="15"/>
              </w:rPr>
            </w:pPr>
            <w:hyperlink r:id="rId295" w:tgtFrame="_blank" w:history="1">
              <w:r w:rsidRPr="00A77951">
                <w:rPr>
                  <w:rStyle w:val="Hyperlink"/>
                  <w:rFonts w:ascii="Arial" w:hAnsi="Arial" w:cs="Arial"/>
                  <w:sz w:val="15"/>
                  <w:szCs w:val="15"/>
                </w:rPr>
                <w:t>10.1086/516661</w:t>
              </w:r>
            </w:hyperlink>
          </w:p>
        </w:tc>
        <w:tc>
          <w:tcPr>
            <w:tcW w:w="851" w:type="dxa"/>
          </w:tcPr>
          <w:p w14:paraId="11936690" w14:textId="2C76C9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Vietnam</w:t>
            </w:r>
          </w:p>
        </w:tc>
        <w:tc>
          <w:tcPr>
            <w:tcW w:w="1134" w:type="dxa"/>
          </w:tcPr>
          <w:p w14:paraId="5ED26213" w14:textId="0A7F08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Quasi-experimental design</w:t>
            </w:r>
          </w:p>
        </w:tc>
        <w:tc>
          <w:tcPr>
            <w:tcW w:w="992" w:type="dxa"/>
          </w:tcPr>
          <w:p w14:paraId="480962D8" w14:textId="0A2E9A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B21E08C" w14:textId="777414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4DB019CC" w14:textId="2AEC13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impact of the use of an alcohol-chlorhexidine–based hand sanitizer on SSI rates among neurosurgical patients in Ho Chi Minh City, Vietnam.</w:t>
            </w:r>
          </w:p>
        </w:tc>
        <w:tc>
          <w:tcPr>
            <w:tcW w:w="1134" w:type="dxa"/>
          </w:tcPr>
          <w:p w14:paraId="77DA9720" w14:textId="66AE7F81" w:rsidR="006E5533" w:rsidRPr="00251EA9" w:rsidRDefault="006E5533" w:rsidP="006E5533">
            <w:pPr>
              <w:spacing w:line="360" w:lineRule="auto"/>
              <w:contextualSpacing/>
              <w:rPr>
                <w:rFonts w:ascii="Arial" w:hAnsi="Arial" w:cs="Arial"/>
                <w:sz w:val="15"/>
                <w:szCs w:val="15"/>
              </w:rPr>
            </w:pPr>
          </w:p>
        </w:tc>
        <w:tc>
          <w:tcPr>
            <w:tcW w:w="992" w:type="dxa"/>
          </w:tcPr>
          <w:p w14:paraId="17E495AC" w14:textId="6243CC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4EA274" w14:textId="640803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5EBB141B" w14:textId="153673B7" w:rsidR="006E5533" w:rsidRPr="00251EA9" w:rsidRDefault="006E5533" w:rsidP="006E5533">
            <w:pPr>
              <w:rPr>
                <w:rFonts w:ascii="Arial" w:hAnsi="Arial" w:cs="Arial"/>
                <w:sz w:val="15"/>
                <w:szCs w:val="15"/>
              </w:rPr>
            </w:pPr>
            <w:r w:rsidRPr="00251EA9">
              <w:rPr>
                <w:rFonts w:ascii="Arial" w:hAnsi="Arial" w:cs="Arial"/>
                <w:sz w:val="15"/>
                <w:szCs w:val="15"/>
              </w:rPr>
              <w:t xml:space="preserve">Introduction of a hand sanitiser can both reduce SSI rates in neurosurgical patients, with </w:t>
            </w:r>
            <w:proofErr w:type="gramStart"/>
            <w:r w:rsidRPr="00251EA9">
              <w:rPr>
                <w:rFonts w:ascii="Arial" w:hAnsi="Arial" w:cs="Arial"/>
                <w:sz w:val="15"/>
                <w:szCs w:val="15"/>
              </w:rPr>
              <w:t>particular impact</w:t>
            </w:r>
            <w:proofErr w:type="gramEnd"/>
            <w:r w:rsidRPr="00251EA9">
              <w:rPr>
                <w:rFonts w:ascii="Arial" w:hAnsi="Arial" w:cs="Arial"/>
                <w:sz w:val="15"/>
                <w:szCs w:val="15"/>
              </w:rPr>
              <w:t xml:space="preserve"> on superficial SSIs, and reduce the overall postoperative length of stay and the duration of antimicrobial use. </w:t>
            </w:r>
          </w:p>
        </w:tc>
        <w:tc>
          <w:tcPr>
            <w:tcW w:w="1701" w:type="dxa"/>
          </w:tcPr>
          <w:p w14:paraId="49FF3317" w14:textId="14457F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FEAA3B9" w14:textId="77777777" w:rsidTr="00A77951">
        <w:trPr>
          <w:trHeight w:val="586"/>
        </w:trPr>
        <w:tc>
          <w:tcPr>
            <w:tcW w:w="992" w:type="dxa"/>
          </w:tcPr>
          <w:p w14:paraId="40A3572B" w14:textId="7784C6DE"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Toescu</w:t>
            </w:r>
            <w:proofErr w:type="spellEnd"/>
            <w:r w:rsidRPr="00251EA9">
              <w:rPr>
                <w:rFonts w:ascii="Arial" w:hAnsi="Arial" w:cs="Arial"/>
                <w:sz w:val="15"/>
                <w:szCs w:val="15"/>
              </w:rPr>
              <w:t xml:space="preserve"> S.M. et al., 2021</w:t>
            </w:r>
          </w:p>
        </w:tc>
        <w:tc>
          <w:tcPr>
            <w:tcW w:w="851" w:type="dxa"/>
          </w:tcPr>
          <w:p w14:paraId="165912D8" w14:textId="7DF38F97" w:rsidR="006E5533" w:rsidRPr="00A77951" w:rsidRDefault="006E5533" w:rsidP="006E5533">
            <w:pPr>
              <w:spacing w:line="360" w:lineRule="auto"/>
              <w:contextualSpacing/>
              <w:rPr>
                <w:rFonts w:ascii="Arial" w:hAnsi="Arial" w:cs="Arial"/>
                <w:sz w:val="15"/>
                <w:szCs w:val="15"/>
              </w:rPr>
            </w:pPr>
            <w:hyperlink r:id="rId296" w:tgtFrame="_blank" w:history="1">
              <w:r w:rsidRPr="00A77951">
                <w:rPr>
                  <w:rStyle w:val="Hyperlink"/>
                  <w:rFonts w:ascii="Arial" w:hAnsi="Arial" w:cs="Arial"/>
                  <w:sz w:val="15"/>
                  <w:szCs w:val="15"/>
                </w:rPr>
                <w:t>10.3171/2020.</w:t>
              </w:r>
              <w:proofErr w:type="gramStart"/>
              <w:r w:rsidRPr="00A77951">
                <w:rPr>
                  <w:rStyle w:val="Hyperlink"/>
                  <w:rFonts w:ascii="Arial" w:hAnsi="Arial" w:cs="Arial"/>
                  <w:sz w:val="15"/>
                  <w:szCs w:val="15"/>
                </w:rPr>
                <w:t>6.PEDS</w:t>
              </w:r>
              <w:proofErr w:type="gramEnd"/>
              <w:r w:rsidRPr="00A77951">
                <w:rPr>
                  <w:rStyle w:val="Hyperlink"/>
                  <w:rFonts w:ascii="Arial" w:hAnsi="Arial" w:cs="Arial"/>
                  <w:sz w:val="15"/>
                  <w:szCs w:val="15"/>
                </w:rPr>
                <w:t>2089</w:t>
              </w:r>
            </w:hyperlink>
          </w:p>
        </w:tc>
        <w:tc>
          <w:tcPr>
            <w:tcW w:w="851" w:type="dxa"/>
          </w:tcPr>
          <w:p w14:paraId="5553EC74" w14:textId="469C28C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UK</w:t>
            </w:r>
          </w:p>
        </w:tc>
        <w:tc>
          <w:tcPr>
            <w:tcW w:w="1134" w:type="dxa"/>
          </w:tcPr>
          <w:p w14:paraId="0FA30432" w14:textId="027D2F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BE4B4C6" w14:textId="4BC658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0FF7FC21" w14:textId="76ACD6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7903C8E" w14:textId="41BD7C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critically assess early, surgery-related morbidity in paediatric fourth ventricle tumours, with </w:t>
            </w:r>
            <w:proofErr w:type="gramStart"/>
            <w:r w:rsidRPr="00251EA9">
              <w:rPr>
                <w:rFonts w:ascii="Arial" w:hAnsi="Arial" w:cs="Arial"/>
                <w:sz w:val="15"/>
                <w:szCs w:val="15"/>
              </w:rPr>
              <w:t>particular reference</w:t>
            </w:r>
            <w:proofErr w:type="gramEnd"/>
            <w:r w:rsidRPr="00251EA9">
              <w:rPr>
                <w:rFonts w:ascii="Arial" w:hAnsi="Arial" w:cs="Arial"/>
                <w:sz w:val="15"/>
                <w:szCs w:val="15"/>
              </w:rPr>
              <w:t xml:space="preserve"> to surgical approach.</w:t>
            </w:r>
          </w:p>
        </w:tc>
        <w:tc>
          <w:tcPr>
            <w:tcW w:w="1134" w:type="dxa"/>
          </w:tcPr>
          <w:p w14:paraId="336FE0C3" w14:textId="4BD8F652" w:rsidR="006E5533" w:rsidRPr="00251EA9" w:rsidRDefault="006E5533" w:rsidP="006E5533">
            <w:pPr>
              <w:spacing w:line="360" w:lineRule="auto"/>
              <w:contextualSpacing/>
              <w:rPr>
                <w:rFonts w:ascii="Arial" w:hAnsi="Arial" w:cs="Arial"/>
                <w:sz w:val="15"/>
                <w:szCs w:val="15"/>
              </w:rPr>
            </w:pPr>
          </w:p>
        </w:tc>
        <w:tc>
          <w:tcPr>
            <w:tcW w:w="992" w:type="dxa"/>
          </w:tcPr>
          <w:p w14:paraId="660E7620" w14:textId="04A9C1F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53D688EF" w14:textId="483369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8501476" w14:textId="102BC7C0" w:rsidR="006E5533" w:rsidRPr="00251EA9" w:rsidRDefault="006E5533" w:rsidP="006E5533">
            <w:pPr>
              <w:rPr>
                <w:rFonts w:ascii="Arial" w:hAnsi="Arial" w:cs="Arial"/>
                <w:sz w:val="15"/>
                <w:szCs w:val="15"/>
              </w:rPr>
            </w:pPr>
            <w:r w:rsidRPr="00251EA9">
              <w:rPr>
                <w:rFonts w:ascii="Arial" w:hAnsi="Arial" w:cs="Arial"/>
                <w:sz w:val="15"/>
                <w:szCs w:val="15"/>
              </w:rPr>
              <w:t xml:space="preserve">There were 7 surgical site infections reported. </w:t>
            </w:r>
          </w:p>
        </w:tc>
        <w:tc>
          <w:tcPr>
            <w:tcW w:w="1701" w:type="dxa"/>
          </w:tcPr>
          <w:p w14:paraId="632DD253" w14:textId="214695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3D2CB05" w14:textId="77777777" w:rsidTr="00A77951">
        <w:trPr>
          <w:trHeight w:val="586"/>
        </w:trPr>
        <w:tc>
          <w:tcPr>
            <w:tcW w:w="992" w:type="dxa"/>
          </w:tcPr>
          <w:p w14:paraId="2815A582" w14:textId="7025AB1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Tokimura</w:t>
            </w:r>
            <w:proofErr w:type="spellEnd"/>
            <w:r w:rsidRPr="00251EA9">
              <w:rPr>
                <w:rFonts w:ascii="Arial" w:hAnsi="Arial" w:cs="Arial"/>
                <w:sz w:val="15"/>
                <w:szCs w:val="15"/>
              </w:rPr>
              <w:t xml:space="preserve"> H. et al., 2009</w:t>
            </w:r>
          </w:p>
        </w:tc>
        <w:tc>
          <w:tcPr>
            <w:tcW w:w="851" w:type="dxa"/>
          </w:tcPr>
          <w:p w14:paraId="69CAA801" w14:textId="03D891AA" w:rsidR="006E5533" w:rsidRPr="00A77951" w:rsidRDefault="006E5533" w:rsidP="006E5533">
            <w:pPr>
              <w:spacing w:line="360" w:lineRule="auto"/>
              <w:contextualSpacing/>
              <w:rPr>
                <w:rFonts w:ascii="Arial" w:hAnsi="Arial" w:cs="Arial"/>
                <w:sz w:val="15"/>
                <w:szCs w:val="15"/>
              </w:rPr>
            </w:pPr>
            <w:hyperlink r:id="rId297" w:tgtFrame="_blank" w:history="1">
              <w:r w:rsidRPr="00A77951">
                <w:rPr>
                  <w:rStyle w:val="Hyperlink"/>
                  <w:rFonts w:ascii="Arial" w:hAnsi="Arial" w:cs="Arial"/>
                  <w:sz w:val="15"/>
                  <w:szCs w:val="15"/>
                </w:rPr>
                <w:t>10.1016/j.jcms.2009.06.003</w:t>
              </w:r>
            </w:hyperlink>
          </w:p>
        </w:tc>
        <w:tc>
          <w:tcPr>
            <w:tcW w:w="851" w:type="dxa"/>
          </w:tcPr>
          <w:p w14:paraId="617B4551" w14:textId="64A454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511F0D24" w14:textId="0D05BF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2F47FA51" w14:textId="32A99E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75ABFE7" w14:textId="661C68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F80EFE2" w14:textId="39C2C7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efficacy and safety of the authors’ scalp management and analyse the risk factors for postoperative wound infection.</w:t>
            </w:r>
          </w:p>
        </w:tc>
        <w:tc>
          <w:tcPr>
            <w:tcW w:w="1134" w:type="dxa"/>
          </w:tcPr>
          <w:p w14:paraId="407FB1C1" w14:textId="007BDD23" w:rsidR="006E5533" w:rsidRPr="00251EA9" w:rsidRDefault="006E5533" w:rsidP="006E5533">
            <w:pPr>
              <w:spacing w:line="360" w:lineRule="auto"/>
              <w:contextualSpacing/>
              <w:rPr>
                <w:rFonts w:ascii="Arial" w:hAnsi="Arial" w:cs="Arial"/>
                <w:sz w:val="15"/>
                <w:szCs w:val="15"/>
              </w:rPr>
            </w:pPr>
          </w:p>
        </w:tc>
        <w:tc>
          <w:tcPr>
            <w:tcW w:w="992" w:type="dxa"/>
          </w:tcPr>
          <w:p w14:paraId="7DD30E4E" w14:textId="4F594A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4D8B455" w14:textId="58DBBB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Guideline for Prevention of Surgical Infection</w:t>
            </w:r>
          </w:p>
        </w:tc>
        <w:tc>
          <w:tcPr>
            <w:tcW w:w="2693" w:type="dxa"/>
          </w:tcPr>
          <w:p w14:paraId="288AED3C" w14:textId="4C97C5BD" w:rsidR="006E5533" w:rsidRPr="00251EA9" w:rsidRDefault="006E5533" w:rsidP="006E5533">
            <w:pPr>
              <w:rPr>
                <w:rFonts w:ascii="Arial" w:hAnsi="Arial" w:cs="Arial"/>
                <w:sz w:val="15"/>
                <w:szCs w:val="15"/>
              </w:rPr>
            </w:pPr>
            <w:r w:rsidRPr="00251EA9">
              <w:rPr>
                <w:rFonts w:ascii="Arial" w:hAnsi="Arial" w:cs="Arial"/>
                <w:sz w:val="15"/>
                <w:szCs w:val="15"/>
              </w:rPr>
              <w:t xml:space="preserve">1.1% rate of infection reported. </w:t>
            </w:r>
          </w:p>
        </w:tc>
        <w:tc>
          <w:tcPr>
            <w:tcW w:w="1701" w:type="dxa"/>
          </w:tcPr>
          <w:p w14:paraId="74BBCDCB" w14:textId="7589C5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2E3F159" w14:textId="77777777" w:rsidTr="00A77951">
        <w:trPr>
          <w:trHeight w:val="586"/>
        </w:trPr>
        <w:tc>
          <w:tcPr>
            <w:tcW w:w="992" w:type="dxa"/>
          </w:tcPr>
          <w:p w14:paraId="6F147755" w14:textId="3F58ED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Tolleson C. et al., 2014</w:t>
            </w:r>
          </w:p>
        </w:tc>
        <w:tc>
          <w:tcPr>
            <w:tcW w:w="851" w:type="dxa"/>
          </w:tcPr>
          <w:p w14:paraId="64637402" w14:textId="2658D956" w:rsidR="006E5533" w:rsidRPr="00A77951" w:rsidRDefault="006E5533" w:rsidP="006E5533">
            <w:pPr>
              <w:spacing w:line="360" w:lineRule="auto"/>
              <w:contextualSpacing/>
              <w:rPr>
                <w:rFonts w:ascii="Arial" w:hAnsi="Arial" w:cs="Arial"/>
                <w:sz w:val="15"/>
                <w:szCs w:val="15"/>
              </w:rPr>
            </w:pPr>
            <w:hyperlink r:id="rId298" w:tgtFrame="_blank" w:history="1">
              <w:r w:rsidRPr="00A77951">
                <w:rPr>
                  <w:rStyle w:val="Hyperlink"/>
                  <w:rFonts w:ascii="Arial" w:hAnsi="Arial" w:cs="Arial"/>
                  <w:sz w:val="15"/>
                  <w:szCs w:val="15"/>
                </w:rPr>
                <w:t>10.1159/000362934</w:t>
              </w:r>
            </w:hyperlink>
          </w:p>
        </w:tc>
        <w:tc>
          <w:tcPr>
            <w:tcW w:w="851" w:type="dxa"/>
          </w:tcPr>
          <w:p w14:paraId="7F32F4A2" w14:textId="00B4A7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0DFD553" w14:textId="09405B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607AF57" w14:textId="51A4AA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FDE5C71" w14:textId="6A817D5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408D51F6" w14:textId="7AC6B0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better define risk factors for infection </w:t>
            </w:r>
            <w:r w:rsidRPr="00251EA9">
              <w:rPr>
                <w:rFonts w:ascii="Arial" w:hAnsi="Arial" w:cs="Arial"/>
                <w:sz w:val="15"/>
                <w:szCs w:val="15"/>
              </w:rPr>
              <w:lastRenderedPageBreak/>
              <w:t xml:space="preserve">post-operatively for DBS insertion. </w:t>
            </w:r>
          </w:p>
        </w:tc>
        <w:tc>
          <w:tcPr>
            <w:tcW w:w="1134" w:type="dxa"/>
          </w:tcPr>
          <w:p w14:paraId="088E2E66" w14:textId="3375CD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w:t>
            </w:r>
          </w:p>
        </w:tc>
        <w:tc>
          <w:tcPr>
            <w:tcW w:w="992" w:type="dxa"/>
          </w:tcPr>
          <w:p w14:paraId="5196C556" w14:textId="298401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01D5C9F" w14:textId="4D58E6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National Surgical Quality Improvement Program (NSQIP) </w:t>
            </w:r>
            <w:r w:rsidRPr="00251EA9">
              <w:rPr>
                <w:rFonts w:ascii="Arial" w:hAnsi="Arial" w:cs="Arial"/>
                <w:sz w:val="15"/>
                <w:szCs w:val="15"/>
              </w:rPr>
              <w:lastRenderedPageBreak/>
              <w:t>definition of SSI: occur within 30 days after surgery and</w:t>
            </w:r>
            <w:r w:rsidRPr="00251EA9">
              <w:rPr>
                <w:rFonts w:ascii="Arial" w:hAnsi="Arial" w:cs="Arial"/>
                <w:sz w:val="15"/>
                <w:szCs w:val="15"/>
              </w:rPr>
              <w:br/>
              <w:t>include at least one of the following:</w:t>
            </w:r>
            <w:r w:rsidRPr="00251EA9">
              <w:rPr>
                <w:rFonts w:ascii="Arial" w:hAnsi="Arial" w:cs="Arial"/>
                <w:sz w:val="15"/>
                <w:szCs w:val="15"/>
              </w:rPr>
              <w:br/>
              <w:t>1.</w:t>
            </w:r>
            <w:r w:rsidRPr="00251EA9">
              <w:rPr>
                <w:rFonts w:ascii="Arial" w:hAnsi="Arial" w:cs="Arial"/>
                <w:b/>
                <w:bCs/>
                <w:sz w:val="15"/>
                <w:szCs w:val="15"/>
              </w:rPr>
              <w:t xml:space="preserve"> </w:t>
            </w:r>
            <w:r w:rsidRPr="00251EA9">
              <w:rPr>
                <w:rFonts w:ascii="Arial" w:hAnsi="Arial" w:cs="Arial"/>
                <w:sz w:val="15"/>
                <w:szCs w:val="15"/>
              </w:rPr>
              <w:t>Purulent drainage, with or without laboratory</w:t>
            </w:r>
            <w:r w:rsidR="00093CBD">
              <w:rPr>
                <w:rFonts w:ascii="Arial" w:hAnsi="Arial" w:cs="Arial"/>
                <w:sz w:val="15"/>
                <w:szCs w:val="15"/>
              </w:rPr>
              <w:t xml:space="preserve"> </w:t>
            </w:r>
            <w:r w:rsidRPr="00251EA9">
              <w:rPr>
                <w:rFonts w:ascii="Arial" w:hAnsi="Arial" w:cs="Arial"/>
                <w:sz w:val="15"/>
                <w:szCs w:val="15"/>
              </w:rPr>
              <w:t>confirmation, surrounding the generator, extension or generator site;</w:t>
            </w:r>
            <w:r w:rsidRPr="00251EA9">
              <w:rPr>
                <w:rFonts w:ascii="Arial" w:hAnsi="Arial" w:cs="Arial"/>
                <w:sz w:val="15"/>
                <w:szCs w:val="15"/>
              </w:rPr>
              <w:br/>
              <w:t>2. Organisms isolated from an aseptically obtained culture of fluid or tissue from the site of interest, or</w:t>
            </w:r>
            <w:r w:rsidRPr="00251EA9">
              <w:rPr>
                <w:rFonts w:ascii="Arial" w:hAnsi="Arial" w:cs="Arial"/>
                <w:sz w:val="15"/>
                <w:szCs w:val="15"/>
              </w:rPr>
              <w:br/>
              <w:t>3. one of the following signs or symptoms of infection:</w:t>
            </w:r>
            <w:r w:rsidR="00093CBD">
              <w:rPr>
                <w:rFonts w:ascii="Arial" w:hAnsi="Arial" w:cs="Arial"/>
                <w:sz w:val="15"/>
                <w:szCs w:val="15"/>
              </w:rPr>
              <w:t xml:space="preserve"> </w:t>
            </w:r>
            <w:r w:rsidRPr="00251EA9">
              <w:rPr>
                <w:rFonts w:ascii="Arial" w:hAnsi="Arial" w:cs="Arial"/>
                <w:sz w:val="15"/>
                <w:szCs w:val="15"/>
              </w:rPr>
              <w:t>pain or tenderness, localised swelling, redness, or heat and site is</w:t>
            </w:r>
            <w:r w:rsidR="00093CBD">
              <w:rPr>
                <w:rFonts w:ascii="Arial" w:hAnsi="Arial" w:cs="Arial"/>
                <w:sz w:val="15"/>
                <w:szCs w:val="15"/>
              </w:rPr>
              <w:t xml:space="preserve"> </w:t>
            </w:r>
            <w:r w:rsidRPr="00251EA9">
              <w:rPr>
                <w:rFonts w:ascii="Arial" w:hAnsi="Arial" w:cs="Arial"/>
                <w:sz w:val="15"/>
                <w:szCs w:val="15"/>
              </w:rPr>
              <w:t>deliberately opened by the surgeon.</w:t>
            </w:r>
          </w:p>
        </w:tc>
        <w:tc>
          <w:tcPr>
            <w:tcW w:w="2693" w:type="dxa"/>
          </w:tcPr>
          <w:p w14:paraId="2176F437" w14:textId="6082E1D8" w:rsidR="006E5533" w:rsidRPr="00251EA9" w:rsidRDefault="006E5533" w:rsidP="006E5533">
            <w:pPr>
              <w:rPr>
                <w:rFonts w:ascii="Arial" w:hAnsi="Arial" w:cs="Arial"/>
                <w:sz w:val="15"/>
                <w:szCs w:val="15"/>
              </w:rPr>
            </w:pPr>
            <w:r w:rsidRPr="00251EA9">
              <w:rPr>
                <w:rFonts w:ascii="Arial" w:hAnsi="Arial" w:cs="Arial"/>
                <w:sz w:val="15"/>
                <w:szCs w:val="15"/>
              </w:rPr>
              <w:lastRenderedPageBreak/>
              <w:t>The total infection</w:t>
            </w:r>
            <w:r w:rsidRPr="00251EA9">
              <w:rPr>
                <w:rFonts w:ascii="Arial" w:hAnsi="Arial" w:cs="Arial"/>
                <w:sz w:val="15"/>
                <w:szCs w:val="15"/>
              </w:rPr>
              <w:br/>
              <w:t>rate per patient during the analysis period was 5.82%</w:t>
            </w:r>
            <w:r w:rsidRPr="00251EA9">
              <w:rPr>
                <w:rFonts w:ascii="Arial" w:hAnsi="Arial" w:cs="Arial"/>
                <w:sz w:val="15"/>
                <w:szCs w:val="15"/>
              </w:rPr>
              <w:br/>
              <w:t xml:space="preserve">(26 out of 447 cases), but only 9 </w:t>
            </w:r>
            <w:r w:rsidRPr="00251EA9">
              <w:rPr>
                <w:rFonts w:ascii="Arial" w:hAnsi="Arial" w:cs="Arial"/>
                <w:sz w:val="15"/>
                <w:szCs w:val="15"/>
              </w:rPr>
              <w:lastRenderedPageBreak/>
              <w:t>patients met the formal NSQIP definition of DBS surgical site infection due to occurrence of</w:t>
            </w:r>
            <w:r w:rsidRPr="00251EA9">
              <w:rPr>
                <w:rFonts w:ascii="Arial" w:hAnsi="Arial" w:cs="Arial"/>
                <w:sz w:val="15"/>
                <w:szCs w:val="15"/>
              </w:rPr>
              <w:br/>
              <w:t xml:space="preserve">infection within 30 days postoperatively, giving a rate of 2.01%. </w:t>
            </w:r>
          </w:p>
        </w:tc>
        <w:tc>
          <w:tcPr>
            <w:tcW w:w="1701" w:type="dxa"/>
          </w:tcPr>
          <w:p w14:paraId="7AEE78BE"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Yes: "it is difficult to compare percentages directly because </w:t>
            </w:r>
            <w:r w:rsidRPr="00251EA9">
              <w:rPr>
                <w:rFonts w:ascii="Arial" w:hAnsi="Arial" w:cs="Arial"/>
                <w:sz w:val="15"/>
                <w:szCs w:val="15"/>
              </w:rPr>
              <w:lastRenderedPageBreak/>
              <w:t xml:space="preserve">different authors use a variety of criteria to define postsurgical DBS infection” </w:t>
            </w:r>
          </w:p>
          <w:p w14:paraId="6B839B26" w14:textId="181F117C" w:rsidR="006E5533" w:rsidRPr="00251EA9" w:rsidRDefault="006E5533" w:rsidP="006E5533">
            <w:pPr>
              <w:spacing w:line="360" w:lineRule="auto"/>
              <w:contextualSpacing/>
              <w:rPr>
                <w:rFonts w:ascii="Arial" w:hAnsi="Arial" w:cs="Arial"/>
                <w:sz w:val="15"/>
                <w:szCs w:val="15"/>
              </w:rPr>
            </w:pPr>
          </w:p>
        </w:tc>
      </w:tr>
      <w:tr w:rsidR="006E5533" w:rsidRPr="00251EA9" w14:paraId="6C55CD30" w14:textId="77777777" w:rsidTr="00A77951">
        <w:trPr>
          <w:trHeight w:val="586"/>
        </w:trPr>
        <w:tc>
          <w:tcPr>
            <w:tcW w:w="992" w:type="dxa"/>
          </w:tcPr>
          <w:p w14:paraId="52AAAA08" w14:textId="692D4ED6"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Tomatis</w:t>
            </w:r>
            <w:proofErr w:type="spellEnd"/>
            <w:r w:rsidRPr="00251EA9">
              <w:rPr>
                <w:rFonts w:ascii="Arial" w:hAnsi="Arial" w:cs="Arial"/>
                <w:sz w:val="15"/>
                <w:szCs w:val="15"/>
              </w:rPr>
              <w:t xml:space="preserve"> A. et al., 2019</w:t>
            </w:r>
          </w:p>
        </w:tc>
        <w:tc>
          <w:tcPr>
            <w:tcW w:w="851" w:type="dxa"/>
          </w:tcPr>
          <w:p w14:paraId="2EA61E92" w14:textId="39968305" w:rsidR="006E5533" w:rsidRPr="00A77951" w:rsidRDefault="006E5533" w:rsidP="006E5533">
            <w:pPr>
              <w:spacing w:line="360" w:lineRule="auto"/>
              <w:contextualSpacing/>
              <w:rPr>
                <w:rFonts w:ascii="Arial" w:hAnsi="Arial" w:cs="Arial"/>
                <w:sz w:val="15"/>
                <w:szCs w:val="15"/>
              </w:rPr>
            </w:pPr>
            <w:hyperlink r:id="rId299" w:tgtFrame="_blank" w:history="1">
              <w:r w:rsidRPr="00A77951">
                <w:rPr>
                  <w:rStyle w:val="Hyperlink"/>
                  <w:rFonts w:ascii="Arial" w:hAnsi="Arial" w:cs="Arial"/>
                  <w:sz w:val="15"/>
                  <w:szCs w:val="15"/>
                </w:rPr>
                <w:t>10.1016/j.wneu.2019.06.150</w:t>
              </w:r>
            </w:hyperlink>
          </w:p>
        </w:tc>
        <w:tc>
          <w:tcPr>
            <w:tcW w:w="851" w:type="dxa"/>
          </w:tcPr>
          <w:p w14:paraId="7849E9CB" w14:textId="3AA08A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469AF85F" w14:textId="7D55C1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2373671" w14:textId="765480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B307666" w14:textId="75FDEB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6D3B0FBA" w14:textId="4B5B0C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review the clinical and radiological outcomes of clipped ruptured and unruptured aneurysms. To analyse the relationship between</w:t>
            </w:r>
            <w:r w:rsidRPr="00251EA9">
              <w:rPr>
                <w:rFonts w:ascii="Arial" w:hAnsi="Arial" w:cs="Arial"/>
                <w:sz w:val="15"/>
                <w:szCs w:val="15"/>
              </w:rPr>
              <w:br/>
              <w:t>increasing surgical experience and the operative time, recovery</w:t>
            </w:r>
            <w:r w:rsidRPr="00251EA9">
              <w:rPr>
                <w:rFonts w:ascii="Arial" w:hAnsi="Arial" w:cs="Arial"/>
                <w:sz w:val="15"/>
                <w:szCs w:val="15"/>
              </w:rPr>
              <w:br/>
            </w:r>
            <w:r w:rsidRPr="00251EA9">
              <w:rPr>
                <w:rFonts w:ascii="Arial" w:hAnsi="Arial" w:cs="Arial"/>
                <w:sz w:val="15"/>
                <w:szCs w:val="15"/>
              </w:rPr>
              <w:lastRenderedPageBreak/>
              <w:t>time, and clinical outcomes.</w:t>
            </w:r>
          </w:p>
        </w:tc>
        <w:tc>
          <w:tcPr>
            <w:tcW w:w="1134" w:type="dxa"/>
          </w:tcPr>
          <w:p w14:paraId="0DD74943" w14:textId="0857CF68" w:rsidR="006E5533" w:rsidRPr="00251EA9" w:rsidRDefault="006E5533" w:rsidP="006E5533">
            <w:pPr>
              <w:spacing w:line="360" w:lineRule="auto"/>
              <w:contextualSpacing/>
              <w:rPr>
                <w:rFonts w:ascii="Arial" w:hAnsi="Arial" w:cs="Arial"/>
                <w:sz w:val="15"/>
                <w:szCs w:val="15"/>
              </w:rPr>
            </w:pPr>
          </w:p>
        </w:tc>
        <w:tc>
          <w:tcPr>
            <w:tcW w:w="992" w:type="dxa"/>
          </w:tcPr>
          <w:p w14:paraId="17223807" w14:textId="374C6B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6CC3039" w14:textId="37FAB0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262BFB8" w14:textId="66624C8E" w:rsidR="006E5533" w:rsidRPr="00251EA9" w:rsidRDefault="006E5533" w:rsidP="006E5533">
            <w:pPr>
              <w:rPr>
                <w:rFonts w:ascii="Arial" w:hAnsi="Arial" w:cs="Arial"/>
                <w:sz w:val="15"/>
                <w:szCs w:val="15"/>
              </w:rPr>
            </w:pPr>
            <w:r w:rsidRPr="00251EA9">
              <w:rPr>
                <w:rFonts w:ascii="Arial" w:hAnsi="Arial" w:cs="Arial"/>
                <w:sz w:val="15"/>
                <w:szCs w:val="15"/>
              </w:rPr>
              <w:t xml:space="preserve">1 case wound infection reported. </w:t>
            </w:r>
          </w:p>
        </w:tc>
        <w:tc>
          <w:tcPr>
            <w:tcW w:w="1701" w:type="dxa"/>
          </w:tcPr>
          <w:p w14:paraId="1161B47D" w14:textId="359DD7A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FB1F7FD" w14:textId="77777777" w:rsidTr="00A77951">
        <w:trPr>
          <w:trHeight w:val="586"/>
        </w:trPr>
        <w:tc>
          <w:tcPr>
            <w:tcW w:w="992" w:type="dxa"/>
          </w:tcPr>
          <w:p w14:paraId="3F080C82" w14:textId="6438C0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Torres S. et al., 2018</w:t>
            </w:r>
          </w:p>
        </w:tc>
        <w:tc>
          <w:tcPr>
            <w:tcW w:w="851" w:type="dxa"/>
          </w:tcPr>
          <w:p w14:paraId="444F312B" w14:textId="5E2D3B4B" w:rsidR="006E5533" w:rsidRPr="00A77951" w:rsidRDefault="006E5533" w:rsidP="006E5533">
            <w:pPr>
              <w:spacing w:line="360" w:lineRule="auto"/>
              <w:contextualSpacing/>
              <w:rPr>
                <w:rFonts w:ascii="Arial" w:hAnsi="Arial" w:cs="Arial"/>
                <w:sz w:val="15"/>
                <w:szCs w:val="15"/>
              </w:rPr>
            </w:pPr>
            <w:hyperlink r:id="rId300" w:tgtFrame="_blank" w:history="1">
              <w:r w:rsidRPr="00A77951">
                <w:rPr>
                  <w:rStyle w:val="Hyperlink"/>
                  <w:rFonts w:ascii="Arial" w:hAnsi="Arial" w:cs="Arial"/>
                  <w:sz w:val="15"/>
                  <w:szCs w:val="15"/>
                </w:rPr>
                <w:t>10.1016/j.bjid.2018.08.001</w:t>
              </w:r>
            </w:hyperlink>
          </w:p>
        </w:tc>
        <w:tc>
          <w:tcPr>
            <w:tcW w:w="851" w:type="dxa"/>
          </w:tcPr>
          <w:p w14:paraId="32D49C63" w14:textId="78314F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Brazil</w:t>
            </w:r>
          </w:p>
        </w:tc>
        <w:tc>
          <w:tcPr>
            <w:tcW w:w="1134" w:type="dxa"/>
          </w:tcPr>
          <w:p w14:paraId="21804E8B" w14:textId="29E6D8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251F666" w14:textId="6297A0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D6680F8" w14:textId="45363A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506E82BC" w14:textId="5941BC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incidence of SSI in patients undergoing craniotomy and to compare 12-month and 3-month post-discharge surveillance periods in terms of their impact on the incidence of SSI in those patients.</w:t>
            </w:r>
          </w:p>
        </w:tc>
        <w:tc>
          <w:tcPr>
            <w:tcW w:w="1134" w:type="dxa"/>
          </w:tcPr>
          <w:p w14:paraId="3A9A3B9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9EBF846" w14:textId="40B84D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CA08405" w14:textId="55169F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34F5B7EA" w14:textId="5E83A961" w:rsidR="006E5533" w:rsidRPr="00251EA9" w:rsidRDefault="006E5533" w:rsidP="006E5533">
            <w:pPr>
              <w:rPr>
                <w:rFonts w:ascii="Arial" w:hAnsi="Arial" w:cs="Arial"/>
                <w:sz w:val="15"/>
                <w:szCs w:val="15"/>
              </w:rPr>
            </w:pPr>
            <w:r w:rsidRPr="00251EA9">
              <w:rPr>
                <w:rFonts w:ascii="Arial" w:hAnsi="Arial" w:cs="Arial"/>
                <w:sz w:val="15"/>
                <w:szCs w:val="15"/>
              </w:rPr>
              <w:t xml:space="preserve">Of the 173 patients undergoing craniotomy during the study period, 20 developed an SSI during the first 12 months after discharge with an overall incidence of SSI of 11.56%. Of the 20 SSIs identified, 13 (65%) were organ-space infections, 4 (20%) were superficial incisional infections, and 3 (15%) were deep incisional infections. </w:t>
            </w:r>
          </w:p>
        </w:tc>
        <w:tc>
          <w:tcPr>
            <w:tcW w:w="1701" w:type="dxa"/>
          </w:tcPr>
          <w:p w14:paraId="519D6ED6" w14:textId="052FB5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7E2A8C9" w14:textId="77777777" w:rsidTr="00A77951">
        <w:trPr>
          <w:trHeight w:val="586"/>
        </w:trPr>
        <w:tc>
          <w:tcPr>
            <w:tcW w:w="992" w:type="dxa"/>
          </w:tcPr>
          <w:p w14:paraId="242E2BC2" w14:textId="084FB2E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Trinh V. et al., 2015</w:t>
            </w:r>
          </w:p>
        </w:tc>
        <w:tc>
          <w:tcPr>
            <w:tcW w:w="851" w:type="dxa"/>
          </w:tcPr>
          <w:p w14:paraId="791B5BD3" w14:textId="08489C58" w:rsidR="006E5533" w:rsidRPr="00A77951" w:rsidRDefault="006E5533" w:rsidP="006E5533">
            <w:pPr>
              <w:spacing w:line="360" w:lineRule="auto"/>
              <w:contextualSpacing/>
              <w:rPr>
                <w:rFonts w:ascii="Arial" w:hAnsi="Arial" w:cs="Arial"/>
                <w:sz w:val="15"/>
                <w:szCs w:val="15"/>
              </w:rPr>
            </w:pPr>
            <w:hyperlink r:id="rId301" w:tgtFrame="_blank"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9.JNS</w:t>
              </w:r>
              <w:proofErr w:type="gramEnd"/>
              <w:r w:rsidRPr="00A77951">
                <w:rPr>
                  <w:rStyle w:val="Hyperlink"/>
                  <w:rFonts w:ascii="Arial" w:hAnsi="Arial" w:cs="Arial"/>
                  <w:sz w:val="15"/>
                  <w:szCs w:val="15"/>
                </w:rPr>
                <w:t>131648</w:t>
              </w:r>
            </w:hyperlink>
          </w:p>
        </w:tc>
        <w:tc>
          <w:tcPr>
            <w:tcW w:w="851" w:type="dxa"/>
          </w:tcPr>
          <w:p w14:paraId="1A5179EF" w14:textId="02072A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2BF921A" w14:textId="7B38B6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A54C5D6" w14:textId="5C707F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1368D24" w14:textId="4C6BDEB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4D17539" w14:textId="556BEC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examine how procedural volume and patient demographics impact complication rates and value of care in those who underwent biopsy or craniotomy for supratentorial primary brain tumours.</w:t>
            </w:r>
          </w:p>
        </w:tc>
        <w:tc>
          <w:tcPr>
            <w:tcW w:w="1134" w:type="dxa"/>
          </w:tcPr>
          <w:p w14:paraId="428AC8B3" w14:textId="4ECA39D5" w:rsidR="006E5533" w:rsidRPr="00251EA9" w:rsidRDefault="006E5533" w:rsidP="006E5533">
            <w:pPr>
              <w:spacing w:line="360" w:lineRule="auto"/>
              <w:contextualSpacing/>
              <w:rPr>
                <w:rFonts w:ascii="Arial" w:hAnsi="Arial" w:cs="Arial"/>
                <w:sz w:val="15"/>
                <w:szCs w:val="15"/>
              </w:rPr>
            </w:pPr>
          </w:p>
        </w:tc>
        <w:tc>
          <w:tcPr>
            <w:tcW w:w="992" w:type="dxa"/>
          </w:tcPr>
          <w:p w14:paraId="61424F52" w14:textId="1E1BFF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7E9E3E4" w14:textId="49583C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2D87944" w14:textId="49AA1282" w:rsidR="006E5533" w:rsidRPr="00251EA9" w:rsidRDefault="006E5533" w:rsidP="006E5533">
            <w:pPr>
              <w:rPr>
                <w:rFonts w:ascii="Arial" w:hAnsi="Arial" w:cs="Arial"/>
                <w:sz w:val="15"/>
                <w:szCs w:val="15"/>
              </w:rPr>
            </w:pPr>
            <w:r w:rsidRPr="00251EA9">
              <w:rPr>
                <w:rFonts w:ascii="Arial" w:hAnsi="Arial" w:cs="Arial"/>
                <w:sz w:val="15"/>
                <w:szCs w:val="15"/>
              </w:rPr>
              <w:t xml:space="preserve">0.8% rate of wound infections reported. </w:t>
            </w:r>
          </w:p>
        </w:tc>
        <w:tc>
          <w:tcPr>
            <w:tcW w:w="1701" w:type="dxa"/>
          </w:tcPr>
          <w:p w14:paraId="75B124EE" w14:textId="15F0C4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EDEDF96" w14:textId="77777777" w:rsidTr="00A77951">
        <w:trPr>
          <w:trHeight w:val="586"/>
        </w:trPr>
        <w:tc>
          <w:tcPr>
            <w:tcW w:w="992" w:type="dxa"/>
          </w:tcPr>
          <w:p w14:paraId="49FD2106" w14:textId="4DC521F9"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Trungu</w:t>
            </w:r>
            <w:proofErr w:type="spellEnd"/>
            <w:r w:rsidRPr="00251EA9">
              <w:rPr>
                <w:rFonts w:ascii="Arial" w:hAnsi="Arial" w:cs="Arial"/>
                <w:sz w:val="15"/>
                <w:szCs w:val="15"/>
              </w:rPr>
              <w:t xml:space="preserve"> S. et al., 2022</w:t>
            </w:r>
          </w:p>
        </w:tc>
        <w:tc>
          <w:tcPr>
            <w:tcW w:w="851" w:type="dxa"/>
          </w:tcPr>
          <w:p w14:paraId="484F72FE" w14:textId="64A28541" w:rsidR="006E5533" w:rsidRPr="00A77951" w:rsidRDefault="006E5533" w:rsidP="006E5533">
            <w:pPr>
              <w:spacing w:line="360" w:lineRule="auto"/>
              <w:contextualSpacing/>
              <w:rPr>
                <w:rFonts w:ascii="Arial" w:hAnsi="Arial" w:cs="Arial"/>
                <w:sz w:val="15"/>
                <w:szCs w:val="15"/>
              </w:rPr>
            </w:pPr>
            <w:hyperlink r:id="rId302" w:tgtFrame="_blank" w:history="1">
              <w:r w:rsidRPr="00A77951">
                <w:rPr>
                  <w:rStyle w:val="Hyperlink"/>
                  <w:rFonts w:ascii="Arial" w:hAnsi="Arial" w:cs="Arial"/>
                  <w:sz w:val="15"/>
                  <w:szCs w:val="15"/>
                </w:rPr>
                <w:t>10.3390/jcm11051286</w:t>
              </w:r>
            </w:hyperlink>
          </w:p>
        </w:tc>
        <w:tc>
          <w:tcPr>
            <w:tcW w:w="851" w:type="dxa"/>
          </w:tcPr>
          <w:p w14:paraId="0EE8C544" w14:textId="0151697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12E46C44" w14:textId="72C3E54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601A26C5" w14:textId="7B8EB8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64E4B00" w14:textId="5BF313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64A02D5E" w14:textId="60B17A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clinical outcomes of shunting in normal pressure hydrocephalus following a new standardised protocol.</w:t>
            </w:r>
          </w:p>
        </w:tc>
        <w:tc>
          <w:tcPr>
            <w:tcW w:w="1134" w:type="dxa"/>
          </w:tcPr>
          <w:p w14:paraId="6FF95E57" w14:textId="3F198F20" w:rsidR="006E5533" w:rsidRPr="00251EA9" w:rsidRDefault="006E5533" w:rsidP="006E5533">
            <w:pPr>
              <w:spacing w:line="360" w:lineRule="auto"/>
              <w:contextualSpacing/>
              <w:rPr>
                <w:rFonts w:ascii="Arial" w:hAnsi="Arial" w:cs="Arial"/>
                <w:sz w:val="15"/>
                <w:szCs w:val="15"/>
              </w:rPr>
            </w:pPr>
          </w:p>
        </w:tc>
        <w:tc>
          <w:tcPr>
            <w:tcW w:w="992" w:type="dxa"/>
          </w:tcPr>
          <w:p w14:paraId="4CA51EB9" w14:textId="2E90C1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598876E" w14:textId="3C6654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7907A33" w14:textId="24D5ECB3" w:rsidR="006E5533" w:rsidRPr="00251EA9" w:rsidRDefault="006E5533" w:rsidP="006E5533">
            <w:pPr>
              <w:rPr>
                <w:rFonts w:ascii="Arial" w:hAnsi="Arial" w:cs="Arial"/>
                <w:sz w:val="15"/>
                <w:szCs w:val="15"/>
              </w:rPr>
            </w:pPr>
            <w:r w:rsidRPr="00251EA9">
              <w:rPr>
                <w:rFonts w:ascii="Arial" w:hAnsi="Arial" w:cs="Arial"/>
                <w:sz w:val="15"/>
                <w:szCs w:val="15"/>
              </w:rPr>
              <w:t xml:space="preserve">2 patients had a wound infection reported. </w:t>
            </w:r>
          </w:p>
        </w:tc>
        <w:tc>
          <w:tcPr>
            <w:tcW w:w="1701" w:type="dxa"/>
          </w:tcPr>
          <w:p w14:paraId="7CACDE73" w14:textId="4849C1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3790651" w14:textId="77777777" w:rsidTr="00A77951">
        <w:trPr>
          <w:trHeight w:val="586"/>
        </w:trPr>
        <w:tc>
          <w:tcPr>
            <w:tcW w:w="992" w:type="dxa"/>
          </w:tcPr>
          <w:p w14:paraId="24E8A241" w14:textId="25F968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Tsang A.C.O. et al., 2015</w:t>
            </w:r>
          </w:p>
        </w:tc>
        <w:tc>
          <w:tcPr>
            <w:tcW w:w="851" w:type="dxa"/>
          </w:tcPr>
          <w:p w14:paraId="0957B15F" w14:textId="49DEEBAD" w:rsidR="006E5533" w:rsidRPr="00A77951" w:rsidRDefault="006E5533" w:rsidP="006E5533">
            <w:pPr>
              <w:spacing w:line="360" w:lineRule="auto"/>
              <w:contextualSpacing/>
              <w:rPr>
                <w:rFonts w:ascii="Arial" w:hAnsi="Arial" w:cs="Arial"/>
                <w:sz w:val="15"/>
                <w:szCs w:val="15"/>
              </w:rPr>
            </w:pPr>
            <w:hyperlink r:id="rId303" w:tgtFrame="_blank" w:history="1">
              <w:r w:rsidRPr="00A77951">
                <w:rPr>
                  <w:rStyle w:val="Hyperlink"/>
                  <w:rFonts w:ascii="Arial" w:hAnsi="Arial" w:cs="Arial"/>
                  <w:sz w:val="15"/>
                  <w:szCs w:val="15"/>
                </w:rPr>
                <w:t>10.1016/j.jocn.2014.11.021</w:t>
              </w:r>
            </w:hyperlink>
          </w:p>
        </w:tc>
        <w:tc>
          <w:tcPr>
            <w:tcW w:w="851" w:type="dxa"/>
          </w:tcPr>
          <w:p w14:paraId="0BA5591B" w14:textId="6A18213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Hong Kong</w:t>
            </w:r>
          </w:p>
        </w:tc>
        <w:tc>
          <w:tcPr>
            <w:tcW w:w="1134" w:type="dxa"/>
          </w:tcPr>
          <w:p w14:paraId="615821D8" w14:textId="29B781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D174EC9" w14:textId="5AAAE8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2363D66" w14:textId="7A2170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05DE5DBB" w14:textId="1847F2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review all post-cranioplasties performed in a single institution with a view to identify complications and their predisposing factors.</w:t>
            </w:r>
          </w:p>
        </w:tc>
        <w:tc>
          <w:tcPr>
            <w:tcW w:w="1134" w:type="dxa"/>
          </w:tcPr>
          <w:p w14:paraId="3EBE831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2DB7A6A7" w14:textId="09F244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9812F54" w14:textId="03ACD5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C01A179" w14:textId="108A8E9B" w:rsidR="006E5533" w:rsidRPr="00251EA9" w:rsidRDefault="006E5533" w:rsidP="006E5533">
            <w:pPr>
              <w:rPr>
                <w:rFonts w:ascii="Arial" w:hAnsi="Arial" w:cs="Arial"/>
                <w:sz w:val="15"/>
                <w:szCs w:val="15"/>
              </w:rPr>
            </w:pPr>
            <w:r w:rsidRPr="00251EA9">
              <w:rPr>
                <w:rFonts w:ascii="Arial" w:hAnsi="Arial" w:cs="Arial"/>
                <w:sz w:val="15"/>
                <w:szCs w:val="15"/>
              </w:rPr>
              <w:t>9.3% infection rate reported.</w:t>
            </w:r>
          </w:p>
        </w:tc>
        <w:tc>
          <w:tcPr>
            <w:tcW w:w="1701" w:type="dxa"/>
          </w:tcPr>
          <w:p w14:paraId="159C97D2" w14:textId="04B816B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2AE05C5" w14:textId="77777777" w:rsidTr="00A77951">
        <w:trPr>
          <w:trHeight w:val="586"/>
        </w:trPr>
        <w:tc>
          <w:tcPr>
            <w:tcW w:w="992" w:type="dxa"/>
          </w:tcPr>
          <w:p w14:paraId="2FBF09AA" w14:textId="16FA531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Tunthanathip</w:t>
            </w:r>
            <w:proofErr w:type="spellEnd"/>
            <w:r w:rsidRPr="00251EA9">
              <w:rPr>
                <w:rFonts w:ascii="Arial" w:hAnsi="Arial" w:cs="Arial"/>
                <w:sz w:val="15"/>
                <w:szCs w:val="15"/>
              </w:rPr>
              <w:t xml:space="preserve"> T. et al., 2019</w:t>
            </w:r>
          </w:p>
        </w:tc>
        <w:tc>
          <w:tcPr>
            <w:tcW w:w="851" w:type="dxa"/>
          </w:tcPr>
          <w:p w14:paraId="162D6563" w14:textId="08041641" w:rsidR="006E5533" w:rsidRPr="00A77951" w:rsidRDefault="006E5533" w:rsidP="006E5533">
            <w:pPr>
              <w:spacing w:line="360" w:lineRule="auto"/>
              <w:contextualSpacing/>
              <w:rPr>
                <w:rFonts w:ascii="Arial" w:hAnsi="Arial" w:cs="Arial"/>
                <w:sz w:val="15"/>
                <w:szCs w:val="15"/>
              </w:rPr>
            </w:pPr>
            <w:hyperlink r:id="rId304" w:tgtFrame="_blank" w:history="1">
              <w:r w:rsidRPr="00A77951">
                <w:rPr>
                  <w:rStyle w:val="Hyperlink"/>
                  <w:rFonts w:ascii="Arial" w:hAnsi="Arial" w:cs="Arial"/>
                  <w:sz w:val="15"/>
                  <w:szCs w:val="15"/>
                </w:rPr>
                <w:t>10.3171/2019.</w:t>
              </w:r>
              <w:proofErr w:type="gramStart"/>
              <w:r w:rsidRPr="00A77951">
                <w:rPr>
                  <w:rStyle w:val="Hyperlink"/>
                  <w:rFonts w:ascii="Arial" w:hAnsi="Arial" w:cs="Arial"/>
                  <w:sz w:val="15"/>
                  <w:szCs w:val="15"/>
                </w:rPr>
                <w:t>5.FOCUS</w:t>
              </w:r>
              <w:proofErr w:type="gramEnd"/>
              <w:r w:rsidRPr="00A77951">
                <w:rPr>
                  <w:rStyle w:val="Hyperlink"/>
                  <w:rFonts w:ascii="Arial" w:hAnsi="Arial" w:cs="Arial"/>
                  <w:sz w:val="15"/>
                  <w:szCs w:val="15"/>
                </w:rPr>
                <w:t>19241</w:t>
              </w:r>
            </w:hyperlink>
          </w:p>
        </w:tc>
        <w:tc>
          <w:tcPr>
            <w:tcW w:w="851" w:type="dxa"/>
          </w:tcPr>
          <w:p w14:paraId="4EE299DF" w14:textId="59FC7F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Thailand</w:t>
            </w:r>
          </w:p>
        </w:tc>
        <w:tc>
          <w:tcPr>
            <w:tcW w:w="1134" w:type="dxa"/>
          </w:tcPr>
          <w:p w14:paraId="6635D50E" w14:textId="306E40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A3B5A25" w14:textId="699CA8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1FE120A" w14:textId="71415E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5B06BFE1" w14:textId="05D661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performance of various machine learning models in terms of predicting surgical infection after neurosurgical operations.</w:t>
            </w:r>
          </w:p>
        </w:tc>
        <w:tc>
          <w:tcPr>
            <w:tcW w:w="1134" w:type="dxa"/>
          </w:tcPr>
          <w:p w14:paraId="2CFC080F"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BCE01D0" w14:textId="6FDBB3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92864A7" w14:textId="20AA7E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Centre for Disease Control and Prevention Guidelines/ National Healthcare Safety Network Surveillance </w:t>
            </w:r>
            <w:r w:rsidR="00471273">
              <w:rPr>
                <w:rFonts w:ascii="Arial" w:hAnsi="Arial" w:cs="Arial"/>
                <w:sz w:val="15"/>
                <w:szCs w:val="15"/>
              </w:rPr>
              <w:t>D</w:t>
            </w:r>
            <w:r w:rsidRPr="00251EA9">
              <w:rPr>
                <w:rFonts w:ascii="Arial" w:hAnsi="Arial" w:cs="Arial"/>
                <w:sz w:val="15"/>
                <w:szCs w:val="15"/>
              </w:rPr>
              <w:t>efinitions.</w:t>
            </w:r>
          </w:p>
        </w:tc>
        <w:tc>
          <w:tcPr>
            <w:tcW w:w="2693" w:type="dxa"/>
          </w:tcPr>
          <w:p w14:paraId="6DAA1735" w14:textId="75FEC9B4" w:rsidR="006E5533" w:rsidRPr="00251EA9" w:rsidRDefault="006E5533" w:rsidP="006E5533">
            <w:pPr>
              <w:rPr>
                <w:rFonts w:ascii="Arial" w:hAnsi="Arial" w:cs="Arial"/>
                <w:sz w:val="15"/>
                <w:szCs w:val="15"/>
              </w:rPr>
            </w:pPr>
            <w:r w:rsidRPr="00251EA9">
              <w:rPr>
                <w:rFonts w:ascii="Arial" w:hAnsi="Arial" w:cs="Arial"/>
                <w:sz w:val="15"/>
                <w:szCs w:val="15"/>
              </w:rPr>
              <w:t>Data were available for 1471 patients in the study period. The SSI rate was 4.6%, and the type of SSI was</w:t>
            </w:r>
            <w:r w:rsidRPr="00251EA9">
              <w:rPr>
                <w:rFonts w:ascii="Arial" w:hAnsi="Arial" w:cs="Arial"/>
                <w:sz w:val="15"/>
                <w:szCs w:val="15"/>
              </w:rPr>
              <w:br/>
              <w:t xml:space="preserve">superficial, deep, and organ/space in 1.2%, 0.8%, and 2.6% of cases, respectively. </w:t>
            </w:r>
          </w:p>
        </w:tc>
        <w:tc>
          <w:tcPr>
            <w:tcW w:w="1701" w:type="dxa"/>
          </w:tcPr>
          <w:p w14:paraId="31494377" w14:textId="1E85B9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75D48A3" w14:textId="77777777" w:rsidTr="00A77951">
        <w:trPr>
          <w:trHeight w:val="586"/>
        </w:trPr>
        <w:tc>
          <w:tcPr>
            <w:tcW w:w="992" w:type="dxa"/>
          </w:tcPr>
          <w:p w14:paraId="49DB5E9D" w14:textId="3C046C5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Tzikos</w:t>
            </w:r>
            <w:proofErr w:type="spellEnd"/>
            <w:r w:rsidRPr="00251EA9">
              <w:rPr>
                <w:rFonts w:ascii="Arial" w:hAnsi="Arial" w:cs="Arial"/>
                <w:sz w:val="15"/>
                <w:szCs w:val="15"/>
              </w:rPr>
              <w:t xml:space="preserve"> G. et al., 2022</w:t>
            </w:r>
          </w:p>
        </w:tc>
        <w:tc>
          <w:tcPr>
            <w:tcW w:w="851" w:type="dxa"/>
          </w:tcPr>
          <w:p w14:paraId="539867FD" w14:textId="1FD67D41" w:rsidR="006E5533" w:rsidRPr="00A77951" w:rsidRDefault="006E5533" w:rsidP="006E5533">
            <w:pPr>
              <w:spacing w:line="360" w:lineRule="auto"/>
              <w:contextualSpacing/>
              <w:rPr>
                <w:rFonts w:ascii="Arial" w:hAnsi="Arial" w:cs="Arial"/>
                <w:sz w:val="15"/>
                <w:szCs w:val="15"/>
              </w:rPr>
            </w:pPr>
            <w:hyperlink r:id="rId305" w:tgtFrame="_blank" w:history="1">
              <w:r w:rsidRPr="00A77951">
                <w:rPr>
                  <w:rStyle w:val="Hyperlink"/>
                  <w:rFonts w:ascii="Arial" w:hAnsi="Arial" w:cs="Arial"/>
                  <w:sz w:val="15"/>
                  <w:szCs w:val="15"/>
                </w:rPr>
                <w:t>10.3390/nu14132620</w:t>
              </w:r>
            </w:hyperlink>
          </w:p>
        </w:tc>
        <w:tc>
          <w:tcPr>
            <w:tcW w:w="851" w:type="dxa"/>
          </w:tcPr>
          <w:p w14:paraId="7FC98958" w14:textId="7055CC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Greece</w:t>
            </w:r>
          </w:p>
        </w:tc>
        <w:tc>
          <w:tcPr>
            <w:tcW w:w="1134" w:type="dxa"/>
          </w:tcPr>
          <w:p w14:paraId="71A6ECC7" w14:textId="288BFE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BD67938" w14:textId="2394A9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DF5149C" w14:textId="44DCA4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1E249883" w14:textId="6203AD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efficacy of a four-probiotic regime to reduce the incidence of SSI in multi-trauma patients, with a brain injury included.</w:t>
            </w:r>
          </w:p>
        </w:tc>
        <w:tc>
          <w:tcPr>
            <w:tcW w:w="1134" w:type="dxa"/>
          </w:tcPr>
          <w:p w14:paraId="7CFBAC62" w14:textId="5D735569" w:rsidR="006E5533" w:rsidRPr="00251EA9" w:rsidRDefault="006E5533" w:rsidP="006E5533">
            <w:pPr>
              <w:spacing w:line="360" w:lineRule="auto"/>
              <w:contextualSpacing/>
              <w:rPr>
                <w:rFonts w:ascii="Arial" w:hAnsi="Arial" w:cs="Arial"/>
                <w:sz w:val="15"/>
                <w:szCs w:val="15"/>
              </w:rPr>
            </w:pPr>
          </w:p>
        </w:tc>
        <w:tc>
          <w:tcPr>
            <w:tcW w:w="992" w:type="dxa"/>
          </w:tcPr>
          <w:p w14:paraId="5E1120CA" w14:textId="778E657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223C285" w14:textId="0FEF40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40EA39B0" w14:textId="687A0027" w:rsidR="006E5533" w:rsidRPr="00251EA9" w:rsidRDefault="006E5533" w:rsidP="006E5533">
            <w:pPr>
              <w:rPr>
                <w:rFonts w:ascii="Arial" w:hAnsi="Arial" w:cs="Arial"/>
                <w:sz w:val="15"/>
                <w:szCs w:val="15"/>
              </w:rPr>
            </w:pPr>
            <w:r w:rsidRPr="00251EA9">
              <w:rPr>
                <w:rFonts w:ascii="Arial" w:hAnsi="Arial" w:cs="Arial"/>
                <w:sz w:val="15"/>
                <w:szCs w:val="15"/>
              </w:rPr>
              <w:t xml:space="preserve"> A total of 23 (46.0%) and 13 (24.5%) infectious insults in 89 (50 placebo patients) and 88 (53 probiotics-treated) operations were recorded, </w:t>
            </w:r>
            <w:proofErr w:type="gramStart"/>
            <w:r w:rsidRPr="00251EA9">
              <w:rPr>
                <w:rFonts w:ascii="Arial" w:hAnsi="Arial" w:cs="Arial"/>
                <w:sz w:val="15"/>
                <w:szCs w:val="15"/>
              </w:rPr>
              <w:t>the majority of</w:t>
            </w:r>
            <w:proofErr w:type="gramEnd"/>
            <w:r w:rsidRPr="00251EA9">
              <w:rPr>
                <w:rFonts w:ascii="Arial" w:hAnsi="Arial" w:cs="Arial"/>
                <w:sz w:val="15"/>
                <w:szCs w:val="15"/>
              </w:rPr>
              <w:t xml:space="preserve"> them relating to osteosynthesis. The prophylactic administration of probiotics in multi-trauma patients exerts a positive effect on the incidence of SSI.</w:t>
            </w:r>
          </w:p>
        </w:tc>
        <w:tc>
          <w:tcPr>
            <w:tcW w:w="1701" w:type="dxa"/>
          </w:tcPr>
          <w:p w14:paraId="74B3F8D0" w14:textId="52C874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4A2C69D" w14:textId="77777777" w:rsidTr="00A77951">
        <w:trPr>
          <w:trHeight w:val="586"/>
        </w:trPr>
        <w:tc>
          <w:tcPr>
            <w:tcW w:w="992" w:type="dxa"/>
          </w:tcPr>
          <w:p w14:paraId="75E1D5EA" w14:textId="54019F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Uche E.O. et al., 2013</w:t>
            </w:r>
          </w:p>
        </w:tc>
        <w:tc>
          <w:tcPr>
            <w:tcW w:w="851" w:type="dxa"/>
          </w:tcPr>
          <w:p w14:paraId="05AAA8A4" w14:textId="028FDE97" w:rsidR="006E5533" w:rsidRPr="00A77951" w:rsidRDefault="006E5533" w:rsidP="006E5533">
            <w:pPr>
              <w:spacing w:line="360" w:lineRule="auto"/>
              <w:contextualSpacing/>
              <w:rPr>
                <w:rFonts w:ascii="Arial" w:hAnsi="Arial" w:cs="Arial"/>
                <w:sz w:val="15"/>
                <w:szCs w:val="15"/>
              </w:rPr>
            </w:pPr>
            <w:hyperlink r:id="rId306" w:tgtFrame="_blank" w:history="1">
              <w:r w:rsidRPr="00A77951">
                <w:rPr>
                  <w:rStyle w:val="Hyperlink"/>
                  <w:rFonts w:ascii="Arial" w:hAnsi="Arial" w:cs="Arial"/>
                  <w:sz w:val="15"/>
                  <w:szCs w:val="15"/>
                </w:rPr>
                <w:t>10.1159/000357384</w:t>
              </w:r>
            </w:hyperlink>
          </w:p>
        </w:tc>
        <w:tc>
          <w:tcPr>
            <w:tcW w:w="851" w:type="dxa"/>
          </w:tcPr>
          <w:p w14:paraId="73D86E3C" w14:textId="25C484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Nigeria</w:t>
            </w:r>
          </w:p>
        </w:tc>
        <w:tc>
          <w:tcPr>
            <w:tcW w:w="1134" w:type="dxa"/>
          </w:tcPr>
          <w:p w14:paraId="5109FA4B" w14:textId="093438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6D3EAE3" w14:textId="7D2DCB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0AE6BF90" w14:textId="6B2E97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Paediatric/ CSF dynamics </w:t>
            </w:r>
          </w:p>
        </w:tc>
        <w:tc>
          <w:tcPr>
            <w:tcW w:w="1843" w:type="dxa"/>
          </w:tcPr>
          <w:p w14:paraId="514FBA86" w14:textId="76FE48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determinants of shunt infection (SI), the microbial and treatment patterns, and the</w:t>
            </w:r>
            <w:r w:rsidRPr="00251EA9">
              <w:rPr>
                <w:rFonts w:ascii="Arial" w:hAnsi="Arial" w:cs="Arial"/>
                <w:sz w:val="15"/>
                <w:szCs w:val="15"/>
              </w:rPr>
              <w:br/>
              <w:t>outcome of treatment.</w:t>
            </w:r>
          </w:p>
        </w:tc>
        <w:tc>
          <w:tcPr>
            <w:tcW w:w="1134" w:type="dxa"/>
          </w:tcPr>
          <w:p w14:paraId="7AB37DE5"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2F1A484" w14:textId="7FB92B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B412C34" w14:textId="4877C2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CSF and shunt component culture or other supportive</w:t>
            </w:r>
            <w:r w:rsidR="00F451E4">
              <w:rPr>
                <w:rFonts w:ascii="Arial" w:hAnsi="Arial" w:cs="Arial"/>
                <w:sz w:val="15"/>
                <w:szCs w:val="15"/>
              </w:rPr>
              <w:t xml:space="preserve"> </w:t>
            </w:r>
            <w:r w:rsidRPr="00251EA9">
              <w:rPr>
                <w:rFonts w:ascii="Arial" w:hAnsi="Arial" w:cs="Arial"/>
                <w:sz w:val="15"/>
                <w:szCs w:val="15"/>
              </w:rPr>
              <w:t>CSF or</w:t>
            </w:r>
            <w:r w:rsidR="00FE3469">
              <w:rPr>
                <w:rFonts w:ascii="Arial" w:hAnsi="Arial" w:cs="Arial"/>
                <w:sz w:val="15"/>
                <w:szCs w:val="15"/>
              </w:rPr>
              <w:t xml:space="preserve"> </w:t>
            </w:r>
            <w:r w:rsidRPr="00251EA9">
              <w:rPr>
                <w:rFonts w:ascii="Arial" w:hAnsi="Arial" w:cs="Arial"/>
                <w:sz w:val="15"/>
                <w:szCs w:val="15"/>
              </w:rPr>
              <w:t>haematological findings in culture or Gram stain-negative</w:t>
            </w:r>
            <w:r w:rsidRPr="00251EA9">
              <w:rPr>
                <w:rFonts w:ascii="Arial" w:hAnsi="Arial" w:cs="Arial"/>
                <w:sz w:val="15"/>
                <w:szCs w:val="15"/>
              </w:rPr>
              <w:br/>
              <w:t>cases associated with clinical features of infection.</w:t>
            </w:r>
          </w:p>
        </w:tc>
        <w:tc>
          <w:tcPr>
            <w:tcW w:w="2693" w:type="dxa"/>
          </w:tcPr>
          <w:p w14:paraId="006BC14B" w14:textId="77777777" w:rsidR="006E5533" w:rsidRPr="00251EA9" w:rsidRDefault="006E5533" w:rsidP="006E5533">
            <w:pPr>
              <w:rPr>
                <w:rFonts w:ascii="Arial" w:hAnsi="Arial" w:cs="Arial"/>
                <w:sz w:val="15"/>
                <w:szCs w:val="15"/>
              </w:rPr>
            </w:pPr>
            <w:r w:rsidRPr="00251EA9">
              <w:rPr>
                <w:rFonts w:ascii="Arial" w:hAnsi="Arial" w:cs="Arial"/>
                <w:sz w:val="15"/>
                <w:szCs w:val="15"/>
              </w:rPr>
              <w:t>SI remains a life-threatening and costly complication</w:t>
            </w:r>
          </w:p>
          <w:p w14:paraId="40E30FF8" w14:textId="77777777" w:rsidR="006E5533" w:rsidRPr="00251EA9" w:rsidRDefault="006E5533" w:rsidP="006E5533">
            <w:pPr>
              <w:rPr>
                <w:rFonts w:ascii="Arial" w:hAnsi="Arial" w:cs="Arial"/>
                <w:sz w:val="15"/>
                <w:szCs w:val="15"/>
              </w:rPr>
            </w:pPr>
            <w:r w:rsidRPr="00251EA9">
              <w:rPr>
                <w:rFonts w:ascii="Arial" w:hAnsi="Arial" w:cs="Arial"/>
                <w:sz w:val="15"/>
                <w:szCs w:val="15"/>
              </w:rPr>
              <w:t>of VP shunt placement. About 36.4% of the positive cultures yielded Staphylococcus aureus.</w:t>
            </w:r>
          </w:p>
          <w:p w14:paraId="61E88000" w14:textId="77777777" w:rsidR="006E5533" w:rsidRPr="00251EA9" w:rsidRDefault="006E5533" w:rsidP="006E5533">
            <w:pPr>
              <w:rPr>
                <w:rFonts w:ascii="Arial" w:hAnsi="Arial" w:cs="Arial"/>
                <w:sz w:val="15"/>
                <w:szCs w:val="15"/>
              </w:rPr>
            </w:pPr>
          </w:p>
          <w:p w14:paraId="2E498EF9" w14:textId="3E7A99D1" w:rsidR="006E5533" w:rsidRPr="00251EA9" w:rsidRDefault="006E5533" w:rsidP="006E5533">
            <w:pPr>
              <w:rPr>
                <w:rFonts w:ascii="Arial" w:hAnsi="Arial" w:cs="Arial"/>
                <w:sz w:val="15"/>
                <w:szCs w:val="15"/>
              </w:rPr>
            </w:pPr>
          </w:p>
        </w:tc>
        <w:tc>
          <w:tcPr>
            <w:tcW w:w="1701" w:type="dxa"/>
          </w:tcPr>
          <w:p w14:paraId="56FEB641" w14:textId="5D793A8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C76D4E0" w14:textId="77777777" w:rsidTr="00A77951">
        <w:trPr>
          <w:trHeight w:val="586"/>
        </w:trPr>
        <w:tc>
          <w:tcPr>
            <w:tcW w:w="992" w:type="dxa"/>
          </w:tcPr>
          <w:p w14:paraId="470E6982" w14:textId="5A38865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Uzuka</w:t>
            </w:r>
            <w:proofErr w:type="spellEnd"/>
            <w:r w:rsidRPr="00251EA9">
              <w:rPr>
                <w:rFonts w:ascii="Arial" w:hAnsi="Arial" w:cs="Arial"/>
                <w:sz w:val="15"/>
                <w:szCs w:val="15"/>
              </w:rPr>
              <w:t xml:space="preserve"> T. et al., 2017</w:t>
            </w:r>
          </w:p>
        </w:tc>
        <w:tc>
          <w:tcPr>
            <w:tcW w:w="851" w:type="dxa"/>
          </w:tcPr>
          <w:p w14:paraId="493DBCDA" w14:textId="645AEE44" w:rsidR="006E5533" w:rsidRPr="00A77951" w:rsidRDefault="006E5533" w:rsidP="006E5533">
            <w:pPr>
              <w:spacing w:line="360" w:lineRule="auto"/>
              <w:contextualSpacing/>
              <w:rPr>
                <w:rFonts w:ascii="Arial" w:hAnsi="Arial" w:cs="Arial"/>
                <w:sz w:val="15"/>
                <w:szCs w:val="15"/>
              </w:rPr>
            </w:pPr>
            <w:hyperlink r:id="rId307" w:tgtFrame="_blank" w:history="1">
              <w:r w:rsidRPr="00A77951">
                <w:rPr>
                  <w:rStyle w:val="Hyperlink"/>
                  <w:rFonts w:ascii="Arial" w:hAnsi="Arial" w:cs="Arial"/>
                  <w:sz w:val="15"/>
                  <w:szCs w:val="15"/>
                </w:rPr>
                <w:t>10.2176/nmc.oa.2017-0034</w:t>
              </w:r>
            </w:hyperlink>
          </w:p>
        </w:tc>
        <w:tc>
          <w:tcPr>
            <w:tcW w:w="851" w:type="dxa"/>
          </w:tcPr>
          <w:p w14:paraId="0EF27AAB" w14:textId="6EF94B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Japan</w:t>
            </w:r>
          </w:p>
        </w:tc>
        <w:tc>
          <w:tcPr>
            <w:tcW w:w="1134" w:type="dxa"/>
          </w:tcPr>
          <w:p w14:paraId="0758AED1" w14:textId="4C40A4F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and Retrospective (2 studies)</w:t>
            </w:r>
          </w:p>
        </w:tc>
        <w:tc>
          <w:tcPr>
            <w:tcW w:w="992" w:type="dxa"/>
          </w:tcPr>
          <w:p w14:paraId="70374058" w14:textId="4FF80F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2AC678F" w14:textId="1DB786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9F852C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incidence of SSI following malignant brain tumour surgery. </w:t>
            </w:r>
          </w:p>
          <w:p w14:paraId="7B0D8887" w14:textId="568D605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use of a care bundle technique in reducing incidence of SSI.</w:t>
            </w:r>
          </w:p>
        </w:tc>
        <w:tc>
          <w:tcPr>
            <w:tcW w:w="1134" w:type="dxa"/>
          </w:tcPr>
          <w:p w14:paraId="513B89FE"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429C54A" w14:textId="5A836D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18296EE" w14:textId="41CE49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Centre for Disease Control and Prevention Guidelines </w:t>
            </w:r>
          </w:p>
        </w:tc>
        <w:tc>
          <w:tcPr>
            <w:tcW w:w="2693" w:type="dxa"/>
          </w:tcPr>
          <w:p w14:paraId="09E4E36F" w14:textId="26957445" w:rsidR="006E5533" w:rsidRPr="00251EA9" w:rsidRDefault="006E5533" w:rsidP="006E5533">
            <w:pPr>
              <w:rPr>
                <w:rFonts w:ascii="Arial" w:hAnsi="Arial" w:cs="Arial"/>
                <w:sz w:val="15"/>
                <w:szCs w:val="15"/>
              </w:rPr>
            </w:pPr>
            <w:r w:rsidRPr="00251EA9">
              <w:rPr>
                <w:rFonts w:ascii="Arial" w:hAnsi="Arial" w:cs="Arial"/>
                <w:sz w:val="15"/>
                <w:szCs w:val="15"/>
              </w:rPr>
              <w:t>The SSI incidence in the retrospective (n = 161) and prospective studies (n = 68) were 4.3% and 4.4%,</w:t>
            </w:r>
            <w:r w:rsidRPr="00251EA9">
              <w:rPr>
                <w:rFonts w:ascii="Arial" w:hAnsi="Arial" w:cs="Arial"/>
                <w:sz w:val="15"/>
                <w:szCs w:val="15"/>
              </w:rPr>
              <w:br/>
              <w:t xml:space="preserve">respectively, </w:t>
            </w:r>
            <w:proofErr w:type="gramStart"/>
            <w:r w:rsidRPr="00251EA9">
              <w:rPr>
                <w:rFonts w:ascii="Arial" w:hAnsi="Arial" w:cs="Arial"/>
                <w:sz w:val="15"/>
                <w:szCs w:val="15"/>
              </w:rPr>
              <w:t>similar to</w:t>
            </w:r>
            <w:proofErr w:type="gramEnd"/>
            <w:r w:rsidRPr="00251EA9">
              <w:rPr>
                <w:rFonts w:ascii="Arial" w:hAnsi="Arial" w:cs="Arial"/>
                <w:sz w:val="15"/>
                <w:szCs w:val="15"/>
              </w:rPr>
              <w:t xml:space="preserve"> the previously reports on general craniotomies.</w:t>
            </w:r>
          </w:p>
        </w:tc>
        <w:tc>
          <w:tcPr>
            <w:tcW w:w="1701" w:type="dxa"/>
          </w:tcPr>
          <w:p w14:paraId="118A1C07"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"the criteria for SSIs were different in the retrospective and the prospective study. Therefore, a direct</w:t>
            </w:r>
          </w:p>
          <w:p w14:paraId="2CF5CAEE" w14:textId="7A61E0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comparison of the SSI rate and the risk factors obtained from </w:t>
            </w:r>
            <w:r w:rsidRPr="00251EA9">
              <w:rPr>
                <w:rFonts w:ascii="Arial" w:hAnsi="Arial" w:cs="Arial"/>
                <w:sz w:val="15"/>
                <w:szCs w:val="15"/>
              </w:rPr>
              <w:lastRenderedPageBreak/>
              <w:t xml:space="preserve">the two studies was not straightforward.” </w:t>
            </w:r>
          </w:p>
        </w:tc>
      </w:tr>
      <w:tr w:rsidR="006E5533" w:rsidRPr="00251EA9" w14:paraId="48040AF3" w14:textId="77777777" w:rsidTr="00A77951">
        <w:trPr>
          <w:trHeight w:val="586"/>
        </w:trPr>
        <w:tc>
          <w:tcPr>
            <w:tcW w:w="992" w:type="dxa"/>
          </w:tcPr>
          <w:p w14:paraId="0AAEAC84" w14:textId="729311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 xml:space="preserve">Van der </w:t>
            </w:r>
            <w:proofErr w:type="spellStart"/>
            <w:r w:rsidRPr="00251EA9">
              <w:rPr>
                <w:rFonts w:ascii="Arial" w:hAnsi="Arial" w:cs="Arial"/>
                <w:sz w:val="15"/>
                <w:szCs w:val="15"/>
              </w:rPr>
              <w:t>Veken</w:t>
            </w:r>
            <w:proofErr w:type="spellEnd"/>
            <w:r w:rsidRPr="00251EA9">
              <w:rPr>
                <w:rFonts w:ascii="Arial" w:hAnsi="Arial" w:cs="Arial"/>
                <w:sz w:val="15"/>
                <w:szCs w:val="15"/>
              </w:rPr>
              <w:t xml:space="preserve"> J. et al., 2014</w:t>
            </w:r>
          </w:p>
        </w:tc>
        <w:tc>
          <w:tcPr>
            <w:tcW w:w="851" w:type="dxa"/>
          </w:tcPr>
          <w:p w14:paraId="16F8C82B" w14:textId="0F739561" w:rsidR="006E5533" w:rsidRPr="00A77951" w:rsidRDefault="006E5533" w:rsidP="006E5533">
            <w:pPr>
              <w:spacing w:line="360" w:lineRule="auto"/>
              <w:contextualSpacing/>
              <w:rPr>
                <w:rFonts w:ascii="Arial" w:hAnsi="Arial" w:cs="Arial"/>
                <w:sz w:val="15"/>
                <w:szCs w:val="15"/>
              </w:rPr>
            </w:pPr>
            <w:hyperlink r:id="rId308" w:tgtFrame="_blank" w:history="1">
              <w:r w:rsidRPr="00A77951">
                <w:rPr>
                  <w:rStyle w:val="Hyperlink"/>
                  <w:rFonts w:ascii="Arial" w:hAnsi="Arial" w:cs="Arial"/>
                  <w:sz w:val="15"/>
                  <w:szCs w:val="15"/>
                </w:rPr>
                <w:t>10.1007/s00701-014-2042-8</w:t>
              </w:r>
            </w:hyperlink>
          </w:p>
        </w:tc>
        <w:tc>
          <w:tcPr>
            <w:tcW w:w="851" w:type="dxa"/>
          </w:tcPr>
          <w:p w14:paraId="6A1CFF85" w14:textId="4B6F82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Belgium</w:t>
            </w:r>
          </w:p>
        </w:tc>
        <w:tc>
          <w:tcPr>
            <w:tcW w:w="1134" w:type="dxa"/>
          </w:tcPr>
          <w:p w14:paraId="75837AAA" w14:textId="091DD06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005B46F" w14:textId="2B978D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5E7D6BA" w14:textId="6712C5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A254D3A" w14:textId="3FBA90D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outcome of </w:t>
            </w:r>
            <w:proofErr w:type="gramStart"/>
            <w:r w:rsidRPr="00251EA9">
              <w:rPr>
                <w:rFonts w:ascii="Arial" w:hAnsi="Arial" w:cs="Arial"/>
                <w:sz w:val="15"/>
                <w:szCs w:val="15"/>
              </w:rPr>
              <w:t>mini-craniotomy</w:t>
            </w:r>
            <w:proofErr w:type="gramEnd"/>
            <w:r w:rsidRPr="00251EA9">
              <w:rPr>
                <w:rFonts w:ascii="Arial" w:hAnsi="Arial" w:cs="Arial"/>
                <w:sz w:val="15"/>
                <w:szCs w:val="15"/>
              </w:rPr>
              <w:t xml:space="preserve"> as the sole treatment in</w:t>
            </w:r>
            <w:r w:rsidRPr="00251EA9">
              <w:rPr>
                <w:rFonts w:ascii="Arial" w:hAnsi="Arial" w:cs="Arial"/>
                <w:sz w:val="15"/>
                <w:szCs w:val="15"/>
              </w:rPr>
              <w:br/>
              <w:t>patients with chronic subdural haematoma.</w:t>
            </w:r>
          </w:p>
        </w:tc>
        <w:tc>
          <w:tcPr>
            <w:tcW w:w="1134" w:type="dxa"/>
          </w:tcPr>
          <w:p w14:paraId="741071A0" w14:textId="77777777" w:rsidR="006E5533" w:rsidRPr="00251EA9" w:rsidRDefault="006E5533" w:rsidP="006E5533">
            <w:pPr>
              <w:spacing w:line="360" w:lineRule="auto"/>
              <w:contextualSpacing/>
              <w:rPr>
                <w:rFonts w:ascii="Arial" w:hAnsi="Arial" w:cs="Arial"/>
                <w:sz w:val="15"/>
                <w:szCs w:val="15"/>
              </w:rPr>
            </w:pPr>
          </w:p>
        </w:tc>
        <w:tc>
          <w:tcPr>
            <w:tcW w:w="992" w:type="dxa"/>
          </w:tcPr>
          <w:p w14:paraId="35E3F2DF" w14:textId="5C4C87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4E936A6" w14:textId="0C2F22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1E2256C" w14:textId="059B185E" w:rsidR="006E5533" w:rsidRPr="00251EA9" w:rsidRDefault="006E5533" w:rsidP="006E5533">
            <w:pPr>
              <w:rPr>
                <w:rFonts w:ascii="Arial" w:hAnsi="Arial" w:cs="Arial"/>
                <w:sz w:val="15"/>
                <w:szCs w:val="15"/>
              </w:rPr>
            </w:pPr>
            <w:r w:rsidRPr="00251EA9">
              <w:rPr>
                <w:rFonts w:ascii="Arial" w:hAnsi="Arial" w:cs="Arial"/>
                <w:sz w:val="15"/>
                <w:szCs w:val="15"/>
              </w:rPr>
              <w:t>The surgical complications included two wound infections.</w:t>
            </w:r>
          </w:p>
        </w:tc>
        <w:tc>
          <w:tcPr>
            <w:tcW w:w="1701" w:type="dxa"/>
          </w:tcPr>
          <w:p w14:paraId="5BC24CAA" w14:textId="3C6A71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21F4309" w14:textId="77777777" w:rsidTr="00A77951">
        <w:trPr>
          <w:trHeight w:val="586"/>
        </w:trPr>
        <w:tc>
          <w:tcPr>
            <w:tcW w:w="992" w:type="dxa"/>
          </w:tcPr>
          <w:p w14:paraId="309EA755" w14:textId="3B0BBD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van der </w:t>
            </w:r>
            <w:proofErr w:type="spellStart"/>
            <w:r w:rsidRPr="00251EA9">
              <w:rPr>
                <w:rFonts w:ascii="Arial" w:hAnsi="Arial" w:cs="Arial"/>
                <w:sz w:val="15"/>
                <w:szCs w:val="15"/>
              </w:rPr>
              <w:t>Vlis</w:t>
            </w:r>
            <w:proofErr w:type="spellEnd"/>
            <w:r w:rsidRPr="00251EA9">
              <w:rPr>
                <w:rFonts w:ascii="Arial" w:hAnsi="Arial" w:cs="Arial"/>
                <w:sz w:val="15"/>
                <w:szCs w:val="15"/>
              </w:rPr>
              <w:t xml:space="preserve"> T. et al., 2022</w:t>
            </w:r>
          </w:p>
        </w:tc>
        <w:tc>
          <w:tcPr>
            <w:tcW w:w="851" w:type="dxa"/>
          </w:tcPr>
          <w:p w14:paraId="34D39184" w14:textId="60365937" w:rsidR="006E5533" w:rsidRPr="00A77951" w:rsidRDefault="006E5533" w:rsidP="006E5533">
            <w:pPr>
              <w:spacing w:line="360" w:lineRule="auto"/>
              <w:contextualSpacing/>
              <w:rPr>
                <w:rFonts w:ascii="Arial" w:hAnsi="Arial" w:cs="Arial"/>
                <w:sz w:val="15"/>
                <w:szCs w:val="15"/>
              </w:rPr>
            </w:pPr>
            <w:hyperlink r:id="rId309" w:tgtFrame="_blank" w:history="1">
              <w:r w:rsidRPr="00A77951">
                <w:rPr>
                  <w:rStyle w:val="Hyperlink"/>
                  <w:rFonts w:ascii="Arial" w:hAnsi="Arial" w:cs="Arial"/>
                  <w:sz w:val="15"/>
                  <w:szCs w:val="15"/>
                </w:rPr>
                <w:t>10.1016/j.neurom.2021.12.011</w:t>
              </w:r>
            </w:hyperlink>
          </w:p>
        </w:tc>
        <w:tc>
          <w:tcPr>
            <w:tcW w:w="851" w:type="dxa"/>
          </w:tcPr>
          <w:p w14:paraId="518625FE" w14:textId="0D80D5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Netherlands</w:t>
            </w:r>
          </w:p>
        </w:tc>
        <w:tc>
          <w:tcPr>
            <w:tcW w:w="1134" w:type="dxa"/>
          </w:tcPr>
          <w:p w14:paraId="226C715E" w14:textId="07A92AA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545F2CC" w14:textId="7BDBE6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780592B" w14:textId="4A1A76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71E9B763" w14:textId="0AE5BD9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give an overview of the nature and frequency of adverse event and to describe the way they were managed. To identify possible risk factors to inform possible future preventive measures.</w:t>
            </w:r>
          </w:p>
        </w:tc>
        <w:tc>
          <w:tcPr>
            <w:tcW w:w="1134" w:type="dxa"/>
          </w:tcPr>
          <w:p w14:paraId="2E2D38F7"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7EF3A11" w14:textId="41B33A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F936BF3" w14:textId="57E797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5A137F2" w14:textId="04CA6AD1" w:rsidR="006E5533" w:rsidRPr="00251EA9" w:rsidRDefault="006E5533" w:rsidP="006E5533">
            <w:pPr>
              <w:rPr>
                <w:rFonts w:ascii="Arial" w:hAnsi="Arial" w:cs="Arial"/>
                <w:sz w:val="15"/>
                <w:szCs w:val="15"/>
              </w:rPr>
            </w:pPr>
            <w:r w:rsidRPr="00251EA9">
              <w:rPr>
                <w:rFonts w:ascii="Arial" w:hAnsi="Arial" w:cs="Arial"/>
                <w:sz w:val="15"/>
                <w:szCs w:val="15"/>
              </w:rPr>
              <w:t xml:space="preserve">SSI was the </w:t>
            </w:r>
            <w:proofErr w:type="gramStart"/>
            <w:r w:rsidRPr="00251EA9">
              <w:rPr>
                <w:rFonts w:ascii="Arial" w:hAnsi="Arial" w:cs="Arial"/>
                <w:sz w:val="15"/>
                <w:szCs w:val="15"/>
              </w:rPr>
              <w:t>most commonly reported</w:t>
            </w:r>
            <w:proofErr w:type="gramEnd"/>
            <w:r w:rsidRPr="00251EA9">
              <w:rPr>
                <w:rFonts w:ascii="Arial" w:hAnsi="Arial" w:cs="Arial"/>
                <w:sz w:val="15"/>
                <w:szCs w:val="15"/>
              </w:rPr>
              <w:t xml:space="preserve"> surgery-related adverse event. 20 infections occurred after primary implantation of DBS hardware (9.95%). No difference in SSI incidence was observed before and after April 2014, when</w:t>
            </w:r>
            <w:r w:rsidRPr="00251EA9">
              <w:rPr>
                <w:rFonts w:ascii="Arial" w:hAnsi="Arial" w:cs="Arial"/>
                <w:sz w:val="15"/>
                <w:szCs w:val="15"/>
              </w:rPr>
              <w:br/>
              <w:t xml:space="preserve">complete hair removal was </w:t>
            </w:r>
            <w:proofErr w:type="gramStart"/>
            <w:r w:rsidRPr="00251EA9">
              <w:rPr>
                <w:rFonts w:ascii="Arial" w:hAnsi="Arial" w:cs="Arial"/>
                <w:sz w:val="15"/>
                <w:szCs w:val="15"/>
              </w:rPr>
              <w:t>abandoned .</w:t>
            </w:r>
            <w:proofErr w:type="gramEnd"/>
          </w:p>
        </w:tc>
        <w:tc>
          <w:tcPr>
            <w:tcW w:w="1701" w:type="dxa"/>
          </w:tcPr>
          <w:p w14:paraId="74EC239D" w14:textId="4BFBCC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3BC754D" w14:textId="77777777" w:rsidTr="00A77951">
        <w:trPr>
          <w:trHeight w:val="586"/>
        </w:trPr>
        <w:tc>
          <w:tcPr>
            <w:tcW w:w="992" w:type="dxa"/>
          </w:tcPr>
          <w:p w14:paraId="5DD5A880" w14:textId="3F5B99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van </w:t>
            </w:r>
            <w:proofErr w:type="spellStart"/>
            <w:r w:rsidRPr="00251EA9">
              <w:rPr>
                <w:rFonts w:ascii="Arial" w:hAnsi="Arial" w:cs="Arial"/>
                <w:sz w:val="15"/>
                <w:szCs w:val="15"/>
              </w:rPr>
              <w:t>Schooten</w:t>
            </w:r>
            <w:proofErr w:type="spellEnd"/>
            <w:r w:rsidRPr="00251EA9">
              <w:rPr>
                <w:rFonts w:ascii="Arial" w:hAnsi="Arial" w:cs="Arial"/>
                <w:sz w:val="15"/>
                <w:szCs w:val="15"/>
              </w:rPr>
              <w:t xml:space="preserve"> J. et al., 2023</w:t>
            </w:r>
          </w:p>
        </w:tc>
        <w:tc>
          <w:tcPr>
            <w:tcW w:w="851" w:type="dxa"/>
          </w:tcPr>
          <w:p w14:paraId="25D3F8ED" w14:textId="20098EEA" w:rsidR="006E5533" w:rsidRPr="00A77951" w:rsidRDefault="006E5533" w:rsidP="006E5533">
            <w:pPr>
              <w:spacing w:line="360" w:lineRule="auto"/>
              <w:contextualSpacing/>
              <w:rPr>
                <w:rFonts w:ascii="Arial" w:hAnsi="Arial" w:cs="Arial"/>
                <w:sz w:val="15"/>
                <w:szCs w:val="15"/>
              </w:rPr>
            </w:pPr>
            <w:hyperlink r:id="rId310" w:tgtFrame="_blank" w:history="1">
              <w:r w:rsidRPr="00A77951">
                <w:rPr>
                  <w:rStyle w:val="Hyperlink"/>
                  <w:rFonts w:ascii="Arial" w:hAnsi="Arial" w:cs="Arial"/>
                  <w:sz w:val="15"/>
                  <w:szCs w:val="15"/>
                </w:rPr>
                <w:t>10.1016/j.bas.2023.102733</w:t>
              </w:r>
            </w:hyperlink>
          </w:p>
        </w:tc>
        <w:tc>
          <w:tcPr>
            <w:tcW w:w="851" w:type="dxa"/>
          </w:tcPr>
          <w:p w14:paraId="68AE24A4" w14:textId="16DC17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Netherlands</w:t>
            </w:r>
          </w:p>
        </w:tc>
        <w:tc>
          <w:tcPr>
            <w:tcW w:w="1134" w:type="dxa"/>
          </w:tcPr>
          <w:p w14:paraId="7BC0A83A" w14:textId="0A61E7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902B48E" w14:textId="57355E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7D56C3F" w14:textId="47B368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(VNS insertion for Epilepsy)</w:t>
            </w:r>
          </w:p>
        </w:tc>
        <w:tc>
          <w:tcPr>
            <w:tcW w:w="1843" w:type="dxa"/>
          </w:tcPr>
          <w:p w14:paraId="01A6A3BA" w14:textId="117C54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surgical complication rates of all types of VNS surgeries performed between 2008 and 2022 and to investigate potential risk factors for getting a surgical complication. </w:t>
            </w:r>
          </w:p>
        </w:tc>
        <w:tc>
          <w:tcPr>
            <w:tcW w:w="1134" w:type="dxa"/>
          </w:tcPr>
          <w:p w14:paraId="70E3CD31" w14:textId="69D483BC" w:rsidR="006E5533" w:rsidRPr="00251EA9" w:rsidRDefault="006E5533" w:rsidP="006E5533">
            <w:pPr>
              <w:spacing w:line="360" w:lineRule="auto"/>
              <w:contextualSpacing/>
              <w:rPr>
                <w:rFonts w:ascii="Arial" w:hAnsi="Arial" w:cs="Arial"/>
                <w:sz w:val="15"/>
                <w:szCs w:val="15"/>
              </w:rPr>
            </w:pPr>
          </w:p>
        </w:tc>
        <w:tc>
          <w:tcPr>
            <w:tcW w:w="992" w:type="dxa"/>
          </w:tcPr>
          <w:p w14:paraId="6E43BA99" w14:textId="4CF890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5A773E" w14:textId="73B9552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49D6283" w14:textId="56AA55E1" w:rsidR="006E5533" w:rsidRPr="00251EA9" w:rsidRDefault="006E5533" w:rsidP="006E5533">
            <w:pPr>
              <w:rPr>
                <w:rFonts w:ascii="Arial" w:hAnsi="Arial" w:cs="Arial"/>
                <w:sz w:val="15"/>
                <w:szCs w:val="15"/>
              </w:rPr>
            </w:pPr>
            <w:r w:rsidRPr="00251EA9">
              <w:rPr>
                <w:rFonts w:ascii="Arial" w:hAnsi="Arial" w:cs="Arial"/>
                <w:sz w:val="15"/>
                <w:szCs w:val="15"/>
              </w:rPr>
              <w:t>Primary implantation was performed in 306 patients. In total, 41 complications occurred, consisting of 11</w:t>
            </w:r>
            <w:r w:rsidRPr="00251EA9">
              <w:rPr>
                <w:rFonts w:ascii="Arial" w:hAnsi="Arial" w:cs="Arial"/>
                <w:sz w:val="15"/>
                <w:szCs w:val="15"/>
              </w:rPr>
              <w:br/>
              <w:t>wound infections.</w:t>
            </w:r>
          </w:p>
        </w:tc>
        <w:tc>
          <w:tcPr>
            <w:tcW w:w="1701" w:type="dxa"/>
          </w:tcPr>
          <w:p w14:paraId="44D8FF06" w14:textId="1FBD5F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8A830CC" w14:textId="77777777" w:rsidTr="00A77951">
        <w:trPr>
          <w:trHeight w:val="586"/>
        </w:trPr>
        <w:tc>
          <w:tcPr>
            <w:tcW w:w="992" w:type="dxa"/>
          </w:tcPr>
          <w:p w14:paraId="69361660" w14:textId="05727B0B"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Vankipuram</w:t>
            </w:r>
            <w:proofErr w:type="spellEnd"/>
            <w:r w:rsidRPr="00251EA9">
              <w:rPr>
                <w:rFonts w:ascii="Arial" w:hAnsi="Arial" w:cs="Arial"/>
                <w:sz w:val="15"/>
                <w:szCs w:val="15"/>
              </w:rPr>
              <w:t xml:space="preserve"> S. et al., 2019</w:t>
            </w:r>
          </w:p>
        </w:tc>
        <w:tc>
          <w:tcPr>
            <w:tcW w:w="851" w:type="dxa"/>
          </w:tcPr>
          <w:p w14:paraId="5E2582C3" w14:textId="29BC6B1F" w:rsidR="006E5533" w:rsidRPr="00A77951" w:rsidRDefault="006E5533" w:rsidP="006E5533">
            <w:pPr>
              <w:spacing w:line="360" w:lineRule="auto"/>
              <w:contextualSpacing/>
              <w:rPr>
                <w:rFonts w:ascii="Arial" w:hAnsi="Arial" w:cs="Arial"/>
                <w:sz w:val="15"/>
                <w:szCs w:val="15"/>
              </w:rPr>
            </w:pPr>
            <w:hyperlink r:id="rId311" w:tgtFrame="_blank" w:history="1">
              <w:r w:rsidRPr="00A77951">
                <w:rPr>
                  <w:rStyle w:val="Hyperlink"/>
                  <w:rFonts w:ascii="Arial" w:hAnsi="Arial" w:cs="Arial"/>
                  <w:sz w:val="15"/>
                  <w:szCs w:val="15"/>
                </w:rPr>
                <w:t>10.1016/j.wneu.2019.12.004</w:t>
              </w:r>
            </w:hyperlink>
          </w:p>
        </w:tc>
        <w:tc>
          <w:tcPr>
            <w:tcW w:w="851" w:type="dxa"/>
          </w:tcPr>
          <w:p w14:paraId="5B0545BA" w14:textId="4C8A8A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India</w:t>
            </w:r>
          </w:p>
        </w:tc>
        <w:tc>
          <w:tcPr>
            <w:tcW w:w="1134" w:type="dxa"/>
          </w:tcPr>
          <w:p w14:paraId="7450DD23" w14:textId="404B2E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controlled study</w:t>
            </w:r>
          </w:p>
        </w:tc>
        <w:tc>
          <w:tcPr>
            <w:tcW w:w="992" w:type="dxa"/>
          </w:tcPr>
          <w:p w14:paraId="5D408F7C" w14:textId="188F014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0CD66FC" w14:textId="0241A69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32F48A58" w14:textId="663700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outcomes of both the four-quadrant osteoplastic decompressive craniotomy (</w:t>
            </w:r>
            <w:proofErr w:type="spellStart"/>
            <w:r w:rsidRPr="00251EA9">
              <w:rPr>
                <w:rFonts w:ascii="Arial" w:hAnsi="Arial" w:cs="Arial"/>
                <w:sz w:val="15"/>
                <w:szCs w:val="15"/>
              </w:rPr>
              <w:t>FoQOsD</w:t>
            </w:r>
            <w:proofErr w:type="spellEnd"/>
            <w:r w:rsidRPr="00251EA9">
              <w:rPr>
                <w:rFonts w:ascii="Arial" w:hAnsi="Arial" w:cs="Arial"/>
                <w:sz w:val="15"/>
                <w:szCs w:val="15"/>
              </w:rPr>
              <w:t xml:space="preserve">) versus conventional decompressive </w:t>
            </w:r>
            <w:r w:rsidRPr="00251EA9">
              <w:rPr>
                <w:rFonts w:ascii="Arial" w:hAnsi="Arial" w:cs="Arial"/>
                <w:sz w:val="15"/>
                <w:szCs w:val="15"/>
              </w:rPr>
              <w:lastRenderedPageBreak/>
              <w:t>craniectomy (DC) for traumatic brain injury.</w:t>
            </w:r>
          </w:p>
        </w:tc>
        <w:tc>
          <w:tcPr>
            <w:tcW w:w="1134" w:type="dxa"/>
          </w:tcPr>
          <w:p w14:paraId="6A6C1FAB" w14:textId="6717133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Four-quadrant osteoplastic decompressive craniotomy versus conventional decompressi</w:t>
            </w:r>
            <w:r w:rsidRPr="00251EA9">
              <w:rPr>
                <w:rFonts w:ascii="Arial" w:hAnsi="Arial" w:cs="Arial"/>
                <w:sz w:val="15"/>
                <w:szCs w:val="15"/>
              </w:rPr>
              <w:lastRenderedPageBreak/>
              <w:t>ve craniectomy</w:t>
            </w:r>
          </w:p>
        </w:tc>
        <w:tc>
          <w:tcPr>
            <w:tcW w:w="992" w:type="dxa"/>
          </w:tcPr>
          <w:p w14:paraId="5107CAD2" w14:textId="562090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No</w:t>
            </w:r>
          </w:p>
        </w:tc>
        <w:tc>
          <w:tcPr>
            <w:tcW w:w="1701" w:type="dxa"/>
          </w:tcPr>
          <w:p w14:paraId="32FCC31D" w14:textId="77121A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5D60DCC" w14:textId="2A77A067" w:rsidR="006E5533" w:rsidRPr="00251EA9" w:rsidRDefault="006E5533" w:rsidP="006E5533">
            <w:pPr>
              <w:rPr>
                <w:rFonts w:ascii="Arial" w:hAnsi="Arial" w:cs="Arial"/>
                <w:sz w:val="15"/>
                <w:szCs w:val="15"/>
              </w:rPr>
            </w:pPr>
            <w:r w:rsidRPr="00251EA9">
              <w:rPr>
                <w:rFonts w:ascii="Arial" w:hAnsi="Arial" w:cs="Arial"/>
                <w:sz w:val="15"/>
                <w:szCs w:val="15"/>
              </w:rPr>
              <w:t xml:space="preserve">Cranial surgical site infection was seen in three patients (5%) in the DC group and five patients in the </w:t>
            </w:r>
            <w:proofErr w:type="spellStart"/>
            <w:r w:rsidRPr="00251EA9">
              <w:rPr>
                <w:rFonts w:ascii="Arial" w:hAnsi="Arial" w:cs="Arial"/>
                <w:sz w:val="15"/>
                <w:szCs w:val="15"/>
              </w:rPr>
              <w:t>FoQOsD</w:t>
            </w:r>
            <w:proofErr w:type="spellEnd"/>
            <w:r w:rsidRPr="00251EA9">
              <w:rPr>
                <w:rFonts w:ascii="Arial" w:hAnsi="Arial" w:cs="Arial"/>
                <w:sz w:val="15"/>
                <w:szCs w:val="15"/>
              </w:rPr>
              <w:t xml:space="preserve"> group (8.9%). </w:t>
            </w:r>
          </w:p>
        </w:tc>
        <w:tc>
          <w:tcPr>
            <w:tcW w:w="1701" w:type="dxa"/>
          </w:tcPr>
          <w:p w14:paraId="1FDC11EB" w14:textId="3014BC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33A83BC" w14:textId="77777777" w:rsidTr="00A77951">
        <w:trPr>
          <w:trHeight w:val="586"/>
        </w:trPr>
        <w:tc>
          <w:tcPr>
            <w:tcW w:w="992" w:type="dxa"/>
          </w:tcPr>
          <w:p w14:paraId="411D994F" w14:textId="206B051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Veldeman</w:t>
            </w:r>
            <w:proofErr w:type="spellEnd"/>
            <w:r w:rsidRPr="00251EA9">
              <w:rPr>
                <w:rFonts w:ascii="Arial" w:hAnsi="Arial" w:cs="Arial"/>
                <w:sz w:val="15"/>
                <w:szCs w:val="15"/>
              </w:rPr>
              <w:t xml:space="preserve"> M. et al., 2020</w:t>
            </w:r>
          </w:p>
        </w:tc>
        <w:tc>
          <w:tcPr>
            <w:tcW w:w="851" w:type="dxa"/>
          </w:tcPr>
          <w:p w14:paraId="53FE3012" w14:textId="3C663C02" w:rsidR="006E5533" w:rsidRPr="00A77951" w:rsidRDefault="006E5533" w:rsidP="006E5533">
            <w:pPr>
              <w:spacing w:line="360" w:lineRule="auto"/>
              <w:contextualSpacing/>
              <w:rPr>
                <w:rFonts w:ascii="Arial" w:hAnsi="Arial" w:cs="Arial"/>
                <w:sz w:val="15"/>
                <w:szCs w:val="15"/>
              </w:rPr>
            </w:pPr>
            <w:hyperlink r:id="rId312" w:tgtFrame="_blank" w:history="1">
              <w:r w:rsidRPr="00A77951">
                <w:rPr>
                  <w:rStyle w:val="Hyperlink"/>
                  <w:rFonts w:ascii="Arial" w:hAnsi="Arial" w:cs="Arial"/>
                  <w:sz w:val="15"/>
                  <w:szCs w:val="15"/>
                </w:rPr>
                <w:t>10.3171/2020.</w:t>
              </w:r>
              <w:proofErr w:type="gramStart"/>
              <w:r w:rsidRPr="00A77951">
                <w:rPr>
                  <w:rStyle w:val="Hyperlink"/>
                  <w:rFonts w:ascii="Arial" w:hAnsi="Arial" w:cs="Arial"/>
                  <w:sz w:val="15"/>
                  <w:szCs w:val="15"/>
                </w:rPr>
                <w:t>2.JNS</w:t>
              </w:r>
              <w:proofErr w:type="gramEnd"/>
              <w:r w:rsidRPr="00A77951">
                <w:rPr>
                  <w:rStyle w:val="Hyperlink"/>
                  <w:rFonts w:ascii="Arial" w:hAnsi="Arial" w:cs="Arial"/>
                  <w:sz w:val="15"/>
                  <w:szCs w:val="15"/>
                </w:rPr>
                <w:t>193335</w:t>
              </w:r>
            </w:hyperlink>
          </w:p>
        </w:tc>
        <w:tc>
          <w:tcPr>
            <w:tcW w:w="851" w:type="dxa"/>
          </w:tcPr>
          <w:p w14:paraId="278F3E46" w14:textId="0BED26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3D54BD5A" w14:textId="02E4F3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6F0E8D4" w14:textId="5F2E0B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32103A1" w14:textId="614567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494FFA4" w14:textId="30E77A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modifiable risk factors to prevent cranioplasty failure.</w:t>
            </w:r>
          </w:p>
        </w:tc>
        <w:tc>
          <w:tcPr>
            <w:tcW w:w="1134" w:type="dxa"/>
          </w:tcPr>
          <w:p w14:paraId="132033B6" w14:textId="28163115" w:rsidR="006E5533" w:rsidRPr="00251EA9" w:rsidRDefault="006E5533" w:rsidP="006E5533">
            <w:pPr>
              <w:spacing w:line="360" w:lineRule="auto"/>
              <w:contextualSpacing/>
              <w:rPr>
                <w:rFonts w:ascii="Arial" w:hAnsi="Arial" w:cs="Arial"/>
                <w:sz w:val="15"/>
                <w:szCs w:val="15"/>
              </w:rPr>
            </w:pPr>
          </w:p>
        </w:tc>
        <w:tc>
          <w:tcPr>
            <w:tcW w:w="992" w:type="dxa"/>
          </w:tcPr>
          <w:p w14:paraId="556C8DC8" w14:textId="57237F5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0880221" w14:textId="0697823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Open or closed graft infection requiring surgical wound revision with or without the removal of the implanted material.</w:t>
            </w:r>
          </w:p>
        </w:tc>
        <w:tc>
          <w:tcPr>
            <w:tcW w:w="2693" w:type="dxa"/>
          </w:tcPr>
          <w:p w14:paraId="3CC688FA" w14:textId="7351EB0C" w:rsidR="006E5533" w:rsidRPr="00251EA9" w:rsidRDefault="006E5533" w:rsidP="006E5533">
            <w:pPr>
              <w:rPr>
                <w:rFonts w:ascii="Arial" w:hAnsi="Arial" w:cs="Arial"/>
                <w:sz w:val="15"/>
                <w:szCs w:val="15"/>
              </w:rPr>
            </w:pPr>
            <w:r w:rsidRPr="00251EA9">
              <w:rPr>
                <w:rFonts w:ascii="Arial" w:hAnsi="Arial" w:cs="Arial"/>
                <w:sz w:val="15"/>
                <w:szCs w:val="15"/>
              </w:rPr>
              <w:t xml:space="preserve">Total of 25 SSI cases reported. </w:t>
            </w:r>
          </w:p>
        </w:tc>
        <w:tc>
          <w:tcPr>
            <w:tcW w:w="1701" w:type="dxa"/>
          </w:tcPr>
          <w:p w14:paraId="2781A242" w14:textId="781D38C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F45E93E" w14:textId="77777777" w:rsidTr="00A77951">
        <w:trPr>
          <w:trHeight w:val="586"/>
        </w:trPr>
        <w:tc>
          <w:tcPr>
            <w:tcW w:w="992" w:type="dxa"/>
          </w:tcPr>
          <w:p w14:paraId="2685A67B" w14:textId="6F470F2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Venable G.T. et al., 2020</w:t>
            </w:r>
          </w:p>
        </w:tc>
        <w:tc>
          <w:tcPr>
            <w:tcW w:w="851" w:type="dxa"/>
          </w:tcPr>
          <w:p w14:paraId="2AAF655C" w14:textId="3918F7F6" w:rsidR="006E5533" w:rsidRPr="00A77951" w:rsidRDefault="006E5533" w:rsidP="006E5533">
            <w:pPr>
              <w:spacing w:line="360" w:lineRule="auto"/>
              <w:contextualSpacing/>
              <w:rPr>
                <w:rFonts w:ascii="Arial" w:hAnsi="Arial" w:cs="Arial"/>
                <w:sz w:val="15"/>
                <w:szCs w:val="15"/>
              </w:rPr>
            </w:pPr>
            <w:hyperlink r:id="rId313" w:tgtFrame="_blank" w:history="1">
              <w:r w:rsidRPr="00A77951">
                <w:rPr>
                  <w:rStyle w:val="Hyperlink"/>
                  <w:rFonts w:ascii="Arial" w:hAnsi="Arial" w:cs="Arial"/>
                  <w:sz w:val="15"/>
                  <w:szCs w:val="15"/>
                </w:rPr>
                <w:t>10.1016/j.wneu.2019.11.018</w:t>
              </w:r>
            </w:hyperlink>
          </w:p>
        </w:tc>
        <w:tc>
          <w:tcPr>
            <w:tcW w:w="851" w:type="dxa"/>
          </w:tcPr>
          <w:p w14:paraId="70507A1F" w14:textId="0A6EAE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A69F55D" w14:textId="0E7E29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DF6E59A" w14:textId="12EC6D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3D2FF3D" w14:textId="11BF01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0096AD24" w14:textId="62BCE4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preventable shunt revision rate in adult hydrocephalus cases. </w:t>
            </w:r>
          </w:p>
        </w:tc>
        <w:tc>
          <w:tcPr>
            <w:tcW w:w="1134" w:type="dxa"/>
          </w:tcPr>
          <w:p w14:paraId="2F7CF9CC" w14:textId="03A4949B" w:rsidR="006E5533" w:rsidRPr="00251EA9" w:rsidRDefault="006E5533" w:rsidP="006E5533">
            <w:pPr>
              <w:spacing w:line="360" w:lineRule="auto"/>
              <w:contextualSpacing/>
              <w:rPr>
                <w:rFonts w:ascii="Arial" w:hAnsi="Arial" w:cs="Arial"/>
                <w:sz w:val="15"/>
                <w:szCs w:val="15"/>
              </w:rPr>
            </w:pPr>
          </w:p>
        </w:tc>
        <w:tc>
          <w:tcPr>
            <w:tcW w:w="992" w:type="dxa"/>
          </w:tcPr>
          <w:p w14:paraId="6887D808" w14:textId="16FBF10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E7796D7" w14:textId="4C7070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CE295DE" w14:textId="3654C4EB" w:rsidR="006E5533" w:rsidRPr="00251EA9" w:rsidRDefault="006E5533" w:rsidP="006E5533">
            <w:pPr>
              <w:rPr>
                <w:rFonts w:ascii="Arial" w:hAnsi="Arial" w:cs="Arial"/>
                <w:sz w:val="15"/>
                <w:szCs w:val="15"/>
              </w:rPr>
            </w:pPr>
            <w:r w:rsidRPr="00251EA9">
              <w:rPr>
                <w:rFonts w:ascii="Arial" w:hAnsi="Arial" w:cs="Arial"/>
                <w:sz w:val="15"/>
                <w:szCs w:val="15"/>
              </w:rPr>
              <w:t>Infection was the leading cause of preventable failure (10 patients).</w:t>
            </w:r>
          </w:p>
        </w:tc>
        <w:tc>
          <w:tcPr>
            <w:tcW w:w="1701" w:type="dxa"/>
          </w:tcPr>
          <w:p w14:paraId="6B9C1E5E" w14:textId="1724FC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68A9CEA" w14:textId="77777777" w:rsidTr="00A77951">
        <w:trPr>
          <w:trHeight w:val="586"/>
        </w:trPr>
        <w:tc>
          <w:tcPr>
            <w:tcW w:w="992" w:type="dxa"/>
          </w:tcPr>
          <w:p w14:paraId="155FD736" w14:textId="4A8C950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Verberk</w:t>
            </w:r>
            <w:proofErr w:type="spellEnd"/>
            <w:r w:rsidRPr="00251EA9">
              <w:rPr>
                <w:rFonts w:ascii="Arial" w:hAnsi="Arial" w:cs="Arial"/>
                <w:sz w:val="15"/>
                <w:szCs w:val="15"/>
              </w:rPr>
              <w:t xml:space="preserve"> J.D. M et al., 2016</w:t>
            </w:r>
          </w:p>
        </w:tc>
        <w:tc>
          <w:tcPr>
            <w:tcW w:w="851" w:type="dxa"/>
          </w:tcPr>
          <w:p w14:paraId="4282B3EE" w14:textId="0DED6D0A" w:rsidR="006E5533" w:rsidRPr="00A77951" w:rsidRDefault="006E5533" w:rsidP="006E5533">
            <w:pPr>
              <w:spacing w:line="360" w:lineRule="auto"/>
              <w:contextualSpacing/>
              <w:rPr>
                <w:rFonts w:ascii="Arial" w:hAnsi="Arial" w:cs="Arial"/>
                <w:sz w:val="15"/>
                <w:szCs w:val="15"/>
              </w:rPr>
            </w:pPr>
            <w:hyperlink r:id="rId314" w:tgtFrame="_blank" w:history="1">
              <w:r w:rsidRPr="00A77951">
                <w:rPr>
                  <w:rStyle w:val="Hyperlink"/>
                  <w:rFonts w:ascii="Arial" w:hAnsi="Arial" w:cs="Arial"/>
                  <w:sz w:val="15"/>
                  <w:szCs w:val="15"/>
                </w:rPr>
                <w:t>10.1016/j.jhin.2015.12.018</w:t>
              </w:r>
            </w:hyperlink>
          </w:p>
        </w:tc>
        <w:tc>
          <w:tcPr>
            <w:tcW w:w="851" w:type="dxa"/>
          </w:tcPr>
          <w:p w14:paraId="18CFF1B6" w14:textId="646282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Netherlands</w:t>
            </w:r>
          </w:p>
        </w:tc>
        <w:tc>
          <w:tcPr>
            <w:tcW w:w="1134" w:type="dxa"/>
          </w:tcPr>
          <w:p w14:paraId="7C788457" w14:textId="3FEF2D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 (post-hoc analysis of previous investigation)</w:t>
            </w:r>
          </w:p>
        </w:tc>
        <w:tc>
          <w:tcPr>
            <w:tcW w:w="992" w:type="dxa"/>
          </w:tcPr>
          <w:p w14:paraId="367A0AC5" w14:textId="47C7852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w:t>
            </w:r>
          </w:p>
        </w:tc>
        <w:tc>
          <w:tcPr>
            <w:tcW w:w="1276" w:type="dxa"/>
          </w:tcPr>
          <w:p w14:paraId="02FC0980" w14:textId="17F479B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1A05367D" w14:textId="29E4D1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occurrence and</w:t>
            </w:r>
            <w:r w:rsidRPr="00251EA9">
              <w:rPr>
                <w:rFonts w:ascii="Arial" w:hAnsi="Arial" w:cs="Arial"/>
                <w:sz w:val="15"/>
                <w:szCs w:val="15"/>
              </w:rPr>
              <w:br/>
              <w:t>bacterial aetiology of ventriculostomy-related infections (VRIs) in neurosurgical patients treated with antibiotic-impregnated drains vs plain EVDs.</w:t>
            </w:r>
          </w:p>
        </w:tc>
        <w:tc>
          <w:tcPr>
            <w:tcW w:w="1134" w:type="dxa"/>
          </w:tcPr>
          <w:p w14:paraId="55081BB9" w14:textId="4A4C2A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Antibiotic-impregnated vs plain EVDs.</w:t>
            </w:r>
          </w:p>
        </w:tc>
        <w:tc>
          <w:tcPr>
            <w:tcW w:w="992" w:type="dxa"/>
          </w:tcPr>
          <w:p w14:paraId="331C6F89" w14:textId="6FF408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4EFA0C0" w14:textId="181C1B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6CC803B1" w14:textId="77777777" w:rsidR="006E5533" w:rsidRPr="00251EA9" w:rsidRDefault="006E5533" w:rsidP="006E5533">
            <w:pPr>
              <w:rPr>
                <w:rFonts w:ascii="Arial" w:hAnsi="Arial" w:cs="Arial"/>
                <w:sz w:val="15"/>
                <w:szCs w:val="15"/>
              </w:rPr>
            </w:pPr>
            <w:r w:rsidRPr="00251EA9">
              <w:rPr>
                <w:rFonts w:ascii="Arial" w:hAnsi="Arial" w:cs="Arial"/>
                <w:sz w:val="15"/>
                <w:szCs w:val="15"/>
              </w:rPr>
              <w:t>This study could not</w:t>
            </w:r>
          </w:p>
          <w:p w14:paraId="57F6D89D" w14:textId="50428095" w:rsidR="006E5533" w:rsidRPr="00251EA9" w:rsidRDefault="006E5533" w:rsidP="006E5533">
            <w:pPr>
              <w:rPr>
                <w:rFonts w:ascii="Arial" w:hAnsi="Arial" w:cs="Arial"/>
                <w:sz w:val="15"/>
                <w:szCs w:val="15"/>
              </w:rPr>
            </w:pPr>
            <w:r w:rsidRPr="00251EA9">
              <w:rPr>
                <w:rFonts w:ascii="Arial" w:hAnsi="Arial" w:cs="Arial"/>
                <w:sz w:val="15"/>
                <w:szCs w:val="15"/>
              </w:rPr>
              <w:t xml:space="preserve">demonstrate a significant benefit of antibiotic-impregnated drains over plain EVDs in terms of the incidence of infection, either using the VRI definition or when considering all positive CSF cultures. </w:t>
            </w:r>
          </w:p>
        </w:tc>
        <w:tc>
          <w:tcPr>
            <w:tcW w:w="1701" w:type="dxa"/>
          </w:tcPr>
          <w:p w14:paraId="33E0EA55" w14:textId="4A80AA3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EC44E85" w14:textId="77777777" w:rsidTr="00A77951">
        <w:trPr>
          <w:trHeight w:val="586"/>
        </w:trPr>
        <w:tc>
          <w:tcPr>
            <w:tcW w:w="992" w:type="dxa"/>
          </w:tcPr>
          <w:p w14:paraId="54F33803" w14:textId="5A15BABA"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Vergani</w:t>
            </w:r>
            <w:proofErr w:type="spellEnd"/>
            <w:r w:rsidRPr="00251EA9">
              <w:rPr>
                <w:rFonts w:ascii="Arial" w:hAnsi="Arial" w:cs="Arial"/>
                <w:sz w:val="15"/>
                <w:szCs w:val="15"/>
              </w:rPr>
              <w:t xml:space="preserve"> F. et al., 2010</w:t>
            </w:r>
          </w:p>
        </w:tc>
        <w:tc>
          <w:tcPr>
            <w:tcW w:w="851" w:type="dxa"/>
          </w:tcPr>
          <w:p w14:paraId="7063F9AE" w14:textId="687CD5D9" w:rsidR="006E5533" w:rsidRPr="00A77951" w:rsidRDefault="006E5533" w:rsidP="006E5533">
            <w:pPr>
              <w:spacing w:line="360" w:lineRule="auto"/>
              <w:contextualSpacing/>
              <w:rPr>
                <w:rFonts w:ascii="Arial" w:hAnsi="Arial" w:cs="Arial"/>
                <w:sz w:val="15"/>
                <w:szCs w:val="15"/>
              </w:rPr>
            </w:pPr>
            <w:hyperlink r:id="rId315" w:tgtFrame="_blank" w:history="1">
              <w:r w:rsidRPr="00A77951">
                <w:rPr>
                  <w:rStyle w:val="Hyperlink"/>
                  <w:rFonts w:ascii="Arial" w:hAnsi="Arial" w:cs="Arial"/>
                  <w:sz w:val="15"/>
                  <w:szCs w:val="15"/>
                </w:rPr>
                <w:t>10.1016/j.wneu.2010.01.017</w:t>
              </w:r>
            </w:hyperlink>
          </w:p>
        </w:tc>
        <w:tc>
          <w:tcPr>
            <w:tcW w:w="851" w:type="dxa"/>
          </w:tcPr>
          <w:p w14:paraId="11B89BDE" w14:textId="017D5F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Italy</w:t>
            </w:r>
          </w:p>
        </w:tc>
        <w:tc>
          <w:tcPr>
            <w:tcW w:w="1134" w:type="dxa"/>
          </w:tcPr>
          <w:p w14:paraId="72403FC7" w14:textId="756EC1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5DBB4F9" w14:textId="0E62A5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8BA7BB6" w14:textId="401ADE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2528EB5B" w14:textId="2B59821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review authors’ experience in</w:t>
            </w:r>
            <w:r w:rsidRPr="00251EA9">
              <w:rPr>
                <w:rFonts w:ascii="Arial" w:hAnsi="Arial" w:cs="Arial"/>
                <w:sz w:val="15"/>
                <w:szCs w:val="15"/>
              </w:rPr>
              <w:br/>
              <w:t>the treatment of 141 consecutive parkinsonian patients to identify surgical and hardware-related complications, infections, and</w:t>
            </w:r>
            <w:r w:rsidRPr="00251EA9">
              <w:rPr>
                <w:rFonts w:ascii="Arial" w:hAnsi="Arial" w:cs="Arial"/>
                <w:sz w:val="15"/>
                <w:szCs w:val="15"/>
              </w:rPr>
              <w:br/>
              <w:t>delayed adverse medical events.</w:t>
            </w:r>
          </w:p>
        </w:tc>
        <w:tc>
          <w:tcPr>
            <w:tcW w:w="1134" w:type="dxa"/>
          </w:tcPr>
          <w:p w14:paraId="2DD9CDD0"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7B9708B" w14:textId="6EE961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01F3F04" w14:textId="00AC4E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9C150FA" w14:textId="1A3E9B0B" w:rsidR="006E5533" w:rsidRPr="00251EA9" w:rsidRDefault="006E5533" w:rsidP="006E5533">
            <w:pPr>
              <w:rPr>
                <w:rFonts w:ascii="Arial" w:hAnsi="Arial" w:cs="Arial"/>
                <w:sz w:val="15"/>
                <w:szCs w:val="15"/>
              </w:rPr>
            </w:pPr>
            <w:r w:rsidRPr="00251EA9">
              <w:rPr>
                <w:rFonts w:ascii="Arial" w:hAnsi="Arial" w:cs="Arial"/>
                <w:sz w:val="15"/>
                <w:szCs w:val="15"/>
              </w:rPr>
              <w:t>Infections were seen in 5.6% of patients; removal of the</w:t>
            </w:r>
            <w:r w:rsidRPr="00251EA9">
              <w:rPr>
                <w:rFonts w:ascii="Arial" w:hAnsi="Arial" w:cs="Arial"/>
                <w:sz w:val="15"/>
                <w:szCs w:val="15"/>
              </w:rPr>
              <w:br/>
              <w:t xml:space="preserve">hardware was necessary in 3.6%. </w:t>
            </w:r>
          </w:p>
        </w:tc>
        <w:tc>
          <w:tcPr>
            <w:tcW w:w="1701" w:type="dxa"/>
          </w:tcPr>
          <w:p w14:paraId="584C3619" w14:textId="091C3B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42608F8" w14:textId="77777777" w:rsidTr="00A77951">
        <w:trPr>
          <w:trHeight w:val="586"/>
        </w:trPr>
        <w:tc>
          <w:tcPr>
            <w:tcW w:w="992" w:type="dxa"/>
          </w:tcPr>
          <w:p w14:paraId="78C8B8E6" w14:textId="0F7CAFC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Viken H. et al., 2018</w:t>
            </w:r>
          </w:p>
        </w:tc>
        <w:tc>
          <w:tcPr>
            <w:tcW w:w="851" w:type="dxa"/>
          </w:tcPr>
          <w:p w14:paraId="1820EB85" w14:textId="1824CF09" w:rsidR="006E5533" w:rsidRPr="00A77951" w:rsidRDefault="006E5533" w:rsidP="006E5533">
            <w:pPr>
              <w:spacing w:line="360" w:lineRule="auto"/>
              <w:contextualSpacing/>
              <w:rPr>
                <w:rFonts w:ascii="Arial" w:hAnsi="Arial" w:cs="Arial"/>
                <w:sz w:val="15"/>
                <w:szCs w:val="15"/>
              </w:rPr>
            </w:pPr>
            <w:hyperlink r:id="rId316" w:tgtFrame="_blank" w:history="1">
              <w:r w:rsidRPr="00A77951">
                <w:rPr>
                  <w:rStyle w:val="Hyperlink"/>
                  <w:rFonts w:ascii="Arial" w:hAnsi="Arial" w:cs="Arial"/>
                  <w:sz w:val="15"/>
                  <w:szCs w:val="15"/>
                </w:rPr>
                <w:t>10.1016/j.wneu.2018.01.137</w:t>
              </w:r>
            </w:hyperlink>
          </w:p>
        </w:tc>
        <w:tc>
          <w:tcPr>
            <w:tcW w:w="851" w:type="dxa"/>
          </w:tcPr>
          <w:p w14:paraId="476A41E5" w14:textId="74F76D8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Norway</w:t>
            </w:r>
          </w:p>
        </w:tc>
        <w:tc>
          <w:tcPr>
            <w:tcW w:w="1134" w:type="dxa"/>
          </w:tcPr>
          <w:p w14:paraId="526ECF39" w14:textId="60D8434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Retrospective </w:t>
            </w:r>
          </w:p>
        </w:tc>
        <w:tc>
          <w:tcPr>
            <w:tcW w:w="992" w:type="dxa"/>
          </w:tcPr>
          <w:p w14:paraId="0010A02B" w14:textId="2C8866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8DD38A9" w14:textId="44EAAE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ACE355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optimise follow-up and surveillance routines after intracranial surgery. </w:t>
            </w:r>
          </w:p>
          <w:p w14:paraId="79D37738" w14:textId="23E1DF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explore when postoperative complications are detected after brain tumour surgery and assess their severity.</w:t>
            </w:r>
          </w:p>
        </w:tc>
        <w:tc>
          <w:tcPr>
            <w:tcW w:w="1134" w:type="dxa"/>
          </w:tcPr>
          <w:p w14:paraId="4091A64F" w14:textId="2B46B84A" w:rsidR="006E5533" w:rsidRPr="00251EA9" w:rsidRDefault="006E5533" w:rsidP="006E5533">
            <w:pPr>
              <w:spacing w:line="360" w:lineRule="auto"/>
              <w:contextualSpacing/>
              <w:rPr>
                <w:rFonts w:ascii="Arial" w:hAnsi="Arial" w:cs="Arial"/>
                <w:sz w:val="15"/>
                <w:szCs w:val="15"/>
              </w:rPr>
            </w:pPr>
          </w:p>
        </w:tc>
        <w:tc>
          <w:tcPr>
            <w:tcW w:w="992" w:type="dxa"/>
          </w:tcPr>
          <w:p w14:paraId="2EA5FBFE" w14:textId="780FFBE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0C10A34" w14:textId="0816C1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8B138F1" w14:textId="07C3C2B8" w:rsidR="006E5533" w:rsidRPr="00251EA9" w:rsidRDefault="006E5533" w:rsidP="006E5533">
            <w:pPr>
              <w:rPr>
                <w:rFonts w:ascii="Arial" w:hAnsi="Arial" w:cs="Arial"/>
                <w:sz w:val="15"/>
                <w:szCs w:val="15"/>
              </w:rPr>
            </w:pPr>
            <w:r w:rsidRPr="00251EA9">
              <w:rPr>
                <w:rFonts w:ascii="Arial" w:hAnsi="Arial" w:cs="Arial"/>
                <w:sz w:val="15"/>
                <w:szCs w:val="15"/>
              </w:rPr>
              <w:t xml:space="preserve">Reported superficial wound infection in 17 cases (1.3%) and deep wound infection in 21 cases (1.6%). </w:t>
            </w:r>
          </w:p>
        </w:tc>
        <w:tc>
          <w:tcPr>
            <w:tcW w:w="1701" w:type="dxa"/>
          </w:tcPr>
          <w:p w14:paraId="41E25D67" w14:textId="4EC42A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5F2C531" w14:textId="77777777" w:rsidTr="00A77951">
        <w:trPr>
          <w:trHeight w:val="586"/>
        </w:trPr>
        <w:tc>
          <w:tcPr>
            <w:tcW w:w="992" w:type="dxa"/>
          </w:tcPr>
          <w:p w14:paraId="15BEF99F" w14:textId="2A1587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Villavicencio A.T. et al., 2003</w:t>
            </w:r>
          </w:p>
        </w:tc>
        <w:tc>
          <w:tcPr>
            <w:tcW w:w="851" w:type="dxa"/>
          </w:tcPr>
          <w:p w14:paraId="616027A2" w14:textId="572740A5" w:rsidR="006E5533" w:rsidRPr="00A77951" w:rsidRDefault="006E5533" w:rsidP="006E5533">
            <w:pPr>
              <w:spacing w:line="360" w:lineRule="auto"/>
              <w:contextualSpacing/>
              <w:rPr>
                <w:rFonts w:ascii="Arial" w:hAnsi="Arial" w:cs="Arial"/>
                <w:sz w:val="15"/>
                <w:szCs w:val="15"/>
              </w:rPr>
            </w:pPr>
            <w:hyperlink r:id="rId317" w:tgtFrame="_blank" w:history="1">
              <w:r w:rsidRPr="00A77951">
                <w:rPr>
                  <w:rStyle w:val="Hyperlink"/>
                  <w:rFonts w:ascii="Arial" w:hAnsi="Arial" w:cs="Arial"/>
                  <w:sz w:val="15"/>
                  <w:szCs w:val="15"/>
                </w:rPr>
                <w:t>10.1016/s0090-3019(03)00070-3</w:t>
              </w:r>
            </w:hyperlink>
          </w:p>
        </w:tc>
        <w:tc>
          <w:tcPr>
            <w:tcW w:w="851" w:type="dxa"/>
          </w:tcPr>
          <w:p w14:paraId="5A7B18B5" w14:textId="046056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F6FD0B0" w14:textId="0F396D9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3FA5D038" w14:textId="5FC340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5731DDD7" w14:textId="181EDE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F1877B8" w14:textId="2DA5DF0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rates of revision following ventricular catheter placement for shunted hydrocephalus with and without the use of endoscopy.</w:t>
            </w:r>
          </w:p>
        </w:tc>
        <w:tc>
          <w:tcPr>
            <w:tcW w:w="1134" w:type="dxa"/>
          </w:tcPr>
          <w:p w14:paraId="58B595EC" w14:textId="4F6A276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Vs without endoscopy</w:t>
            </w:r>
          </w:p>
        </w:tc>
        <w:tc>
          <w:tcPr>
            <w:tcW w:w="992" w:type="dxa"/>
          </w:tcPr>
          <w:p w14:paraId="494574E5" w14:textId="1726A24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8A26031" w14:textId="102ADB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850F9F6" w14:textId="69D1F2B4" w:rsidR="006E5533" w:rsidRPr="00251EA9" w:rsidRDefault="006E5533" w:rsidP="006E5533">
            <w:pPr>
              <w:rPr>
                <w:rFonts w:ascii="Arial" w:hAnsi="Arial" w:cs="Arial"/>
                <w:sz w:val="15"/>
                <w:szCs w:val="15"/>
              </w:rPr>
            </w:pPr>
            <w:r w:rsidRPr="00251EA9">
              <w:rPr>
                <w:rFonts w:ascii="Arial" w:hAnsi="Arial" w:cs="Arial"/>
                <w:sz w:val="15"/>
                <w:szCs w:val="15"/>
              </w:rPr>
              <w:t>Shunt infection was not independently associated with endoscopic shunt placement.</w:t>
            </w:r>
          </w:p>
        </w:tc>
        <w:tc>
          <w:tcPr>
            <w:tcW w:w="1701" w:type="dxa"/>
          </w:tcPr>
          <w:p w14:paraId="35923B1E" w14:textId="0A1A7B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BB4B885" w14:textId="77777777" w:rsidTr="00A77951">
        <w:trPr>
          <w:trHeight w:val="586"/>
        </w:trPr>
        <w:tc>
          <w:tcPr>
            <w:tcW w:w="992" w:type="dxa"/>
          </w:tcPr>
          <w:p w14:paraId="2FEFD9D7" w14:textId="2CA5DE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Volsky P.G. et al., 2017</w:t>
            </w:r>
          </w:p>
        </w:tc>
        <w:tc>
          <w:tcPr>
            <w:tcW w:w="851" w:type="dxa"/>
          </w:tcPr>
          <w:p w14:paraId="0768178D" w14:textId="17E7D282" w:rsidR="006E5533" w:rsidRPr="00A77951" w:rsidRDefault="006E5533" w:rsidP="006E5533">
            <w:pPr>
              <w:spacing w:line="360" w:lineRule="auto"/>
              <w:contextualSpacing/>
              <w:rPr>
                <w:rFonts w:ascii="Arial" w:hAnsi="Arial" w:cs="Arial"/>
                <w:sz w:val="15"/>
                <w:szCs w:val="15"/>
              </w:rPr>
            </w:pPr>
            <w:hyperlink r:id="rId318" w:tgtFrame="_blank" w:history="1">
              <w:r w:rsidRPr="00A77951">
                <w:rPr>
                  <w:rStyle w:val="Hyperlink"/>
                  <w:rFonts w:ascii="Arial" w:hAnsi="Arial" w:cs="Arial"/>
                  <w:sz w:val="15"/>
                  <w:szCs w:val="15"/>
                </w:rPr>
                <w:t>10.1002/lary.26403</w:t>
              </w:r>
            </w:hyperlink>
          </w:p>
        </w:tc>
        <w:tc>
          <w:tcPr>
            <w:tcW w:w="851" w:type="dxa"/>
          </w:tcPr>
          <w:p w14:paraId="1F84D3C4" w14:textId="61DFEB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5BCC4B1" w14:textId="01C0803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75D2A6DE" w14:textId="32E448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D589A6C" w14:textId="14807EEF"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3B28D9CE" w14:textId="2675C67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long-term incidence of adverse events (CSF leaks and wound infections) associated with the use of hydroxyapatite cement cranioplasty (HAC).</w:t>
            </w:r>
          </w:p>
        </w:tc>
        <w:tc>
          <w:tcPr>
            <w:tcW w:w="1134" w:type="dxa"/>
          </w:tcPr>
          <w:p w14:paraId="293892FF" w14:textId="1F16F543" w:rsidR="006E5533" w:rsidRPr="00251EA9" w:rsidRDefault="006E5533" w:rsidP="006E5533">
            <w:pPr>
              <w:spacing w:line="360" w:lineRule="auto"/>
              <w:contextualSpacing/>
              <w:rPr>
                <w:rFonts w:ascii="Arial" w:hAnsi="Arial" w:cs="Arial"/>
                <w:sz w:val="15"/>
                <w:szCs w:val="15"/>
              </w:rPr>
            </w:pPr>
          </w:p>
        </w:tc>
        <w:tc>
          <w:tcPr>
            <w:tcW w:w="992" w:type="dxa"/>
          </w:tcPr>
          <w:p w14:paraId="7A6C0E56" w14:textId="3C4689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E6EE0F2" w14:textId="458784A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EB86661" w14:textId="3639D9B2" w:rsidR="006E5533" w:rsidRPr="00251EA9" w:rsidRDefault="006E5533" w:rsidP="006E5533">
            <w:pPr>
              <w:rPr>
                <w:rFonts w:ascii="Arial" w:hAnsi="Arial" w:cs="Arial"/>
                <w:sz w:val="15"/>
                <w:szCs w:val="15"/>
              </w:rPr>
            </w:pPr>
            <w:r w:rsidRPr="00251EA9">
              <w:rPr>
                <w:rFonts w:ascii="Arial" w:hAnsi="Arial" w:cs="Arial"/>
                <w:sz w:val="15"/>
                <w:szCs w:val="15"/>
              </w:rPr>
              <w:t>There were 7 cases of infection after HAC was used.</w:t>
            </w:r>
          </w:p>
        </w:tc>
        <w:tc>
          <w:tcPr>
            <w:tcW w:w="1701" w:type="dxa"/>
          </w:tcPr>
          <w:p w14:paraId="233C4F23" w14:textId="01F564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9022402" w14:textId="77777777" w:rsidTr="00A77951">
        <w:trPr>
          <w:trHeight w:val="586"/>
        </w:trPr>
        <w:tc>
          <w:tcPr>
            <w:tcW w:w="992" w:type="dxa"/>
          </w:tcPr>
          <w:p w14:paraId="0FB202C5" w14:textId="13303A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Wachter D. et al., 2013</w:t>
            </w:r>
          </w:p>
        </w:tc>
        <w:tc>
          <w:tcPr>
            <w:tcW w:w="851" w:type="dxa"/>
          </w:tcPr>
          <w:p w14:paraId="4DF51F54" w14:textId="33839387" w:rsidR="006E5533" w:rsidRPr="00A77951" w:rsidRDefault="006E5533" w:rsidP="006E5533">
            <w:pPr>
              <w:spacing w:line="360" w:lineRule="auto"/>
              <w:contextualSpacing/>
              <w:rPr>
                <w:rFonts w:ascii="Arial" w:hAnsi="Arial" w:cs="Arial"/>
                <w:sz w:val="15"/>
                <w:szCs w:val="15"/>
              </w:rPr>
            </w:pPr>
            <w:hyperlink r:id="rId319" w:tgtFrame="_blank" w:history="1">
              <w:r w:rsidRPr="00A77951">
                <w:rPr>
                  <w:rStyle w:val="Hyperlink"/>
                  <w:rFonts w:ascii="Arial" w:hAnsi="Arial" w:cs="Arial"/>
                  <w:sz w:val="15"/>
                  <w:szCs w:val="15"/>
                </w:rPr>
                <w:t>10.1016/j.clineuro.2012.12.002</w:t>
              </w:r>
            </w:hyperlink>
          </w:p>
        </w:tc>
        <w:tc>
          <w:tcPr>
            <w:tcW w:w="851" w:type="dxa"/>
          </w:tcPr>
          <w:p w14:paraId="3B21082C" w14:textId="2F93042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Germany</w:t>
            </w:r>
          </w:p>
        </w:tc>
        <w:tc>
          <w:tcPr>
            <w:tcW w:w="1134" w:type="dxa"/>
          </w:tcPr>
          <w:p w14:paraId="7D435A32" w14:textId="7102C96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BE824AE" w14:textId="71227F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3D3EC12" w14:textId="2DD24B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6414459B" w14:textId="741668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surgery-associated complications after bone flap reimplantation.</w:t>
            </w:r>
          </w:p>
        </w:tc>
        <w:tc>
          <w:tcPr>
            <w:tcW w:w="1134" w:type="dxa"/>
          </w:tcPr>
          <w:p w14:paraId="78BF27B1"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862B014" w14:textId="197C327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D09D5FE" w14:textId="6CA34D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D634C3C" w14:textId="7F74A831" w:rsidR="006E5533" w:rsidRPr="00251EA9" w:rsidRDefault="006E5533" w:rsidP="006E5533">
            <w:pPr>
              <w:rPr>
                <w:rFonts w:ascii="Arial" w:hAnsi="Arial" w:cs="Arial"/>
                <w:sz w:val="15"/>
                <w:szCs w:val="15"/>
              </w:rPr>
            </w:pPr>
            <w:r w:rsidRPr="00251EA9">
              <w:rPr>
                <w:rFonts w:ascii="Arial" w:hAnsi="Arial" w:cs="Arial"/>
                <w:sz w:val="15"/>
                <w:szCs w:val="15"/>
              </w:rPr>
              <w:t>70% of post-operative complications were in the form of wound infections.</w:t>
            </w:r>
          </w:p>
        </w:tc>
        <w:tc>
          <w:tcPr>
            <w:tcW w:w="1701" w:type="dxa"/>
          </w:tcPr>
          <w:p w14:paraId="45708744" w14:textId="0106F95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A24F983" w14:textId="77777777" w:rsidTr="00A77951">
        <w:trPr>
          <w:trHeight w:val="586"/>
        </w:trPr>
        <w:tc>
          <w:tcPr>
            <w:tcW w:w="992" w:type="dxa"/>
          </w:tcPr>
          <w:p w14:paraId="5121B3C7" w14:textId="5014FFE2"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Walaszek</w:t>
            </w:r>
            <w:proofErr w:type="spellEnd"/>
            <w:r w:rsidRPr="00251EA9">
              <w:rPr>
                <w:rFonts w:ascii="Arial" w:hAnsi="Arial" w:cs="Arial"/>
                <w:sz w:val="15"/>
                <w:szCs w:val="15"/>
              </w:rPr>
              <w:t xml:space="preserve"> M., 2015</w:t>
            </w:r>
          </w:p>
        </w:tc>
        <w:tc>
          <w:tcPr>
            <w:tcW w:w="851" w:type="dxa"/>
          </w:tcPr>
          <w:p w14:paraId="0A308623" w14:textId="59BF74C3"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PMID: 26519848</w:t>
            </w:r>
          </w:p>
        </w:tc>
        <w:tc>
          <w:tcPr>
            <w:tcW w:w="851" w:type="dxa"/>
          </w:tcPr>
          <w:p w14:paraId="14FAC292" w14:textId="13D9E5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Poland</w:t>
            </w:r>
          </w:p>
        </w:tc>
        <w:tc>
          <w:tcPr>
            <w:tcW w:w="1134" w:type="dxa"/>
          </w:tcPr>
          <w:p w14:paraId="73071661" w14:textId="77C6F4A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1F2820B" w14:textId="2CF039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F73D51B" w14:textId="01B7AD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cranial neurosurgical cases)</w:t>
            </w:r>
          </w:p>
        </w:tc>
        <w:tc>
          <w:tcPr>
            <w:tcW w:w="1843" w:type="dxa"/>
          </w:tcPr>
          <w:p w14:paraId="19C3696B" w14:textId="323135A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prevalence and structure of the healthcare-associated infections (HAI) in </w:t>
            </w:r>
            <w:r w:rsidRPr="00251EA9">
              <w:rPr>
                <w:rFonts w:ascii="Arial" w:hAnsi="Arial" w:cs="Arial"/>
                <w:sz w:val="15"/>
                <w:szCs w:val="15"/>
              </w:rPr>
              <w:lastRenderedPageBreak/>
              <w:t xml:space="preserve">patients hospitalised in the neurosurgical ward in the St. Lukas District Hospital in </w:t>
            </w:r>
            <w:proofErr w:type="spellStart"/>
            <w:r w:rsidRPr="00251EA9">
              <w:rPr>
                <w:rFonts w:ascii="Arial" w:hAnsi="Arial" w:cs="Arial"/>
                <w:sz w:val="15"/>
                <w:szCs w:val="15"/>
              </w:rPr>
              <w:t>Tarnów</w:t>
            </w:r>
            <w:proofErr w:type="spellEnd"/>
            <w:r w:rsidRPr="00251EA9">
              <w:rPr>
                <w:rFonts w:ascii="Arial" w:hAnsi="Arial" w:cs="Arial"/>
                <w:sz w:val="15"/>
                <w:szCs w:val="15"/>
              </w:rPr>
              <w:t>.</w:t>
            </w:r>
          </w:p>
        </w:tc>
        <w:tc>
          <w:tcPr>
            <w:tcW w:w="1134" w:type="dxa"/>
          </w:tcPr>
          <w:p w14:paraId="78AFE40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ECC605A" w14:textId="59040DA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19914F7" w14:textId="3EC148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European Centre for Disease Prevention and Control (ECDC) and Centre for </w:t>
            </w:r>
            <w:r w:rsidRPr="00251EA9">
              <w:rPr>
                <w:rFonts w:ascii="Arial" w:hAnsi="Arial" w:cs="Arial"/>
                <w:sz w:val="15"/>
                <w:szCs w:val="15"/>
              </w:rPr>
              <w:lastRenderedPageBreak/>
              <w:t>Disease Control and Prevention Guidelines</w:t>
            </w:r>
          </w:p>
        </w:tc>
        <w:tc>
          <w:tcPr>
            <w:tcW w:w="2693" w:type="dxa"/>
          </w:tcPr>
          <w:p w14:paraId="78C63160" w14:textId="24357F62" w:rsidR="006E5533" w:rsidRPr="00251EA9" w:rsidRDefault="006E5533" w:rsidP="006E5533">
            <w:pPr>
              <w:rPr>
                <w:rFonts w:ascii="Arial" w:hAnsi="Arial" w:cs="Arial"/>
                <w:sz w:val="15"/>
                <w:szCs w:val="15"/>
              </w:rPr>
            </w:pPr>
            <w:r w:rsidRPr="00251EA9">
              <w:rPr>
                <w:rFonts w:ascii="Arial" w:hAnsi="Arial" w:cs="Arial"/>
                <w:sz w:val="15"/>
                <w:szCs w:val="15"/>
              </w:rPr>
              <w:lastRenderedPageBreak/>
              <w:t>516 cases of nosocomial infections were detected. The most common infections among these cases</w:t>
            </w:r>
            <w:r w:rsidRPr="00251EA9">
              <w:rPr>
                <w:rFonts w:ascii="Arial" w:hAnsi="Arial" w:cs="Arial"/>
                <w:sz w:val="15"/>
                <w:szCs w:val="15"/>
              </w:rPr>
              <w:br/>
              <w:t>were SSI. The number of SSIs cases was 140 and cumulative incidence rate (CI) per 100 operations was 1.72%, including: 52 cases of craniotomy (CRAN).</w:t>
            </w:r>
          </w:p>
        </w:tc>
        <w:tc>
          <w:tcPr>
            <w:tcW w:w="1701" w:type="dxa"/>
          </w:tcPr>
          <w:p w14:paraId="6661346C" w14:textId="35E8175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F180EB7" w14:textId="77777777" w:rsidTr="00A77951">
        <w:trPr>
          <w:trHeight w:val="586"/>
        </w:trPr>
        <w:tc>
          <w:tcPr>
            <w:tcW w:w="992" w:type="dxa"/>
          </w:tcPr>
          <w:p w14:paraId="2D7A64FA" w14:textId="0A3B36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Walcott B. et al., 2013</w:t>
            </w:r>
          </w:p>
        </w:tc>
        <w:tc>
          <w:tcPr>
            <w:tcW w:w="851" w:type="dxa"/>
          </w:tcPr>
          <w:p w14:paraId="67D4263D" w14:textId="20EF4B10" w:rsidR="006E5533" w:rsidRPr="00A77951" w:rsidRDefault="006E5533" w:rsidP="006E5533">
            <w:pPr>
              <w:spacing w:line="360" w:lineRule="auto"/>
              <w:contextualSpacing/>
              <w:rPr>
                <w:rFonts w:ascii="Arial" w:hAnsi="Arial" w:cs="Arial"/>
                <w:sz w:val="15"/>
                <w:szCs w:val="15"/>
              </w:rPr>
            </w:pPr>
            <w:hyperlink r:id="rId320" w:tgtFrame="_blank" w:history="1">
              <w:r w:rsidRPr="00A77951">
                <w:rPr>
                  <w:rStyle w:val="Hyperlink"/>
                  <w:rFonts w:ascii="Arial" w:hAnsi="Arial" w:cs="Arial"/>
                  <w:sz w:val="15"/>
                  <w:szCs w:val="15"/>
                </w:rPr>
                <w:t>10.3171/2013.</w:t>
              </w:r>
              <w:proofErr w:type="gramStart"/>
              <w:r w:rsidRPr="00A77951">
                <w:rPr>
                  <w:rStyle w:val="Hyperlink"/>
                  <w:rFonts w:ascii="Arial" w:hAnsi="Arial" w:cs="Arial"/>
                  <w:sz w:val="15"/>
                  <w:szCs w:val="15"/>
                </w:rPr>
                <w:t>8.JNS</w:t>
              </w:r>
              <w:proofErr w:type="gramEnd"/>
              <w:r w:rsidRPr="00A77951">
                <w:rPr>
                  <w:rStyle w:val="Hyperlink"/>
                  <w:rFonts w:ascii="Arial" w:hAnsi="Arial" w:cs="Arial"/>
                  <w:sz w:val="15"/>
                  <w:szCs w:val="15"/>
                </w:rPr>
                <w:t>13703</w:t>
              </w:r>
            </w:hyperlink>
          </w:p>
        </w:tc>
        <w:tc>
          <w:tcPr>
            <w:tcW w:w="851" w:type="dxa"/>
          </w:tcPr>
          <w:p w14:paraId="4B808471" w14:textId="439758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C65B0AE" w14:textId="03B6BEE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437BD96" w14:textId="0D4C0B8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970C3B6" w14:textId="186615E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Other (dural closure)</w:t>
            </w:r>
          </w:p>
        </w:tc>
        <w:tc>
          <w:tcPr>
            <w:tcW w:w="1843" w:type="dxa"/>
          </w:tcPr>
          <w:p w14:paraId="2610FB01" w14:textId="4D54235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contribution of choice of dural closure material, as well as</w:t>
            </w:r>
            <w:r w:rsidRPr="00251EA9">
              <w:rPr>
                <w:rFonts w:ascii="Arial" w:hAnsi="Arial" w:cs="Arial"/>
                <w:sz w:val="15"/>
                <w:szCs w:val="15"/>
              </w:rPr>
              <w:br/>
              <w:t>other factors, to the incidence of infection and CSF leak.</w:t>
            </w:r>
          </w:p>
        </w:tc>
        <w:tc>
          <w:tcPr>
            <w:tcW w:w="1134" w:type="dxa"/>
          </w:tcPr>
          <w:p w14:paraId="747A1FB0" w14:textId="77777777" w:rsidR="006E5533" w:rsidRPr="00251EA9" w:rsidRDefault="006E5533" w:rsidP="006E5533">
            <w:pPr>
              <w:spacing w:line="360" w:lineRule="auto"/>
              <w:contextualSpacing/>
              <w:rPr>
                <w:rFonts w:ascii="Arial" w:hAnsi="Arial" w:cs="Arial"/>
                <w:sz w:val="15"/>
                <w:szCs w:val="15"/>
              </w:rPr>
            </w:pPr>
          </w:p>
        </w:tc>
        <w:tc>
          <w:tcPr>
            <w:tcW w:w="992" w:type="dxa"/>
          </w:tcPr>
          <w:p w14:paraId="0C1EAA56" w14:textId="27E50D8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F79616A" w14:textId="68B330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3E9ACD84" w14:textId="1684B360" w:rsidR="006E5533" w:rsidRPr="00251EA9" w:rsidRDefault="006E5533" w:rsidP="006E5533">
            <w:pPr>
              <w:rPr>
                <w:rFonts w:ascii="Arial" w:hAnsi="Arial" w:cs="Arial"/>
                <w:sz w:val="15"/>
                <w:szCs w:val="15"/>
              </w:rPr>
            </w:pPr>
            <w:r w:rsidRPr="00251EA9">
              <w:rPr>
                <w:rFonts w:ascii="Arial" w:hAnsi="Arial" w:cs="Arial"/>
                <w:sz w:val="15"/>
                <w:szCs w:val="15"/>
              </w:rPr>
              <w:t>17 out of 399 patients</w:t>
            </w:r>
            <w:r w:rsidRPr="00251EA9">
              <w:rPr>
                <w:rFonts w:ascii="Arial" w:hAnsi="Arial" w:cs="Arial"/>
                <w:sz w:val="15"/>
                <w:szCs w:val="15"/>
              </w:rPr>
              <w:br/>
              <w:t xml:space="preserve">developed </w:t>
            </w:r>
            <w:proofErr w:type="gramStart"/>
            <w:r w:rsidRPr="00251EA9">
              <w:rPr>
                <w:rFonts w:ascii="Arial" w:hAnsi="Arial" w:cs="Arial"/>
                <w:sz w:val="15"/>
                <w:szCs w:val="15"/>
              </w:rPr>
              <w:t>a</w:t>
            </w:r>
            <w:proofErr w:type="gramEnd"/>
            <w:r w:rsidRPr="00251EA9">
              <w:rPr>
                <w:rFonts w:ascii="Arial" w:hAnsi="Arial" w:cs="Arial"/>
                <w:sz w:val="15"/>
                <w:szCs w:val="15"/>
              </w:rPr>
              <w:t xml:space="preserve"> SSI and 12 patients developed a CSF leak. </w:t>
            </w:r>
          </w:p>
        </w:tc>
        <w:tc>
          <w:tcPr>
            <w:tcW w:w="1701" w:type="dxa"/>
          </w:tcPr>
          <w:p w14:paraId="53CB08A9" w14:textId="2BF75E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FEE717A" w14:textId="77777777" w:rsidTr="00A77951">
        <w:trPr>
          <w:trHeight w:val="586"/>
        </w:trPr>
        <w:tc>
          <w:tcPr>
            <w:tcW w:w="992" w:type="dxa"/>
          </w:tcPr>
          <w:p w14:paraId="0D8AD5B9" w14:textId="5C47E9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Walcott B.P. et al., 2013</w:t>
            </w:r>
          </w:p>
        </w:tc>
        <w:tc>
          <w:tcPr>
            <w:tcW w:w="851" w:type="dxa"/>
          </w:tcPr>
          <w:p w14:paraId="371B90A1" w14:textId="171F5FB5" w:rsidR="006E5533" w:rsidRPr="00A77951" w:rsidRDefault="006E5533" w:rsidP="006E5533">
            <w:pPr>
              <w:spacing w:line="360" w:lineRule="auto"/>
              <w:contextualSpacing/>
              <w:rPr>
                <w:rFonts w:ascii="Arial" w:hAnsi="Arial" w:cs="Arial"/>
                <w:sz w:val="15"/>
                <w:szCs w:val="15"/>
              </w:rPr>
            </w:pPr>
            <w:hyperlink r:id="rId321" w:tgtFrame="_blank" w:history="1">
              <w:r w:rsidRPr="00A77951">
                <w:rPr>
                  <w:rStyle w:val="Hyperlink"/>
                  <w:rFonts w:ascii="Arial" w:hAnsi="Arial" w:cs="Arial"/>
                  <w:sz w:val="15"/>
                  <w:szCs w:val="15"/>
                </w:rPr>
                <w:t>10.3171/2013.</w:t>
              </w:r>
              <w:proofErr w:type="gramStart"/>
              <w:r w:rsidRPr="00A77951">
                <w:rPr>
                  <w:rStyle w:val="Hyperlink"/>
                  <w:rFonts w:ascii="Arial" w:hAnsi="Arial" w:cs="Arial"/>
                  <w:sz w:val="15"/>
                  <w:szCs w:val="15"/>
                </w:rPr>
                <w:t>1.JNS</w:t>
              </w:r>
              <w:proofErr w:type="gramEnd"/>
              <w:r w:rsidRPr="00A77951">
                <w:rPr>
                  <w:rStyle w:val="Hyperlink"/>
                  <w:rFonts w:ascii="Arial" w:hAnsi="Arial" w:cs="Arial"/>
                  <w:sz w:val="15"/>
                  <w:szCs w:val="15"/>
                </w:rPr>
                <w:t>121626</w:t>
              </w:r>
            </w:hyperlink>
          </w:p>
        </w:tc>
        <w:tc>
          <w:tcPr>
            <w:tcW w:w="851" w:type="dxa"/>
          </w:tcPr>
          <w:p w14:paraId="2235D82D" w14:textId="263993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06B2F225" w14:textId="3A3E42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A0026F9" w14:textId="3328C1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2E3D469" w14:textId="0ACBF6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49586B3A" w14:textId="5C0242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surgery- and patient-specific risk factors related to the development of SSI and other</w:t>
            </w:r>
            <w:r w:rsidRPr="00251EA9">
              <w:rPr>
                <w:rFonts w:ascii="Arial" w:hAnsi="Arial" w:cs="Arial"/>
                <w:sz w:val="15"/>
                <w:szCs w:val="15"/>
              </w:rPr>
              <w:br/>
              <w:t>complications following cranioplasty.</w:t>
            </w:r>
          </w:p>
        </w:tc>
        <w:tc>
          <w:tcPr>
            <w:tcW w:w="1134" w:type="dxa"/>
          </w:tcPr>
          <w:p w14:paraId="60167AEB"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97663F5" w14:textId="0625EB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DE59EFF" w14:textId="079789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5D11732D" w14:textId="7EA233C4" w:rsidR="006E5533" w:rsidRPr="00251EA9" w:rsidRDefault="006E5533" w:rsidP="006E5533">
            <w:pPr>
              <w:rPr>
                <w:rFonts w:ascii="Arial" w:hAnsi="Arial" w:cs="Arial"/>
                <w:sz w:val="15"/>
                <w:szCs w:val="15"/>
              </w:rPr>
            </w:pPr>
            <w:r w:rsidRPr="00251EA9">
              <w:rPr>
                <w:rFonts w:ascii="Arial" w:hAnsi="Arial" w:cs="Arial"/>
                <w:sz w:val="15"/>
                <w:szCs w:val="15"/>
              </w:rPr>
              <w:t xml:space="preserve">Re-operation was required in 17 out of 239 patients due to infection. </w:t>
            </w:r>
          </w:p>
        </w:tc>
        <w:tc>
          <w:tcPr>
            <w:tcW w:w="1701" w:type="dxa"/>
          </w:tcPr>
          <w:p w14:paraId="017C7DB0" w14:textId="7E0370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6C65AA8" w14:textId="77777777" w:rsidTr="00A77951">
        <w:trPr>
          <w:trHeight w:val="586"/>
        </w:trPr>
        <w:tc>
          <w:tcPr>
            <w:tcW w:w="992" w:type="dxa"/>
          </w:tcPr>
          <w:p w14:paraId="35BDACEA" w14:textId="083945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Walcott B.P. et al., 2013</w:t>
            </w:r>
          </w:p>
        </w:tc>
        <w:tc>
          <w:tcPr>
            <w:tcW w:w="851" w:type="dxa"/>
          </w:tcPr>
          <w:p w14:paraId="032DC377" w14:textId="29A773C1" w:rsidR="006E5533" w:rsidRPr="00A77951" w:rsidRDefault="006E5533" w:rsidP="006E5533">
            <w:pPr>
              <w:spacing w:line="360" w:lineRule="auto"/>
              <w:contextualSpacing/>
              <w:rPr>
                <w:rFonts w:ascii="Arial" w:hAnsi="Arial" w:cs="Arial"/>
                <w:sz w:val="15"/>
                <w:szCs w:val="15"/>
              </w:rPr>
            </w:pPr>
            <w:hyperlink r:id="rId322" w:tgtFrame="_blank" w:history="1">
              <w:r w:rsidRPr="00A77951">
                <w:rPr>
                  <w:rStyle w:val="Hyperlink"/>
                  <w:rFonts w:ascii="Arial" w:hAnsi="Arial" w:cs="Arial"/>
                  <w:sz w:val="15"/>
                  <w:szCs w:val="15"/>
                </w:rPr>
                <w:t>10.3171/2013.</w:t>
              </w:r>
              <w:proofErr w:type="gramStart"/>
              <w:r w:rsidRPr="00A77951">
                <w:rPr>
                  <w:rStyle w:val="Hyperlink"/>
                  <w:rFonts w:ascii="Arial" w:hAnsi="Arial" w:cs="Arial"/>
                  <w:sz w:val="15"/>
                  <w:szCs w:val="15"/>
                </w:rPr>
                <w:t>8.JNS</w:t>
              </w:r>
              <w:proofErr w:type="gramEnd"/>
              <w:r w:rsidRPr="00A77951">
                <w:rPr>
                  <w:rStyle w:val="Hyperlink"/>
                  <w:rFonts w:ascii="Arial" w:hAnsi="Arial" w:cs="Arial"/>
                  <w:sz w:val="15"/>
                  <w:szCs w:val="15"/>
                </w:rPr>
                <w:t>13703</w:t>
              </w:r>
            </w:hyperlink>
          </w:p>
        </w:tc>
        <w:tc>
          <w:tcPr>
            <w:tcW w:w="851" w:type="dxa"/>
          </w:tcPr>
          <w:p w14:paraId="489F5863" w14:textId="6534AC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40E9D77" w14:textId="1A2CB7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FBBAD5A" w14:textId="546FEC0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DF64EB4" w14:textId="324BBC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2D3636A5" w14:textId="68FCEC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contribution of choice of dural closure material, as well as</w:t>
            </w:r>
            <w:r w:rsidRPr="00251EA9">
              <w:rPr>
                <w:rFonts w:ascii="Arial" w:hAnsi="Arial" w:cs="Arial"/>
                <w:sz w:val="15"/>
                <w:szCs w:val="15"/>
              </w:rPr>
              <w:br/>
              <w:t>other factors, to the incidence of infection and CSF leak.</w:t>
            </w:r>
          </w:p>
        </w:tc>
        <w:tc>
          <w:tcPr>
            <w:tcW w:w="1134" w:type="dxa"/>
          </w:tcPr>
          <w:p w14:paraId="13DB16F6"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70C85A0" w14:textId="687F73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66F360D" w14:textId="0DBDE6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43794BEB" w14:textId="7D0C72A5" w:rsidR="006E5533" w:rsidRPr="00251EA9" w:rsidRDefault="006E5533" w:rsidP="006E5533">
            <w:pPr>
              <w:rPr>
                <w:rFonts w:ascii="Arial" w:hAnsi="Arial" w:cs="Arial"/>
                <w:sz w:val="15"/>
                <w:szCs w:val="15"/>
              </w:rPr>
            </w:pPr>
            <w:r w:rsidRPr="00251EA9">
              <w:rPr>
                <w:rFonts w:ascii="Arial" w:hAnsi="Arial" w:cs="Arial"/>
                <w:sz w:val="15"/>
                <w:szCs w:val="15"/>
              </w:rPr>
              <w:t xml:space="preserve">Out of 399 patients, 17 patients developed a surgical site </w:t>
            </w:r>
            <w:proofErr w:type="gramStart"/>
            <w:r w:rsidRPr="00251EA9">
              <w:rPr>
                <w:rFonts w:ascii="Arial" w:hAnsi="Arial" w:cs="Arial"/>
                <w:sz w:val="15"/>
                <w:szCs w:val="15"/>
              </w:rPr>
              <w:t>infection</w:t>
            </w:r>
            <w:proofErr w:type="gramEnd"/>
            <w:r w:rsidRPr="00251EA9">
              <w:rPr>
                <w:rFonts w:ascii="Arial" w:hAnsi="Arial" w:cs="Arial"/>
                <w:sz w:val="15"/>
                <w:szCs w:val="15"/>
              </w:rPr>
              <w:t xml:space="preserve"> and 12 patients developed a CSF leak.</w:t>
            </w:r>
          </w:p>
        </w:tc>
        <w:tc>
          <w:tcPr>
            <w:tcW w:w="1701" w:type="dxa"/>
          </w:tcPr>
          <w:p w14:paraId="1F623CE2" w14:textId="7BC8CE6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AC41F94" w14:textId="77777777" w:rsidTr="00A77951">
        <w:trPr>
          <w:trHeight w:val="586"/>
        </w:trPr>
        <w:tc>
          <w:tcPr>
            <w:tcW w:w="992" w:type="dxa"/>
          </w:tcPr>
          <w:p w14:paraId="3AA098AE" w14:textId="365A3AC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Wang D.D. et al., 2017</w:t>
            </w:r>
          </w:p>
        </w:tc>
        <w:tc>
          <w:tcPr>
            <w:tcW w:w="851" w:type="dxa"/>
          </w:tcPr>
          <w:p w14:paraId="44A499C9" w14:textId="18107427" w:rsidR="006E5533" w:rsidRPr="00A77951" w:rsidRDefault="006E5533" w:rsidP="006E5533">
            <w:pPr>
              <w:spacing w:line="360" w:lineRule="auto"/>
              <w:contextualSpacing/>
              <w:rPr>
                <w:rFonts w:ascii="Arial" w:hAnsi="Arial" w:cs="Arial"/>
                <w:sz w:val="15"/>
                <w:szCs w:val="15"/>
              </w:rPr>
            </w:pPr>
            <w:hyperlink r:id="rId323" w:tgtFrame="_blank" w:history="1">
              <w:r w:rsidRPr="00A77951">
                <w:rPr>
                  <w:rStyle w:val="Hyperlink"/>
                  <w:rFonts w:ascii="Arial" w:hAnsi="Arial" w:cs="Arial"/>
                  <w:sz w:val="15"/>
                  <w:szCs w:val="15"/>
                </w:rPr>
                <w:t>10.3171/2016.</w:t>
              </w:r>
              <w:proofErr w:type="gramStart"/>
              <w:r w:rsidRPr="00A77951">
                <w:rPr>
                  <w:rStyle w:val="Hyperlink"/>
                  <w:rFonts w:ascii="Arial" w:hAnsi="Arial" w:cs="Arial"/>
                  <w:sz w:val="15"/>
                  <w:szCs w:val="15"/>
                </w:rPr>
                <w:t>9.JNS</w:t>
              </w:r>
              <w:proofErr w:type="gramEnd"/>
              <w:r w:rsidRPr="00A77951">
                <w:rPr>
                  <w:rStyle w:val="Hyperlink"/>
                  <w:rFonts w:ascii="Arial" w:hAnsi="Arial" w:cs="Arial"/>
                  <w:sz w:val="15"/>
                  <w:szCs w:val="15"/>
                </w:rPr>
                <w:t>16149</w:t>
              </w:r>
            </w:hyperlink>
          </w:p>
        </w:tc>
        <w:tc>
          <w:tcPr>
            <w:tcW w:w="851" w:type="dxa"/>
          </w:tcPr>
          <w:p w14:paraId="3E0E2A12" w14:textId="5DC4746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4070CCBB" w14:textId="47535DC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426AF3C1" w14:textId="363BA6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reported</w:t>
            </w:r>
          </w:p>
        </w:tc>
        <w:tc>
          <w:tcPr>
            <w:tcW w:w="1276" w:type="dxa"/>
          </w:tcPr>
          <w:p w14:paraId="1C161A71" w14:textId="690A55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17012709" w14:textId="6B128B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directly compare long-term pain control rates for first-time surgical treatments for idiopathic trigeminal neuralgia and to identify predictors of pain control.</w:t>
            </w:r>
          </w:p>
        </w:tc>
        <w:tc>
          <w:tcPr>
            <w:tcW w:w="1134" w:type="dxa"/>
          </w:tcPr>
          <w:p w14:paraId="224350C6" w14:textId="416B6ABF" w:rsidR="006E5533" w:rsidRPr="00251EA9" w:rsidRDefault="006E5533" w:rsidP="006E5533">
            <w:pPr>
              <w:spacing w:line="360" w:lineRule="auto"/>
              <w:contextualSpacing/>
              <w:rPr>
                <w:rFonts w:ascii="Arial" w:hAnsi="Arial" w:cs="Arial"/>
                <w:sz w:val="15"/>
                <w:szCs w:val="15"/>
              </w:rPr>
            </w:pPr>
          </w:p>
        </w:tc>
        <w:tc>
          <w:tcPr>
            <w:tcW w:w="992" w:type="dxa"/>
          </w:tcPr>
          <w:p w14:paraId="0B7E80DE" w14:textId="62DFA4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F227C53" w14:textId="1ED808D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9082E0E" w14:textId="3C5C4FF8" w:rsidR="006E5533" w:rsidRPr="00251EA9" w:rsidRDefault="006E5533" w:rsidP="006E5533">
            <w:pPr>
              <w:rPr>
                <w:rFonts w:ascii="Arial" w:hAnsi="Arial" w:cs="Arial"/>
                <w:sz w:val="15"/>
                <w:szCs w:val="15"/>
              </w:rPr>
            </w:pPr>
            <w:r w:rsidRPr="00251EA9">
              <w:rPr>
                <w:rFonts w:ascii="Arial" w:hAnsi="Arial" w:cs="Arial"/>
                <w:sz w:val="15"/>
                <w:szCs w:val="15"/>
              </w:rPr>
              <w:t>There were 6 wound infections (including 1 case with concurrent CSF leak).</w:t>
            </w:r>
          </w:p>
        </w:tc>
        <w:tc>
          <w:tcPr>
            <w:tcW w:w="1701" w:type="dxa"/>
          </w:tcPr>
          <w:p w14:paraId="09DBA7E1" w14:textId="661BEF2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3BF8AED" w14:textId="77777777" w:rsidTr="00A77951">
        <w:trPr>
          <w:trHeight w:val="586"/>
        </w:trPr>
        <w:tc>
          <w:tcPr>
            <w:tcW w:w="992" w:type="dxa"/>
          </w:tcPr>
          <w:p w14:paraId="6BAAA68E" w14:textId="6C1AD6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Wang J. et al., 2023</w:t>
            </w:r>
          </w:p>
        </w:tc>
        <w:tc>
          <w:tcPr>
            <w:tcW w:w="851" w:type="dxa"/>
          </w:tcPr>
          <w:p w14:paraId="6E6E8433" w14:textId="4A44C91E" w:rsidR="006E5533" w:rsidRPr="00A77951" w:rsidRDefault="006E5533" w:rsidP="006E5533">
            <w:pPr>
              <w:spacing w:line="360" w:lineRule="auto"/>
              <w:contextualSpacing/>
              <w:rPr>
                <w:rFonts w:ascii="Arial" w:hAnsi="Arial" w:cs="Arial"/>
                <w:sz w:val="15"/>
                <w:szCs w:val="15"/>
              </w:rPr>
            </w:pPr>
            <w:hyperlink r:id="rId324" w:tgtFrame="_blank" w:history="1">
              <w:r w:rsidRPr="00A77951">
                <w:rPr>
                  <w:rStyle w:val="Hyperlink"/>
                  <w:rFonts w:ascii="Arial" w:hAnsi="Arial" w:cs="Arial"/>
                  <w:sz w:val="15"/>
                  <w:szCs w:val="15"/>
                </w:rPr>
                <w:t>10.1080/02688697.2021.1902472</w:t>
              </w:r>
            </w:hyperlink>
          </w:p>
        </w:tc>
        <w:tc>
          <w:tcPr>
            <w:tcW w:w="851" w:type="dxa"/>
          </w:tcPr>
          <w:p w14:paraId="0CC483CF" w14:textId="684E81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6A01572A" w14:textId="76B9D9B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5079E496" w14:textId="5CAB73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F4331C5" w14:textId="799200F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FD94641" w14:textId="2946F8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verify whether the gentamycin irrigation would reduce the postoperative SSI rate in a consecutive cohort of emergency neurosurgery patients.</w:t>
            </w:r>
          </w:p>
        </w:tc>
        <w:tc>
          <w:tcPr>
            <w:tcW w:w="1134" w:type="dxa"/>
          </w:tcPr>
          <w:p w14:paraId="4D6916D6" w14:textId="22C2BC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Only saline irrigation vs saline and gentamycin irrigation</w:t>
            </w:r>
          </w:p>
        </w:tc>
        <w:tc>
          <w:tcPr>
            <w:tcW w:w="992" w:type="dxa"/>
          </w:tcPr>
          <w:p w14:paraId="539DE6E2" w14:textId="1083F0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72F5909"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1. Purulence </w:t>
            </w:r>
          </w:p>
          <w:p w14:paraId="5E776976"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2. Bacterial culture of wound exudation</w:t>
            </w:r>
          </w:p>
          <w:p w14:paraId="6BAF4F74" w14:textId="2615C0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3. Positive result of bacterial growth culture of CSF</w:t>
            </w:r>
          </w:p>
        </w:tc>
        <w:tc>
          <w:tcPr>
            <w:tcW w:w="2693" w:type="dxa"/>
          </w:tcPr>
          <w:p w14:paraId="3F880FCC" w14:textId="4B00A137" w:rsidR="006E5533" w:rsidRPr="00251EA9" w:rsidRDefault="006E5533" w:rsidP="006E5533">
            <w:pPr>
              <w:rPr>
                <w:rFonts w:ascii="Arial" w:hAnsi="Arial" w:cs="Arial"/>
                <w:sz w:val="15"/>
                <w:szCs w:val="15"/>
              </w:rPr>
            </w:pPr>
            <w:r w:rsidRPr="00251EA9">
              <w:rPr>
                <w:rFonts w:ascii="Arial" w:hAnsi="Arial" w:cs="Arial"/>
                <w:sz w:val="15"/>
                <w:szCs w:val="15"/>
              </w:rPr>
              <w:t>In the gentamycin irrigation group, there were two postoperative SSIs within 28 days after surgery, yielding an SSI rate of 1.1%. Among the 265 remaining cases with saline only irrigation, 22 postoperative SSIs occurred within 28 days after surgery and the rate of SSI was 8.3%. The implementation of gentamycin irrigation, the SSI rate could be reduced by 86.7%.</w:t>
            </w:r>
          </w:p>
        </w:tc>
        <w:tc>
          <w:tcPr>
            <w:tcW w:w="1701" w:type="dxa"/>
          </w:tcPr>
          <w:p w14:paraId="61D2EC49" w14:textId="0DA0A2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 “several researchers have proposed that a longer period of surveillance in neurosurgical procedures is likely to detect a truer rate of SSI.”</w:t>
            </w:r>
          </w:p>
        </w:tc>
      </w:tr>
      <w:tr w:rsidR="006E5533" w:rsidRPr="00251EA9" w14:paraId="32E1C609" w14:textId="77777777" w:rsidTr="00A77951">
        <w:trPr>
          <w:trHeight w:val="586"/>
        </w:trPr>
        <w:tc>
          <w:tcPr>
            <w:tcW w:w="992" w:type="dxa"/>
          </w:tcPr>
          <w:p w14:paraId="0A388CCB" w14:textId="67A6B3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Wang L. et al., 2017</w:t>
            </w:r>
          </w:p>
        </w:tc>
        <w:tc>
          <w:tcPr>
            <w:tcW w:w="851" w:type="dxa"/>
          </w:tcPr>
          <w:p w14:paraId="48C4607E" w14:textId="4BE472A4" w:rsidR="006E5533" w:rsidRPr="00A77951" w:rsidRDefault="006E5533" w:rsidP="006E5533">
            <w:pPr>
              <w:spacing w:line="360" w:lineRule="auto"/>
              <w:contextualSpacing/>
              <w:rPr>
                <w:rFonts w:ascii="Arial" w:hAnsi="Arial" w:cs="Arial"/>
                <w:sz w:val="15"/>
                <w:szCs w:val="15"/>
              </w:rPr>
            </w:pPr>
            <w:hyperlink r:id="rId325" w:tgtFrame="_blank" w:history="1">
              <w:r w:rsidRPr="00A77951">
                <w:rPr>
                  <w:rStyle w:val="Hyperlink"/>
                  <w:rFonts w:ascii="Arial" w:hAnsi="Arial" w:cs="Arial"/>
                  <w:sz w:val="15"/>
                  <w:szCs w:val="15"/>
                </w:rPr>
                <w:t>10.3171/2016.</w:t>
              </w:r>
              <w:proofErr w:type="gramStart"/>
              <w:r w:rsidRPr="00A77951">
                <w:rPr>
                  <w:rStyle w:val="Hyperlink"/>
                  <w:rFonts w:ascii="Arial" w:hAnsi="Arial" w:cs="Arial"/>
                  <w:sz w:val="15"/>
                  <w:szCs w:val="15"/>
                </w:rPr>
                <w:t>9.JNS</w:t>
              </w:r>
              <w:proofErr w:type="gramEnd"/>
              <w:r w:rsidRPr="00A77951">
                <w:rPr>
                  <w:rStyle w:val="Hyperlink"/>
                  <w:rFonts w:ascii="Arial" w:hAnsi="Arial" w:cs="Arial"/>
                  <w:sz w:val="15"/>
                  <w:szCs w:val="15"/>
                </w:rPr>
                <w:t>16559</w:t>
              </w:r>
            </w:hyperlink>
          </w:p>
        </w:tc>
        <w:tc>
          <w:tcPr>
            <w:tcW w:w="851" w:type="dxa"/>
          </w:tcPr>
          <w:p w14:paraId="367E039D" w14:textId="1AB696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1B5D7CE6" w14:textId="2AA30C1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C8D3561" w14:textId="433AEB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0045C26D" w14:textId="115C0B6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0F409090" w14:textId="6E9A40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investigate the factors associated with </w:t>
            </w:r>
            <w:proofErr w:type="spellStart"/>
            <w:r w:rsidRPr="00251EA9">
              <w:rPr>
                <w:rFonts w:ascii="Arial" w:hAnsi="Arial" w:cs="Arial"/>
                <w:sz w:val="15"/>
                <w:szCs w:val="15"/>
              </w:rPr>
              <w:t>skullbase</w:t>
            </w:r>
            <w:proofErr w:type="spellEnd"/>
            <w:r w:rsidRPr="00251EA9">
              <w:rPr>
                <w:rFonts w:ascii="Arial" w:hAnsi="Arial" w:cs="Arial"/>
                <w:sz w:val="15"/>
                <w:szCs w:val="15"/>
              </w:rPr>
              <w:t xml:space="preserve"> chordoma resection extent by evaluating their clinical features and surgical outcomes.</w:t>
            </w:r>
          </w:p>
        </w:tc>
        <w:tc>
          <w:tcPr>
            <w:tcW w:w="1134" w:type="dxa"/>
          </w:tcPr>
          <w:p w14:paraId="3AF6AA4C" w14:textId="56070FA4" w:rsidR="006E5533" w:rsidRPr="00251EA9" w:rsidRDefault="006E5533" w:rsidP="006E5533">
            <w:pPr>
              <w:spacing w:line="360" w:lineRule="auto"/>
              <w:contextualSpacing/>
              <w:rPr>
                <w:rFonts w:ascii="Arial" w:hAnsi="Arial" w:cs="Arial"/>
                <w:sz w:val="15"/>
                <w:szCs w:val="15"/>
              </w:rPr>
            </w:pPr>
          </w:p>
        </w:tc>
        <w:tc>
          <w:tcPr>
            <w:tcW w:w="992" w:type="dxa"/>
          </w:tcPr>
          <w:p w14:paraId="23F0007B" w14:textId="17A2DF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94F36B0" w14:textId="2F2636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EF1ED21" w14:textId="705FA2A4" w:rsidR="006E5533" w:rsidRPr="00251EA9" w:rsidRDefault="006E5533" w:rsidP="006E5533">
            <w:pPr>
              <w:rPr>
                <w:rFonts w:ascii="Arial" w:hAnsi="Arial" w:cs="Arial"/>
                <w:sz w:val="15"/>
                <w:szCs w:val="15"/>
              </w:rPr>
            </w:pPr>
            <w:r w:rsidRPr="00251EA9">
              <w:rPr>
                <w:rFonts w:ascii="Arial" w:hAnsi="Arial" w:cs="Arial"/>
                <w:sz w:val="15"/>
                <w:szCs w:val="15"/>
              </w:rPr>
              <w:t>3 patients had wound infections.</w:t>
            </w:r>
          </w:p>
        </w:tc>
        <w:tc>
          <w:tcPr>
            <w:tcW w:w="1701" w:type="dxa"/>
          </w:tcPr>
          <w:p w14:paraId="2222FA1C" w14:textId="3DA716B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561EE09" w14:textId="77777777" w:rsidTr="00A77951">
        <w:trPr>
          <w:trHeight w:val="586"/>
        </w:trPr>
        <w:tc>
          <w:tcPr>
            <w:tcW w:w="992" w:type="dxa"/>
          </w:tcPr>
          <w:p w14:paraId="6A35DA75" w14:textId="2426D9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Wang L. et al., 2022</w:t>
            </w:r>
          </w:p>
        </w:tc>
        <w:tc>
          <w:tcPr>
            <w:tcW w:w="851" w:type="dxa"/>
          </w:tcPr>
          <w:p w14:paraId="6942FEC8" w14:textId="160EE941" w:rsidR="006E5533" w:rsidRPr="00A77951" w:rsidRDefault="006E5533" w:rsidP="006E5533">
            <w:pPr>
              <w:spacing w:line="360" w:lineRule="auto"/>
              <w:contextualSpacing/>
              <w:rPr>
                <w:rFonts w:ascii="Arial" w:hAnsi="Arial" w:cs="Arial"/>
                <w:sz w:val="15"/>
                <w:szCs w:val="15"/>
              </w:rPr>
            </w:pPr>
            <w:hyperlink r:id="rId326" w:tgtFrame="_blank" w:history="1">
              <w:r w:rsidRPr="00A77951">
                <w:rPr>
                  <w:rStyle w:val="Hyperlink"/>
                  <w:rFonts w:ascii="Arial" w:hAnsi="Arial" w:cs="Arial"/>
                  <w:sz w:val="15"/>
                  <w:szCs w:val="15"/>
                </w:rPr>
                <w:t>10.1016/j.jclinane.2021.110575</w:t>
              </w:r>
            </w:hyperlink>
          </w:p>
        </w:tc>
        <w:tc>
          <w:tcPr>
            <w:tcW w:w="851" w:type="dxa"/>
          </w:tcPr>
          <w:p w14:paraId="2F0AA641" w14:textId="5098C61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4698C6BB" w14:textId="125034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6E0CD9D5" w14:textId="0D7EC19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E0DC1C7" w14:textId="569978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70CFE3CE" w14:textId="31E026F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clinical effectiveness and safety of evidence-based enhanced recovery after elective craniotomy.</w:t>
            </w:r>
          </w:p>
        </w:tc>
        <w:tc>
          <w:tcPr>
            <w:tcW w:w="1134" w:type="dxa"/>
          </w:tcPr>
          <w:p w14:paraId="7263410E" w14:textId="77777777" w:rsidR="006E5533" w:rsidRPr="00251EA9" w:rsidRDefault="006E5533" w:rsidP="006E5533">
            <w:pPr>
              <w:spacing w:line="360" w:lineRule="auto"/>
              <w:contextualSpacing/>
              <w:rPr>
                <w:rFonts w:ascii="Arial" w:hAnsi="Arial" w:cs="Arial"/>
                <w:sz w:val="15"/>
                <w:szCs w:val="15"/>
              </w:rPr>
            </w:pPr>
          </w:p>
        </w:tc>
        <w:tc>
          <w:tcPr>
            <w:tcW w:w="992" w:type="dxa"/>
          </w:tcPr>
          <w:p w14:paraId="64C3B397" w14:textId="10489DC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2CD8B49" w14:textId="6EF717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2654AC8" w14:textId="468245A3" w:rsidR="006E5533" w:rsidRPr="00251EA9" w:rsidRDefault="006E5533" w:rsidP="006E5533">
            <w:pPr>
              <w:rPr>
                <w:rFonts w:ascii="Arial" w:hAnsi="Arial" w:cs="Arial"/>
                <w:sz w:val="15"/>
                <w:szCs w:val="15"/>
              </w:rPr>
            </w:pPr>
            <w:r w:rsidRPr="00251EA9">
              <w:rPr>
                <w:rFonts w:ascii="Arial" w:hAnsi="Arial" w:cs="Arial"/>
                <w:sz w:val="15"/>
                <w:szCs w:val="15"/>
              </w:rPr>
              <w:t>1 person developed SSI in ERAS group vs 2 in the control group.</w:t>
            </w:r>
          </w:p>
        </w:tc>
        <w:tc>
          <w:tcPr>
            <w:tcW w:w="1701" w:type="dxa"/>
          </w:tcPr>
          <w:p w14:paraId="62F2BDA2" w14:textId="04F53BE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C8995C3" w14:textId="77777777" w:rsidTr="00A77951">
        <w:trPr>
          <w:trHeight w:val="586"/>
        </w:trPr>
        <w:tc>
          <w:tcPr>
            <w:tcW w:w="992" w:type="dxa"/>
          </w:tcPr>
          <w:p w14:paraId="355C8734" w14:textId="179C9FB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Wang Y. et al., 2022</w:t>
            </w:r>
          </w:p>
        </w:tc>
        <w:tc>
          <w:tcPr>
            <w:tcW w:w="851" w:type="dxa"/>
          </w:tcPr>
          <w:p w14:paraId="75498BA8" w14:textId="551716C3" w:rsidR="006E5533" w:rsidRPr="00A77951" w:rsidRDefault="006E5533" w:rsidP="006E5533">
            <w:pPr>
              <w:spacing w:line="360" w:lineRule="auto"/>
              <w:contextualSpacing/>
              <w:rPr>
                <w:rFonts w:ascii="Arial" w:hAnsi="Arial" w:cs="Arial"/>
                <w:sz w:val="15"/>
                <w:szCs w:val="15"/>
              </w:rPr>
            </w:pPr>
            <w:hyperlink r:id="rId327" w:tgtFrame="_blank" w:history="1">
              <w:r w:rsidRPr="00A77951">
                <w:rPr>
                  <w:rStyle w:val="Hyperlink"/>
                  <w:rFonts w:ascii="Arial" w:hAnsi="Arial" w:cs="Arial"/>
                  <w:sz w:val="15"/>
                  <w:szCs w:val="15"/>
                </w:rPr>
                <w:t>10.3389/fonc.2022.860257</w:t>
              </w:r>
            </w:hyperlink>
          </w:p>
        </w:tc>
        <w:tc>
          <w:tcPr>
            <w:tcW w:w="851" w:type="dxa"/>
          </w:tcPr>
          <w:p w14:paraId="39BBA88A" w14:textId="7EDE7E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6F3D7705" w14:textId="49859C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Randomised clinical trial</w:t>
            </w:r>
          </w:p>
        </w:tc>
        <w:tc>
          <w:tcPr>
            <w:tcW w:w="992" w:type="dxa"/>
          </w:tcPr>
          <w:p w14:paraId="240BE032" w14:textId="235085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6A4AEDC" w14:textId="7F0AF8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26D51FD1" w14:textId="4A78CD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design a multidisciplinary enhanced recovery after surgery (ERAS) protocol for glioma patients undergoing elective craniotomy and evaluate its clinical efficacy and</w:t>
            </w:r>
            <w:r w:rsidRPr="00251EA9">
              <w:rPr>
                <w:rFonts w:ascii="Arial" w:hAnsi="Arial" w:cs="Arial"/>
                <w:sz w:val="15"/>
                <w:szCs w:val="15"/>
              </w:rPr>
              <w:br/>
              <w:t xml:space="preserve">safety after implementation in a tertiary neurosurgical </w:t>
            </w:r>
            <w:proofErr w:type="spellStart"/>
            <w:r w:rsidRPr="00251EA9">
              <w:rPr>
                <w:rFonts w:ascii="Arial" w:hAnsi="Arial" w:cs="Arial"/>
                <w:sz w:val="15"/>
                <w:szCs w:val="15"/>
              </w:rPr>
              <w:t>center</w:t>
            </w:r>
            <w:proofErr w:type="spellEnd"/>
            <w:r w:rsidRPr="00251EA9">
              <w:rPr>
                <w:rFonts w:ascii="Arial" w:hAnsi="Arial" w:cs="Arial"/>
                <w:sz w:val="15"/>
                <w:szCs w:val="15"/>
              </w:rPr>
              <w:t xml:space="preserve"> in China.</w:t>
            </w:r>
          </w:p>
        </w:tc>
        <w:tc>
          <w:tcPr>
            <w:tcW w:w="1134" w:type="dxa"/>
          </w:tcPr>
          <w:p w14:paraId="59324BFF" w14:textId="77777777" w:rsidR="006E5533" w:rsidRPr="00251EA9" w:rsidRDefault="006E5533" w:rsidP="006E5533">
            <w:pPr>
              <w:spacing w:line="360" w:lineRule="auto"/>
              <w:contextualSpacing/>
              <w:rPr>
                <w:rFonts w:ascii="Arial" w:hAnsi="Arial" w:cs="Arial"/>
                <w:sz w:val="15"/>
                <w:szCs w:val="15"/>
              </w:rPr>
            </w:pPr>
          </w:p>
        </w:tc>
        <w:tc>
          <w:tcPr>
            <w:tcW w:w="992" w:type="dxa"/>
          </w:tcPr>
          <w:p w14:paraId="799A62E1" w14:textId="6574FE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32D04B7F" w14:textId="551978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BED276B" w14:textId="643F0B7F" w:rsidR="006E5533" w:rsidRPr="00251EA9" w:rsidRDefault="006E5533" w:rsidP="006E5533">
            <w:pPr>
              <w:rPr>
                <w:rFonts w:ascii="Arial" w:hAnsi="Arial" w:cs="Arial"/>
                <w:sz w:val="15"/>
                <w:szCs w:val="15"/>
              </w:rPr>
            </w:pPr>
            <w:r w:rsidRPr="00251EA9">
              <w:rPr>
                <w:rFonts w:ascii="Arial" w:hAnsi="Arial" w:cs="Arial"/>
                <w:sz w:val="15"/>
                <w:szCs w:val="15"/>
              </w:rPr>
              <w:t>3 patients developed an</w:t>
            </w:r>
            <w:r w:rsidRPr="00251EA9">
              <w:rPr>
                <w:rFonts w:ascii="Arial" w:hAnsi="Arial" w:cs="Arial"/>
                <w:sz w:val="15"/>
                <w:szCs w:val="15"/>
              </w:rPr>
              <w:br/>
              <w:t xml:space="preserve">incisional infection or subcutaneous effusion (1 in the ERAS group and 2 in the control group). 5 patients (2 in the ERAS group and 3 in the control group) presented with intracranial infection. </w:t>
            </w:r>
          </w:p>
        </w:tc>
        <w:tc>
          <w:tcPr>
            <w:tcW w:w="1701" w:type="dxa"/>
          </w:tcPr>
          <w:p w14:paraId="540E1D5F" w14:textId="26FC86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E0D8AC9" w14:textId="77777777" w:rsidTr="00A77951">
        <w:trPr>
          <w:trHeight w:val="586"/>
        </w:trPr>
        <w:tc>
          <w:tcPr>
            <w:tcW w:w="992" w:type="dxa"/>
          </w:tcPr>
          <w:p w14:paraId="0B50A3B4" w14:textId="3B7C89F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Weber L. et al., 2022</w:t>
            </w:r>
          </w:p>
        </w:tc>
        <w:tc>
          <w:tcPr>
            <w:tcW w:w="851" w:type="dxa"/>
          </w:tcPr>
          <w:p w14:paraId="35F759E6" w14:textId="71D120DC" w:rsidR="006E5533" w:rsidRPr="00A77951" w:rsidRDefault="006E5533" w:rsidP="006E5533">
            <w:pPr>
              <w:spacing w:line="360" w:lineRule="auto"/>
              <w:contextualSpacing/>
              <w:rPr>
                <w:rFonts w:ascii="Arial" w:hAnsi="Arial" w:cs="Arial"/>
                <w:sz w:val="15"/>
                <w:szCs w:val="15"/>
              </w:rPr>
            </w:pPr>
            <w:hyperlink r:id="rId328" w:tgtFrame="_blank" w:history="1">
              <w:r w:rsidRPr="00A77951">
                <w:rPr>
                  <w:rStyle w:val="Hyperlink"/>
                  <w:rFonts w:ascii="Arial" w:hAnsi="Arial" w:cs="Arial"/>
                  <w:sz w:val="15"/>
                  <w:szCs w:val="15"/>
                </w:rPr>
                <w:t>10.3389/fonc.2022.959072</w:t>
              </w:r>
            </w:hyperlink>
          </w:p>
        </w:tc>
        <w:tc>
          <w:tcPr>
            <w:tcW w:w="851" w:type="dxa"/>
          </w:tcPr>
          <w:p w14:paraId="2FA4DE9F" w14:textId="0C5C43E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Switzerland</w:t>
            </w:r>
          </w:p>
        </w:tc>
        <w:tc>
          <w:tcPr>
            <w:tcW w:w="1134" w:type="dxa"/>
          </w:tcPr>
          <w:p w14:paraId="62FD565F" w14:textId="7EA245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2BE767D5" w14:textId="7D4243C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78730BE" w14:textId="718C06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4865C51C" w14:textId="35E24E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association of adverse events with the timing and choice of subsequent treatments as well as with overall survival (OS).</w:t>
            </w:r>
          </w:p>
        </w:tc>
        <w:tc>
          <w:tcPr>
            <w:tcW w:w="1134" w:type="dxa"/>
          </w:tcPr>
          <w:p w14:paraId="0347A615" w14:textId="50F747E2" w:rsidR="006E5533" w:rsidRPr="00251EA9" w:rsidRDefault="006E5533" w:rsidP="006E5533">
            <w:pPr>
              <w:spacing w:line="360" w:lineRule="auto"/>
              <w:contextualSpacing/>
              <w:rPr>
                <w:rFonts w:ascii="Arial" w:hAnsi="Arial" w:cs="Arial"/>
                <w:sz w:val="15"/>
                <w:szCs w:val="15"/>
              </w:rPr>
            </w:pPr>
          </w:p>
        </w:tc>
        <w:tc>
          <w:tcPr>
            <w:tcW w:w="992" w:type="dxa"/>
          </w:tcPr>
          <w:p w14:paraId="6EBB1E1C" w14:textId="629E98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1B7F1801" w14:textId="49A4D3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5C8A445" w14:textId="10C6A651" w:rsidR="006E5533" w:rsidRPr="00251EA9" w:rsidRDefault="006E5533" w:rsidP="006E5533">
            <w:pPr>
              <w:rPr>
                <w:rFonts w:ascii="Arial" w:hAnsi="Arial" w:cs="Arial"/>
                <w:sz w:val="15"/>
                <w:szCs w:val="15"/>
              </w:rPr>
            </w:pPr>
            <w:r w:rsidRPr="00251EA9">
              <w:rPr>
                <w:rFonts w:ascii="Arial" w:hAnsi="Arial" w:cs="Arial"/>
                <w:sz w:val="15"/>
                <w:szCs w:val="15"/>
              </w:rPr>
              <w:t>Adverse events such as SSIs reduce the rate of successful and uninterrupted chemoradiotherapy and ultimately limit OS.</w:t>
            </w:r>
          </w:p>
        </w:tc>
        <w:tc>
          <w:tcPr>
            <w:tcW w:w="1701" w:type="dxa"/>
          </w:tcPr>
          <w:p w14:paraId="2D52D6F7" w14:textId="4FC4D78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5C1191E" w14:textId="77777777" w:rsidTr="00A77951">
        <w:trPr>
          <w:trHeight w:val="586"/>
        </w:trPr>
        <w:tc>
          <w:tcPr>
            <w:tcW w:w="992" w:type="dxa"/>
          </w:tcPr>
          <w:p w14:paraId="559682CB" w14:textId="1818581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Westman M. et al., 2018</w:t>
            </w:r>
          </w:p>
        </w:tc>
        <w:tc>
          <w:tcPr>
            <w:tcW w:w="851" w:type="dxa"/>
          </w:tcPr>
          <w:p w14:paraId="61A9FFFA" w14:textId="7EE698F2" w:rsidR="006E5533" w:rsidRPr="00A77951" w:rsidRDefault="006E5533" w:rsidP="006E5533">
            <w:pPr>
              <w:spacing w:line="360" w:lineRule="auto"/>
              <w:contextualSpacing/>
              <w:rPr>
                <w:rFonts w:ascii="Arial" w:hAnsi="Arial" w:cs="Arial"/>
                <w:sz w:val="15"/>
                <w:szCs w:val="15"/>
              </w:rPr>
            </w:pPr>
            <w:hyperlink r:id="rId329" w:tgtFrame="_blank" w:history="1">
              <w:r w:rsidRPr="00A77951">
                <w:rPr>
                  <w:rStyle w:val="Hyperlink"/>
                  <w:rFonts w:ascii="Arial" w:hAnsi="Arial" w:cs="Arial"/>
                  <w:sz w:val="15"/>
                  <w:szCs w:val="15"/>
                </w:rPr>
                <w:t>10.1016/j.jocn.2018.04.076</w:t>
              </w:r>
            </w:hyperlink>
          </w:p>
        </w:tc>
        <w:tc>
          <w:tcPr>
            <w:tcW w:w="851" w:type="dxa"/>
          </w:tcPr>
          <w:p w14:paraId="0A247C97" w14:textId="1D022C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Finland</w:t>
            </w:r>
          </w:p>
        </w:tc>
        <w:tc>
          <w:tcPr>
            <w:tcW w:w="1134" w:type="dxa"/>
          </w:tcPr>
          <w:p w14:paraId="34CC7457" w14:textId="23F083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297EC06" w14:textId="675B773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946616B" w14:textId="6FD880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5C142B66" w14:textId="76A672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focus on SSIs after neurosurgical operations, and to determine whether the checklist implementation would have an impact on the reported SSIs.</w:t>
            </w:r>
          </w:p>
        </w:tc>
        <w:tc>
          <w:tcPr>
            <w:tcW w:w="1134" w:type="dxa"/>
          </w:tcPr>
          <w:p w14:paraId="0CD1C69E" w14:textId="6A94D334" w:rsidR="006E5533" w:rsidRPr="00251EA9" w:rsidRDefault="006E5533" w:rsidP="006E5533">
            <w:pPr>
              <w:spacing w:line="360" w:lineRule="auto"/>
              <w:contextualSpacing/>
              <w:rPr>
                <w:rFonts w:ascii="Arial" w:hAnsi="Arial" w:cs="Arial"/>
                <w:sz w:val="15"/>
                <w:szCs w:val="15"/>
              </w:rPr>
            </w:pPr>
          </w:p>
        </w:tc>
        <w:tc>
          <w:tcPr>
            <w:tcW w:w="992" w:type="dxa"/>
          </w:tcPr>
          <w:p w14:paraId="66BD57B7" w14:textId="01ABE80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8DAE9CA" w14:textId="701D97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147A9D9" w14:textId="50C4F3E4" w:rsidR="006E5533" w:rsidRPr="00251EA9" w:rsidRDefault="006E5533" w:rsidP="006E5533">
            <w:pPr>
              <w:rPr>
                <w:rFonts w:ascii="Arial" w:hAnsi="Arial" w:cs="Arial"/>
                <w:sz w:val="15"/>
                <w:szCs w:val="15"/>
              </w:rPr>
            </w:pPr>
            <w:r w:rsidRPr="00251EA9">
              <w:rPr>
                <w:rFonts w:ascii="Arial" w:hAnsi="Arial" w:cs="Arial"/>
                <w:sz w:val="15"/>
                <w:szCs w:val="15"/>
              </w:rPr>
              <w:t>The percentage of SSIs was 4.1% before and 4.5% after the checklist implementation. The overall incidence of SSIs of all neurosurgical patients did not differ (4.1% and 4.5%, respectively) and no differences were noticed in the incidences of the subgroups of superficial SSIs, deep SSIs, and deep organ SSIs.</w:t>
            </w:r>
          </w:p>
        </w:tc>
        <w:tc>
          <w:tcPr>
            <w:tcW w:w="1701" w:type="dxa"/>
          </w:tcPr>
          <w:p w14:paraId="454BBDE7" w14:textId="15B4471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8369A86" w14:textId="77777777" w:rsidTr="00A77951">
        <w:trPr>
          <w:trHeight w:val="586"/>
        </w:trPr>
        <w:tc>
          <w:tcPr>
            <w:tcW w:w="992" w:type="dxa"/>
          </w:tcPr>
          <w:p w14:paraId="696A11BA" w14:textId="5388A8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Whitby M. et al., 2000</w:t>
            </w:r>
          </w:p>
        </w:tc>
        <w:tc>
          <w:tcPr>
            <w:tcW w:w="851" w:type="dxa"/>
          </w:tcPr>
          <w:p w14:paraId="686D8502" w14:textId="6F867406" w:rsidR="006E5533" w:rsidRPr="00A77951" w:rsidRDefault="006E5533" w:rsidP="006E5533">
            <w:pPr>
              <w:spacing w:line="360" w:lineRule="auto"/>
              <w:contextualSpacing/>
              <w:rPr>
                <w:rFonts w:ascii="Arial" w:hAnsi="Arial" w:cs="Arial"/>
                <w:sz w:val="15"/>
                <w:szCs w:val="15"/>
              </w:rPr>
            </w:pPr>
            <w:hyperlink r:id="rId330" w:tgtFrame="_blank" w:history="1">
              <w:r w:rsidRPr="00A77951">
                <w:rPr>
                  <w:rStyle w:val="Hyperlink"/>
                  <w:rFonts w:ascii="Arial" w:hAnsi="Arial" w:cs="Arial"/>
                  <w:sz w:val="15"/>
                  <w:szCs w:val="15"/>
                </w:rPr>
                <w:t>10.1080/02688690042843</w:t>
              </w:r>
            </w:hyperlink>
          </w:p>
        </w:tc>
        <w:tc>
          <w:tcPr>
            <w:tcW w:w="851" w:type="dxa"/>
          </w:tcPr>
          <w:p w14:paraId="25370176" w14:textId="7C99CD2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Australia</w:t>
            </w:r>
          </w:p>
        </w:tc>
        <w:tc>
          <w:tcPr>
            <w:tcW w:w="1134" w:type="dxa"/>
          </w:tcPr>
          <w:p w14:paraId="4A3FCD21" w14:textId="042C30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randomised study</w:t>
            </w:r>
          </w:p>
        </w:tc>
        <w:tc>
          <w:tcPr>
            <w:tcW w:w="992" w:type="dxa"/>
          </w:tcPr>
          <w:p w14:paraId="0CAD4CD9" w14:textId="1DC5A47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F69DCD9" w14:textId="0F8965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All neurosurgical cases (elective craniotomy, shunt surgery, stereotactic surgery)</w:t>
            </w:r>
          </w:p>
        </w:tc>
        <w:tc>
          <w:tcPr>
            <w:tcW w:w="1843" w:type="dxa"/>
          </w:tcPr>
          <w:p w14:paraId="4B4A5DA1" w14:textId="1502D72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compare the efficacy of cefotaxime and trimethoprim/ sulfamethoxazole in the prevention of infective complications following neurosurgical procedures.</w:t>
            </w:r>
          </w:p>
        </w:tc>
        <w:tc>
          <w:tcPr>
            <w:tcW w:w="1134" w:type="dxa"/>
          </w:tcPr>
          <w:p w14:paraId="7EF6B96F" w14:textId="2905761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Cefotaxime vs Trimethoprim-sulfamethoxazole</w:t>
            </w:r>
          </w:p>
        </w:tc>
        <w:tc>
          <w:tcPr>
            <w:tcW w:w="992" w:type="dxa"/>
          </w:tcPr>
          <w:p w14:paraId="5A34D042" w14:textId="4F3D90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265469" w14:textId="5237A2C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Presence of an oral or tympanic temperature of greater</w:t>
            </w:r>
            <w:r w:rsidR="009132B0">
              <w:rPr>
                <w:rFonts w:ascii="Arial" w:hAnsi="Arial" w:cs="Arial"/>
                <w:sz w:val="15"/>
                <w:szCs w:val="15"/>
              </w:rPr>
              <w:t xml:space="preserve"> </w:t>
            </w:r>
            <w:r w:rsidRPr="00251EA9">
              <w:rPr>
                <w:rFonts w:ascii="Arial" w:hAnsi="Arial" w:cs="Arial"/>
                <w:sz w:val="15"/>
                <w:szCs w:val="15"/>
              </w:rPr>
              <w:t>than 38 degrees with</w:t>
            </w:r>
            <w:r w:rsidR="009132B0">
              <w:rPr>
                <w:rFonts w:ascii="Arial" w:hAnsi="Arial" w:cs="Arial"/>
                <w:sz w:val="15"/>
                <w:szCs w:val="15"/>
              </w:rPr>
              <w:t xml:space="preserve"> </w:t>
            </w:r>
            <w:r w:rsidRPr="00251EA9">
              <w:rPr>
                <w:rFonts w:ascii="Arial" w:hAnsi="Arial" w:cs="Arial"/>
                <w:sz w:val="15"/>
                <w:szCs w:val="15"/>
              </w:rPr>
              <w:t>reddening or weeping of the surgical wound, and a positive microbiological culture. Presence of any signs or</w:t>
            </w:r>
            <w:r w:rsidR="009132B0">
              <w:rPr>
                <w:rFonts w:ascii="Arial" w:hAnsi="Arial" w:cs="Arial"/>
                <w:sz w:val="15"/>
                <w:szCs w:val="15"/>
              </w:rPr>
              <w:t xml:space="preserve"> </w:t>
            </w:r>
            <w:r w:rsidRPr="00251EA9">
              <w:rPr>
                <w:rFonts w:ascii="Arial" w:hAnsi="Arial" w:cs="Arial"/>
                <w:sz w:val="15"/>
                <w:szCs w:val="15"/>
              </w:rPr>
              <w:t>symptoms, e.g., meningitis. Classified as Grade I (clinical inflammation with serous discharge, but no wound</w:t>
            </w:r>
            <w:r w:rsidR="009132B0">
              <w:rPr>
                <w:rFonts w:ascii="Arial" w:hAnsi="Arial" w:cs="Arial"/>
                <w:sz w:val="15"/>
                <w:szCs w:val="15"/>
              </w:rPr>
              <w:t xml:space="preserve"> </w:t>
            </w:r>
            <w:r w:rsidRPr="00251EA9">
              <w:rPr>
                <w:rFonts w:ascii="Arial" w:hAnsi="Arial" w:cs="Arial"/>
                <w:sz w:val="15"/>
                <w:szCs w:val="15"/>
              </w:rPr>
              <w:t>breakdown), Grade II</w:t>
            </w:r>
            <w:r w:rsidRPr="00251EA9">
              <w:rPr>
                <w:rFonts w:ascii="Arial" w:hAnsi="Arial" w:cs="Arial"/>
                <w:sz w:val="15"/>
                <w:szCs w:val="15"/>
              </w:rPr>
              <w:br/>
              <w:t xml:space="preserve">(purulent or mucopurulent </w:t>
            </w:r>
            <w:r w:rsidRPr="00251EA9">
              <w:rPr>
                <w:rFonts w:ascii="Arial" w:hAnsi="Arial" w:cs="Arial"/>
                <w:sz w:val="15"/>
                <w:szCs w:val="15"/>
              </w:rPr>
              <w:lastRenderedPageBreak/>
              <w:t>discharge and superficial minor wound breakdown) or Grade III (purulent</w:t>
            </w:r>
            <w:r w:rsidRPr="00251EA9">
              <w:rPr>
                <w:rFonts w:ascii="Arial" w:hAnsi="Arial" w:cs="Arial"/>
                <w:sz w:val="15"/>
                <w:szCs w:val="15"/>
              </w:rPr>
              <w:br/>
              <w:t xml:space="preserve">discharge and major wound breakdown). </w:t>
            </w:r>
          </w:p>
        </w:tc>
        <w:tc>
          <w:tcPr>
            <w:tcW w:w="2693" w:type="dxa"/>
          </w:tcPr>
          <w:p w14:paraId="54811137" w14:textId="4FD8CA0D" w:rsidR="006E5533" w:rsidRPr="00251EA9" w:rsidRDefault="006E5533" w:rsidP="006E5533">
            <w:pPr>
              <w:rPr>
                <w:rFonts w:ascii="Arial" w:hAnsi="Arial" w:cs="Arial"/>
                <w:sz w:val="15"/>
                <w:szCs w:val="15"/>
              </w:rPr>
            </w:pPr>
            <w:r w:rsidRPr="00251EA9">
              <w:rPr>
                <w:rFonts w:ascii="Arial" w:hAnsi="Arial" w:cs="Arial"/>
                <w:sz w:val="15"/>
                <w:szCs w:val="15"/>
              </w:rPr>
              <w:lastRenderedPageBreak/>
              <w:t>613 patients were available for analysis, 315 received cefotaxime and 298 received trimethoprim- sulfamethoxazole. Forty-two patients (6.9%) experienced 49 postoperative infections, with no significant difference between treatment groups. 15 neurosurgical infections occurred, comprising 11 wound infections, two shunt infections and two cerebral abscesses. Neurosurgical infection rates were similar in the cefotaxime group (2.5%) and the trimethoprim- sulfamethoxazole group (2.3%).</w:t>
            </w:r>
          </w:p>
        </w:tc>
        <w:tc>
          <w:tcPr>
            <w:tcW w:w="1701" w:type="dxa"/>
          </w:tcPr>
          <w:p w14:paraId="767E5959" w14:textId="15C160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564CF41" w14:textId="77777777" w:rsidTr="00A77951">
        <w:trPr>
          <w:trHeight w:val="586"/>
        </w:trPr>
        <w:tc>
          <w:tcPr>
            <w:tcW w:w="992" w:type="dxa"/>
          </w:tcPr>
          <w:p w14:paraId="1FC6D268" w14:textId="75125A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White-</w:t>
            </w:r>
            <w:proofErr w:type="spellStart"/>
            <w:r w:rsidRPr="00251EA9">
              <w:rPr>
                <w:rFonts w:ascii="Arial" w:hAnsi="Arial" w:cs="Arial"/>
                <w:sz w:val="15"/>
                <w:szCs w:val="15"/>
              </w:rPr>
              <w:t>Dzuro</w:t>
            </w:r>
            <w:proofErr w:type="spellEnd"/>
            <w:r w:rsidRPr="00251EA9">
              <w:rPr>
                <w:rFonts w:ascii="Arial" w:hAnsi="Arial" w:cs="Arial"/>
                <w:sz w:val="15"/>
                <w:szCs w:val="15"/>
              </w:rPr>
              <w:t xml:space="preserve"> G.A. et al., 2016</w:t>
            </w:r>
          </w:p>
        </w:tc>
        <w:tc>
          <w:tcPr>
            <w:tcW w:w="851" w:type="dxa"/>
          </w:tcPr>
          <w:p w14:paraId="79E0A322" w14:textId="141DEA9E" w:rsidR="006E5533" w:rsidRPr="00A77951" w:rsidRDefault="006E5533" w:rsidP="006E5533">
            <w:pPr>
              <w:spacing w:line="360" w:lineRule="auto"/>
              <w:contextualSpacing/>
              <w:rPr>
                <w:rFonts w:ascii="Arial" w:hAnsi="Arial" w:cs="Arial"/>
                <w:sz w:val="15"/>
                <w:szCs w:val="15"/>
              </w:rPr>
            </w:pPr>
            <w:hyperlink r:id="rId331" w:tgtFrame="_blank" w:history="1">
              <w:r w:rsidRPr="00A77951">
                <w:rPr>
                  <w:rStyle w:val="Hyperlink"/>
                  <w:rFonts w:ascii="Arial" w:hAnsi="Arial" w:cs="Arial"/>
                  <w:sz w:val="15"/>
                  <w:szCs w:val="15"/>
                </w:rPr>
                <w:t>10.1159/000442893</w:t>
              </w:r>
            </w:hyperlink>
          </w:p>
        </w:tc>
        <w:tc>
          <w:tcPr>
            <w:tcW w:w="851" w:type="dxa"/>
          </w:tcPr>
          <w:p w14:paraId="29829774" w14:textId="0117FD8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1F91569" w14:textId="26DFED8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BB70F93" w14:textId="60B2B3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8DD373E" w14:textId="62B8EF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Functional (DBS insertion)</w:t>
            </w:r>
          </w:p>
        </w:tc>
        <w:tc>
          <w:tcPr>
            <w:tcW w:w="1843" w:type="dxa"/>
          </w:tcPr>
          <w:p w14:paraId="399D323F" w14:textId="493337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rate of infection and hardware complications for both the novel lead fixation method</w:t>
            </w:r>
            <w:r w:rsidRPr="00251EA9">
              <w:rPr>
                <w:rFonts w:ascii="Arial" w:hAnsi="Arial" w:cs="Arial"/>
                <w:sz w:val="15"/>
                <w:szCs w:val="15"/>
              </w:rPr>
              <w:br/>
              <w:t xml:space="preserve">and the </w:t>
            </w:r>
            <w:proofErr w:type="spellStart"/>
            <w:r w:rsidRPr="00251EA9">
              <w:rPr>
                <w:rFonts w:ascii="Arial" w:hAnsi="Arial" w:cs="Arial"/>
                <w:sz w:val="15"/>
                <w:szCs w:val="15"/>
              </w:rPr>
              <w:t>StimLoc</w:t>
            </w:r>
            <w:proofErr w:type="spellEnd"/>
            <w:r w:rsidRPr="00251EA9">
              <w:rPr>
                <w:rFonts w:ascii="Arial" w:hAnsi="Arial" w:cs="Arial"/>
                <w:sz w:val="15"/>
                <w:szCs w:val="15"/>
              </w:rPr>
              <w:t xml:space="preserve"> TM securing device. </w:t>
            </w:r>
          </w:p>
        </w:tc>
        <w:tc>
          <w:tcPr>
            <w:tcW w:w="1134" w:type="dxa"/>
          </w:tcPr>
          <w:p w14:paraId="5E9D63DE"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70D1257" w14:textId="339842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B857384" w14:textId="3D6BDEC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SSIs were defined as those</w:t>
            </w:r>
            <w:r w:rsidR="006F1DC9">
              <w:rPr>
                <w:rFonts w:ascii="Arial" w:hAnsi="Arial" w:cs="Arial"/>
                <w:sz w:val="15"/>
                <w:szCs w:val="15"/>
              </w:rPr>
              <w:t xml:space="preserve"> </w:t>
            </w:r>
            <w:r w:rsidRPr="00251EA9">
              <w:rPr>
                <w:rFonts w:ascii="Arial" w:hAnsi="Arial" w:cs="Arial"/>
                <w:sz w:val="15"/>
                <w:szCs w:val="15"/>
              </w:rPr>
              <w:t xml:space="preserve">occurring within 12 months of the original implant. Evidence of device involvement was assumed if there was cellulitis or purulent drainage from the incision over a device implant. Every incidence of SSIs required surgical revision and microbiological cultures from the hardware and confirm the presence of an infection. </w:t>
            </w:r>
          </w:p>
        </w:tc>
        <w:tc>
          <w:tcPr>
            <w:tcW w:w="2693" w:type="dxa"/>
          </w:tcPr>
          <w:p w14:paraId="39AD559C" w14:textId="561EB0F3" w:rsidR="006E5533" w:rsidRPr="00251EA9" w:rsidRDefault="006E5533" w:rsidP="006E5533">
            <w:pPr>
              <w:rPr>
                <w:rFonts w:ascii="Arial" w:hAnsi="Arial" w:cs="Arial"/>
                <w:sz w:val="15"/>
                <w:szCs w:val="15"/>
              </w:rPr>
            </w:pPr>
            <w:r w:rsidRPr="00251EA9">
              <w:rPr>
                <w:rFonts w:ascii="Arial" w:hAnsi="Arial" w:cs="Arial"/>
                <w:sz w:val="15"/>
                <w:szCs w:val="15"/>
              </w:rPr>
              <w:t>9 patients (3.1%) developed surgical site infections</w:t>
            </w:r>
            <w:r w:rsidRPr="00251EA9">
              <w:rPr>
                <w:rFonts w:ascii="Arial" w:hAnsi="Arial" w:cs="Arial"/>
                <w:sz w:val="15"/>
                <w:szCs w:val="15"/>
              </w:rPr>
              <w:br/>
              <w:t>(SSIs), 4 (1.3%) with SSI of the internal pulse generator pocket.</w:t>
            </w:r>
          </w:p>
        </w:tc>
        <w:tc>
          <w:tcPr>
            <w:tcW w:w="1701" w:type="dxa"/>
          </w:tcPr>
          <w:p w14:paraId="49BA2686" w14:textId="62F76A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0A58C8B" w14:textId="77777777" w:rsidTr="00A77951">
        <w:trPr>
          <w:trHeight w:val="586"/>
        </w:trPr>
        <w:tc>
          <w:tcPr>
            <w:tcW w:w="992" w:type="dxa"/>
          </w:tcPr>
          <w:p w14:paraId="1AFCB74F" w14:textId="47D2429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Widen J. et al., 2017</w:t>
            </w:r>
          </w:p>
        </w:tc>
        <w:tc>
          <w:tcPr>
            <w:tcW w:w="851" w:type="dxa"/>
          </w:tcPr>
          <w:p w14:paraId="46779248" w14:textId="5ABE5A2E" w:rsidR="006E5533" w:rsidRPr="00A77951" w:rsidRDefault="006E5533" w:rsidP="006E5533">
            <w:pPr>
              <w:spacing w:line="360" w:lineRule="auto"/>
              <w:contextualSpacing/>
              <w:rPr>
                <w:rFonts w:ascii="Arial" w:hAnsi="Arial" w:cs="Arial"/>
                <w:sz w:val="15"/>
                <w:szCs w:val="15"/>
              </w:rPr>
            </w:pPr>
            <w:hyperlink r:id="rId332" w:tgtFrame="_blank" w:history="1">
              <w:r w:rsidRPr="00A77951">
                <w:rPr>
                  <w:rStyle w:val="Hyperlink"/>
                  <w:rFonts w:ascii="Arial" w:hAnsi="Arial" w:cs="Arial"/>
                  <w:sz w:val="15"/>
                  <w:szCs w:val="15"/>
                </w:rPr>
                <w:t>10.1007/s00701-016-3039-2</w:t>
              </w:r>
            </w:hyperlink>
          </w:p>
        </w:tc>
        <w:tc>
          <w:tcPr>
            <w:tcW w:w="851" w:type="dxa"/>
          </w:tcPr>
          <w:p w14:paraId="6C1111E9" w14:textId="113320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Sweden</w:t>
            </w:r>
          </w:p>
        </w:tc>
        <w:tc>
          <w:tcPr>
            <w:tcW w:w="1134" w:type="dxa"/>
          </w:tcPr>
          <w:p w14:paraId="65E90B08" w14:textId="79899F7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859279F" w14:textId="429365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F51BFF3" w14:textId="364D4E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7350D3CD"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incidence and</w:t>
            </w:r>
            <w:r w:rsidRPr="00251EA9">
              <w:rPr>
                <w:rFonts w:ascii="Arial" w:hAnsi="Arial" w:cs="Arial"/>
                <w:sz w:val="15"/>
                <w:szCs w:val="15"/>
              </w:rPr>
              <w:br/>
              <w:t>bacteriological aetiology of ventriculostomy-related infections (VRI) in patients with sub-arachnoid haemorrhage (SAH) that have</w:t>
            </w:r>
            <w:r w:rsidRPr="00251EA9">
              <w:rPr>
                <w:rFonts w:ascii="Arial" w:hAnsi="Arial" w:cs="Arial"/>
                <w:sz w:val="15"/>
                <w:szCs w:val="15"/>
              </w:rPr>
              <w:br/>
              <w:t xml:space="preserve">been treated with a </w:t>
            </w:r>
            <w:r w:rsidRPr="00251EA9">
              <w:rPr>
                <w:rFonts w:ascii="Arial" w:hAnsi="Arial" w:cs="Arial"/>
                <w:sz w:val="15"/>
                <w:szCs w:val="15"/>
              </w:rPr>
              <w:lastRenderedPageBreak/>
              <w:t xml:space="preserve">ventriculostomy catheter. </w:t>
            </w:r>
          </w:p>
          <w:p w14:paraId="0E3DA82B" w14:textId="7EDA4A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extent of empirical antibiotic treatment for VRI and adherence to local guidelines for VRI diagnostics and treatment.</w:t>
            </w:r>
          </w:p>
        </w:tc>
        <w:tc>
          <w:tcPr>
            <w:tcW w:w="1134" w:type="dxa"/>
          </w:tcPr>
          <w:p w14:paraId="6E6939C2" w14:textId="77777777" w:rsidR="006E5533" w:rsidRPr="00251EA9" w:rsidRDefault="006E5533" w:rsidP="006E5533">
            <w:pPr>
              <w:spacing w:line="360" w:lineRule="auto"/>
              <w:contextualSpacing/>
              <w:rPr>
                <w:rFonts w:ascii="Arial" w:hAnsi="Arial" w:cs="Arial"/>
                <w:sz w:val="15"/>
                <w:szCs w:val="15"/>
              </w:rPr>
            </w:pPr>
          </w:p>
        </w:tc>
        <w:tc>
          <w:tcPr>
            <w:tcW w:w="992" w:type="dxa"/>
          </w:tcPr>
          <w:p w14:paraId="55D9B3E6" w14:textId="5FBAE9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BD7521A" w14:textId="68A30CA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Positive CSF culture</w:t>
            </w:r>
            <w:r w:rsidRPr="00251EA9">
              <w:rPr>
                <w:rFonts w:ascii="Arial" w:hAnsi="Arial" w:cs="Arial"/>
                <w:sz w:val="15"/>
                <w:szCs w:val="15"/>
              </w:rPr>
              <w:br/>
              <w:t>along with inflammatory parameters above a pre-defined</w:t>
            </w:r>
            <w:r w:rsidRPr="00251EA9">
              <w:rPr>
                <w:rFonts w:ascii="Arial" w:hAnsi="Arial" w:cs="Arial"/>
                <w:sz w:val="15"/>
                <w:szCs w:val="15"/>
              </w:rPr>
              <w:br/>
              <w:t>threshold in CSF. The definition of inflammation in CSF included</w:t>
            </w:r>
            <w:r w:rsidR="006F1DC9">
              <w:rPr>
                <w:rFonts w:ascii="Arial" w:hAnsi="Arial" w:cs="Arial"/>
                <w:sz w:val="15"/>
                <w:szCs w:val="15"/>
              </w:rPr>
              <w:t xml:space="preserve"> </w:t>
            </w:r>
            <w:r w:rsidRPr="00251EA9">
              <w:rPr>
                <w:rFonts w:ascii="Arial" w:hAnsi="Arial" w:cs="Arial"/>
                <w:sz w:val="15"/>
                <w:szCs w:val="15"/>
              </w:rPr>
              <w:lastRenderedPageBreak/>
              <w:t>measurement of parameters (CSF polynuclear leucocytes, CSF lactate, CSF plasma glucose ratio, CSF albumin).</w:t>
            </w:r>
          </w:p>
        </w:tc>
        <w:tc>
          <w:tcPr>
            <w:tcW w:w="2693" w:type="dxa"/>
          </w:tcPr>
          <w:p w14:paraId="2E75773A" w14:textId="0B6A61EC" w:rsidR="006E5533" w:rsidRPr="00251EA9" w:rsidRDefault="006E5533" w:rsidP="006E5533">
            <w:pPr>
              <w:rPr>
                <w:rFonts w:ascii="Arial" w:hAnsi="Arial" w:cs="Arial"/>
                <w:sz w:val="15"/>
                <w:szCs w:val="15"/>
              </w:rPr>
            </w:pPr>
            <w:r w:rsidRPr="00251EA9">
              <w:rPr>
                <w:rFonts w:ascii="Arial" w:hAnsi="Arial" w:cs="Arial"/>
                <w:sz w:val="15"/>
                <w:szCs w:val="15"/>
              </w:rPr>
              <w:lastRenderedPageBreak/>
              <w:t>11 patients developed VRI, resulting in an incidence of 5.8% per patient, 5.4% per ventriculostomy catheter,</w:t>
            </w:r>
            <w:r w:rsidRPr="00251EA9">
              <w:rPr>
                <w:rFonts w:ascii="Arial" w:hAnsi="Arial" w:cs="Arial"/>
                <w:sz w:val="15"/>
                <w:szCs w:val="15"/>
              </w:rPr>
              <w:br/>
              <w:t xml:space="preserve">and 4.1 per 1000 catheter days. </w:t>
            </w:r>
          </w:p>
        </w:tc>
        <w:tc>
          <w:tcPr>
            <w:tcW w:w="1701" w:type="dxa"/>
          </w:tcPr>
          <w:p w14:paraId="6B6BC65B" w14:textId="7F7BC50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EDEA01D" w14:textId="77777777" w:rsidTr="00A77951">
        <w:trPr>
          <w:trHeight w:val="586"/>
        </w:trPr>
        <w:tc>
          <w:tcPr>
            <w:tcW w:w="992" w:type="dxa"/>
          </w:tcPr>
          <w:p w14:paraId="3B957F0D" w14:textId="1E7CB7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Williams M.A. et al., 2022</w:t>
            </w:r>
          </w:p>
        </w:tc>
        <w:tc>
          <w:tcPr>
            <w:tcW w:w="851" w:type="dxa"/>
          </w:tcPr>
          <w:p w14:paraId="7E4AB9EF" w14:textId="53968C0C" w:rsidR="006E5533" w:rsidRPr="00A77951" w:rsidRDefault="006E5533" w:rsidP="006E5533">
            <w:pPr>
              <w:spacing w:line="360" w:lineRule="auto"/>
              <w:contextualSpacing/>
              <w:rPr>
                <w:rFonts w:ascii="Arial" w:hAnsi="Arial" w:cs="Arial"/>
                <w:sz w:val="15"/>
                <w:szCs w:val="15"/>
              </w:rPr>
            </w:pPr>
            <w:hyperlink r:id="rId333" w:tgtFrame="_blank" w:history="1">
              <w:r w:rsidRPr="00A77951">
                <w:rPr>
                  <w:rStyle w:val="Hyperlink"/>
                  <w:rFonts w:ascii="Arial" w:hAnsi="Arial" w:cs="Arial"/>
                  <w:sz w:val="15"/>
                  <w:szCs w:val="15"/>
                </w:rPr>
                <w:t>10.3171/2022.</w:t>
              </w:r>
              <w:proofErr w:type="gramStart"/>
              <w:r w:rsidRPr="00A77951">
                <w:rPr>
                  <w:rStyle w:val="Hyperlink"/>
                  <w:rFonts w:ascii="Arial" w:hAnsi="Arial" w:cs="Arial"/>
                  <w:sz w:val="15"/>
                  <w:szCs w:val="15"/>
                </w:rPr>
                <w:t>1.JNS</w:t>
              </w:r>
              <w:proofErr w:type="gramEnd"/>
              <w:r w:rsidRPr="00A77951">
                <w:rPr>
                  <w:rStyle w:val="Hyperlink"/>
                  <w:rFonts w:ascii="Arial" w:hAnsi="Arial" w:cs="Arial"/>
                  <w:sz w:val="15"/>
                  <w:szCs w:val="15"/>
                </w:rPr>
                <w:t>212782</w:t>
              </w:r>
            </w:hyperlink>
          </w:p>
        </w:tc>
        <w:tc>
          <w:tcPr>
            <w:tcW w:w="851" w:type="dxa"/>
          </w:tcPr>
          <w:p w14:paraId="7137F840" w14:textId="7F758BD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 and Canada</w:t>
            </w:r>
          </w:p>
        </w:tc>
        <w:tc>
          <w:tcPr>
            <w:tcW w:w="1134" w:type="dxa"/>
          </w:tcPr>
          <w:p w14:paraId="0B3BA9FC" w14:textId="187E132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cohort</w:t>
            </w:r>
          </w:p>
        </w:tc>
        <w:tc>
          <w:tcPr>
            <w:tcW w:w="992" w:type="dxa"/>
          </w:tcPr>
          <w:p w14:paraId="0AF4F068" w14:textId="35EB35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71B780AC" w14:textId="67E2684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27D03DD9" w14:textId="505F7ED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the processes and outcomes associated with patients at five sites in the Adult Hydrocephalus Clinical Research Network (AHCRN) who had undergone evaluation and treatment for suspected idiopathic normal pressure hydrocephalus (</w:t>
            </w:r>
            <w:proofErr w:type="spellStart"/>
            <w:r w:rsidRPr="00251EA9">
              <w:rPr>
                <w:rFonts w:ascii="Arial" w:hAnsi="Arial" w:cs="Arial"/>
                <w:sz w:val="15"/>
                <w:szCs w:val="15"/>
              </w:rPr>
              <w:t>iNPH</w:t>
            </w:r>
            <w:proofErr w:type="spellEnd"/>
            <w:r w:rsidRPr="00251EA9">
              <w:rPr>
                <w:rFonts w:ascii="Arial" w:hAnsi="Arial" w:cs="Arial"/>
                <w:sz w:val="15"/>
                <w:szCs w:val="15"/>
              </w:rPr>
              <w:t>) and had 1-year postoperative follow-up.</w:t>
            </w:r>
          </w:p>
        </w:tc>
        <w:tc>
          <w:tcPr>
            <w:tcW w:w="1134" w:type="dxa"/>
          </w:tcPr>
          <w:p w14:paraId="7AE16EF1" w14:textId="4A3F71D2" w:rsidR="006E5533" w:rsidRPr="00251EA9" w:rsidRDefault="006E5533" w:rsidP="006E5533">
            <w:pPr>
              <w:spacing w:line="360" w:lineRule="auto"/>
              <w:contextualSpacing/>
              <w:rPr>
                <w:rFonts w:ascii="Arial" w:hAnsi="Arial" w:cs="Arial"/>
                <w:sz w:val="15"/>
                <w:szCs w:val="15"/>
              </w:rPr>
            </w:pPr>
          </w:p>
        </w:tc>
        <w:tc>
          <w:tcPr>
            <w:tcW w:w="992" w:type="dxa"/>
          </w:tcPr>
          <w:p w14:paraId="356A0DD6" w14:textId="741FF5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40A18F01" w14:textId="07563E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0F7DF0D" w14:textId="466608FF" w:rsidR="006E5533" w:rsidRPr="00251EA9" w:rsidRDefault="006E5533" w:rsidP="006E5533">
            <w:pPr>
              <w:rPr>
                <w:rFonts w:ascii="Arial" w:hAnsi="Arial" w:cs="Arial"/>
                <w:sz w:val="15"/>
                <w:szCs w:val="15"/>
              </w:rPr>
            </w:pPr>
            <w:r w:rsidRPr="00251EA9">
              <w:rPr>
                <w:rFonts w:ascii="Arial" w:hAnsi="Arial" w:cs="Arial"/>
                <w:sz w:val="15"/>
                <w:szCs w:val="15"/>
              </w:rPr>
              <w:t>11 patients (5.7%) had 14 serious complications that resulted in the need for surgery or an extended</w:t>
            </w:r>
            <w:r w:rsidRPr="00251EA9">
              <w:rPr>
                <w:rFonts w:ascii="Arial" w:hAnsi="Arial" w:cs="Arial"/>
                <w:sz w:val="15"/>
                <w:szCs w:val="15"/>
              </w:rPr>
              <w:br/>
              <w:t>hospital stay, including 1 instance of meningitis, 1 wound infection and 1 instance of sepsis.</w:t>
            </w:r>
          </w:p>
        </w:tc>
        <w:tc>
          <w:tcPr>
            <w:tcW w:w="1701" w:type="dxa"/>
          </w:tcPr>
          <w:p w14:paraId="1034A65B" w14:textId="2152A6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2E88105" w14:textId="77777777" w:rsidTr="00A77951">
        <w:trPr>
          <w:trHeight w:val="586"/>
        </w:trPr>
        <w:tc>
          <w:tcPr>
            <w:tcW w:w="992" w:type="dxa"/>
          </w:tcPr>
          <w:p w14:paraId="215512DE" w14:textId="05D798E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Winston K.R. et al., 2007</w:t>
            </w:r>
          </w:p>
        </w:tc>
        <w:tc>
          <w:tcPr>
            <w:tcW w:w="851" w:type="dxa"/>
          </w:tcPr>
          <w:p w14:paraId="144C9516" w14:textId="5187936E" w:rsidR="006E5533" w:rsidRPr="00A77951" w:rsidRDefault="006E5533" w:rsidP="006E5533">
            <w:pPr>
              <w:spacing w:line="360" w:lineRule="auto"/>
              <w:contextualSpacing/>
              <w:rPr>
                <w:rFonts w:ascii="Arial" w:hAnsi="Arial" w:cs="Arial"/>
                <w:sz w:val="15"/>
                <w:szCs w:val="15"/>
              </w:rPr>
            </w:pPr>
            <w:hyperlink r:id="rId334" w:tgtFrame="_blank" w:history="1">
              <w:r w:rsidRPr="00A77951">
                <w:rPr>
                  <w:rStyle w:val="Hyperlink"/>
                  <w:rFonts w:ascii="Arial" w:hAnsi="Arial" w:cs="Arial"/>
                  <w:sz w:val="15"/>
                  <w:szCs w:val="15"/>
                </w:rPr>
                <w:t>10.3171/ped.2007.106.6.450</w:t>
              </w:r>
            </w:hyperlink>
          </w:p>
        </w:tc>
        <w:tc>
          <w:tcPr>
            <w:tcW w:w="851" w:type="dxa"/>
          </w:tcPr>
          <w:p w14:paraId="57C19BD3" w14:textId="16E9D6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3983E1F1" w14:textId="5136F35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37FB0CC" w14:textId="53EFD28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4AE3836" w14:textId="0E568D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4AAF28A3" w14:textId="5CE3DB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efficacy of bandaging cranial incisional wounds.</w:t>
            </w:r>
          </w:p>
        </w:tc>
        <w:tc>
          <w:tcPr>
            <w:tcW w:w="1134" w:type="dxa"/>
          </w:tcPr>
          <w:p w14:paraId="3CB6D7D2" w14:textId="2C716A21" w:rsidR="006E5533" w:rsidRPr="00251EA9" w:rsidRDefault="006E5533" w:rsidP="006E5533">
            <w:pPr>
              <w:spacing w:line="360" w:lineRule="auto"/>
              <w:contextualSpacing/>
              <w:rPr>
                <w:rFonts w:ascii="Arial" w:hAnsi="Arial" w:cs="Arial"/>
                <w:sz w:val="15"/>
                <w:szCs w:val="15"/>
              </w:rPr>
            </w:pPr>
          </w:p>
        </w:tc>
        <w:tc>
          <w:tcPr>
            <w:tcW w:w="992" w:type="dxa"/>
          </w:tcPr>
          <w:p w14:paraId="4D826EA0" w14:textId="48590F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FDADA13" w14:textId="3D4D3F7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29ECDE99" w14:textId="32BF3002" w:rsidR="006E5533" w:rsidRPr="00251EA9" w:rsidRDefault="006E5533" w:rsidP="006E5533">
            <w:pPr>
              <w:rPr>
                <w:rFonts w:ascii="Arial" w:hAnsi="Arial" w:cs="Arial"/>
                <w:sz w:val="15"/>
                <w:szCs w:val="15"/>
              </w:rPr>
            </w:pPr>
            <w:r w:rsidRPr="00251EA9">
              <w:rPr>
                <w:rFonts w:ascii="Arial" w:hAnsi="Arial" w:cs="Arial"/>
                <w:sz w:val="15"/>
                <w:szCs w:val="15"/>
              </w:rPr>
              <w:t>The infection rate for the 626 clean cases was 0.48% and for the 38 clean–contaminated cases was 2.63%.</w:t>
            </w:r>
          </w:p>
        </w:tc>
        <w:tc>
          <w:tcPr>
            <w:tcW w:w="1701" w:type="dxa"/>
          </w:tcPr>
          <w:p w14:paraId="7F24694C" w14:textId="2D2ED7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5A308E7" w14:textId="77777777" w:rsidTr="00A77951">
        <w:trPr>
          <w:trHeight w:val="586"/>
        </w:trPr>
        <w:tc>
          <w:tcPr>
            <w:tcW w:w="992" w:type="dxa"/>
          </w:tcPr>
          <w:p w14:paraId="53699C61" w14:textId="15898E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Wu C. et al., 2014</w:t>
            </w:r>
          </w:p>
        </w:tc>
        <w:tc>
          <w:tcPr>
            <w:tcW w:w="851" w:type="dxa"/>
          </w:tcPr>
          <w:p w14:paraId="77A4EDD6" w14:textId="592FD274" w:rsidR="006E5533" w:rsidRPr="00A77951" w:rsidRDefault="006E5533" w:rsidP="006E5533">
            <w:pPr>
              <w:spacing w:line="360" w:lineRule="auto"/>
              <w:contextualSpacing/>
              <w:rPr>
                <w:rFonts w:ascii="Arial" w:hAnsi="Arial" w:cs="Arial"/>
                <w:sz w:val="15"/>
                <w:szCs w:val="15"/>
              </w:rPr>
            </w:pPr>
            <w:hyperlink r:id="rId335" w:tgtFrame="_blank" w:history="1">
              <w:r w:rsidRPr="00A77951">
                <w:rPr>
                  <w:rStyle w:val="Hyperlink"/>
                  <w:rFonts w:ascii="Arial" w:hAnsi="Arial" w:cs="Arial"/>
                  <w:sz w:val="15"/>
                  <w:szCs w:val="15"/>
                </w:rPr>
                <w:t>10.5137/1019-5149.JTN.9281-13.1</w:t>
              </w:r>
            </w:hyperlink>
          </w:p>
        </w:tc>
        <w:tc>
          <w:tcPr>
            <w:tcW w:w="851" w:type="dxa"/>
          </w:tcPr>
          <w:p w14:paraId="15A10830" w14:textId="1472FD8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5DC3CFD5" w14:textId="23F7EF1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3C0919A3" w14:textId="012FCB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4295456" w14:textId="43CFDC7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00954415" w14:textId="74F1363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compare the effects of post neurosurgical antimicrobial prophylaxis before and after the adoption of a new protocol, which </w:t>
            </w:r>
            <w:r w:rsidRPr="00251EA9">
              <w:rPr>
                <w:rFonts w:ascii="Arial" w:hAnsi="Arial" w:cs="Arial"/>
                <w:sz w:val="15"/>
                <w:szCs w:val="15"/>
              </w:rPr>
              <w:lastRenderedPageBreak/>
              <w:t>changed from prolonged prophylaxis to limited usage.</w:t>
            </w:r>
          </w:p>
        </w:tc>
        <w:tc>
          <w:tcPr>
            <w:tcW w:w="1134" w:type="dxa"/>
          </w:tcPr>
          <w:p w14:paraId="79618F20" w14:textId="6C0FB7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Prolonged vs limited prophylaxis</w:t>
            </w:r>
          </w:p>
        </w:tc>
        <w:tc>
          <w:tcPr>
            <w:tcW w:w="992" w:type="dxa"/>
          </w:tcPr>
          <w:p w14:paraId="2EBCB2FE" w14:textId="0EF1DF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182B7CBD" w14:textId="4B912DA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575D168E" w14:textId="10CD0AA6" w:rsidR="006E5533" w:rsidRPr="00251EA9" w:rsidRDefault="006E5533" w:rsidP="006E5533">
            <w:pPr>
              <w:rPr>
                <w:rFonts w:ascii="Arial" w:hAnsi="Arial" w:cs="Arial"/>
                <w:sz w:val="15"/>
                <w:szCs w:val="15"/>
              </w:rPr>
            </w:pPr>
            <w:r w:rsidRPr="00251EA9">
              <w:rPr>
                <w:rFonts w:ascii="Arial" w:hAnsi="Arial" w:cs="Arial"/>
                <w:sz w:val="15"/>
                <w:szCs w:val="15"/>
              </w:rPr>
              <w:t>No difference in SSI prevalence between the 2 groups.</w:t>
            </w:r>
          </w:p>
        </w:tc>
        <w:tc>
          <w:tcPr>
            <w:tcW w:w="1701" w:type="dxa"/>
          </w:tcPr>
          <w:p w14:paraId="293732C2" w14:textId="135287B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1F6A8529" w14:textId="77777777" w:rsidTr="00A77951">
        <w:trPr>
          <w:trHeight w:val="586"/>
        </w:trPr>
        <w:tc>
          <w:tcPr>
            <w:tcW w:w="992" w:type="dxa"/>
          </w:tcPr>
          <w:p w14:paraId="24EF42FA" w14:textId="4135225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Xia Y. et al., 2019</w:t>
            </w:r>
          </w:p>
        </w:tc>
        <w:tc>
          <w:tcPr>
            <w:tcW w:w="851" w:type="dxa"/>
          </w:tcPr>
          <w:p w14:paraId="30E3BF38" w14:textId="1AA990C6" w:rsidR="006E5533" w:rsidRPr="00A77951" w:rsidRDefault="006E5533" w:rsidP="006E5533">
            <w:pPr>
              <w:spacing w:line="360" w:lineRule="auto"/>
              <w:contextualSpacing/>
              <w:rPr>
                <w:rFonts w:ascii="Arial" w:hAnsi="Arial" w:cs="Arial"/>
                <w:sz w:val="15"/>
                <w:szCs w:val="15"/>
              </w:rPr>
            </w:pPr>
            <w:hyperlink r:id="rId336" w:tgtFrame="_blank" w:history="1">
              <w:r w:rsidRPr="00A77951">
                <w:rPr>
                  <w:rStyle w:val="Hyperlink"/>
                  <w:rFonts w:ascii="Arial" w:hAnsi="Arial" w:cs="Arial"/>
                  <w:sz w:val="15"/>
                  <w:szCs w:val="15"/>
                </w:rPr>
                <w:t>10.1093/</w:t>
              </w:r>
              <w:proofErr w:type="spellStart"/>
              <w:r w:rsidRPr="00A77951">
                <w:rPr>
                  <w:rStyle w:val="Hyperlink"/>
                  <w:rFonts w:ascii="Arial" w:hAnsi="Arial" w:cs="Arial"/>
                  <w:sz w:val="15"/>
                  <w:szCs w:val="15"/>
                </w:rPr>
                <w:t>ons</w:t>
              </w:r>
              <w:proofErr w:type="spellEnd"/>
              <w:r w:rsidRPr="00A77951">
                <w:rPr>
                  <w:rStyle w:val="Hyperlink"/>
                  <w:rFonts w:ascii="Arial" w:hAnsi="Arial" w:cs="Arial"/>
                  <w:sz w:val="15"/>
                  <w:szCs w:val="15"/>
                </w:rPr>
                <w:t>/opz163</w:t>
              </w:r>
            </w:hyperlink>
          </w:p>
        </w:tc>
        <w:tc>
          <w:tcPr>
            <w:tcW w:w="851" w:type="dxa"/>
          </w:tcPr>
          <w:p w14:paraId="09E94844" w14:textId="39F94E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5860B34" w14:textId="2AF1F0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268B411" w14:textId="59BA38A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55D0B269" w14:textId="576FB4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425955DD" w14:textId="74C5D6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potential for vascular complications when the superior petrosal vein (SPV) is sacrificed during microvascular decompression.</w:t>
            </w:r>
          </w:p>
        </w:tc>
        <w:tc>
          <w:tcPr>
            <w:tcW w:w="1134" w:type="dxa"/>
          </w:tcPr>
          <w:p w14:paraId="783FD274" w14:textId="64B4FB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SPV preserved Vs SPV sacrificed</w:t>
            </w:r>
          </w:p>
        </w:tc>
        <w:tc>
          <w:tcPr>
            <w:tcW w:w="992" w:type="dxa"/>
          </w:tcPr>
          <w:p w14:paraId="43799DCF" w14:textId="7A6692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BA7D6CE" w14:textId="28F176F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0E8770C" w14:textId="65D05448" w:rsidR="006E5533" w:rsidRPr="00251EA9" w:rsidRDefault="006E5533" w:rsidP="006E5533">
            <w:pPr>
              <w:rPr>
                <w:rFonts w:ascii="Arial" w:hAnsi="Arial" w:cs="Arial"/>
                <w:sz w:val="15"/>
                <w:szCs w:val="15"/>
              </w:rPr>
            </w:pPr>
            <w:r w:rsidRPr="00251EA9">
              <w:rPr>
                <w:rFonts w:ascii="Arial" w:hAnsi="Arial" w:cs="Arial"/>
                <w:sz w:val="15"/>
                <w:szCs w:val="15"/>
              </w:rPr>
              <w:t>8 cases (2.1%) of wound infection in SPV preserved group and 3 (1.4%) cases in SPV sacrificed group.</w:t>
            </w:r>
          </w:p>
        </w:tc>
        <w:tc>
          <w:tcPr>
            <w:tcW w:w="1701" w:type="dxa"/>
          </w:tcPr>
          <w:p w14:paraId="512BFBDF" w14:textId="64F2155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03988DB" w14:textId="77777777" w:rsidTr="00A77951">
        <w:trPr>
          <w:trHeight w:val="586"/>
        </w:trPr>
        <w:tc>
          <w:tcPr>
            <w:tcW w:w="992" w:type="dxa"/>
          </w:tcPr>
          <w:p w14:paraId="26221221" w14:textId="082B0FC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Xu L et al., 2022</w:t>
            </w:r>
          </w:p>
        </w:tc>
        <w:tc>
          <w:tcPr>
            <w:tcW w:w="851" w:type="dxa"/>
          </w:tcPr>
          <w:p w14:paraId="1CF3A65E" w14:textId="7623AD3B" w:rsidR="006E5533" w:rsidRPr="00A77951" w:rsidRDefault="006E5533" w:rsidP="006E5533">
            <w:pPr>
              <w:spacing w:line="360" w:lineRule="auto"/>
              <w:contextualSpacing/>
              <w:rPr>
                <w:rFonts w:ascii="Arial" w:hAnsi="Arial" w:cs="Arial"/>
                <w:sz w:val="15"/>
                <w:szCs w:val="15"/>
              </w:rPr>
            </w:pPr>
            <w:hyperlink r:id="rId337" w:tgtFrame="_blank" w:history="1">
              <w:r w:rsidRPr="00A77951">
                <w:rPr>
                  <w:rStyle w:val="Hyperlink"/>
                  <w:rFonts w:ascii="Arial" w:hAnsi="Arial" w:cs="Arial"/>
                  <w:sz w:val="15"/>
                  <w:szCs w:val="15"/>
                </w:rPr>
                <w:t>10.1186/s12879-022-07719-2</w:t>
              </w:r>
            </w:hyperlink>
          </w:p>
        </w:tc>
        <w:tc>
          <w:tcPr>
            <w:tcW w:w="851" w:type="dxa"/>
          </w:tcPr>
          <w:p w14:paraId="041E5229" w14:textId="119A4C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1A429E07" w14:textId="55EF70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8B52FB0" w14:textId="2A35B4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29F32ECF" w14:textId="3EAFDBE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CSF dynamics</w:t>
            </w:r>
          </w:p>
        </w:tc>
        <w:tc>
          <w:tcPr>
            <w:tcW w:w="1843" w:type="dxa"/>
          </w:tcPr>
          <w:p w14:paraId="715773B1" w14:textId="02CF7F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investigate the clinical features and risk factors of ventriculoperitoneal shunt (VPS) associated SSIs in HIV-negative patients with cryptococcal meningitis (CM).</w:t>
            </w:r>
          </w:p>
        </w:tc>
        <w:tc>
          <w:tcPr>
            <w:tcW w:w="1134" w:type="dxa"/>
          </w:tcPr>
          <w:p w14:paraId="42FE4BDB" w14:textId="5A859B83" w:rsidR="006E5533" w:rsidRPr="00251EA9" w:rsidRDefault="006E5533" w:rsidP="006E5533">
            <w:pPr>
              <w:spacing w:line="360" w:lineRule="auto"/>
              <w:contextualSpacing/>
              <w:rPr>
                <w:rFonts w:ascii="Arial" w:hAnsi="Arial" w:cs="Arial"/>
                <w:sz w:val="15"/>
                <w:szCs w:val="15"/>
              </w:rPr>
            </w:pPr>
          </w:p>
        </w:tc>
        <w:tc>
          <w:tcPr>
            <w:tcW w:w="992" w:type="dxa"/>
          </w:tcPr>
          <w:p w14:paraId="30B0E275" w14:textId="0344518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CEC6A70" w14:textId="4618AEC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64BC0C8C" w14:textId="0B46337D" w:rsidR="006E5533" w:rsidRPr="00251EA9" w:rsidRDefault="006E5533" w:rsidP="006E5533">
            <w:pPr>
              <w:rPr>
                <w:rFonts w:ascii="Arial" w:hAnsi="Arial" w:cs="Arial"/>
                <w:sz w:val="15"/>
                <w:szCs w:val="15"/>
              </w:rPr>
            </w:pPr>
            <w:r w:rsidRPr="00251EA9">
              <w:rPr>
                <w:rFonts w:ascii="Arial" w:hAnsi="Arial" w:cs="Arial"/>
                <w:sz w:val="15"/>
                <w:szCs w:val="15"/>
              </w:rPr>
              <w:t>25 (12.95%) had SSIs in 6 days after operation. Compared with patients without SSIs, patient with SSIs tended to be shorter preoperative stay.</w:t>
            </w:r>
          </w:p>
        </w:tc>
        <w:tc>
          <w:tcPr>
            <w:tcW w:w="1701" w:type="dxa"/>
          </w:tcPr>
          <w:p w14:paraId="1D3A4A1A" w14:textId="5B708E9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1AD6D6C" w14:textId="77777777" w:rsidTr="00A77951">
        <w:trPr>
          <w:trHeight w:val="586"/>
        </w:trPr>
        <w:tc>
          <w:tcPr>
            <w:tcW w:w="992" w:type="dxa"/>
          </w:tcPr>
          <w:p w14:paraId="468A0937" w14:textId="5A3D946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Yang M et al., 2020</w:t>
            </w:r>
          </w:p>
        </w:tc>
        <w:tc>
          <w:tcPr>
            <w:tcW w:w="851" w:type="dxa"/>
          </w:tcPr>
          <w:p w14:paraId="64D90390" w14:textId="51B99E34" w:rsidR="006E5533" w:rsidRPr="00A77951" w:rsidRDefault="006E5533" w:rsidP="006E5533">
            <w:pPr>
              <w:spacing w:line="360" w:lineRule="auto"/>
              <w:contextualSpacing/>
              <w:rPr>
                <w:rFonts w:ascii="Arial" w:hAnsi="Arial" w:cs="Arial"/>
                <w:sz w:val="15"/>
                <w:szCs w:val="15"/>
              </w:rPr>
            </w:pPr>
            <w:hyperlink r:id="rId338" w:history="1">
              <w:r w:rsidRPr="00A77951">
                <w:rPr>
                  <w:rStyle w:val="Hyperlink"/>
                  <w:rFonts w:ascii="Arial" w:hAnsi="Arial" w:cs="Arial"/>
                  <w:sz w:val="15"/>
                  <w:szCs w:val="15"/>
                </w:rPr>
                <w:t>10.2217/3dp-2019-0022</w:t>
              </w:r>
            </w:hyperlink>
          </w:p>
        </w:tc>
        <w:tc>
          <w:tcPr>
            <w:tcW w:w="851" w:type="dxa"/>
          </w:tcPr>
          <w:p w14:paraId="38905780" w14:textId="22060E6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Singapore</w:t>
            </w:r>
          </w:p>
        </w:tc>
        <w:tc>
          <w:tcPr>
            <w:tcW w:w="1134" w:type="dxa"/>
          </w:tcPr>
          <w:p w14:paraId="14799F25" w14:textId="5CD68BF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18DB1986" w14:textId="7A74FA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86EDD4F" w14:textId="582DE3F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402CD8F2" w14:textId="60D3C6D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safety of using polycaprolactone (PCL) burr-hole covers over a 10-year period.</w:t>
            </w:r>
          </w:p>
        </w:tc>
        <w:tc>
          <w:tcPr>
            <w:tcW w:w="1134" w:type="dxa"/>
          </w:tcPr>
          <w:p w14:paraId="138B8D10" w14:textId="52ABC735" w:rsidR="006E5533" w:rsidRPr="00251EA9" w:rsidRDefault="006E5533" w:rsidP="006E5533">
            <w:pPr>
              <w:spacing w:line="360" w:lineRule="auto"/>
              <w:contextualSpacing/>
              <w:rPr>
                <w:rFonts w:ascii="Arial" w:hAnsi="Arial" w:cs="Arial"/>
                <w:sz w:val="15"/>
                <w:szCs w:val="15"/>
              </w:rPr>
            </w:pPr>
          </w:p>
        </w:tc>
        <w:tc>
          <w:tcPr>
            <w:tcW w:w="992" w:type="dxa"/>
          </w:tcPr>
          <w:p w14:paraId="6BAF6DC9" w14:textId="62ADDD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413A318" w14:textId="4C312B8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06498ED" w14:textId="377318EE" w:rsidR="006E5533" w:rsidRPr="00251EA9" w:rsidRDefault="006E5533" w:rsidP="006E5533">
            <w:pPr>
              <w:rPr>
                <w:rFonts w:ascii="Arial" w:hAnsi="Arial" w:cs="Arial"/>
                <w:sz w:val="15"/>
                <w:szCs w:val="15"/>
              </w:rPr>
            </w:pPr>
            <w:r w:rsidRPr="00251EA9">
              <w:rPr>
                <w:rFonts w:ascii="Arial" w:hAnsi="Arial" w:cs="Arial"/>
                <w:sz w:val="15"/>
                <w:szCs w:val="15"/>
              </w:rPr>
              <w:t xml:space="preserve">1 reoperation due to MRSA wound infection reported. </w:t>
            </w:r>
          </w:p>
        </w:tc>
        <w:tc>
          <w:tcPr>
            <w:tcW w:w="1701" w:type="dxa"/>
          </w:tcPr>
          <w:p w14:paraId="6E4B8154" w14:textId="1AC4D7D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E09EAEF" w14:textId="77777777" w:rsidTr="00A77951">
        <w:trPr>
          <w:trHeight w:val="586"/>
        </w:trPr>
        <w:tc>
          <w:tcPr>
            <w:tcW w:w="992" w:type="dxa"/>
          </w:tcPr>
          <w:p w14:paraId="58EC1ECA" w14:textId="6F55A9F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Yang N.R. et al., 2018</w:t>
            </w:r>
          </w:p>
        </w:tc>
        <w:tc>
          <w:tcPr>
            <w:tcW w:w="851" w:type="dxa"/>
          </w:tcPr>
          <w:p w14:paraId="374086CC" w14:textId="58F70EC6" w:rsidR="006E5533" w:rsidRPr="00A77951" w:rsidRDefault="006E5533" w:rsidP="006E5533">
            <w:pPr>
              <w:spacing w:line="360" w:lineRule="auto"/>
              <w:contextualSpacing/>
              <w:rPr>
                <w:rFonts w:ascii="Arial" w:hAnsi="Arial" w:cs="Arial"/>
                <w:sz w:val="15"/>
                <w:szCs w:val="15"/>
              </w:rPr>
            </w:pPr>
            <w:hyperlink r:id="rId339" w:tgtFrame="_blank" w:history="1">
              <w:r w:rsidRPr="00A77951">
                <w:rPr>
                  <w:rStyle w:val="Hyperlink"/>
                  <w:rFonts w:ascii="Arial" w:hAnsi="Arial" w:cs="Arial"/>
                  <w:sz w:val="15"/>
                  <w:szCs w:val="15"/>
                </w:rPr>
                <w:t>10.1016/j.wneu.2017.10.117</w:t>
              </w:r>
            </w:hyperlink>
          </w:p>
        </w:tc>
        <w:tc>
          <w:tcPr>
            <w:tcW w:w="851" w:type="dxa"/>
          </w:tcPr>
          <w:p w14:paraId="7566043F" w14:textId="12EFC9D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Korea</w:t>
            </w:r>
          </w:p>
        </w:tc>
        <w:tc>
          <w:tcPr>
            <w:tcW w:w="1134" w:type="dxa"/>
          </w:tcPr>
          <w:p w14:paraId="65BDCF0F" w14:textId="0A3E36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DBD5B20" w14:textId="22594B5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45DAAF3" w14:textId="2627F0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Trauma </w:t>
            </w:r>
          </w:p>
        </w:tc>
        <w:tc>
          <w:tcPr>
            <w:tcW w:w="1843" w:type="dxa"/>
          </w:tcPr>
          <w:p w14:paraId="3873FB54" w14:textId="6B29B22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earliest time points for cranioplasty in patients with traumatic brain injury who have been treated with decompressive craniotomy and in whom early cranioplasty is recommended.</w:t>
            </w:r>
          </w:p>
        </w:tc>
        <w:tc>
          <w:tcPr>
            <w:tcW w:w="1134" w:type="dxa"/>
          </w:tcPr>
          <w:p w14:paraId="547D9131" w14:textId="39A5A9BD" w:rsidR="006E5533" w:rsidRPr="00251EA9" w:rsidRDefault="006E5533" w:rsidP="006E5533">
            <w:pPr>
              <w:spacing w:line="360" w:lineRule="auto"/>
              <w:contextualSpacing/>
              <w:rPr>
                <w:rFonts w:ascii="Arial" w:hAnsi="Arial" w:cs="Arial"/>
                <w:sz w:val="15"/>
                <w:szCs w:val="15"/>
              </w:rPr>
            </w:pPr>
          </w:p>
        </w:tc>
        <w:tc>
          <w:tcPr>
            <w:tcW w:w="992" w:type="dxa"/>
          </w:tcPr>
          <w:p w14:paraId="7037F02C" w14:textId="3C65795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D05ACFD" w14:textId="5777A00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4DCA3A0E" w14:textId="7019174C" w:rsidR="006E5533" w:rsidRPr="00251EA9" w:rsidRDefault="006E5533" w:rsidP="006E5533">
            <w:pPr>
              <w:rPr>
                <w:rFonts w:ascii="Arial" w:hAnsi="Arial" w:cs="Arial"/>
                <w:sz w:val="15"/>
                <w:szCs w:val="15"/>
              </w:rPr>
            </w:pPr>
            <w:r w:rsidRPr="00251EA9">
              <w:rPr>
                <w:rFonts w:ascii="Arial" w:hAnsi="Arial" w:cs="Arial"/>
                <w:sz w:val="15"/>
                <w:szCs w:val="15"/>
              </w:rPr>
              <w:t>17 revisions were done due to infection when cranioplasty was done 35 days after the decompressive craniectomy.</w:t>
            </w:r>
          </w:p>
        </w:tc>
        <w:tc>
          <w:tcPr>
            <w:tcW w:w="1701" w:type="dxa"/>
          </w:tcPr>
          <w:p w14:paraId="62220440" w14:textId="42121E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BEDEFD0" w14:textId="77777777" w:rsidTr="00A77951">
        <w:trPr>
          <w:trHeight w:val="586"/>
        </w:trPr>
        <w:tc>
          <w:tcPr>
            <w:tcW w:w="992" w:type="dxa"/>
          </w:tcPr>
          <w:p w14:paraId="62DC16B5" w14:textId="1B077E01"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Yatimparvar</w:t>
            </w:r>
            <w:proofErr w:type="spellEnd"/>
            <w:r w:rsidRPr="00251EA9">
              <w:rPr>
                <w:rFonts w:ascii="Arial" w:hAnsi="Arial" w:cs="Arial"/>
                <w:sz w:val="15"/>
                <w:szCs w:val="15"/>
              </w:rPr>
              <w:t xml:space="preserve"> G. et al., 2020</w:t>
            </w:r>
          </w:p>
        </w:tc>
        <w:tc>
          <w:tcPr>
            <w:tcW w:w="851" w:type="dxa"/>
          </w:tcPr>
          <w:p w14:paraId="66A4BCA9" w14:textId="18FEB2A0"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P J M H S Vol. 14, NO. 2, APR – JUN 2020.</w:t>
            </w:r>
          </w:p>
        </w:tc>
        <w:tc>
          <w:tcPr>
            <w:tcW w:w="851" w:type="dxa"/>
          </w:tcPr>
          <w:p w14:paraId="305FFF50" w14:textId="2D13B56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Iran</w:t>
            </w:r>
          </w:p>
        </w:tc>
        <w:tc>
          <w:tcPr>
            <w:tcW w:w="1134" w:type="dxa"/>
          </w:tcPr>
          <w:p w14:paraId="6DD26691" w14:textId="7F4AD66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 case-control</w:t>
            </w:r>
          </w:p>
        </w:tc>
        <w:tc>
          <w:tcPr>
            <w:tcW w:w="992" w:type="dxa"/>
          </w:tcPr>
          <w:p w14:paraId="3BB5C5F5" w14:textId="7A4544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47781674" w14:textId="1FB076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650240CC" w14:textId="156F87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examine the effect of topical vancomycin powder on the prevention of operative infections in craniotomy surgeries.</w:t>
            </w:r>
          </w:p>
        </w:tc>
        <w:tc>
          <w:tcPr>
            <w:tcW w:w="1134" w:type="dxa"/>
          </w:tcPr>
          <w:p w14:paraId="227CB817" w14:textId="385998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and without vancomycin powder</w:t>
            </w:r>
          </w:p>
        </w:tc>
        <w:tc>
          <w:tcPr>
            <w:tcW w:w="992" w:type="dxa"/>
          </w:tcPr>
          <w:p w14:paraId="25AF0600" w14:textId="7EC7BC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685F7F4" w14:textId="17A990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clearly defined</w:t>
            </w:r>
          </w:p>
        </w:tc>
        <w:tc>
          <w:tcPr>
            <w:tcW w:w="2693" w:type="dxa"/>
          </w:tcPr>
          <w:p w14:paraId="1C863032" w14:textId="377AC433" w:rsidR="006E5533" w:rsidRPr="00251EA9" w:rsidRDefault="006E5533" w:rsidP="006E5533">
            <w:pPr>
              <w:rPr>
                <w:rFonts w:ascii="Arial" w:hAnsi="Arial" w:cs="Arial"/>
                <w:sz w:val="15"/>
                <w:szCs w:val="15"/>
              </w:rPr>
            </w:pPr>
            <w:r w:rsidRPr="00251EA9">
              <w:rPr>
                <w:rFonts w:ascii="Arial" w:hAnsi="Arial" w:cs="Arial"/>
                <w:sz w:val="15"/>
                <w:szCs w:val="15"/>
              </w:rPr>
              <w:t xml:space="preserve">SSI occurred in 7 (7%) cases in the vancomycin group and 13 (13%) cases in the control group, but it was not statistically significant. </w:t>
            </w:r>
          </w:p>
        </w:tc>
        <w:tc>
          <w:tcPr>
            <w:tcW w:w="1701" w:type="dxa"/>
          </w:tcPr>
          <w:p w14:paraId="62F3BEDC" w14:textId="67BACFF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70CF0C6" w14:textId="77777777" w:rsidTr="00A77951">
        <w:trPr>
          <w:trHeight w:val="586"/>
        </w:trPr>
        <w:tc>
          <w:tcPr>
            <w:tcW w:w="992" w:type="dxa"/>
          </w:tcPr>
          <w:p w14:paraId="2E694424" w14:textId="1D9643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Yeap M.C. et al., 2022</w:t>
            </w:r>
          </w:p>
        </w:tc>
        <w:tc>
          <w:tcPr>
            <w:tcW w:w="851" w:type="dxa"/>
          </w:tcPr>
          <w:p w14:paraId="1E7AB0D0" w14:textId="7E175ECA" w:rsidR="006E5533" w:rsidRPr="00A77951" w:rsidRDefault="006E5533" w:rsidP="006E5533">
            <w:pPr>
              <w:spacing w:line="360" w:lineRule="auto"/>
              <w:contextualSpacing/>
              <w:rPr>
                <w:rFonts w:ascii="Arial" w:hAnsi="Arial" w:cs="Arial"/>
                <w:sz w:val="15"/>
                <w:szCs w:val="15"/>
              </w:rPr>
            </w:pPr>
            <w:hyperlink r:id="rId340" w:tgtFrame="_blank" w:history="1">
              <w:r w:rsidRPr="00A77951">
                <w:rPr>
                  <w:rStyle w:val="Hyperlink"/>
                  <w:rFonts w:ascii="Arial" w:hAnsi="Arial" w:cs="Arial"/>
                  <w:sz w:val="15"/>
                  <w:szCs w:val="15"/>
                </w:rPr>
                <w:t>10.1016/j.wneu.2021.09.111</w:t>
              </w:r>
            </w:hyperlink>
          </w:p>
        </w:tc>
        <w:tc>
          <w:tcPr>
            <w:tcW w:w="851" w:type="dxa"/>
          </w:tcPr>
          <w:p w14:paraId="1767E13D" w14:textId="1F6B081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Taiwan</w:t>
            </w:r>
          </w:p>
        </w:tc>
        <w:tc>
          <w:tcPr>
            <w:tcW w:w="1134" w:type="dxa"/>
          </w:tcPr>
          <w:p w14:paraId="07389191" w14:textId="5A7C890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0352831" w14:textId="3754B0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253A257" w14:textId="061ACEB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(Cranioplasty)</w:t>
            </w:r>
          </w:p>
        </w:tc>
        <w:tc>
          <w:tcPr>
            <w:tcW w:w="1843" w:type="dxa"/>
          </w:tcPr>
          <w:p w14:paraId="4D87A278" w14:textId="4BB33E7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assess the predictive value of swab cultures of cryopreserved skull flaps during cranioplasties for SSIs. </w:t>
            </w:r>
          </w:p>
        </w:tc>
        <w:tc>
          <w:tcPr>
            <w:tcW w:w="1134" w:type="dxa"/>
          </w:tcPr>
          <w:p w14:paraId="6770BEA4" w14:textId="36711D5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6B4E8CBE" w14:textId="3A34C7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F7A35D5" w14:textId="5639DC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Centre for Disease Control and Prevention Guidelines</w:t>
            </w:r>
          </w:p>
        </w:tc>
        <w:tc>
          <w:tcPr>
            <w:tcW w:w="2693" w:type="dxa"/>
          </w:tcPr>
          <w:p w14:paraId="4E6FF9EE" w14:textId="0187B5D3" w:rsidR="006E5533" w:rsidRPr="00251EA9" w:rsidRDefault="006E5533" w:rsidP="006E5533">
            <w:pPr>
              <w:rPr>
                <w:rFonts w:ascii="Arial" w:hAnsi="Arial" w:cs="Arial"/>
                <w:sz w:val="15"/>
                <w:szCs w:val="15"/>
              </w:rPr>
            </w:pPr>
            <w:r w:rsidRPr="00251EA9">
              <w:rPr>
                <w:rFonts w:ascii="Arial" w:hAnsi="Arial" w:cs="Arial"/>
                <w:sz w:val="15"/>
                <w:szCs w:val="15"/>
              </w:rPr>
              <w:t>The study included 422 patients categorised into two groups: swab and non-swab, depending on whether swab cultures were implemented during cranioplasties. The overall infection rate was 7.58%. No difference was seen in infection rates between groups. The results showed high specificity but low sensitivity for swab cultures to predict SSI occurrence and the pathogens.</w:t>
            </w:r>
          </w:p>
        </w:tc>
        <w:tc>
          <w:tcPr>
            <w:tcW w:w="1701" w:type="dxa"/>
          </w:tcPr>
          <w:p w14:paraId="38D3F93A" w14:textId="7D940A0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BAB942F" w14:textId="77777777" w:rsidTr="00A77951">
        <w:trPr>
          <w:trHeight w:val="586"/>
        </w:trPr>
        <w:tc>
          <w:tcPr>
            <w:tcW w:w="992" w:type="dxa"/>
          </w:tcPr>
          <w:p w14:paraId="53BBE4F2" w14:textId="05EB844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Yeung L.C. et al., 2005</w:t>
            </w:r>
          </w:p>
        </w:tc>
        <w:tc>
          <w:tcPr>
            <w:tcW w:w="851" w:type="dxa"/>
          </w:tcPr>
          <w:p w14:paraId="53281897" w14:textId="619C7433" w:rsidR="006E5533" w:rsidRPr="00A77951" w:rsidRDefault="006E5533" w:rsidP="006E5533">
            <w:pPr>
              <w:spacing w:line="360" w:lineRule="auto"/>
              <w:contextualSpacing/>
              <w:rPr>
                <w:rFonts w:ascii="Arial" w:hAnsi="Arial" w:cs="Arial"/>
                <w:sz w:val="15"/>
                <w:szCs w:val="15"/>
              </w:rPr>
            </w:pPr>
            <w:hyperlink r:id="rId341" w:tgtFrame="_blank" w:history="1">
              <w:r w:rsidRPr="00A77951">
                <w:rPr>
                  <w:rStyle w:val="Hyperlink"/>
                  <w:rFonts w:ascii="Arial" w:hAnsi="Arial" w:cs="Arial"/>
                  <w:sz w:val="15"/>
                  <w:szCs w:val="15"/>
                </w:rPr>
                <w:t>10.1227/01.neu.</w:t>
              </w:r>
              <w:proofErr w:type="gramStart"/>
              <w:r w:rsidRPr="00A77951">
                <w:rPr>
                  <w:rStyle w:val="Hyperlink"/>
                  <w:rFonts w:ascii="Arial" w:hAnsi="Arial" w:cs="Arial"/>
                  <w:sz w:val="15"/>
                  <w:szCs w:val="15"/>
                </w:rPr>
                <w:t>0000156472.29749.b</w:t>
              </w:r>
              <w:proofErr w:type="gramEnd"/>
              <w:r w:rsidRPr="00A77951">
                <w:rPr>
                  <w:rStyle w:val="Hyperlink"/>
                  <w:rFonts w:ascii="Arial" w:hAnsi="Arial" w:cs="Arial"/>
                  <w:sz w:val="15"/>
                  <w:szCs w:val="15"/>
                </w:rPr>
                <w:t>8</w:t>
              </w:r>
            </w:hyperlink>
          </w:p>
        </w:tc>
        <w:tc>
          <w:tcPr>
            <w:tcW w:w="851" w:type="dxa"/>
          </w:tcPr>
          <w:p w14:paraId="6A4B0981" w14:textId="473AC08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5BB881CA" w14:textId="08548E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057F9C0" w14:textId="428922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5A150CA5" w14:textId="30E75B8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7493043C" w14:textId="2149EB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incidence of and factors associated with SSIs after intracranial surgery for craniofacial malformations at a single</w:t>
            </w:r>
            <w:r w:rsidRPr="00251EA9">
              <w:rPr>
                <w:rFonts w:ascii="Arial" w:hAnsi="Arial" w:cs="Arial"/>
                <w:sz w:val="15"/>
                <w:szCs w:val="15"/>
              </w:rPr>
              <w:br/>
              <w:t>multidisciplinary craniofacial centre during a 6-year period.</w:t>
            </w:r>
          </w:p>
        </w:tc>
        <w:tc>
          <w:tcPr>
            <w:tcW w:w="1134" w:type="dxa"/>
          </w:tcPr>
          <w:p w14:paraId="47165A06" w14:textId="2BD2834A" w:rsidR="006E5533" w:rsidRPr="00251EA9" w:rsidRDefault="006E5533" w:rsidP="006E5533">
            <w:pPr>
              <w:spacing w:line="360" w:lineRule="auto"/>
              <w:contextualSpacing/>
              <w:rPr>
                <w:rFonts w:ascii="Arial" w:hAnsi="Arial" w:cs="Arial"/>
                <w:sz w:val="15"/>
                <w:szCs w:val="15"/>
              </w:rPr>
            </w:pPr>
          </w:p>
        </w:tc>
        <w:tc>
          <w:tcPr>
            <w:tcW w:w="992" w:type="dxa"/>
          </w:tcPr>
          <w:p w14:paraId="3F886522" w14:textId="0E35F0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E9C91BB" w14:textId="658B21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Centre for Disease Control and Prevention Guidelines </w:t>
            </w:r>
          </w:p>
        </w:tc>
        <w:tc>
          <w:tcPr>
            <w:tcW w:w="2693" w:type="dxa"/>
          </w:tcPr>
          <w:p w14:paraId="078F9E9C" w14:textId="5E59AC2C" w:rsidR="006E5533" w:rsidRPr="00251EA9" w:rsidRDefault="006E5533" w:rsidP="006E5533">
            <w:pPr>
              <w:rPr>
                <w:rFonts w:ascii="Arial" w:hAnsi="Arial" w:cs="Arial"/>
                <w:sz w:val="15"/>
                <w:szCs w:val="15"/>
              </w:rPr>
            </w:pPr>
            <w:r w:rsidRPr="00251EA9">
              <w:rPr>
                <w:rFonts w:ascii="Arial" w:hAnsi="Arial" w:cs="Arial"/>
                <w:sz w:val="15"/>
                <w:szCs w:val="15"/>
              </w:rPr>
              <w:t xml:space="preserve">SSIs occurred in 9 (3.2%) of 281 intracranial procedures that took place during the study period. </w:t>
            </w:r>
          </w:p>
        </w:tc>
        <w:tc>
          <w:tcPr>
            <w:tcW w:w="1701" w:type="dxa"/>
          </w:tcPr>
          <w:p w14:paraId="2BC47AE6" w14:textId="723DF41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958A0C9" w14:textId="77777777" w:rsidTr="00A77951">
        <w:trPr>
          <w:trHeight w:val="586"/>
        </w:trPr>
        <w:tc>
          <w:tcPr>
            <w:tcW w:w="992" w:type="dxa"/>
          </w:tcPr>
          <w:p w14:paraId="17E1DE0D" w14:textId="087F3D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Youn S.B. et al., 2023</w:t>
            </w:r>
          </w:p>
        </w:tc>
        <w:tc>
          <w:tcPr>
            <w:tcW w:w="851" w:type="dxa"/>
          </w:tcPr>
          <w:p w14:paraId="0B41FB56" w14:textId="4A22BC71" w:rsidR="006E5533" w:rsidRPr="00A77951" w:rsidRDefault="006E5533" w:rsidP="006E5533">
            <w:pPr>
              <w:spacing w:line="360" w:lineRule="auto"/>
              <w:contextualSpacing/>
              <w:rPr>
                <w:rFonts w:ascii="Arial" w:hAnsi="Arial" w:cs="Arial"/>
                <w:sz w:val="15"/>
                <w:szCs w:val="15"/>
              </w:rPr>
            </w:pPr>
            <w:hyperlink r:id="rId342" w:tgtFrame="_blank" w:history="1">
              <w:r w:rsidRPr="00A77951">
                <w:rPr>
                  <w:rStyle w:val="Hyperlink"/>
                  <w:rFonts w:ascii="Arial" w:hAnsi="Arial" w:cs="Arial"/>
                  <w:sz w:val="15"/>
                  <w:szCs w:val="15"/>
                </w:rPr>
                <w:t>10.3340/jkns.2023.0024</w:t>
              </w:r>
            </w:hyperlink>
          </w:p>
        </w:tc>
        <w:tc>
          <w:tcPr>
            <w:tcW w:w="851" w:type="dxa"/>
          </w:tcPr>
          <w:p w14:paraId="4F104A53" w14:textId="7BB11A0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South Korea</w:t>
            </w:r>
          </w:p>
        </w:tc>
        <w:tc>
          <w:tcPr>
            <w:tcW w:w="1134" w:type="dxa"/>
          </w:tcPr>
          <w:p w14:paraId="3F00356F" w14:textId="64A85B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case-control</w:t>
            </w:r>
          </w:p>
        </w:tc>
        <w:tc>
          <w:tcPr>
            <w:tcW w:w="992" w:type="dxa"/>
          </w:tcPr>
          <w:p w14:paraId="060EB0A7" w14:textId="2F596B7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7C9BBB86" w14:textId="14727AD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7D76011B" w14:textId="2D10A9A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effect of intrawound vancomycin powder application for preventing SSI following cranioplasty compared with the conventional procedure without topical antibiotics.</w:t>
            </w:r>
          </w:p>
        </w:tc>
        <w:tc>
          <w:tcPr>
            <w:tcW w:w="1134" w:type="dxa"/>
          </w:tcPr>
          <w:p w14:paraId="33156BB6" w14:textId="734A33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With and without vancomycin powder</w:t>
            </w:r>
          </w:p>
        </w:tc>
        <w:tc>
          <w:tcPr>
            <w:tcW w:w="992" w:type="dxa"/>
          </w:tcPr>
          <w:p w14:paraId="57D1E52E" w14:textId="199CE03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A51FB2A" w14:textId="2637F2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61D51DA" w14:textId="31AF72DB" w:rsidR="006E5533" w:rsidRPr="00251EA9" w:rsidRDefault="006E5533" w:rsidP="006E5533">
            <w:pPr>
              <w:rPr>
                <w:rFonts w:ascii="Arial" w:hAnsi="Arial" w:cs="Arial"/>
                <w:sz w:val="15"/>
                <w:szCs w:val="15"/>
              </w:rPr>
            </w:pPr>
            <w:r w:rsidRPr="00251EA9">
              <w:rPr>
                <w:rFonts w:ascii="Arial" w:hAnsi="Arial" w:cs="Arial"/>
                <w:sz w:val="15"/>
                <w:szCs w:val="15"/>
              </w:rPr>
              <w:t>31 patients under conventional group experienced SSI. No patient in vancomycin group experienced infection.</w:t>
            </w:r>
          </w:p>
        </w:tc>
        <w:tc>
          <w:tcPr>
            <w:tcW w:w="1701" w:type="dxa"/>
          </w:tcPr>
          <w:p w14:paraId="4DD9D8A2" w14:textId="58D1E9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236E9B0" w14:textId="77777777" w:rsidTr="00A77951">
        <w:trPr>
          <w:trHeight w:val="586"/>
        </w:trPr>
        <w:tc>
          <w:tcPr>
            <w:tcW w:w="992" w:type="dxa"/>
          </w:tcPr>
          <w:p w14:paraId="71A30214" w14:textId="3884D13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Yusufali</w:t>
            </w:r>
            <w:proofErr w:type="spellEnd"/>
            <w:r w:rsidRPr="00251EA9">
              <w:rPr>
                <w:rFonts w:ascii="Arial" w:hAnsi="Arial" w:cs="Arial"/>
                <w:sz w:val="15"/>
                <w:szCs w:val="15"/>
              </w:rPr>
              <w:t xml:space="preserve"> T.S. et al., 2016</w:t>
            </w:r>
          </w:p>
        </w:tc>
        <w:tc>
          <w:tcPr>
            <w:tcW w:w="851" w:type="dxa"/>
          </w:tcPr>
          <w:p w14:paraId="0F904FA5" w14:textId="31A414D1" w:rsidR="006E5533" w:rsidRPr="00A77951" w:rsidRDefault="006E5533" w:rsidP="006E5533">
            <w:pPr>
              <w:spacing w:line="360" w:lineRule="auto"/>
              <w:contextualSpacing/>
              <w:rPr>
                <w:rFonts w:ascii="Arial" w:hAnsi="Arial" w:cs="Arial"/>
                <w:sz w:val="15"/>
                <w:szCs w:val="15"/>
              </w:rPr>
            </w:pPr>
            <w:r w:rsidRPr="00A77951">
              <w:rPr>
                <w:rFonts w:ascii="Arial" w:hAnsi="Arial" w:cs="Arial"/>
                <w:sz w:val="15"/>
                <w:szCs w:val="15"/>
              </w:rPr>
              <w:t>The ANNALS of AFRICAN SURGERY. January 2016 Volume 13 Issue 1</w:t>
            </w:r>
          </w:p>
        </w:tc>
        <w:tc>
          <w:tcPr>
            <w:tcW w:w="851" w:type="dxa"/>
          </w:tcPr>
          <w:p w14:paraId="15939F79" w14:textId="25D871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Kenya</w:t>
            </w:r>
          </w:p>
        </w:tc>
        <w:tc>
          <w:tcPr>
            <w:tcW w:w="1134" w:type="dxa"/>
          </w:tcPr>
          <w:p w14:paraId="5B598F24" w14:textId="64A73B4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Prospective</w:t>
            </w:r>
          </w:p>
        </w:tc>
        <w:tc>
          <w:tcPr>
            <w:tcW w:w="992" w:type="dxa"/>
          </w:tcPr>
          <w:p w14:paraId="15D53C09" w14:textId="55AF5B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306CE496" w14:textId="1962C9C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5C8A14A0" w14:textId="111DC5B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determine the utility of</w:t>
            </w:r>
            <w:r w:rsidRPr="00251EA9">
              <w:rPr>
                <w:rFonts w:ascii="Arial" w:hAnsi="Arial" w:cs="Arial"/>
                <w:sz w:val="15"/>
                <w:szCs w:val="15"/>
              </w:rPr>
              <w:br/>
              <w:t xml:space="preserve">Surgical Apgar Score (SAS) in predicting postoperative complications in neurotrauma patients. </w:t>
            </w:r>
          </w:p>
        </w:tc>
        <w:tc>
          <w:tcPr>
            <w:tcW w:w="1134" w:type="dxa"/>
          </w:tcPr>
          <w:p w14:paraId="38461890" w14:textId="3AE6EBA7" w:rsidR="006E5533" w:rsidRPr="00251EA9" w:rsidRDefault="006E5533" w:rsidP="006E5533">
            <w:pPr>
              <w:spacing w:line="360" w:lineRule="auto"/>
              <w:contextualSpacing/>
              <w:rPr>
                <w:rFonts w:ascii="Arial" w:hAnsi="Arial" w:cs="Arial"/>
                <w:sz w:val="15"/>
                <w:szCs w:val="15"/>
              </w:rPr>
            </w:pPr>
          </w:p>
        </w:tc>
        <w:tc>
          <w:tcPr>
            <w:tcW w:w="992" w:type="dxa"/>
          </w:tcPr>
          <w:p w14:paraId="74292F5D" w14:textId="2EAB9D3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6B0B07EE" w14:textId="380244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13C2D20" w14:textId="686DC813" w:rsidR="006E5533" w:rsidRPr="00251EA9" w:rsidRDefault="006E5533" w:rsidP="006E5533">
            <w:pPr>
              <w:rPr>
                <w:rFonts w:ascii="Arial" w:hAnsi="Arial" w:cs="Arial"/>
                <w:sz w:val="15"/>
                <w:szCs w:val="15"/>
              </w:rPr>
            </w:pPr>
            <w:r w:rsidRPr="00251EA9">
              <w:rPr>
                <w:rFonts w:ascii="Arial" w:hAnsi="Arial" w:cs="Arial"/>
                <w:sz w:val="15"/>
                <w:szCs w:val="15"/>
              </w:rPr>
              <w:t>24 cases of SSI (7.2%) reported.</w:t>
            </w:r>
          </w:p>
        </w:tc>
        <w:tc>
          <w:tcPr>
            <w:tcW w:w="1701" w:type="dxa"/>
          </w:tcPr>
          <w:p w14:paraId="1C9BDB40" w14:textId="0967A29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9B3BE10" w14:textId="77777777" w:rsidTr="00A77951">
        <w:trPr>
          <w:trHeight w:val="586"/>
        </w:trPr>
        <w:tc>
          <w:tcPr>
            <w:tcW w:w="992" w:type="dxa"/>
          </w:tcPr>
          <w:p w14:paraId="65B1B1C7" w14:textId="6239063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Zaidi H.A. et al., 2017</w:t>
            </w:r>
          </w:p>
        </w:tc>
        <w:tc>
          <w:tcPr>
            <w:tcW w:w="851" w:type="dxa"/>
          </w:tcPr>
          <w:p w14:paraId="37B88F3C" w14:textId="7EBF60A0" w:rsidR="006E5533" w:rsidRPr="00A77951" w:rsidRDefault="006E5533" w:rsidP="006E5533">
            <w:pPr>
              <w:spacing w:line="360" w:lineRule="auto"/>
              <w:contextualSpacing/>
              <w:rPr>
                <w:rFonts w:ascii="Arial" w:hAnsi="Arial" w:cs="Arial"/>
                <w:sz w:val="15"/>
                <w:szCs w:val="15"/>
              </w:rPr>
            </w:pPr>
            <w:hyperlink r:id="rId343" w:tgtFrame="_blank" w:history="1">
              <w:r w:rsidRPr="00A77951">
                <w:rPr>
                  <w:rStyle w:val="Hyperlink"/>
                  <w:rFonts w:ascii="Arial" w:hAnsi="Arial" w:cs="Arial"/>
                  <w:sz w:val="15"/>
                  <w:szCs w:val="15"/>
                </w:rPr>
                <w:t>10.1093/neuros/nyw139</w:t>
              </w:r>
            </w:hyperlink>
          </w:p>
        </w:tc>
        <w:tc>
          <w:tcPr>
            <w:tcW w:w="851" w:type="dxa"/>
          </w:tcPr>
          <w:p w14:paraId="6CFDFC94" w14:textId="6309BA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66CF9913" w14:textId="1B354A0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530498A" w14:textId="478BB37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8821297" w14:textId="56E1CB7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6110146E" w14:textId="7BCDD4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the impact of surgical timing and predictors of neurological outcome after surgical resection of brain stem cavernous malformations.</w:t>
            </w:r>
          </w:p>
        </w:tc>
        <w:tc>
          <w:tcPr>
            <w:tcW w:w="1134" w:type="dxa"/>
          </w:tcPr>
          <w:p w14:paraId="40EC972E" w14:textId="77777777" w:rsidR="006E5533" w:rsidRPr="00251EA9" w:rsidRDefault="006E5533" w:rsidP="006E5533">
            <w:pPr>
              <w:spacing w:line="360" w:lineRule="auto"/>
              <w:contextualSpacing/>
              <w:rPr>
                <w:rFonts w:ascii="Arial" w:hAnsi="Arial" w:cs="Arial"/>
                <w:sz w:val="15"/>
                <w:szCs w:val="15"/>
              </w:rPr>
            </w:pPr>
          </w:p>
        </w:tc>
        <w:tc>
          <w:tcPr>
            <w:tcW w:w="992" w:type="dxa"/>
          </w:tcPr>
          <w:p w14:paraId="4F7083AC" w14:textId="597CFDE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A782DA9" w14:textId="51CD3D5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5F7C6D81" w14:textId="364497DA" w:rsidR="006E5533" w:rsidRPr="00251EA9" w:rsidRDefault="006E5533" w:rsidP="006E5533">
            <w:pPr>
              <w:rPr>
                <w:rFonts w:ascii="Arial" w:hAnsi="Arial" w:cs="Arial"/>
                <w:sz w:val="15"/>
                <w:szCs w:val="15"/>
              </w:rPr>
            </w:pPr>
            <w:r w:rsidRPr="00251EA9">
              <w:rPr>
                <w:rFonts w:ascii="Arial" w:hAnsi="Arial" w:cs="Arial"/>
                <w:sz w:val="15"/>
                <w:szCs w:val="15"/>
              </w:rPr>
              <w:t xml:space="preserve">10 cases of wound infection reported. </w:t>
            </w:r>
          </w:p>
        </w:tc>
        <w:tc>
          <w:tcPr>
            <w:tcW w:w="1701" w:type="dxa"/>
          </w:tcPr>
          <w:p w14:paraId="4381E825" w14:textId="21FC09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9AD798C" w14:textId="77777777" w:rsidTr="00A77951">
        <w:trPr>
          <w:trHeight w:val="586"/>
        </w:trPr>
        <w:tc>
          <w:tcPr>
            <w:tcW w:w="992" w:type="dxa"/>
          </w:tcPr>
          <w:p w14:paraId="0BAD7B1B" w14:textId="43FACBE7"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Zakhary</w:t>
            </w:r>
            <w:proofErr w:type="spellEnd"/>
            <w:r w:rsidRPr="00251EA9">
              <w:rPr>
                <w:rFonts w:ascii="Arial" w:hAnsi="Arial" w:cs="Arial"/>
                <w:sz w:val="15"/>
                <w:szCs w:val="15"/>
              </w:rPr>
              <w:t xml:space="preserve"> G. et al., 2014</w:t>
            </w:r>
          </w:p>
        </w:tc>
        <w:tc>
          <w:tcPr>
            <w:tcW w:w="851" w:type="dxa"/>
          </w:tcPr>
          <w:p w14:paraId="637C553F" w14:textId="0EEADE01" w:rsidR="006E5533" w:rsidRPr="00A77951" w:rsidRDefault="006E5533" w:rsidP="006E5533">
            <w:pPr>
              <w:spacing w:line="360" w:lineRule="auto"/>
              <w:contextualSpacing/>
              <w:rPr>
                <w:rFonts w:ascii="Arial" w:hAnsi="Arial" w:cs="Arial"/>
                <w:sz w:val="15"/>
                <w:szCs w:val="15"/>
              </w:rPr>
            </w:pPr>
            <w:hyperlink r:id="rId344" w:tgtFrame="_blank" w:history="1">
              <w:r w:rsidRPr="00A77951">
                <w:rPr>
                  <w:rStyle w:val="Hyperlink"/>
                  <w:rFonts w:ascii="Arial" w:hAnsi="Arial" w:cs="Arial"/>
                  <w:sz w:val="15"/>
                  <w:szCs w:val="15"/>
                </w:rPr>
                <w:t>10.1016/j.jcms.2014.05.014</w:t>
              </w:r>
            </w:hyperlink>
          </w:p>
        </w:tc>
        <w:tc>
          <w:tcPr>
            <w:tcW w:w="851" w:type="dxa"/>
          </w:tcPr>
          <w:p w14:paraId="195878A1" w14:textId="32EC4E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72186657" w14:textId="2B74F0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D1B1E1A" w14:textId="3D39AF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276" w:type="dxa"/>
          </w:tcPr>
          <w:p w14:paraId="045EA716" w14:textId="75E0049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Paediatric</w:t>
            </w:r>
          </w:p>
        </w:tc>
        <w:tc>
          <w:tcPr>
            <w:tcW w:w="1843" w:type="dxa"/>
          </w:tcPr>
          <w:p w14:paraId="3E3CB017" w14:textId="4415C56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provide outcome data for open cranial vault reshaping at a single institution by a single craniofacial surgeon treating 100 patients. </w:t>
            </w:r>
          </w:p>
        </w:tc>
        <w:tc>
          <w:tcPr>
            <w:tcW w:w="1134" w:type="dxa"/>
          </w:tcPr>
          <w:p w14:paraId="393C2591" w14:textId="47EB3FF5" w:rsidR="006E5533" w:rsidRPr="00251EA9" w:rsidRDefault="006E5533" w:rsidP="006E5533">
            <w:pPr>
              <w:spacing w:line="360" w:lineRule="auto"/>
              <w:contextualSpacing/>
              <w:rPr>
                <w:rFonts w:ascii="Arial" w:hAnsi="Arial" w:cs="Arial"/>
                <w:sz w:val="15"/>
                <w:szCs w:val="15"/>
              </w:rPr>
            </w:pPr>
          </w:p>
        </w:tc>
        <w:tc>
          <w:tcPr>
            <w:tcW w:w="992" w:type="dxa"/>
          </w:tcPr>
          <w:p w14:paraId="537A02E4" w14:textId="29DB863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0ACDCF28" w14:textId="0CAC812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1490DB58" w14:textId="14C95C14" w:rsidR="006E5533" w:rsidRPr="00251EA9" w:rsidRDefault="006E5533" w:rsidP="006E5533">
            <w:pPr>
              <w:rPr>
                <w:rFonts w:ascii="Arial" w:hAnsi="Arial" w:cs="Arial"/>
                <w:sz w:val="15"/>
                <w:szCs w:val="15"/>
              </w:rPr>
            </w:pPr>
            <w:r w:rsidRPr="00251EA9">
              <w:rPr>
                <w:rFonts w:ascii="Arial" w:hAnsi="Arial" w:cs="Arial"/>
                <w:sz w:val="15"/>
                <w:szCs w:val="15"/>
              </w:rPr>
              <w:t xml:space="preserve">2 wound infections and 1 </w:t>
            </w:r>
            <w:proofErr w:type="spellStart"/>
            <w:r w:rsidRPr="00251EA9">
              <w:rPr>
                <w:rFonts w:ascii="Arial" w:hAnsi="Arial" w:cs="Arial"/>
                <w:sz w:val="15"/>
                <w:szCs w:val="15"/>
              </w:rPr>
              <w:t>subgaleal</w:t>
            </w:r>
            <w:proofErr w:type="spellEnd"/>
            <w:r w:rsidRPr="00251EA9">
              <w:rPr>
                <w:rFonts w:ascii="Arial" w:hAnsi="Arial" w:cs="Arial"/>
                <w:sz w:val="15"/>
                <w:szCs w:val="15"/>
              </w:rPr>
              <w:t xml:space="preserve"> abscess requiring drainage (out of 100 patients) reported.</w:t>
            </w:r>
          </w:p>
        </w:tc>
        <w:tc>
          <w:tcPr>
            <w:tcW w:w="1701" w:type="dxa"/>
          </w:tcPr>
          <w:p w14:paraId="143B8016" w14:textId="6772E0F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7446E8A" w14:textId="77777777" w:rsidTr="00A77951">
        <w:trPr>
          <w:trHeight w:val="586"/>
        </w:trPr>
        <w:tc>
          <w:tcPr>
            <w:tcW w:w="992" w:type="dxa"/>
          </w:tcPr>
          <w:p w14:paraId="719583F4" w14:textId="04339E25"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Zanaty</w:t>
            </w:r>
            <w:proofErr w:type="spellEnd"/>
            <w:r w:rsidRPr="00251EA9">
              <w:rPr>
                <w:rFonts w:ascii="Arial" w:hAnsi="Arial" w:cs="Arial"/>
                <w:sz w:val="15"/>
                <w:szCs w:val="15"/>
              </w:rPr>
              <w:t xml:space="preserve"> M. et al., 2015</w:t>
            </w:r>
          </w:p>
        </w:tc>
        <w:tc>
          <w:tcPr>
            <w:tcW w:w="851" w:type="dxa"/>
          </w:tcPr>
          <w:p w14:paraId="1574BB09" w14:textId="635373D9" w:rsidR="006E5533" w:rsidRPr="00A77951" w:rsidRDefault="006E5533" w:rsidP="006E5533">
            <w:pPr>
              <w:spacing w:line="360" w:lineRule="auto"/>
              <w:contextualSpacing/>
              <w:rPr>
                <w:rFonts w:ascii="Arial" w:hAnsi="Arial" w:cs="Arial"/>
                <w:sz w:val="15"/>
                <w:szCs w:val="15"/>
              </w:rPr>
            </w:pPr>
            <w:hyperlink r:id="rId345" w:tgtFrame="_blank" w:history="1">
              <w:r w:rsidRPr="00A77951">
                <w:rPr>
                  <w:rStyle w:val="Hyperlink"/>
                  <w:rFonts w:ascii="Arial" w:hAnsi="Arial" w:cs="Arial"/>
                  <w:sz w:val="15"/>
                  <w:szCs w:val="15"/>
                </w:rPr>
                <w:t>10.3171/2014.</w:t>
              </w:r>
              <w:proofErr w:type="gramStart"/>
              <w:r w:rsidRPr="00A77951">
                <w:rPr>
                  <w:rStyle w:val="Hyperlink"/>
                  <w:rFonts w:ascii="Arial" w:hAnsi="Arial" w:cs="Arial"/>
                  <w:sz w:val="15"/>
                  <w:szCs w:val="15"/>
                </w:rPr>
                <w:t>9.JNS</w:t>
              </w:r>
              <w:proofErr w:type="gramEnd"/>
              <w:r w:rsidRPr="00A77951">
                <w:rPr>
                  <w:rStyle w:val="Hyperlink"/>
                  <w:rFonts w:ascii="Arial" w:hAnsi="Arial" w:cs="Arial"/>
                  <w:sz w:val="15"/>
                  <w:szCs w:val="15"/>
                </w:rPr>
                <w:t>14405</w:t>
              </w:r>
            </w:hyperlink>
          </w:p>
        </w:tc>
        <w:tc>
          <w:tcPr>
            <w:tcW w:w="851" w:type="dxa"/>
          </w:tcPr>
          <w:p w14:paraId="0FF42274" w14:textId="1921E0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3DA6487" w14:textId="771C636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0C4F6537" w14:textId="5D3D95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5CEA9E1C" w14:textId="16DCB6A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Trauma</w:t>
            </w:r>
          </w:p>
        </w:tc>
        <w:tc>
          <w:tcPr>
            <w:tcW w:w="1843" w:type="dxa"/>
          </w:tcPr>
          <w:p w14:paraId="2FC07BAE" w14:textId="4DADA39F"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evaluate risk factors that predispose patients to an increased risk of cranioplasty complications and death.</w:t>
            </w:r>
          </w:p>
        </w:tc>
        <w:tc>
          <w:tcPr>
            <w:tcW w:w="1134" w:type="dxa"/>
          </w:tcPr>
          <w:p w14:paraId="06557E15" w14:textId="52723F8B" w:rsidR="006E5533" w:rsidRPr="00251EA9" w:rsidRDefault="006E5533" w:rsidP="006E5533">
            <w:pPr>
              <w:spacing w:line="360" w:lineRule="auto"/>
              <w:contextualSpacing/>
              <w:rPr>
                <w:rFonts w:ascii="Arial" w:hAnsi="Arial" w:cs="Arial"/>
                <w:sz w:val="15"/>
                <w:szCs w:val="15"/>
              </w:rPr>
            </w:pPr>
          </w:p>
        </w:tc>
        <w:tc>
          <w:tcPr>
            <w:tcW w:w="992" w:type="dxa"/>
          </w:tcPr>
          <w:p w14:paraId="18D2A421" w14:textId="359CD07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63EF37D0" w14:textId="64F4410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6B3D1EBF" w14:textId="743B3DEE" w:rsidR="006E5533" w:rsidRPr="00251EA9" w:rsidRDefault="006E5533" w:rsidP="006E5533">
            <w:pPr>
              <w:rPr>
                <w:rFonts w:ascii="Arial" w:hAnsi="Arial" w:cs="Arial"/>
                <w:sz w:val="15"/>
                <w:szCs w:val="15"/>
              </w:rPr>
            </w:pPr>
            <w:r w:rsidRPr="00251EA9">
              <w:rPr>
                <w:rFonts w:ascii="Arial" w:hAnsi="Arial" w:cs="Arial"/>
                <w:sz w:val="15"/>
                <w:szCs w:val="15"/>
              </w:rPr>
              <w:t>Increasing age, diabetes mellitus, haemorrhagic stroke, post-cranioplasty hydrocephalus and reoperation for hematoma evacuation were predictive of infection.</w:t>
            </w:r>
          </w:p>
        </w:tc>
        <w:tc>
          <w:tcPr>
            <w:tcW w:w="1701" w:type="dxa"/>
          </w:tcPr>
          <w:p w14:paraId="22D16CB7" w14:textId="3499699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F2EF85D" w14:textId="77777777" w:rsidTr="00A77951">
        <w:trPr>
          <w:trHeight w:val="586"/>
        </w:trPr>
        <w:tc>
          <w:tcPr>
            <w:tcW w:w="992" w:type="dxa"/>
          </w:tcPr>
          <w:p w14:paraId="578443AC" w14:textId="6E3A93AC"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Zeng L. et al., 2015</w:t>
            </w:r>
          </w:p>
        </w:tc>
        <w:tc>
          <w:tcPr>
            <w:tcW w:w="851" w:type="dxa"/>
          </w:tcPr>
          <w:p w14:paraId="12E3C77D" w14:textId="13904179" w:rsidR="006E5533" w:rsidRPr="00A77951" w:rsidRDefault="006E5533" w:rsidP="006E5533">
            <w:pPr>
              <w:spacing w:line="360" w:lineRule="auto"/>
              <w:contextualSpacing/>
              <w:rPr>
                <w:rFonts w:ascii="Arial" w:hAnsi="Arial" w:cs="Arial"/>
                <w:sz w:val="15"/>
                <w:szCs w:val="15"/>
              </w:rPr>
            </w:pPr>
            <w:hyperlink r:id="rId346" w:tgtFrame="_blank" w:history="1">
              <w:r w:rsidRPr="00A77951">
                <w:rPr>
                  <w:rStyle w:val="Hyperlink"/>
                  <w:rFonts w:ascii="Arial" w:hAnsi="Arial" w:cs="Arial"/>
                  <w:sz w:val="15"/>
                  <w:szCs w:val="15"/>
                </w:rPr>
                <w:t>10.1007/s10143-</w:t>
              </w:r>
              <w:r w:rsidRPr="00A77951">
                <w:rPr>
                  <w:rStyle w:val="Hyperlink"/>
                  <w:rFonts w:ascii="Arial" w:hAnsi="Arial" w:cs="Arial"/>
                  <w:sz w:val="15"/>
                  <w:szCs w:val="15"/>
                </w:rPr>
                <w:lastRenderedPageBreak/>
                <w:t>015-0619-1</w:t>
              </w:r>
            </w:hyperlink>
          </w:p>
        </w:tc>
        <w:tc>
          <w:tcPr>
            <w:tcW w:w="851" w:type="dxa"/>
          </w:tcPr>
          <w:p w14:paraId="0824EF3C" w14:textId="111F19A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China</w:t>
            </w:r>
          </w:p>
        </w:tc>
        <w:tc>
          <w:tcPr>
            <w:tcW w:w="1134" w:type="dxa"/>
          </w:tcPr>
          <w:p w14:paraId="0BFA8ACB" w14:textId="7D25D90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25AB57DA" w14:textId="79A867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39561253" w14:textId="4C3452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3609C29C" w14:textId="09C825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summarise the characteristics of the </w:t>
            </w:r>
            <w:r w:rsidRPr="00251EA9">
              <w:rPr>
                <w:rFonts w:ascii="Arial" w:hAnsi="Arial" w:cs="Arial"/>
                <w:sz w:val="15"/>
                <w:szCs w:val="15"/>
              </w:rPr>
              <w:lastRenderedPageBreak/>
              <w:t>patients with asymptomatic meningiomas, evaluate the effects of the surgery, and identify factors associated with postsurgical complications and patient prognosis to improve the selection of asymptomatic patients for surgery.</w:t>
            </w:r>
          </w:p>
        </w:tc>
        <w:tc>
          <w:tcPr>
            <w:tcW w:w="1134" w:type="dxa"/>
          </w:tcPr>
          <w:p w14:paraId="2F7BA6F3" w14:textId="1BB50759" w:rsidR="006E5533" w:rsidRPr="00251EA9" w:rsidRDefault="006E5533" w:rsidP="006E5533">
            <w:pPr>
              <w:spacing w:line="360" w:lineRule="auto"/>
              <w:contextualSpacing/>
              <w:rPr>
                <w:rFonts w:ascii="Arial" w:hAnsi="Arial" w:cs="Arial"/>
                <w:sz w:val="15"/>
                <w:szCs w:val="15"/>
              </w:rPr>
            </w:pPr>
          </w:p>
        </w:tc>
        <w:tc>
          <w:tcPr>
            <w:tcW w:w="992" w:type="dxa"/>
          </w:tcPr>
          <w:p w14:paraId="35C08EAC" w14:textId="0ED5545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372E2085" w14:textId="188716F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FA26574" w14:textId="2B56070A" w:rsidR="006E5533" w:rsidRPr="00251EA9" w:rsidRDefault="006E5533" w:rsidP="006E5533">
            <w:pPr>
              <w:rPr>
                <w:rFonts w:ascii="Arial" w:hAnsi="Arial" w:cs="Arial"/>
                <w:sz w:val="15"/>
                <w:szCs w:val="15"/>
              </w:rPr>
            </w:pPr>
            <w:r w:rsidRPr="00251EA9">
              <w:rPr>
                <w:rFonts w:ascii="Arial" w:hAnsi="Arial" w:cs="Arial"/>
                <w:sz w:val="15"/>
                <w:szCs w:val="15"/>
              </w:rPr>
              <w:t>1 wound infection reported.</w:t>
            </w:r>
          </w:p>
        </w:tc>
        <w:tc>
          <w:tcPr>
            <w:tcW w:w="1701" w:type="dxa"/>
          </w:tcPr>
          <w:p w14:paraId="141B1CDD" w14:textId="5213F5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3F21FAA8" w14:textId="77777777" w:rsidTr="00A77951">
        <w:trPr>
          <w:trHeight w:val="586"/>
        </w:trPr>
        <w:tc>
          <w:tcPr>
            <w:tcW w:w="992" w:type="dxa"/>
          </w:tcPr>
          <w:p w14:paraId="22F120AE" w14:textId="2FEC38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Zhang L. et al., 2021</w:t>
            </w:r>
          </w:p>
        </w:tc>
        <w:tc>
          <w:tcPr>
            <w:tcW w:w="851" w:type="dxa"/>
          </w:tcPr>
          <w:p w14:paraId="1B02E4DC" w14:textId="202C792E" w:rsidR="006E5533" w:rsidRPr="00A77951" w:rsidRDefault="006E5533" w:rsidP="006E5533">
            <w:pPr>
              <w:spacing w:line="360" w:lineRule="auto"/>
              <w:contextualSpacing/>
              <w:rPr>
                <w:rFonts w:ascii="Arial" w:hAnsi="Arial" w:cs="Arial"/>
                <w:sz w:val="15"/>
                <w:szCs w:val="15"/>
              </w:rPr>
            </w:pPr>
            <w:hyperlink r:id="rId347" w:tgtFrame="_blank" w:history="1">
              <w:r w:rsidRPr="00A77951">
                <w:rPr>
                  <w:rStyle w:val="Hyperlink"/>
                  <w:rFonts w:ascii="Arial" w:hAnsi="Arial" w:cs="Arial"/>
                  <w:sz w:val="15"/>
                  <w:szCs w:val="15"/>
                </w:rPr>
                <w:t>10.1097/MAO.0000000000003215</w:t>
              </w:r>
            </w:hyperlink>
          </w:p>
        </w:tc>
        <w:tc>
          <w:tcPr>
            <w:tcW w:w="851" w:type="dxa"/>
          </w:tcPr>
          <w:p w14:paraId="177F7B4C" w14:textId="01D654A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10A9C78D" w14:textId="0EBCE3D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C591924" w14:textId="1D40CDB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1266303" w14:textId="2383CBD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18B16606" w14:textId="417D863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rates of cerebrospinal fluid (CSF) rhinorrhoea after reconstruction of the internal auditory canal with calcium phosphate bone cement during </w:t>
            </w:r>
            <w:proofErr w:type="spellStart"/>
            <w:r w:rsidRPr="00251EA9">
              <w:rPr>
                <w:rFonts w:ascii="Arial" w:hAnsi="Arial" w:cs="Arial"/>
                <w:sz w:val="15"/>
                <w:szCs w:val="15"/>
              </w:rPr>
              <w:t>retrosigmoid</w:t>
            </w:r>
            <w:proofErr w:type="spellEnd"/>
            <w:r w:rsidRPr="00251EA9">
              <w:rPr>
                <w:rFonts w:ascii="Arial" w:hAnsi="Arial" w:cs="Arial"/>
                <w:sz w:val="15"/>
                <w:szCs w:val="15"/>
              </w:rPr>
              <w:t xml:space="preserve"> resections of vestibular schwannomas.</w:t>
            </w:r>
          </w:p>
        </w:tc>
        <w:tc>
          <w:tcPr>
            <w:tcW w:w="1134" w:type="dxa"/>
          </w:tcPr>
          <w:p w14:paraId="68A3B84A" w14:textId="06E17385" w:rsidR="006E5533" w:rsidRPr="00251EA9" w:rsidRDefault="006E5533" w:rsidP="006E5533">
            <w:pPr>
              <w:spacing w:line="360" w:lineRule="auto"/>
              <w:contextualSpacing/>
              <w:rPr>
                <w:rFonts w:ascii="Arial" w:hAnsi="Arial" w:cs="Arial"/>
                <w:sz w:val="15"/>
                <w:szCs w:val="15"/>
              </w:rPr>
            </w:pPr>
          </w:p>
        </w:tc>
        <w:tc>
          <w:tcPr>
            <w:tcW w:w="992" w:type="dxa"/>
          </w:tcPr>
          <w:p w14:paraId="6BE1CCFE" w14:textId="1B92447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0820B82" w14:textId="076D834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8004EF9" w14:textId="2A4A0CC4" w:rsidR="006E5533" w:rsidRPr="00251EA9" w:rsidRDefault="006E5533" w:rsidP="006E5533">
            <w:pPr>
              <w:rPr>
                <w:rFonts w:ascii="Arial" w:hAnsi="Arial" w:cs="Arial"/>
                <w:sz w:val="15"/>
                <w:szCs w:val="15"/>
              </w:rPr>
            </w:pPr>
            <w:r w:rsidRPr="00251EA9">
              <w:rPr>
                <w:rFonts w:ascii="Arial" w:hAnsi="Arial" w:cs="Arial"/>
                <w:sz w:val="15"/>
                <w:szCs w:val="15"/>
              </w:rPr>
              <w:t>3 patients were reported to have developed SSI.</w:t>
            </w:r>
          </w:p>
        </w:tc>
        <w:tc>
          <w:tcPr>
            <w:tcW w:w="1701" w:type="dxa"/>
          </w:tcPr>
          <w:p w14:paraId="2EE26AA5" w14:textId="0D0F04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E35D235" w14:textId="77777777" w:rsidTr="00A77951">
        <w:trPr>
          <w:trHeight w:val="586"/>
        </w:trPr>
        <w:tc>
          <w:tcPr>
            <w:tcW w:w="992" w:type="dxa"/>
          </w:tcPr>
          <w:p w14:paraId="4D5B62B2" w14:textId="103E4D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Zhang Y. et al., 2011</w:t>
            </w:r>
          </w:p>
        </w:tc>
        <w:tc>
          <w:tcPr>
            <w:tcW w:w="851" w:type="dxa"/>
          </w:tcPr>
          <w:p w14:paraId="36C7F10E" w14:textId="6531925B" w:rsidR="006E5533" w:rsidRPr="00A77951" w:rsidRDefault="006E5533" w:rsidP="006E5533">
            <w:pPr>
              <w:spacing w:line="360" w:lineRule="auto"/>
              <w:contextualSpacing/>
              <w:rPr>
                <w:rFonts w:ascii="Arial" w:hAnsi="Arial" w:cs="Arial"/>
                <w:sz w:val="15"/>
                <w:szCs w:val="15"/>
              </w:rPr>
            </w:pPr>
            <w:hyperlink r:id="rId348" w:tgtFrame="_blank" w:history="1">
              <w:r w:rsidRPr="00A77951">
                <w:rPr>
                  <w:rStyle w:val="Hyperlink"/>
                  <w:rFonts w:ascii="Arial" w:hAnsi="Arial" w:cs="Arial"/>
                  <w:sz w:val="15"/>
                  <w:szCs w:val="15"/>
                </w:rPr>
                <w:t>10.1016/j.jocn.2011.01.026</w:t>
              </w:r>
            </w:hyperlink>
          </w:p>
        </w:tc>
        <w:tc>
          <w:tcPr>
            <w:tcW w:w="851" w:type="dxa"/>
          </w:tcPr>
          <w:p w14:paraId="45E63256" w14:textId="5927D8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2B25E7C2" w14:textId="05C7ADD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6838C122" w14:textId="08807C4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4563660" w14:textId="1BE2AA5C"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t>Skullbase</w:t>
            </w:r>
            <w:proofErr w:type="spellEnd"/>
          </w:p>
        </w:tc>
        <w:tc>
          <w:tcPr>
            <w:tcW w:w="1843" w:type="dxa"/>
          </w:tcPr>
          <w:p w14:paraId="5A70F8D5" w14:textId="78A3A1B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assess the short-term and long-term efficacies of the two modes of posterior fossa decompression.</w:t>
            </w:r>
          </w:p>
        </w:tc>
        <w:tc>
          <w:tcPr>
            <w:tcW w:w="1134" w:type="dxa"/>
          </w:tcPr>
          <w:p w14:paraId="3B06FC2A"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604A99B" w14:textId="08386D8B"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4BEB6AB0" w14:textId="631380E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168B170" w14:textId="27D5CC72" w:rsidR="006E5533" w:rsidRPr="00251EA9" w:rsidRDefault="006E5533" w:rsidP="006E5533">
            <w:pPr>
              <w:rPr>
                <w:rFonts w:ascii="Arial" w:hAnsi="Arial" w:cs="Arial"/>
                <w:sz w:val="15"/>
                <w:szCs w:val="15"/>
              </w:rPr>
            </w:pPr>
            <w:r w:rsidRPr="00251EA9">
              <w:rPr>
                <w:rFonts w:ascii="Arial" w:hAnsi="Arial" w:cs="Arial"/>
                <w:sz w:val="15"/>
                <w:szCs w:val="15"/>
              </w:rPr>
              <w:t>Reported 1 wound infection in the large craniotomy group, and none in small craniotomy group.</w:t>
            </w:r>
          </w:p>
        </w:tc>
        <w:tc>
          <w:tcPr>
            <w:tcW w:w="1701" w:type="dxa"/>
          </w:tcPr>
          <w:p w14:paraId="486BE4D0" w14:textId="388D926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4768EFD0" w14:textId="77777777" w:rsidTr="00A77951">
        <w:trPr>
          <w:trHeight w:val="586"/>
        </w:trPr>
        <w:tc>
          <w:tcPr>
            <w:tcW w:w="992" w:type="dxa"/>
          </w:tcPr>
          <w:p w14:paraId="1F53C859" w14:textId="29AAB2E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Zhao H. et al., 2017</w:t>
            </w:r>
          </w:p>
        </w:tc>
        <w:tc>
          <w:tcPr>
            <w:tcW w:w="851" w:type="dxa"/>
          </w:tcPr>
          <w:p w14:paraId="135A1C77" w14:textId="39C89330" w:rsidR="006E5533" w:rsidRPr="00A77951" w:rsidRDefault="006E5533" w:rsidP="006E5533">
            <w:pPr>
              <w:spacing w:line="360" w:lineRule="auto"/>
              <w:contextualSpacing/>
              <w:rPr>
                <w:rFonts w:ascii="Arial" w:hAnsi="Arial" w:cs="Arial"/>
                <w:sz w:val="15"/>
                <w:szCs w:val="15"/>
              </w:rPr>
            </w:pPr>
            <w:hyperlink r:id="rId349" w:tgtFrame="_blank" w:history="1">
              <w:r w:rsidRPr="00A77951">
                <w:rPr>
                  <w:rStyle w:val="Hyperlink"/>
                  <w:rFonts w:ascii="Arial" w:hAnsi="Arial" w:cs="Arial"/>
                  <w:sz w:val="15"/>
                  <w:szCs w:val="15"/>
                </w:rPr>
                <w:t>10.1016/j.wneu.2017.08.028</w:t>
              </w:r>
            </w:hyperlink>
          </w:p>
        </w:tc>
        <w:tc>
          <w:tcPr>
            <w:tcW w:w="851" w:type="dxa"/>
          </w:tcPr>
          <w:p w14:paraId="6C39CE34" w14:textId="2056356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00A892DC" w14:textId="1BCCBF2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5E16C009" w14:textId="55598B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9D2095D" w14:textId="4F30DC3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Vascular</w:t>
            </w:r>
          </w:p>
        </w:tc>
        <w:tc>
          <w:tcPr>
            <w:tcW w:w="1843" w:type="dxa"/>
          </w:tcPr>
          <w:p w14:paraId="79BE0FE5" w14:textId="62930C9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analyse the microvascular decompression related complications and the number of</w:t>
            </w:r>
            <w:r w:rsidRPr="00251EA9">
              <w:rPr>
                <w:rFonts w:ascii="Arial" w:hAnsi="Arial" w:cs="Arial"/>
                <w:sz w:val="15"/>
                <w:szCs w:val="15"/>
              </w:rPr>
              <w:br/>
              <w:t>occurrences of each complication.</w:t>
            </w:r>
          </w:p>
        </w:tc>
        <w:tc>
          <w:tcPr>
            <w:tcW w:w="1134" w:type="dxa"/>
          </w:tcPr>
          <w:p w14:paraId="0B74BF9A" w14:textId="150DBF9B" w:rsidR="006E5533" w:rsidRPr="00251EA9" w:rsidRDefault="006E5533" w:rsidP="006E5533">
            <w:pPr>
              <w:spacing w:line="360" w:lineRule="auto"/>
              <w:contextualSpacing/>
              <w:rPr>
                <w:rFonts w:ascii="Arial" w:hAnsi="Arial" w:cs="Arial"/>
                <w:sz w:val="15"/>
                <w:szCs w:val="15"/>
              </w:rPr>
            </w:pPr>
          </w:p>
        </w:tc>
        <w:tc>
          <w:tcPr>
            <w:tcW w:w="992" w:type="dxa"/>
          </w:tcPr>
          <w:p w14:paraId="18E730B8" w14:textId="288D8D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844B80A" w14:textId="62D286E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F55567C" w14:textId="69CE91BC" w:rsidR="006E5533" w:rsidRPr="00251EA9" w:rsidRDefault="006E5533" w:rsidP="006E5533">
            <w:pPr>
              <w:rPr>
                <w:rFonts w:ascii="Arial" w:hAnsi="Arial" w:cs="Arial"/>
                <w:sz w:val="15"/>
                <w:szCs w:val="15"/>
              </w:rPr>
            </w:pPr>
            <w:r w:rsidRPr="00251EA9">
              <w:rPr>
                <w:rFonts w:ascii="Arial" w:hAnsi="Arial" w:cs="Arial"/>
                <w:sz w:val="15"/>
                <w:szCs w:val="15"/>
              </w:rPr>
              <w:t xml:space="preserve">There were 24 (out of 1548) cases of CSF leakage, 13 cases of wound problem, 4 cases of infection and 1 cases of </w:t>
            </w:r>
            <w:proofErr w:type="spellStart"/>
            <w:r w:rsidRPr="00251EA9">
              <w:rPr>
                <w:rFonts w:ascii="Arial" w:hAnsi="Arial" w:cs="Arial"/>
                <w:sz w:val="15"/>
                <w:szCs w:val="15"/>
              </w:rPr>
              <w:t>hemorrhage</w:t>
            </w:r>
            <w:proofErr w:type="spellEnd"/>
            <w:r w:rsidRPr="00251EA9">
              <w:rPr>
                <w:rFonts w:ascii="Arial" w:hAnsi="Arial" w:cs="Arial"/>
                <w:sz w:val="15"/>
                <w:szCs w:val="15"/>
              </w:rPr>
              <w:t xml:space="preserve">. 8 cases (0.52%) had wound infections. </w:t>
            </w:r>
          </w:p>
        </w:tc>
        <w:tc>
          <w:tcPr>
            <w:tcW w:w="1701" w:type="dxa"/>
          </w:tcPr>
          <w:p w14:paraId="07E3C0D2" w14:textId="589A98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2AF12FD6" w14:textId="77777777" w:rsidTr="00A77951">
        <w:trPr>
          <w:trHeight w:val="586"/>
        </w:trPr>
        <w:tc>
          <w:tcPr>
            <w:tcW w:w="992" w:type="dxa"/>
          </w:tcPr>
          <w:p w14:paraId="01E1BEF4" w14:textId="6DCA1C8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lastRenderedPageBreak/>
              <w:t>Zheng W.-J. et al., 2018</w:t>
            </w:r>
          </w:p>
        </w:tc>
        <w:tc>
          <w:tcPr>
            <w:tcW w:w="851" w:type="dxa"/>
          </w:tcPr>
          <w:p w14:paraId="1D846B45" w14:textId="5EC36204" w:rsidR="006E5533" w:rsidRPr="00A77951" w:rsidRDefault="006E5533" w:rsidP="006E5533">
            <w:pPr>
              <w:spacing w:line="360" w:lineRule="auto"/>
              <w:contextualSpacing/>
              <w:rPr>
                <w:rFonts w:ascii="Arial" w:hAnsi="Arial" w:cs="Arial"/>
                <w:sz w:val="15"/>
                <w:szCs w:val="15"/>
              </w:rPr>
            </w:pPr>
            <w:hyperlink r:id="rId350" w:tgtFrame="_blank" w:history="1">
              <w:r w:rsidRPr="00A77951">
                <w:rPr>
                  <w:rStyle w:val="Hyperlink"/>
                  <w:rFonts w:ascii="Arial" w:hAnsi="Arial" w:cs="Arial"/>
                  <w:sz w:val="15"/>
                  <w:szCs w:val="15"/>
                </w:rPr>
                <w:t>10.1016/j.wneu.2018.08.172</w:t>
              </w:r>
            </w:hyperlink>
          </w:p>
        </w:tc>
        <w:tc>
          <w:tcPr>
            <w:tcW w:w="851" w:type="dxa"/>
          </w:tcPr>
          <w:p w14:paraId="4C673C54" w14:textId="0BAB96A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2F824A5F" w14:textId="455A909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46BDF8D" w14:textId="53F4A89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296BF12D" w14:textId="299DF5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(Craniotomy)</w:t>
            </w:r>
          </w:p>
        </w:tc>
        <w:tc>
          <w:tcPr>
            <w:tcW w:w="1843" w:type="dxa"/>
          </w:tcPr>
          <w:p w14:paraId="2D1013BB" w14:textId="0BD945E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identify perioperative risk factors for SSI in cranioplasty.</w:t>
            </w:r>
          </w:p>
        </w:tc>
        <w:tc>
          <w:tcPr>
            <w:tcW w:w="1134" w:type="dxa"/>
          </w:tcPr>
          <w:p w14:paraId="5CD1B23E" w14:textId="4B7C6CCF" w:rsidR="006E5533" w:rsidRPr="00251EA9" w:rsidRDefault="006E5533" w:rsidP="006E5533">
            <w:pPr>
              <w:spacing w:line="360" w:lineRule="auto"/>
              <w:contextualSpacing/>
              <w:rPr>
                <w:rFonts w:ascii="Arial" w:hAnsi="Arial" w:cs="Arial"/>
                <w:sz w:val="15"/>
                <w:szCs w:val="15"/>
              </w:rPr>
            </w:pPr>
          </w:p>
        </w:tc>
        <w:tc>
          <w:tcPr>
            <w:tcW w:w="992" w:type="dxa"/>
          </w:tcPr>
          <w:p w14:paraId="73AFCF09" w14:textId="0923A3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282C1058" w14:textId="777777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Fever, swelling, pain, and erythematous wound with purulent discharge; Positive bacterial culture of wound discharge.</w:t>
            </w:r>
          </w:p>
          <w:p w14:paraId="3AA6764B" w14:textId="37C9324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Infections involving beyond the skin and </w:t>
            </w:r>
            <w:r w:rsidR="006F1DC9" w:rsidRPr="00251EA9">
              <w:rPr>
                <w:rFonts w:ascii="Arial" w:hAnsi="Arial" w:cs="Arial"/>
                <w:sz w:val="15"/>
                <w:szCs w:val="15"/>
              </w:rPr>
              <w:t>subcutaneous</w:t>
            </w:r>
            <w:r w:rsidRPr="00251EA9">
              <w:rPr>
                <w:rFonts w:ascii="Arial" w:hAnsi="Arial" w:cs="Arial"/>
                <w:sz w:val="15"/>
                <w:szCs w:val="15"/>
              </w:rPr>
              <w:t xml:space="preserve"> tissue were defined as deep or central nervous system infection.</w:t>
            </w:r>
          </w:p>
        </w:tc>
        <w:tc>
          <w:tcPr>
            <w:tcW w:w="2693" w:type="dxa"/>
          </w:tcPr>
          <w:p w14:paraId="1F14F5FD" w14:textId="3C41040C" w:rsidR="006E5533" w:rsidRPr="00251EA9" w:rsidRDefault="006E5533" w:rsidP="006E5533">
            <w:pPr>
              <w:rPr>
                <w:rFonts w:ascii="Arial" w:hAnsi="Arial" w:cs="Arial"/>
                <w:sz w:val="15"/>
                <w:szCs w:val="15"/>
              </w:rPr>
            </w:pPr>
            <w:r w:rsidRPr="00251EA9">
              <w:rPr>
                <w:rFonts w:ascii="Arial" w:hAnsi="Arial" w:cs="Arial"/>
                <w:sz w:val="15"/>
                <w:szCs w:val="15"/>
              </w:rPr>
              <w:t>The overall superficial SSI rate was 10.3% (16 of 155 patients). Wound discharge of 4 patients was cultured, and 2 cultures were positive.</w:t>
            </w:r>
          </w:p>
        </w:tc>
        <w:tc>
          <w:tcPr>
            <w:tcW w:w="1701" w:type="dxa"/>
          </w:tcPr>
          <w:p w14:paraId="022D9D1E" w14:textId="67D6FF0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67C072E5" w14:textId="77777777" w:rsidTr="00A77951">
        <w:trPr>
          <w:trHeight w:val="586"/>
        </w:trPr>
        <w:tc>
          <w:tcPr>
            <w:tcW w:w="992" w:type="dxa"/>
          </w:tcPr>
          <w:p w14:paraId="7DC29AF6" w14:textId="3748DF6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Zhong C. et al., 2023</w:t>
            </w:r>
          </w:p>
        </w:tc>
        <w:tc>
          <w:tcPr>
            <w:tcW w:w="851" w:type="dxa"/>
          </w:tcPr>
          <w:p w14:paraId="22C5643E" w14:textId="08941B88" w:rsidR="006E5533" w:rsidRPr="00A77951" w:rsidRDefault="006E5533" w:rsidP="006E5533">
            <w:pPr>
              <w:spacing w:line="360" w:lineRule="auto"/>
              <w:contextualSpacing/>
              <w:rPr>
                <w:rFonts w:ascii="Arial" w:hAnsi="Arial" w:cs="Arial"/>
                <w:sz w:val="15"/>
                <w:szCs w:val="15"/>
              </w:rPr>
            </w:pPr>
            <w:hyperlink r:id="rId351" w:tgtFrame="_blank" w:history="1">
              <w:r w:rsidRPr="00A77951">
                <w:rPr>
                  <w:rStyle w:val="Hyperlink"/>
                  <w:rFonts w:ascii="Arial" w:hAnsi="Arial" w:cs="Arial"/>
                  <w:sz w:val="15"/>
                  <w:szCs w:val="15"/>
                </w:rPr>
                <w:t>10.12669/pjms.39.6.7963</w:t>
              </w:r>
            </w:hyperlink>
          </w:p>
        </w:tc>
        <w:tc>
          <w:tcPr>
            <w:tcW w:w="851" w:type="dxa"/>
          </w:tcPr>
          <w:p w14:paraId="2DBFD81D" w14:textId="7331D4F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33D2970B" w14:textId="739938B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30F957EA" w14:textId="2E16DA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68AE7A75" w14:textId="659F9F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General (All neurosurgical cases)</w:t>
            </w:r>
          </w:p>
        </w:tc>
        <w:tc>
          <w:tcPr>
            <w:tcW w:w="1843" w:type="dxa"/>
          </w:tcPr>
          <w:p w14:paraId="089CBB2A" w14:textId="001AB24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explore the independent risk factors of poor wound healing after craniocerebral surgery, and to generate a risk prediction model.</w:t>
            </w:r>
          </w:p>
        </w:tc>
        <w:tc>
          <w:tcPr>
            <w:tcW w:w="1134" w:type="dxa"/>
          </w:tcPr>
          <w:p w14:paraId="7FC4F9DE" w14:textId="1B36D265" w:rsidR="006E5533" w:rsidRPr="00251EA9" w:rsidRDefault="006E5533" w:rsidP="006E5533">
            <w:pPr>
              <w:spacing w:line="360" w:lineRule="auto"/>
              <w:contextualSpacing/>
              <w:rPr>
                <w:rFonts w:ascii="Arial" w:hAnsi="Arial" w:cs="Arial"/>
                <w:sz w:val="15"/>
                <w:szCs w:val="15"/>
              </w:rPr>
            </w:pPr>
          </w:p>
        </w:tc>
        <w:tc>
          <w:tcPr>
            <w:tcW w:w="992" w:type="dxa"/>
          </w:tcPr>
          <w:p w14:paraId="42B2C205" w14:textId="1F53004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5ECA03C5" w14:textId="4D698CE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06FF8120" w14:textId="31D6ADEC" w:rsidR="006E5533" w:rsidRPr="00251EA9" w:rsidRDefault="006E5533" w:rsidP="006E5533">
            <w:pPr>
              <w:rPr>
                <w:rFonts w:ascii="Arial" w:hAnsi="Arial" w:cs="Arial"/>
                <w:sz w:val="15"/>
                <w:szCs w:val="15"/>
              </w:rPr>
            </w:pPr>
            <w:r w:rsidRPr="00251EA9">
              <w:rPr>
                <w:rFonts w:ascii="Arial" w:hAnsi="Arial" w:cs="Arial"/>
                <w:sz w:val="15"/>
                <w:szCs w:val="15"/>
              </w:rPr>
              <w:t xml:space="preserve">The duration of operation, SSI, diabetes mellitus, and the time of intubation were significantly different between the two groups. </w:t>
            </w:r>
          </w:p>
        </w:tc>
        <w:tc>
          <w:tcPr>
            <w:tcW w:w="1701" w:type="dxa"/>
          </w:tcPr>
          <w:p w14:paraId="130952F6" w14:textId="546E3C3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50D7C837" w14:textId="77777777" w:rsidTr="00A77951">
        <w:trPr>
          <w:trHeight w:val="586"/>
        </w:trPr>
        <w:tc>
          <w:tcPr>
            <w:tcW w:w="992" w:type="dxa"/>
          </w:tcPr>
          <w:p w14:paraId="1477D944" w14:textId="29BD301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Zhou H. et al. 2013</w:t>
            </w:r>
          </w:p>
        </w:tc>
        <w:tc>
          <w:tcPr>
            <w:tcW w:w="851" w:type="dxa"/>
          </w:tcPr>
          <w:p w14:paraId="5C453C60" w14:textId="34F0EF59" w:rsidR="006E5533" w:rsidRPr="00A77951" w:rsidRDefault="006E5533" w:rsidP="006E5533">
            <w:pPr>
              <w:spacing w:line="360" w:lineRule="auto"/>
              <w:contextualSpacing/>
              <w:rPr>
                <w:rFonts w:ascii="Arial" w:hAnsi="Arial" w:cs="Arial"/>
                <w:sz w:val="15"/>
                <w:szCs w:val="15"/>
              </w:rPr>
            </w:pPr>
            <w:hyperlink r:id="rId352" w:tgtFrame="_blank" w:history="1">
              <w:r w:rsidRPr="00A77951">
                <w:rPr>
                  <w:rStyle w:val="Hyperlink"/>
                  <w:rFonts w:ascii="Arial" w:hAnsi="Arial" w:cs="Arial"/>
                  <w:sz w:val="15"/>
                  <w:szCs w:val="15"/>
                </w:rPr>
                <w:t>10.1016/j.jcms.2013.01.006</w:t>
              </w:r>
            </w:hyperlink>
          </w:p>
        </w:tc>
        <w:tc>
          <w:tcPr>
            <w:tcW w:w="851" w:type="dxa"/>
          </w:tcPr>
          <w:p w14:paraId="54D6CDC8" w14:textId="0372087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4FA167D1" w14:textId="5B2192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E18A7EB" w14:textId="0475EDD9"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Adults and Paediatrics</w:t>
            </w:r>
          </w:p>
        </w:tc>
        <w:tc>
          <w:tcPr>
            <w:tcW w:w="1276" w:type="dxa"/>
          </w:tcPr>
          <w:p w14:paraId="12EEF143" w14:textId="166B7E1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Other (Frontal craniotomy) </w:t>
            </w:r>
          </w:p>
        </w:tc>
        <w:tc>
          <w:tcPr>
            <w:tcW w:w="1843" w:type="dxa"/>
          </w:tcPr>
          <w:p w14:paraId="73AA59CC" w14:textId="5773EEA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describe a new frontal sinus cavity reconstruction technique using medical aural and encephalic glue (EC glue)-soaked </w:t>
            </w:r>
            <w:proofErr w:type="spellStart"/>
            <w:r w:rsidRPr="00251EA9">
              <w:rPr>
                <w:rFonts w:ascii="Arial" w:hAnsi="Arial" w:cs="Arial"/>
                <w:sz w:val="15"/>
                <w:szCs w:val="15"/>
              </w:rPr>
              <w:t>gelfoam</w:t>
            </w:r>
            <w:proofErr w:type="spellEnd"/>
            <w:r w:rsidRPr="00251EA9">
              <w:rPr>
                <w:rFonts w:ascii="Arial" w:hAnsi="Arial" w:cs="Arial"/>
                <w:sz w:val="15"/>
                <w:szCs w:val="15"/>
              </w:rPr>
              <w:t>.</w:t>
            </w:r>
          </w:p>
        </w:tc>
        <w:tc>
          <w:tcPr>
            <w:tcW w:w="1134" w:type="dxa"/>
          </w:tcPr>
          <w:p w14:paraId="6943EBBB" w14:textId="1596E79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w:t>
            </w:r>
          </w:p>
        </w:tc>
        <w:tc>
          <w:tcPr>
            <w:tcW w:w="992" w:type="dxa"/>
          </w:tcPr>
          <w:p w14:paraId="6DB75240" w14:textId="126F44C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c>
          <w:tcPr>
            <w:tcW w:w="1701" w:type="dxa"/>
          </w:tcPr>
          <w:p w14:paraId="2CDB61FA" w14:textId="141322B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774A900E" w14:textId="37773658" w:rsidR="006E5533" w:rsidRPr="00251EA9" w:rsidRDefault="006E5533" w:rsidP="006E5533">
            <w:pPr>
              <w:rPr>
                <w:rFonts w:ascii="Arial" w:hAnsi="Arial" w:cs="Arial"/>
                <w:sz w:val="15"/>
                <w:szCs w:val="15"/>
              </w:rPr>
            </w:pPr>
            <w:r w:rsidRPr="00251EA9">
              <w:rPr>
                <w:rFonts w:ascii="Arial" w:hAnsi="Arial" w:cs="Arial"/>
                <w:sz w:val="15"/>
                <w:szCs w:val="15"/>
              </w:rPr>
              <w:t>No patient developed intracranial infection, frontal sinusitis, or CSF leakage in the short term.</w:t>
            </w:r>
          </w:p>
        </w:tc>
        <w:tc>
          <w:tcPr>
            <w:tcW w:w="1701" w:type="dxa"/>
          </w:tcPr>
          <w:p w14:paraId="028559EF" w14:textId="2B57576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7194BA45" w14:textId="77777777" w:rsidTr="00A77951">
        <w:trPr>
          <w:trHeight w:val="586"/>
        </w:trPr>
        <w:tc>
          <w:tcPr>
            <w:tcW w:w="992" w:type="dxa"/>
          </w:tcPr>
          <w:p w14:paraId="34391314" w14:textId="1BD88323"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Zhou Y. et al., 2020</w:t>
            </w:r>
          </w:p>
        </w:tc>
        <w:tc>
          <w:tcPr>
            <w:tcW w:w="851" w:type="dxa"/>
          </w:tcPr>
          <w:p w14:paraId="5291A6AB" w14:textId="1A1AF2FD" w:rsidR="006E5533" w:rsidRPr="00A77951" w:rsidRDefault="006E5533" w:rsidP="006E5533">
            <w:pPr>
              <w:spacing w:line="360" w:lineRule="auto"/>
              <w:contextualSpacing/>
              <w:rPr>
                <w:rFonts w:ascii="Arial" w:hAnsi="Arial" w:cs="Arial"/>
                <w:sz w:val="15"/>
                <w:szCs w:val="15"/>
              </w:rPr>
            </w:pPr>
            <w:hyperlink r:id="rId353" w:tgtFrame="_blank" w:history="1">
              <w:r w:rsidRPr="00A77951">
                <w:rPr>
                  <w:rStyle w:val="Hyperlink"/>
                  <w:rFonts w:ascii="Arial" w:hAnsi="Arial" w:cs="Arial"/>
                  <w:sz w:val="15"/>
                  <w:szCs w:val="15"/>
                </w:rPr>
                <w:t>10.21037/atm.2020.03.221</w:t>
              </w:r>
            </w:hyperlink>
          </w:p>
        </w:tc>
        <w:tc>
          <w:tcPr>
            <w:tcW w:w="851" w:type="dxa"/>
          </w:tcPr>
          <w:p w14:paraId="0C9DB47F" w14:textId="092B7AF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China</w:t>
            </w:r>
          </w:p>
        </w:tc>
        <w:tc>
          <w:tcPr>
            <w:tcW w:w="1134" w:type="dxa"/>
          </w:tcPr>
          <w:p w14:paraId="19221187" w14:textId="0D88CF45"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4B073405" w14:textId="707ECC10"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6E6384B2" w14:textId="598F8C4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7AE69B8B" w14:textId="1051B256"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To describe an algorithm for selecting the best reconstructive categories and minimising complications according to the surgical defect of scalp tumours.</w:t>
            </w:r>
          </w:p>
        </w:tc>
        <w:tc>
          <w:tcPr>
            <w:tcW w:w="1134" w:type="dxa"/>
          </w:tcPr>
          <w:p w14:paraId="7BEA1F80" w14:textId="4CD580CD" w:rsidR="006E5533" w:rsidRPr="00251EA9" w:rsidRDefault="006E5533" w:rsidP="006E5533">
            <w:pPr>
              <w:spacing w:line="360" w:lineRule="auto"/>
              <w:contextualSpacing/>
              <w:rPr>
                <w:rFonts w:ascii="Arial" w:hAnsi="Arial" w:cs="Arial"/>
                <w:sz w:val="15"/>
                <w:szCs w:val="15"/>
              </w:rPr>
            </w:pPr>
          </w:p>
        </w:tc>
        <w:tc>
          <w:tcPr>
            <w:tcW w:w="992" w:type="dxa"/>
          </w:tcPr>
          <w:p w14:paraId="5FC76304" w14:textId="30630C3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7F2E717B" w14:textId="12702551"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33C48481" w14:textId="057F21C3" w:rsidR="006E5533" w:rsidRPr="00251EA9" w:rsidRDefault="006E5533" w:rsidP="006E5533">
            <w:pPr>
              <w:rPr>
                <w:rFonts w:ascii="Arial" w:hAnsi="Arial" w:cs="Arial"/>
                <w:sz w:val="15"/>
                <w:szCs w:val="15"/>
              </w:rPr>
            </w:pPr>
            <w:r w:rsidRPr="00251EA9">
              <w:rPr>
                <w:rFonts w:ascii="Arial" w:hAnsi="Arial" w:cs="Arial"/>
                <w:sz w:val="15"/>
                <w:szCs w:val="15"/>
              </w:rPr>
              <w:t>Reported 2 cases of wound infection in the local flap cases. 1 instance of wound infection occurred in the skin graft.</w:t>
            </w:r>
          </w:p>
        </w:tc>
        <w:tc>
          <w:tcPr>
            <w:tcW w:w="1701" w:type="dxa"/>
          </w:tcPr>
          <w:p w14:paraId="151C166B" w14:textId="7FA601C8"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r w:rsidR="006E5533" w:rsidRPr="00251EA9" w14:paraId="083CF956" w14:textId="77777777" w:rsidTr="00A77951">
        <w:trPr>
          <w:trHeight w:val="586"/>
        </w:trPr>
        <w:tc>
          <w:tcPr>
            <w:tcW w:w="992" w:type="dxa"/>
          </w:tcPr>
          <w:p w14:paraId="545C94C4" w14:textId="5C2B9434" w:rsidR="006E5533" w:rsidRPr="00251EA9" w:rsidRDefault="006E5533" w:rsidP="006E5533">
            <w:pPr>
              <w:spacing w:line="360" w:lineRule="auto"/>
              <w:contextualSpacing/>
              <w:rPr>
                <w:rFonts w:ascii="Arial" w:hAnsi="Arial" w:cs="Arial"/>
                <w:sz w:val="15"/>
                <w:szCs w:val="15"/>
              </w:rPr>
            </w:pPr>
            <w:proofErr w:type="spellStart"/>
            <w:r w:rsidRPr="00251EA9">
              <w:rPr>
                <w:rFonts w:ascii="Arial" w:hAnsi="Arial" w:cs="Arial"/>
                <w:sz w:val="15"/>
                <w:szCs w:val="15"/>
              </w:rPr>
              <w:lastRenderedPageBreak/>
              <w:t>Zohdy</w:t>
            </w:r>
            <w:proofErr w:type="spellEnd"/>
            <w:r w:rsidRPr="00251EA9">
              <w:rPr>
                <w:rFonts w:ascii="Arial" w:hAnsi="Arial" w:cs="Arial"/>
                <w:sz w:val="15"/>
                <w:szCs w:val="15"/>
              </w:rPr>
              <w:t xml:space="preserve"> Y.M. et al., 2023</w:t>
            </w:r>
          </w:p>
        </w:tc>
        <w:tc>
          <w:tcPr>
            <w:tcW w:w="851" w:type="dxa"/>
          </w:tcPr>
          <w:p w14:paraId="7EC400C9" w14:textId="26360B32" w:rsidR="006E5533" w:rsidRPr="00A77951" w:rsidRDefault="006E5533" w:rsidP="006E5533">
            <w:pPr>
              <w:spacing w:line="360" w:lineRule="auto"/>
              <w:contextualSpacing/>
              <w:rPr>
                <w:rFonts w:ascii="Arial" w:hAnsi="Arial" w:cs="Arial"/>
                <w:sz w:val="15"/>
                <w:szCs w:val="15"/>
                <w:u w:val="single"/>
              </w:rPr>
            </w:pPr>
            <w:hyperlink r:id="rId354" w:tgtFrame="_blank" w:history="1">
              <w:r w:rsidRPr="00A77951">
                <w:rPr>
                  <w:rStyle w:val="Hyperlink"/>
                  <w:rFonts w:ascii="Arial" w:hAnsi="Arial" w:cs="Arial"/>
                  <w:sz w:val="15"/>
                  <w:szCs w:val="15"/>
                </w:rPr>
                <w:t>10.1016/j.wneu.2023.08.063</w:t>
              </w:r>
            </w:hyperlink>
          </w:p>
        </w:tc>
        <w:tc>
          <w:tcPr>
            <w:tcW w:w="851" w:type="dxa"/>
          </w:tcPr>
          <w:p w14:paraId="1B7D080C" w14:textId="1E9F4E1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USA</w:t>
            </w:r>
          </w:p>
        </w:tc>
        <w:tc>
          <w:tcPr>
            <w:tcW w:w="1134" w:type="dxa"/>
          </w:tcPr>
          <w:p w14:paraId="26AA6EF5" w14:textId="6082B81E"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Retrospective cohort</w:t>
            </w:r>
          </w:p>
        </w:tc>
        <w:tc>
          <w:tcPr>
            <w:tcW w:w="992" w:type="dxa"/>
          </w:tcPr>
          <w:p w14:paraId="736F6220" w14:textId="11DE3DDA"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Adult</w:t>
            </w:r>
          </w:p>
        </w:tc>
        <w:tc>
          <w:tcPr>
            <w:tcW w:w="1276" w:type="dxa"/>
          </w:tcPr>
          <w:p w14:paraId="13145D83" w14:textId="15F79DB4"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Neuro-oncology</w:t>
            </w:r>
          </w:p>
        </w:tc>
        <w:tc>
          <w:tcPr>
            <w:tcW w:w="1843" w:type="dxa"/>
          </w:tcPr>
          <w:p w14:paraId="0F54360C" w14:textId="5769BD2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 xml:space="preserve">To evaluate the predictive accuracy of frailty on 30-day unplanned readmission after intracranial </w:t>
            </w:r>
            <w:proofErr w:type="spellStart"/>
            <w:r w:rsidRPr="00251EA9">
              <w:rPr>
                <w:rFonts w:ascii="Arial" w:hAnsi="Arial" w:cs="Arial"/>
                <w:sz w:val="15"/>
                <w:szCs w:val="15"/>
              </w:rPr>
              <w:t>tumor</w:t>
            </w:r>
            <w:proofErr w:type="spellEnd"/>
            <w:r w:rsidRPr="00251EA9">
              <w:rPr>
                <w:rFonts w:ascii="Arial" w:hAnsi="Arial" w:cs="Arial"/>
                <w:sz w:val="15"/>
                <w:szCs w:val="15"/>
              </w:rPr>
              <w:t xml:space="preserve"> resection using the risk analysis index.</w:t>
            </w:r>
          </w:p>
        </w:tc>
        <w:tc>
          <w:tcPr>
            <w:tcW w:w="1134" w:type="dxa"/>
          </w:tcPr>
          <w:p w14:paraId="2CAA1A77" w14:textId="77777777" w:rsidR="006E5533" w:rsidRPr="00251EA9" w:rsidRDefault="006E5533" w:rsidP="006E5533">
            <w:pPr>
              <w:spacing w:line="360" w:lineRule="auto"/>
              <w:contextualSpacing/>
              <w:rPr>
                <w:rFonts w:ascii="Arial" w:hAnsi="Arial" w:cs="Arial"/>
                <w:sz w:val="15"/>
                <w:szCs w:val="15"/>
              </w:rPr>
            </w:pPr>
          </w:p>
        </w:tc>
        <w:tc>
          <w:tcPr>
            <w:tcW w:w="992" w:type="dxa"/>
          </w:tcPr>
          <w:p w14:paraId="14C6123D" w14:textId="0E89AAC7"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Yes</w:t>
            </w:r>
          </w:p>
        </w:tc>
        <w:tc>
          <w:tcPr>
            <w:tcW w:w="1701" w:type="dxa"/>
          </w:tcPr>
          <w:p w14:paraId="0DB65AD2" w14:textId="52695D92"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Not defined</w:t>
            </w:r>
          </w:p>
        </w:tc>
        <w:tc>
          <w:tcPr>
            <w:tcW w:w="2693" w:type="dxa"/>
          </w:tcPr>
          <w:p w14:paraId="27C6E7A8" w14:textId="2F379C9B" w:rsidR="006E5533" w:rsidRPr="00251EA9" w:rsidRDefault="006E5533" w:rsidP="006E5533">
            <w:pPr>
              <w:rPr>
                <w:rFonts w:ascii="Arial" w:hAnsi="Arial" w:cs="Arial"/>
                <w:sz w:val="15"/>
                <w:szCs w:val="15"/>
              </w:rPr>
            </w:pPr>
            <w:r w:rsidRPr="00251EA9">
              <w:rPr>
                <w:rFonts w:ascii="Arial" w:hAnsi="Arial" w:cs="Arial"/>
                <w:sz w:val="15"/>
                <w:szCs w:val="15"/>
              </w:rPr>
              <w:t>Reported a rate of 2% for organ SSI and 1% for superficial incisional SSI.</w:t>
            </w:r>
          </w:p>
        </w:tc>
        <w:tc>
          <w:tcPr>
            <w:tcW w:w="1701" w:type="dxa"/>
          </w:tcPr>
          <w:p w14:paraId="14B1E8CF" w14:textId="037FB5BD" w:rsidR="006E5533" w:rsidRPr="00251EA9" w:rsidRDefault="006E5533" w:rsidP="006E5533">
            <w:pPr>
              <w:spacing w:line="360" w:lineRule="auto"/>
              <w:contextualSpacing/>
              <w:rPr>
                <w:rFonts w:ascii="Arial" w:hAnsi="Arial" w:cs="Arial"/>
                <w:sz w:val="15"/>
                <w:szCs w:val="15"/>
              </w:rPr>
            </w:pPr>
            <w:r w:rsidRPr="00251EA9">
              <w:rPr>
                <w:rFonts w:ascii="Arial" w:hAnsi="Arial" w:cs="Arial"/>
                <w:sz w:val="15"/>
                <w:szCs w:val="15"/>
              </w:rPr>
              <w:t>No</w:t>
            </w:r>
          </w:p>
        </w:tc>
      </w:tr>
    </w:tbl>
    <w:p w14:paraId="54C7A3FF" w14:textId="77777777" w:rsidR="00AE0015" w:rsidRDefault="00AE0015">
      <w:pPr>
        <w:rPr>
          <w:rFonts w:ascii="Arial" w:hAnsi="Arial" w:cs="Arial"/>
          <w:sz w:val="22"/>
          <w:szCs w:val="22"/>
          <w:lang w:val="en-US"/>
        </w:rPr>
      </w:pPr>
    </w:p>
    <w:p w14:paraId="224FE2ED" w14:textId="77777777" w:rsidR="00AE0015" w:rsidRDefault="00AE0015">
      <w:pPr>
        <w:rPr>
          <w:rFonts w:ascii="Arial" w:hAnsi="Arial" w:cs="Arial"/>
          <w:sz w:val="22"/>
          <w:szCs w:val="22"/>
          <w:lang w:val="en-US"/>
        </w:rPr>
      </w:pPr>
    </w:p>
    <w:p w14:paraId="294EBDE7" w14:textId="369EB2CB" w:rsidR="00E2530E" w:rsidRDefault="00E2530E">
      <w:pPr>
        <w:rPr>
          <w:rFonts w:ascii="Arial" w:hAnsi="Arial" w:cs="Arial"/>
          <w:sz w:val="22"/>
          <w:szCs w:val="22"/>
          <w:lang w:val="en-US"/>
        </w:rPr>
      </w:pPr>
    </w:p>
    <w:p w14:paraId="3E2C6D1A" w14:textId="7844E6B5" w:rsidR="006C36AB" w:rsidRDefault="006C36AB">
      <w:pPr>
        <w:rPr>
          <w:rFonts w:ascii="Arial" w:hAnsi="Arial" w:cs="Arial"/>
          <w:sz w:val="22"/>
          <w:szCs w:val="22"/>
          <w:lang w:val="en-US"/>
        </w:rPr>
      </w:pPr>
    </w:p>
    <w:p w14:paraId="50DB5D7B" w14:textId="16284C36" w:rsidR="004F6937" w:rsidRDefault="004F6937">
      <w:pPr>
        <w:rPr>
          <w:rFonts w:ascii="Arial" w:hAnsi="Arial" w:cs="Arial"/>
          <w:sz w:val="22"/>
          <w:szCs w:val="22"/>
          <w:lang w:val="en-US"/>
        </w:rPr>
      </w:pPr>
    </w:p>
    <w:sectPr w:rsidR="004F6937" w:rsidSect="001E048D">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Roman">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001C7"/>
    <w:multiLevelType w:val="multilevel"/>
    <w:tmpl w:val="D938F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01183"/>
    <w:multiLevelType w:val="hybridMultilevel"/>
    <w:tmpl w:val="546643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C62AA7"/>
    <w:multiLevelType w:val="hybridMultilevel"/>
    <w:tmpl w:val="2AF45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C5B22"/>
    <w:multiLevelType w:val="hybridMultilevel"/>
    <w:tmpl w:val="DB02905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FE431C"/>
    <w:multiLevelType w:val="hybridMultilevel"/>
    <w:tmpl w:val="B2D8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50C96"/>
    <w:multiLevelType w:val="hybridMultilevel"/>
    <w:tmpl w:val="06B6F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E1B483E"/>
    <w:multiLevelType w:val="hybridMultilevel"/>
    <w:tmpl w:val="4ACA7F3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D04CC7"/>
    <w:multiLevelType w:val="hybridMultilevel"/>
    <w:tmpl w:val="6552658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391A80"/>
    <w:multiLevelType w:val="hybridMultilevel"/>
    <w:tmpl w:val="89261F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ECD3597"/>
    <w:multiLevelType w:val="hybridMultilevel"/>
    <w:tmpl w:val="3990C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1971B2"/>
    <w:multiLevelType w:val="hybridMultilevel"/>
    <w:tmpl w:val="540E04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9B437B"/>
    <w:multiLevelType w:val="multilevel"/>
    <w:tmpl w:val="F12E33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9451914">
    <w:abstractNumId w:val="5"/>
  </w:num>
  <w:num w:numId="2" w16cid:durableId="1959943568">
    <w:abstractNumId w:val="10"/>
  </w:num>
  <w:num w:numId="3" w16cid:durableId="1914898603">
    <w:abstractNumId w:val="1"/>
  </w:num>
  <w:num w:numId="4" w16cid:durableId="2071031432">
    <w:abstractNumId w:val="7"/>
  </w:num>
  <w:num w:numId="5" w16cid:durableId="1070038969">
    <w:abstractNumId w:val="6"/>
  </w:num>
  <w:num w:numId="6" w16cid:durableId="1577085908">
    <w:abstractNumId w:val="3"/>
  </w:num>
  <w:num w:numId="7" w16cid:durableId="1634024502">
    <w:abstractNumId w:val="11"/>
  </w:num>
  <w:num w:numId="8" w16cid:durableId="467430218">
    <w:abstractNumId w:val="0"/>
  </w:num>
  <w:num w:numId="9" w16cid:durableId="855660260">
    <w:abstractNumId w:val="4"/>
  </w:num>
  <w:num w:numId="10" w16cid:durableId="1509052983">
    <w:abstractNumId w:val="9"/>
  </w:num>
  <w:num w:numId="11" w16cid:durableId="826281926">
    <w:abstractNumId w:val="8"/>
  </w:num>
  <w:num w:numId="12" w16cid:durableId="690424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20"/>
    <w:rsid w:val="00000664"/>
    <w:rsid w:val="00000A79"/>
    <w:rsid w:val="00001089"/>
    <w:rsid w:val="000013E2"/>
    <w:rsid w:val="000015A5"/>
    <w:rsid w:val="000021A9"/>
    <w:rsid w:val="000032E3"/>
    <w:rsid w:val="00004207"/>
    <w:rsid w:val="00004344"/>
    <w:rsid w:val="000049D5"/>
    <w:rsid w:val="00005D35"/>
    <w:rsid w:val="000063AE"/>
    <w:rsid w:val="000063AF"/>
    <w:rsid w:val="0000692B"/>
    <w:rsid w:val="00007499"/>
    <w:rsid w:val="00010646"/>
    <w:rsid w:val="00011004"/>
    <w:rsid w:val="00011720"/>
    <w:rsid w:val="00011A72"/>
    <w:rsid w:val="00011F73"/>
    <w:rsid w:val="000122D0"/>
    <w:rsid w:val="000123B5"/>
    <w:rsid w:val="000136CF"/>
    <w:rsid w:val="00013F0A"/>
    <w:rsid w:val="000142A1"/>
    <w:rsid w:val="000154D4"/>
    <w:rsid w:val="000166A6"/>
    <w:rsid w:val="0001679E"/>
    <w:rsid w:val="0001681D"/>
    <w:rsid w:val="000170FB"/>
    <w:rsid w:val="000171B9"/>
    <w:rsid w:val="00017A25"/>
    <w:rsid w:val="0002013B"/>
    <w:rsid w:val="00020151"/>
    <w:rsid w:val="00020383"/>
    <w:rsid w:val="0002063B"/>
    <w:rsid w:val="000209FF"/>
    <w:rsid w:val="000211BE"/>
    <w:rsid w:val="0002206E"/>
    <w:rsid w:val="0002285B"/>
    <w:rsid w:val="0002290F"/>
    <w:rsid w:val="00022E34"/>
    <w:rsid w:val="00022E86"/>
    <w:rsid w:val="000236C4"/>
    <w:rsid w:val="00023BF0"/>
    <w:rsid w:val="00023D12"/>
    <w:rsid w:val="00023D93"/>
    <w:rsid w:val="0002411B"/>
    <w:rsid w:val="00024C6E"/>
    <w:rsid w:val="00025235"/>
    <w:rsid w:val="00026002"/>
    <w:rsid w:val="00026862"/>
    <w:rsid w:val="00026C31"/>
    <w:rsid w:val="00026C5B"/>
    <w:rsid w:val="000279D9"/>
    <w:rsid w:val="00027C2A"/>
    <w:rsid w:val="00027D90"/>
    <w:rsid w:val="000301EF"/>
    <w:rsid w:val="00030875"/>
    <w:rsid w:val="00030F41"/>
    <w:rsid w:val="000310C0"/>
    <w:rsid w:val="0003114B"/>
    <w:rsid w:val="000318C1"/>
    <w:rsid w:val="000320A1"/>
    <w:rsid w:val="00032D4D"/>
    <w:rsid w:val="00033097"/>
    <w:rsid w:val="0003310E"/>
    <w:rsid w:val="00033B24"/>
    <w:rsid w:val="00034043"/>
    <w:rsid w:val="0003492F"/>
    <w:rsid w:val="00034CF2"/>
    <w:rsid w:val="00034E0B"/>
    <w:rsid w:val="00035235"/>
    <w:rsid w:val="0003533C"/>
    <w:rsid w:val="00035C9D"/>
    <w:rsid w:val="000361A9"/>
    <w:rsid w:val="000363EB"/>
    <w:rsid w:val="000364F5"/>
    <w:rsid w:val="000366DC"/>
    <w:rsid w:val="00036C8C"/>
    <w:rsid w:val="000370C9"/>
    <w:rsid w:val="000370D8"/>
    <w:rsid w:val="0003714A"/>
    <w:rsid w:val="0003739D"/>
    <w:rsid w:val="00037BDF"/>
    <w:rsid w:val="00037D0D"/>
    <w:rsid w:val="00040346"/>
    <w:rsid w:val="00040767"/>
    <w:rsid w:val="00041008"/>
    <w:rsid w:val="000412DE"/>
    <w:rsid w:val="00041A92"/>
    <w:rsid w:val="00042453"/>
    <w:rsid w:val="00043010"/>
    <w:rsid w:val="0004341E"/>
    <w:rsid w:val="000435A4"/>
    <w:rsid w:val="0004372B"/>
    <w:rsid w:val="000443B5"/>
    <w:rsid w:val="000445FC"/>
    <w:rsid w:val="000448E7"/>
    <w:rsid w:val="000449E6"/>
    <w:rsid w:val="000454E9"/>
    <w:rsid w:val="00045A20"/>
    <w:rsid w:val="000463F1"/>
    <w:rsid w:val="00046512"/>
    <w:rsid w:val="000467AA"/>
    <w:rsid w:val="00046C1D"/>
    <w:rsid w:val="00046E13"/>
    <w:rsid w:val="00047396"/>
    <w:rsid w:val="00047A21"/>
    <w:rsid w:val="00051259"/>
    <w:rsid w:val="00052620"/>
    <w:rsid w:val="0005467D"/>
    <w:rsid w:val="00054BC0"/>
    <w:rsid w:val="0005501D"/>
    <w:rsid w:val="00055458"/>
    <w:rsid w:val="000559D0"/>
    <w:rsid w:val="00055AF9"/>
    <w:rsid w:val="00055DD9"/>
    <w:rsid w:val="00056484"/>
    <w:rsid w:val="00056992"/>
    <w:rsid w:val="00057132"/>
    <w:rsid w:val="00057184"/>
    <w:rsid w:val="000572D0"/>
    <w:rsid w:val="00057540"/>
    <w:rsid w:val="00057884"/>
    <w:rsid w:val="00060808"/>
    <w:rsid w:val="00060FA3"/>
    <w:rsid w:val="000612B5"/>
    <w:rsid w:val="00061F30"/>
    <w:rsid w:val="000623C7"/>
    <w:rsid w:val="000624D7"/>
    <w:rsid w:val="0006252C"/>
    <w:rsid w:val="00063EE2"/>
    <w:rsid w:val="00064C24"/>
    <w:rsid w:val="00064F9B"/>
    <w:rsid w:val="0006552B"/>
    <w:rsid w:val="000668CD"/>
    <w:rsid w:val="000669FE"/>
    <w:rsid w:val="00067233"/>
    <w:rsid w:val="000678F9"/>
    <w:rsid w:val="00067A3D"/>
    <w:rsid w:val="00070626"/>
    <w:rsid w:val="00070EA1"/>
    <w:rsid w:val="0007104C"/>
    <w:rsid w:val="00071529"/>
    <w:rsid w:val="0007166E"/>
    <w:rsid w:val="000717AB"/>
    <w:rsid w:val="00072124"/>
    <w:rsid w:val="00072386"/>
    <w:rsid w:val="000723C8"/>
    <w:rsid w:val="0007291A"/>
    <w:rsid w:val="00075A05"/>
    <w:rsid w:val="00075CCD"/>
    <w:rsid w:val="00076EED"/>
    <w:rsid w:val="0007782D"/>
    <w:rsid w:val="000778C0"/>
    <w:rsid w:val="00077A5A"/>
    <w:rsid w:val="00077AF3"/>
    <w:rsid w:val="00080FAC"/>
    <w:rsid w:val="00081153"/>
    <w:rsid w:val="000816C7"/>
    <w:rsid w:val="000817C2"/>
    <w:rsid w:val="00081BA7"/>
    <w:rsid w:val="00082B0E"/>
    <w:rsid w:val="00082BDB"/>
    <w:rsid w:val="00082CAC"/>
    <w:rsid w:val="00083403"/>
    <w:rsid w:val="000837BE"/>
    <w:rsid w:val="000855BC"/>
    <w:rsid w:val="000859FE"/>
    <w:rsid w:val="00086757"/>
    <w:rsid w:val="00086961"/>
    <w:rsid w:val="00086BDA"/>
    <w:rsid w:val="00086E6D"/>
    <w:rsid w:val="0008757F"/>
    <w:rsid w:val="00087BAA"/>
    <w:rsid w:val="00090741"/>
    <w:rsid w:val="0009095C"/>
    <w:rsid w:val="00090988"/>
    <w:rsid w:val="0009118F"/>
    <w:rsid w:val="00091D37"/>
    <w:rsid w:val="00092560"/>
    <w:rsid w:val="000928F6"/>
    <w:rsid w:val="00093CBD"/>
    <w:rsid w:val="0009426D"/>
    <w:rsid w:val="00094498"/>
    <w:rsid w:val="000949C9"/>
    <w:rsid w:val="00096474"/>
    <w:rsid w:val="0009647D"/>
    <w:rsid w:val="000970BD"/>
    <w:rsid w:val="00097699"/>
    <w:rsid w:val="000A0342"/>
    <w:rsid w:val="000A0A59"/>
    <w:rsid w:val="000A25B8"/>
    <w:rsid w:val="000A2896"/>
    <w:rsid w:val="000A2F98"/>
    <w:rsid w:val="000A3008"/>
    <w:rsid w:val="000A3ABF"/>
    <w:rsid w:val="000A51DE"/>
    <w:rsid w:val="000A57EB"/>
    <w:rsid w:val="000A6176"/>
    <w:rsid w:val="000A67A6"/>
    <w:rsid w:val="000A6A98"/>
    <w:rsid w:val="000A6AFF"/>
    <w:rsid w:val="000A71E7"/>
    <w:rsid w:val="000A7F17"/>
    <w:rsid w:val="000B072A"/>
    <w:rsid w:val="000B2286"/>
    <w:rsid w:val="000B23CB"/>
    <w:rsid w:val="000B26DA"/>
    <w:rsid w:val="000B297F"/>
    <w:rsid w:val="000B2CC9"/>
    <w:rsid w:val="000B3475"/>
    <w:rsid w:val="000B3519"/>
    <w:rsid w:val="000B3D15"/>
    <w:rsid w:val="000B440F"/>
    <w:rsid w:val="000B472C"/>
    <w:rsid w:val="000B516E"/>
    <w:rsid w:val="000B5288"/>
    <w:rsid w:val="000B6152"/>
    <w:rsid w:val="000B6264"/>
    <w:rsid w:val="000B7F55"/>
    <w:rsid w:val="000C02BC"/>
    <w:rsid w:val="000C0817"/>
    <w:rsid w:val="000C0C0D"/>
    <w:rsid w:val="000C0C44"/>
    <w:rsid w:val="000C0D40"/>
    <w:rsid w:val="000C1928"/>
    <w:rsid w:val="000C297C"/>
    <w:rsid w:val="000C2A94"/>
    <w:rsid w:val="000C4187"/>
    <w:rsid w:val="000C43E6"/>
    <w:rsid w:val="000C5264"/>
    <w:rsid w:val="000C6009"/>
    <w:rsid w:val="000C6B40"/>
    <w:rsid w:val="000C7162"/>
    <w:rsid w:val="000C739B"/>
    <w:rsid w:val="000C7F0F"/>
    <w:rsid w:val="000D072F"/>
    <w:rsid w:val="000D0AC1"/>
    <w:rsid w:val="000D0DAC"/>
    <w:rsid w:val="000D13A3"/>
    <w:rsid w:val="000D2148"/>
    <w:rsid w:val="000D278D"/>
    <w:rsid w:val="000D2961"/>
    <w:rsid w:val="000D2BF8"/>
    <w:rsid w:val="000D37E9"/>
    <w:rsid w:val="000D397F"/>
    <w:rsid w:val="000D3E2F"/>
    <w:rsid w:val="000D3E6A"/>
    <w:rsid w:val="000D4CB3"/>
    <w:rsid w:val="000D5225"/>
    <w:rsid w:val="000D5E82"/>
    <w:rsid w:val="000D6EB6"/>
    <w:rsid w:val="000D738E"/>
    <w:rsid w:val="000D7AB0"/>
    <w:rsid w:val="000E09A8"/>
    <w:rsid w:val="000E175D"/>
    <w:rsid w:val="000E1817"/>
    <w:rsid w:val="000E1A3C"/>
    <w:rsid w:val="000E1FFC"/>
    <w:rsid w:val="000E27FB"/>
    <w:rsid w:val="000E3091"/>
    <w:rsid w:val="000E3468"/>
    <w:rsid w:val="000E3C97"/>
    <w:rsid w:val="000E42A1"/>
    <w:rsid w:val="000E4B31"/>
    <w:rsid w:val="000E4C8A"/>
    <w:rsid w:val="000E5765"/>
    <w:rsid w:val="000E60C2"/>
    <w:rsid w:val="000E6425"/>
    <w:rsid w:val="000E65A1"/>
    <w:rsid w:val="000E7FF8"/>
    <w:rsid w:val="000F208F"/>
    <w:rsid w:val="000F2F16"/>
    <w:rsid w:val="000F312F"/>
    <w:rsid w:val="000F3704"/>
    <w:rsid w:val="000F3823"/>
    <w:rsid w:val="000F3849"/>
    <w:rsid w:val="000F40E2"/>
    <w:rsid w:val="000F4E0D"/>
    <w:rsid w:val="000F5375"/>
    <w:rsid w:val="000F5DBF"/>
    <w:rsid w:val="000F61D1"/>
    <w:rsid w:val="000F6BE2"/>
    <w:rsid w:val="000F79C3"/>
    <w:rsid w:val="001004A4"/>
    <w:rsid w:val="00100CEA"/>
    <w:rsid w:val="0010144D"/>
    <w:rsid w:val="001016B5"/>
    <w:rsid w:val="00101E30"/>
    <w:rsid w:val="0010223B"/>
    <w:rsid w:val="0010249D"/>
    <w:rsid w:val="0010295C"/>
    <w:rsid w:val="001031B0"/>
    <w:rsid w:val="001032F9"/>
    <w:rsid w:val="001035AD"/>
    <w:rsid w:val="00104098"/>
    <w:rsid w:val="0010455D"/>
    <w:rsid w:val="00104CCB"/>
    <w:rsid w:val="001054FA"/>
    <w:rsid w:val="0010585E"/>
    <w:rsid w:val="00107BEE"/>
    <w:rsid w:val="00107D41"/>
    <w:rsid w:val="001111F6"/>
    <w:rsid w:val="001114F9"/>
    <w:rsid w:val="00111B31"/>
    <w:rsid w:val="00111E6A"/>
    <w:rsid w:val="00112133"/>
    <w:rsid w:val="00112799"/>
    <w:rsid w:val="00113E0E"/>
    <w:rsid w:val="001149EF"/>
    <w:rsid w:val="00115C52"/>
    <w:rsid w:val="00116A5C"/>
    <w:rsid w:val="001174CF"/>
    <w:rsid w:val="00120641"/>
    <w:rsid w:val="0012136F"/>
    <w:rsid w:val="00121646"/>
    <w:rsid w:val="001217F7"/>
    <w:rsid w:val="001223AC"/>
    <w:rsid w:val="00122962"/>
    <w:rsid w:val="00122B13"/>
    <w:rsid w:val="0012328B"/>
    <w:rsid w:val="00123646"/>
    <w:rsid w:val="00123968"/>
    <w:rsid w:val="00123A9F"/>
    <w:rsid w:val="001245F9"/>
    <w:rsid w:val="00124F59"/>
    <w:rsid w:val="00124FA0"/>
    <w:rsid w:val="001251AE"/>
    <w:rsid w:val="0012574D"/>
    <w:rsid w:val="00125A57"/>
    <w:rsid w:val="001260E1"/>
    <w:rsid w:val="00126CD4"/>
    <w:rsid w:val="00126DD0"/>
    <w:rsid w:val="001270EB"/>
    <w:rsid w:val="0013038E"/>
    <w:rsid w:val="00130B38"/>
    <w:rsid w:val="00130D4A"/>
    <w:rsid w:val="0013113A"/>
    <w:rsid w:val="001317D7"/>
    <w:rsid w:val="001319CC"/>
    <w:rsid w:val="00132653"/>
    <w:rsid w:val="001340FF"/>
    <w:rsid w:val="00134139"/>
    <w:rsid w:val="00134BDA"/>
    <w:rsid w:val="00134C32"/>
    <w:rsid w:val="00134CAC"/>
    <w:rsid w:val="001350A6"/>
    <w:rsid w:val="0013576B"/>
    <w:rsid w:val="00135879"/>
    <w:rsid w:val="00135AFB"/>
    <w:rsid w:val="00136418"/>
    <w:rsid w:val="00136B8C"/>
    <w:rsid w:val="00136BD9"/>
    <w:rsid w:val="00136C62"/>
    <w:rsid w:val="0013730D"/>
    <w:rsid w:val="001373CC"/>
    <w:rsid w:val="001403CE"/>
    <w:rsid w:val="00141653"/>
    <w:rsid w:val="00141D43"/>
    <w:rsid w:val="00141F67"/>
    <w:rsid w:val="001421C8"/>
    <w:rsid w:val="001427E8"/>
    <w:rsid w:val="001434A8"/>
    <w:rsid w:val="00143AF8"/>
    <w:rsid w:val="00143B07"/>
    <w:rsid w:val="00143F2C"/>
    <w:rsid w:val="00145390"/>
    <w:rsid w:val="00146265"/>
    <w:rsid w:val="0014650D"/>
    <w:rsid w:val="00146752"/>
    <w:rsid w:val="001470B7"/>
    <w:rsid w:val="001471D8"/>
    <w:rsid w:val="001477EF"/>
    <w:rsid w:val="001500B3"/>
    <w:rsid w:val="00150A9C"/>
    <w:rsid w:val="001512EC"/>
    <w:rsid w:val="0015169E"/>
    <w:rsid w:val="00151B6E"/>
    <w:rsid w:val="00151EB6"/>
    <w:rsid w:val="00152268"/>
    <w:rsid w:val="00152550"/>
    <w:rsid w:val="001528EF"/>
    <w:rsid w:val="00152909"/>
    <w:rsid w:val="001532B4"/>
    <w:rsid w:val="00153330"/>
    <w:rsid w:val="00153863"/>
    <w:rsid w:val="00153FDE"/>
    <w:rsid w:val="001541C2"/>
    <w:rsid w:val="00154C2C"/>
    <w:rsid w:val="001550EA"/>
    <w:rsid w:val="001553F1"/>
    <w:rsid w:val="00155614"/>
    <w:rsid w:val="00155909"/>
    <w:rsid w:val="00155BD5"/>
    <w:rsid w:val="0015641C"/>
    <w:rsid w:val="00157048"/>
    <w:rsid w:val="00157F11"/>
    <w:rsid w:val="001601C1"/>
    <w:rsid w:val="001601C7"/>
    <w:rsid w:val="00160253"/>
    <w:rsid w:val="00160357"/>
    <w:rsid w:val="00160365"/>
    <w:rsid w:val="00160B0E"/>
    <w:rsid w:val="00160D0C"/>
    <w:rsid w:val="0016107E"/>
    <w:rsid w:val="00161923"/>
    <w:rsid w:val="00161E4E"/>
    <w:rsid w:val="001625BA"/>
    <w:rsid w:val="00162A13"/>
    <w:rsid w:val="00162B6E"/>
    <w:rsid w:val="00164090"/>
    <w:rsid w:val="00165217"/>
    <w:rsid w:val="001652D0"/>
    <w:rsid w:val="00165B71"/>
    <w:rsid w:val="00165FCB"/>
    <w:rsid w:val="001663FE"/>
    <w:rsid w:val="0016656F"/>
    <w:rsid w:val="00166983"/>
    <w:rsid w:val="00166E6C"/>
    <w:rsid w:val="00167AB1"/>
    <w:rsid w:val="00167E97"/>
    <w:rsid w:val="00170049"/>
    <w:rsid w:val="00170951"/>
    <w:rsid w:val="0017098F"/>
    <w:rsid w:val="0017109E"/>
    <w:rsid w:val="00171223"/>
    <w:rsid w:val="00171975"/>
    <w:rsid w:val="001719AA"/>
    <w:rsid w:val="00171A30"/>
    <w:rsid w:val="00172590"/>
    <w:rsid w:val="001725B4"/>
    <w:rsid w:val="00172885"/>
    <w:rsid w:val="0017319F"/>
    <w:rsid w:val="001731AC"/>
    <w:rsid w:val="0017354F"/>
    <w:rsid w:val="00173F25"/>
    <w:rsid w:val="00173F34"/>
    <w:rsid w:val="00174151"/>
    <w:rsid w:val="0017481D"/>
    <w:rsid w:val="00174C4D"/>
    <w:rsid w:val="00175437"/>
    <w:rsid w:val="00175784"/>
    <w:rsid w:val="00175E43"/>
    <w:rsid w:val="0017698D"/>
    <w:rsid w:val="00176CF8"/>
    <w:rsid w:val="00180069"/>
    <w:rsid w:val="00180C66"/>
    <w:rsid w:val="0018109B"/>
    <w:rsid w:val="0018131D"/>
    <w:rsid w:val="001813F1"/>
    <w:rsid w:val="0018194A"/>
    <w:rsid w:val="00182313"/>
    <w:rsid w:val="001830D9"/>
    <w:rsid w:val="001833C1"/>
    <w:rsid w:val="00183BA7"/>
    <w:rsid w:val="00184B29"/>
    <w:rsid w:val="00184BAF"/>
    <w:rsid w:val="00185009"/>
    <w:rsid w:val="0018626C"/>
    <w:rsid w:val="00186A67"/>
    <w:rsid w:val="00187510"/>
    <w:rsid w:val="00187D48"/>
    <w:rsid w:val="00190346"/>
    <w:rsid w:val="00190D9D"/>
    <w:rsid w:val="001910FB"/>
    <w:rsid w:val="00191CF9"/>
    <w:rsid w:val="001921EA"/>
    <w:rsid w:val="00192D44"/>
    <w:rsid w:val="00192EF7"/>
    <w:rsid w:val="00193200"/>
    <w:rsid w:val="001937B7"/>
    <w:rsid w:val="00194227"/>
    <w:rsid w:val="001944FE"/>
    <w:rsid w:val="00194512"/>
    <w:rsid w:val="001952B7"/>
    <w:rsid w:val="00195862"/>
    <w:rsid w:val="00196138"/>
    <w:rsid w:val="00196BCF"/>
    <w:rsid w:val="00196C11"/>
    <w:rsid w:val="001972B2"/>
    <w:rsid w:val="00197506"/>
    <w:rsid w:val="00197600"/>
    <w:rsid w:val="001978FF"/>
    <w:rsid w:val="001A047E"/>
    <w:rsid w:val="001A0803"/>
    <w:rsid w:val="001A170E"/>
    <w:rsid w:val="001A2EBE"/>
    <w:rsid w:val="001A41D5"/>
    <w:rsid w:val="001A4586"/>
    <w:rsid w:val="001A4A15"/>
    <w:rsid w:val="001A5337"/>
    <w:rsid w:val="001A671B"/>
    <w:rsid w:val="001A6818"/>
    <w:rsid w:val="001A6D7D"/>
    <w:rsid w:val="001A71F7"/>
    <w:rsid w:val="001A738A"/>
    <w:rsid w:val="001A767B"/>
    <w:rsid w:val="001B00D4"/>
    <w:rsid w:val="001B0E48"/>
    <w:rsid w:val="001B1E29"/>
    <w:rsid w:val="001B2D2B"/>
    <w:rsid w:val="001B33A7"/>
    <w:rsid w:val="001B3D1A"/>
    <w:rsid w:val="001B3D1B"/>
    <w:rsid w:val="001B4253"/>
    <w:rsid w:val="001B4938"/>
    <w:rsid w:val="001B49B2"/>
    <w:rsid w:val="001B4D47"/>
    <w:rsid w:val="001B502F"/>
    <w:rsid w:val="001B65CC"/>
    <w:rsid w:val="001B6EAD"/>
    <w:rsid w:val="001C0E24"/>
    <w:rsid w:val="001C2141"/>
    <w:rsid w:val="001C2C20"/>
    <w:rsid w:val="001C4AB4"/>
    <w:rsid w:val="001C4B5A"/>
    <w:rsid w:val="001C52B8"/>
    <w:rsid w:val="001C62B0"/>
    <w:rsid w:val="001C6373"/>
    <w:rsid w:val="001C69F2"/>
    <w:rsid w:val="001C6FFA"/>
    <w:rsid w:val="001C7BA8"/>
    <w:rsid w:val="001D1330"/>
    <w:rsid w:val="001D1BEF"/>
    <w:rsid w:val="001D2945"/>
    <w:rsid w:val="001D2B1E"/>
    <w:rsid w:val="001D2E2A"/>
    <w:rsid w:val="001D2EC2"/>
    <w:rsid w:val="001D38DE"/>
    <w:rsid w:val="001D3A52"/>
    <w:rsid w:val="001D3D2E"/>
    <w:rsid w:val="001D3F83"/>
    <w:rsid w:val="001D4054"/>
    <w:rsid w:val="001D4407"/>
    <w:rsid w:val="001D49D0"/>
    <w:rsid w:val="001D4CA5"/>
    <w:rsid w:val="001D4E94"/>
    <w:rsid w:val="001D590F"/>
    <w:rsid w:val="001D6D9B"/>
    <w:rsid w:val="001D6E2E"/>
    <w:rsid w:val="001D7E46"/>
    <w:rsid w:val="001E048D"/>
    <w:rsid w:val="001E0657"/>
    <w:rsid w:val="001E1EF1"/>
    <w:rsid w:val="001E2661"/>
    <w:rsid w:val="001E289A"/>
    <w:rsid w:val="001E298C"/>
    <w:rsid w:val="001E298E"/>
    <w:rsid w:val="001E2A00"/>
    <w:rsid w:val="001E2E5E"/>
    <w:rsid w:val="001E2FF7"/>
    <w:rsid w:val="001E32BE"/>
    <w:rsid w:val="001E3787"/>
    <w:rsid w:val="001E3B73"/>
    <w:rsid w:val="001E4551"/>
    <w:rsid w:val="001E4C6C"/>
    <w:rsid w:val="001E54C3"/>
    <w:rsid w:val="001E5A68"/>
    <w:rsid w:val="001E5F6E"/>
    <w:rsid w:val="001E6F81"/>
    <w:rsid w:val="001E7298"/>
    <w:rsid w:val="001E7948"/>
    <w:rsid w:val="001E7F70"/>
    <w:rsid w:val="001F0002"/>
    <w:rsid w:val="001F0062"/>
    <w:rsid w:val="001F0082"/>
    <w:rsid w:val="001F38E5"/>
    <w:rsid w:val="001F39C9"/>
    <w:rsid w:val="001F412C"/>
    <w:rsid w:val="001F4285"/>
    <w:rsid w:val="001F4997"/>
    <w:rsid w:val="001F4A5C"/>
    <w:rsid w:val="001F6399"/>
    <w:rsid w:val="001F7DD7"/>
    <w:rsid w:val="001F7EA7"/>
    <w:rsid w:val="00200444"/>
    <w:rsid w:val="002005E1"/>
    <w:rsid w:val="00200705"/>
    <w:rsid w:val="0020073E"/>
    <w:rsid w:val="00200BBD"/>
    <w:rsid w:val="00200BDD"/>
    <w:rsid w:val="002017F9"/>
    <w:rsid w:val="002021C3"/>
    <w:rsid w:val="00202924"/>
    <w:rsid w:val="00203E7B"/>
    <w:rsid w:val="00203F95"/>
    <w:rsid w:val="0020403F"/>
    <w:rsid w:val="0020413A"/>
    <w:rsid w:val="002043E1"/>
    <w:rsid w:val="0020570C"/>
    <w:rsid w:val="002069AB"/>
    <w:rsid w:val="00206A13"/>
    <w:rsid w:val="00206F88"/>
    <w:rsid w:val="00207473"/>
    <w:rsid w:val="00207E1A"/>
    <w:rsid w:val="00210E5C"/>
    <w:rsid w:val="0021144C"/>
    <w:rsid w:val="00211544"/>
    <w:rsid w:val="0021168B"/>
    <w:rsid w:val="002121D4"/>
    <w:rsid w:val="0021258D"/>
    <w:rsid w:val="002133AD"/>
    <w:rsid w:val="002137FE"/>
    <w:rsid w:val="0021391E"/>
    <w:rsid w:val="002139B5"/>
    <w:rsid w:val="00213E79"/>
    <w:rsid w:val="00214750"/>
    <w:rsid w:val="00214771"/>
    <w:rsid w:val="002151C0"/>
    <w:rsid w:val="002153DA"/>
    <w:rsid w:val="00215EAE"/>
    <w:rsid w:val="0021650B"/>
    <w:rsid w:val="002172AF"/>
    <w:rsid w:val="00217382"/>
    <w:rsid w:val="0022092E"/>
    <w:rsid w:val="00221B76"/>
    <w:rsid w:val="00221DA9"/>
    <w:rsid w:val="002221B8"/>
    <w:rsid w:val="00222438"/>
    <w:rsid w:val="0022244F"/>
    <w:rsid w:val="00222F9C"/>
    <w:rsid w:val="002236DE"/>
    <w:rsid w:val="00223A50"/>
    <w:rsid w:val="00224644"/>
    <w:rsid w:val="0022475B"/>
    <w:rsid w:val="00224B0D"/>
    <w:rsid w:val="00224FB4"/>
    <w:rsid w:val="00225696"/>
    <w:rsid w:val="00225908"/>
    <w:rsid w:val="00225920"/>
    <w:rsid w:val="00225A25"/>
    <w:rsid w:val="0022620B"/>
    <w:rsid w:val="0022686C"/>
    <w:rsid w:val="00226E12"/>
    <w:rsid w:val="002273E9"/>
    <w:rsid w:val="002301A7"/>
    <w:rsid w:val="00230843"/>
    <w:rsid w:val="00230B7E"/>
    <w:rsid w:val="00230F1C"/>
    <w:rsid w:val="00231944"/>
    <w:rsid w:val="00231987"/>
    <w:rsid w:val="00231FB6"/>
    <w:rsid w:val="0023293D"/>
    <w:rsid w:val="00233952"/>
    <w:rsid w:val="00233B98"/>
    <w:rsid w:val="00234327"/>
    <w:rsid w:val="002354C9"/>
    <w:rsid w:val="00235A0D"/>
    <w:rsid w:val="00235AF7"/>
    <w:rsid w:val="002362A3"/>
    <w:rsid w:val="00236679"/>
    <w:rsid w:val="00236B89"/>
    <w:rsid w:val="0023772D"/>
    <w:rsid w:val="00237CD8"/>
    <w:rsid w:val="00237D7C"/>
    <w:rsid w:val="00240F70"/>
    <w:rsid w:val="00241C0D"/>
    <w:rsid w:val="00241C46"/>
    <w:rsid w:val="002420B7"/>
    <w:rsid w:val="002424DB"/>
    <w:rsid w:val="002448B1"/>
    <w:rsid w:val="002450E0"/>
    <w:rsid w:val="00246011"/>
    <w:rsid w:val="00246A7B"/>
    <w:rsid w:val="00246C2D"/>
    <w:rsid w:val="00246DC6"/>
    <w:rsid w:val="0024731F"/>
    <w:rsid w:val="0024762A"/>
    <w:rsid w:val="002478CE"/>
    <w:rsid w:val="0025019C"/>
    <w:rsid w:val="00250C27"/>
    <w:rsid w:val="00250E43"/>
    <w:rsid w:val="002513A1"/>
    <w:rsid w:val="0025199E"/>
    <w:rsid w:val="00251A4E"/>
    <w:rsid w:val="00251EA9"/>
    <w:rsid w:val="00252699"/>
    <w:rsid w:val="00252CC7"/>
    <w:rsid w:val="0025339C"/>
    <w:rsid w:val="0025351D"/>
    <w:rsid w:val="00254CD9"/>
    <w:rsid w:val="00254F3E"/>
    <w:rsid w:val="0025505D"/>
    <w:rsid w:val="00255F2C"/>
    <w:rsid w:val="00256497"/>
    <w:rsid w:val="00257212"/>
    <w:rsid w:val="00257504"/>
    <w:rsid w:val="00261A5D"/>
    <w:rsid w:val="00262223"/>
    <w:rsid w:val="002627D4"/>
    <w:rsid w:val="0026370D"/>
    <w:rsid w:val="00263FA2"/>
    <w:rsid w:val="00265065"/>
    <w:rsid w:val="00265CFF"/>
    <w:rsid w:val="00265FCB"/>
    <w:rsid w:val="002669BF"/>
    <w:rsid w:val="00266F92"/>
    <w:rsid w:val="0026741A"/>
    <w:rsid w:val="00267EC1"/>
    <w:rsid w:val="00270A75"/>
    <w:rsid w:val="00270A95"/>
    <w:rsid w:val="00271BAB"/>
    <w:rsid w:val="00272C43"/>
    <w:rsid w:val="00273985"/>
    <w:rsid w:val="0027476C"/>
    <w:rsid w:val="002749F4"/>
    <w:rsid w:val="00275353"/>
    <w:rsid w:val="00276165"/>
    <w:rsid w:val="0027681E"/>
    <w:rsid w:val="002768F2"/>
    <w:rsid w:val="00276B92"/>
    <w:rsid w:val="00277450"/>
    <w:rsid w:val="00277D1A"/>
    <w:rsid w:val="00277DEE"/>
    <w:rsid w:val="00277FE6"/>
    <w:rsid w:val="0028013F"/>
    <w:rsid w:val="00280936"/>
    <w:rsid w:val="0028276A"/>
    <w:rsid w:val="00283168"/>
    <w:rsid w:val="002839DA"/>
    <w:rsid w:val="00283ADE"/>
    <w:rsid w:val="002842E7"/>
    <w:rsid w:val="00285BE1"/>
    <w:rsid w:val="00285D9B"/>
    <w:rsid w:val="00285FEF"/>
    <w:rsid w:val="00286307"/>
    <w:rsid w:val="002863DC"/>
    <w:rsid w:val="00286F58"/>
    <w:rsid w:val="002871A1"/>
    <w:rsid w:val="00287667"/>
    <w:rsid w:val="002877D0"/>
    <w:rsid w:val="0029170D"/>
    <w:rsid w:val="002923CD"/>
    <w:rsid w:val="00292C40"/>
    <w:rsid w:val="00293025"/>
    <w:rsid w:val="0029389D"/>
    <w:rsid w:val="00293DBC"/>
    <w:rsid w:val="00293E53"/>
    <w:rsid w:val="002946BE"/>
    <w:rsid w:val="00295BF8"/>
    <w:rsid w:val="00295F54"/>
    <w:rsid w:val="00296522"/>
    <w:rsid w:val="0029728A"/>
    <w:rsid w:val="002972E6"/>
    <w:rsid w:val="00297758"/>
    <w:rsid w:val="00297A82"/>
    <w:rsid w:val="002A043D"/>
    <w:rsid w:val="002A21D2"/>
    <w:rsid w:val="002A25BE"/>
    <w:rsid w:val="002A312A"/>
    <w:rsid w:val="002A385E"/>
    <w:rsid w:val="002A3D6F"/>
    <w:rsid w:val="002A43BB"/>
    <w:rsid w:val="002A5500"/>
    <w:rsid w:val="002A6270"/>
    <w:rsid w:val="002A62F9"/>
    <w:rsid w:val="002A746F"/>
    <w:rsid w:val="002A7787"/>
    <w:rsid w:val="002A7789"/>
    <w:rsid w:val="002A7BE5"/>
    <w:rsid w:val="002B0C21"/>
    <w:rsid w:val="002B1F24"/>
    <w:rsid w:val="002B2153"/>
    <w:rsid w:val="002B22C6"/>
    <w:rsid w:val="002B279D"/>
    <w:rsid w:val="002B2FF2"/>
    <w:rsid w:val="002B3141"/>
    <w:rsid w:val="002B3160"/>
    <w:rsid w:val="002B333C"/>
    <w:rsid w:val="002B38DD"/>
    <w:rsid w:val="002B4682"/>
    <w:rsid w:val="002B46D9"/>
    <w:rsid w:val="002B4B53"/>
    <w:rsid w:val="002B4D84"/>
    <w:rsid w:val="002B4FF7"/>
    <w:rsid w:val="002B54D8"/>
    <w:rsid w:val="002B5D71"/>
    <w:rsid w:val="002B5EE5"/>
    <w:rsid w:val="002B678F"/>
    <w:rsid w:val="002B69FE"/>
    <w:rsid w:val="002B7263"/>
    <w:rsid w:val="002B75F4"/>
    <w:rsid w:val="002B7957"/>
    <w:rsid w:val="002B7F0D"/>
    <w:rsid w:val="002C061D"/>
    <w:rsid w:val="002C0ED5"/>
    <w:rsid w:val="002C104D"/>
    <w:rsid w:val="002C3283"/>
    <w:rsid w:val="002C33F0"/>
    <w:rsid w:val="002C39E6"/>
    <w:rsid w:val="002C4B69"/>
    <w:rsid w:val="002C4DDA"/>
    <w:rsid w:val="002C582E"/>
    <w:rsid w:val="002C5848"/>
    <w:rsid w:val="002C59DA"/>
    <w:rsid w:val="002C5C04"/>
    <w:rsid w:val="002D01F6"/>
    <w:rsid w:val="002D0C44"/>
    <w:rsid w:val="002D1F5F"/>
    <w:rsid w:val="002D3CD4"/>
    <w:rsid w:val="002D4D71"/>
    <w:rsid w:val="002D4F93"/>
    <w:rsid w:val="002D5CEB"/>
    <w:rsid w:val="002D5E5E"/>
    <w:rsid w:val="002D690D"/>
    <w:rsid w:val="002D69BE"/>
    <w:rsid w:val="002D6A29"/>
    <w:rsid w:val="002D6D73"/>
    <w:rsid w:val="002D70C4"/>
    <w:rsid w:val="002D7717"/>
    <w:rsid w:val="002D7BB0"/>
    <w:rsid w:val="002D7E24"/>
    <w:rsid w:val="002E092B"/>
    <w:rsid w:val="002E0FE1"/>
    <w:rsid w:val="002E13D4"/>
    <w:rsid w:val="002E143C"/>
    <w:rsid w:val="002E274A"/>
    <w:rsid w:val="002E27AF"/>
    <w:rsid w:val="002E3FC5"/>
    <w:rsid w:val="002E4E5E"/>
    <w:rsid w:val="002E581F"/>
    <w:rsid w:val="002E7971"/>
    <w:rsid w:val="002F0005"/>
    <w:rsid w:val="002F0089"/>
    <w:rsid w:val="002F01B6"/>
    <w:rsid w:val="002F04BA"/>
    <w:rsid w:val="002F04D4"/>
    <w:rsid w:val="002F09F0"/>
    <w:rsid w:val="002F1083"/>
    <w:rsid w:val="002F10D8"/>
    <w:rsid w:val="002F122A"/>
    <w:rsid w:val="002F12FD"/>
    <w:rsid w:val="002F134D"/>
    <w:rsid w:val="002F1DDF"/>
    <w:rsid w:val="002F2621"/>
    <w:rsid w:val="002F2C77"/>
    <w:rsid w:val="002F3D02"/>
    <w:rsid w:val="002F3E4C"/>
    <w:rsid w:val="002F5C05"/>
    <w:rsid w:val="002F5DE4"/>
    <w:rsid w:val="002F60E9"/>
    <w:rsid w:val="002F620C"/>
    <w:rsid w:val="002F67A6"/>
    <w:rsid w:val="002F6F46"/>
    <w:rsid w:val="002F708C"/>
    <w:rsid w:val="002F7830"/>
    <w:rsid w:val="002F7D6E"/>
    <w:rsid w:val="002F7E82"/>
    <w:rsid w:val="0030033A"/>
    <w:rsid w:val="00300407"/>
    <w:rsid w:val="0030101A"/>
    <w:rsid w:val="00301CD3"/>
    <w:rsid w:val="003023C9"/>
    <w:rsid w:val="003024BD"/>
    <w:rsid w:val="00302573"/>
    <w:rsid w:val="00302A5D"/>
    <w:rsid w:val="00302DBF"/>
    <w:rsid w:val="00303E8B"/>
    <w:rsid w:val="003048E7"/>
    <w:rsid w:val="00304A45"/>
    <w:rsid w:val="00304D88"/>
    <w:rsid w:val="00305BBF"/>
    <w:rsid w:val="00306FB1"/>
    <w:rsid w:val="00307234"/>
    <w:rsid w:val="00307940"/>
    <w:rsid w:val="00307D84"/>
    <w:rsid w:val="00310720"/>
    <w:rsid w:val="003110FB"/>
    <w:rsid w:val="0031133F"/>
    <w:rsid w:val="00312907"/>
    <w:rsid w:val="00312D35"/>
    <w:rsid w:val="0031330E"/>
    <w:rsid w:val="0031355B"/>
    <w:rsid w:val="003137CC"/>
    <w:rsid w:val="003138E0"/>
    <w:rsid w:val="00313CE9"/>
    <w:rsid w:val="00313E09"/>
    <w:rsid w:val="003140CE"/>
    <w:rsid w:val="00314108"/>
    <w:rsid w:val="0031423E"/>
    <w:rsid w:val="0031524B"/>
    <w:rsid w:val="003154D0"/>
    <w:rsid w:val="003154EA"/>
    <w:rsid w:val="0031555D"/>
    <w:rsid w:val="0031590D"/>
    <w:rsid w:val="003172DA"/>
    <w:rsid w:val="00320424"/>
    <w:rsid w:val="00321BCA"/>
    <w:rsid w:val="00322103"/>
    <w:rsid w:val="00324024"/>
    <w:rsid w:val="003247C7"/>
    <w:rsid w:val="00325C08"/>
    <w:rsid w:val="0032720D"/>
    <w:rsid w:val="003273CF"/>
    <w:rsid w:val="003279D8"/>
    <w:rsid w:val="003279DD"/>
    <w:rsid w:val="00330663"/>
    <w:rsid w:val="00330CE2"/>
    <w:rsid w:val="00330D0F"/>
    <w:rsid w:val="00330D3E"/>
    <w:rsid w:val="0033101B"/>
    <w:rsid w:val="003331D7"/>
    <w:rsid w:val="00334FBB"/>
    <w:rsid w:val="003350BD"/>
    <w:rsid w:val="00335792"/>
    <w:rsid w:val="0033579E"/>
    <w:rsid w:val="00335A2B"/>
    <w:rsid w:val="00336296"/>
    <w:rsid w:val="00336EC4"/>
    <w:rsid w:val="00337203"/>
    <w:rsid w:val="0033798C"/>
    <w:rsid w:val="003379CA"/>
    <w:rsid w:val="00337E88"/>
    <w:rsid w:val="0034062A"/>
    <w:rsid w:val="00340DBA"/>
    <w:rsid w:val="00342F9C"/>
    <w:rsid w:val="00345289"/>
    <w:rsid w:val="003454AC"/>
    <w:rsid w:val="00347EE5"/>
    <w:rsid w:val="00350268"/>
    <w:rsid w:val="00351011"/>
    <w:rsid w:val="0035136A"/>
    <w:rsid w:val="00351983"/>
    <w:rsid w:val="00351C1A"/>
    <w:rsid w:val="0035274F"/>
    <w:rsid w:val="0035279A"/>
    <w:rsid w:val="003527E5"/>
    <w:rsid w:val="00353825"/>
    <w:rsid w:val="0035411A"/>
    <w:rsid w:val="003541E2"/>
    <w:rsid w:val="003545FA"/>
    <w:rsid w:val="00355064"/>
    <w:rsid w:val="00355356"/>
    <w:rsid w:val="003557D8"/>
    <w:rsid w:val="00356A1F"/>
    <w:rsid w:val="00356F86"/>
    <w:rsid w:val="00357185"/>
    <w:rsid w:val="003571D0"/>
    <w:rsid w:val="003576C7"/>
    <w:rsid w:val="00360469"/>
    <w:rsid w:val="00361005"/>
    <w:rsid w:val="0036124A"/>
    <w:rsid w:val="003618ED"/>
    <w:rsid w:val="00361C6E"/>
    <w:rsid w:val="003627A8"/>
    <w:rsid w:val="00363DD3"/>
    <w:rsid w:val="0036424A"/>
    <w:rsid w:val="0036557B"/>
    <w:rsid w:val="003660DA"/>
    <w:rsid w:val="00367C82"/>
    <w:rsid w:val="00367D10"/>
    <w:rsid w:val="0037072C"/>
    <w:rsid w:val="00370B84"/>
    <w:rsid w:val="003712CE"/>
    <w:rsid w:val="00371978"/>
    <w:rsid w:val="00371BD2"/>
    <w:rsid w:val="003722F9"/>
    <w:rsid w:val="00373709"/>
    <w:rsid w:val="00373C0E"/>
    <w:rsid w:val="003757DB"/>
    <w:rsid w:val="00375CDE"/>
    <w:rsid w:val="00375E71"/>
    <w:rsid w:val="00376B2A"/>
    <w:rsid w:val="00376FDC"/>
    <w:rsid w:val="00377C0A"/>
    <w:rsid w:val="00377E7B"/>
    <w:rsid w:val="003803EA"/>
    <w:rsid w:val="00380731"/>
    <w:rsid w:val="00380C22"/>
    <w:rsid w:val="003810E7"/>
    <w:rsid w:val="00381A48"/>
    <w:rsid w:val="00381F12"/>
    <w:rsid w:val="003825CF"/>
    <w:rsid w:val="003826AF"/>
    <w:rsid w:val="003844EA"/>
    <w:rsid w:val="003845D0"/>
    <w:rsid w:val="00384A00"/>
    <w:rsid w:val="00384A17"/>
    <w:rsid w:val="00384A21"/>
    <w:rsid w:val="00384D71"/>
    <w:rsid w:val="00384ED3"/>
    <w:rsid w:val="003851C3"/>
    <w:rsid w:val="00385FA9"/>
    <w:rsid w:val="00386136"/>
    <w:rsid w:val="0038688B"/>
    <w:rsid w:val="0039043F"/>
    <w:rsid w:val="00391FDA"/>
    <w:rsid w:val="003928A8"/>
    <w:rsid w:val="00392B3C"/>
    <w:rsid w:val="00394A19"/>
    <w:rsid w:val="0039544C"/>
    <w:rsid w:val="003958B5"/>
    <w:rsid w:val="003963E9"/>
    <w:rsid w:val="0039650C"/>
    <w:rsid w:val="0039724A"/>
    <w:rsid w:val="003972C1"/>
    <w:rsid w:val="0039780A"/>
    <w:rsid w:val="00397C30"/>
    <w:rsid w:val="00397ED4"/>
    <w:rsid w:val="003A0200"/>
    <w:rsid w:val="003A0BB3"/>
    <w:rsid w:val="003A0CF8"/>
    <w:rsid w:val="003A14D7"/>
    <w:rsid w:val="003A1DEA"/>
    <w:rsid w:val="003A2270"/>
    <w:rsid w:val="003A3568"/>
    <w:rsid w:val="003A3588"/>
    <w:rsid w:val="003A3B00"/>
    <w:rsid w:val="003A3F8C"/>
    <w:rsid w:val="003A4108"/>
    <w:rsid w:val="003A4869"/>
    <w:rsid w:val="003A4BBC"/>
    <w:rsid w:val="003A546C"/>
    <w:rsid w:val="003A57BF"/>
    <w:rsid w:val="003A584E"/>
    <w:rsid w:val="003A5926"/>
    <w:rsid w:val="003A5DC1"/>
    <w:rsid w:val="003A62F4"/>
    <w:rsid w:val="003A642F"/>
    <w:rsid w:val="003A6926"/>
    <w:rsid w:val="003A7C0E"/>
    <w:rsid w:val="003A7D37"/>
    <w:rsid w:val="003A7ECF"/>
    <w:rsid w:val="003B072D"/>
    <w:rsid w:val="003B0E27"/>
    <w:rsid w:val="003B1028"/>
    <w:rsid w:val="003B110C"/>
    <w:rsid w:val="003B16CF"/>
    <w:rsid w:val="003B17F6"/>
    <w:rsid w:val="003B2620"/>
    <w:rsid w:val="003B2CA0"/>
    <w:rsid w:val="003B45C4"/>
    <w:rsid w:val="003B4E3C"/>
    <w:rsid w:val="003B4EBE"/>
    <w:rsid w:val="003B5E40"/>
    <w:rsid w:val="003B67E8"/>
    <w:rsid w:val="003B6804"/>
    <w:rsid w:val="003B73FB"/>
    <w:rsid w:val="003B77D5"/>
    <w:rsid w:val="003B7D18"/>
    <w:rsid w:val="003C00C1"/>
    <w:rsid w:val="003C0389"/>
    <w:rsid w:val="003C05D0"/>
    <w:rsid w:val="003C1380"/>
    <w:rsid w:val="003C282B"/>
    <w:rsid w:val="003C3592"/>
    <w:rsid w:val="003C3743"/>
    <w:rsid w:val="003C3808"/>
    <w:rsid w:val="003C407B"/>
    <w:rsid w:val="003C4E00"/>
    <w:rsid w:val="003C6C5D"/>
    <w:rsid w:val="003C7F36"/>
    <w:rsid w:val="003D003C"/>
    <w:rsid w:val="003D007D"/>
    <w:rsid w:val="003D2156"/>
    <w:rsid w:val="003D227A"/>
    <w:rsid w:val="003D2C9C"/>
    <w:rsid w:val="003D3B8F"/>
    <w:rsid w:val="003D43FE"/>
    <w:rsid w:val="003D4AB9"/>
    <w:rsid w:val="003D4E56"/>
    <w:rsid w:val="003D6736"/>
    <w:rsid w:val="003D6E81"/>
    <w:rsid w:val="003D6FDC"/>
    <w:rsid w:val="003D6FF4"/>
    <w:rsid w:val="003D70E2"/>
    <w:rsid w:val="003D73F4"/>
    <w:rsid w:val="003E045F"/>
    <w:rsid w:val="003E0672"/>
    <w:rsid w:val="003E2252"/>
    <w:rsid w:val="003E26FA"/>
    <w:rsid w:val="003E2C7A"/>
    <w:rsid w:val="003E3101"/>
    <w:rsid w:val="003E416C"/>
    <w:rsid w:val="003E480C"/>
    <w:rsid w:val="003E49B1"/>
    <w:rsid w:val="003E542A"/>
    <w:rsid w:val="003E60AA"/>
    <w:rsid w:val="003E60D6"/>
    <w:rsid w:val="003E7913"/>
    <w:rsid w:val="003E7F7C"/>
    <w:rsid w:val="003F06B4"/>
    <w:rsid w:val="003F0AF0"/>
    <w:rsid w:val="003F140F"/>
    <w:rsid w:val="003F148C"/>
    <w:rsid w:val="003F260E"/>
    <w:rsid w:val="003F2913"/>
    <w:rsid w:val="003F2AFF"/>
    <w:rsid w:val="003F317B"/>
    <w:rsid w:val="003F32C7"/>
    <w:rsid w:val="003F34C4"/>
    <w:rsid w:val="003F5BAD"/>
    <w:rsid w:val="003F6964"/>
    <w:rsid w:val="003F7249"/>
    <w:rsid w:val="003F792E"/>
    <w:rsid w:val="00400B58"/>
    <w:rsid w:val="00401394"/>
    <w:rsid w:val="004019C6"/>
    <w:rsid w:val="00402530"/>
    <w:rsid w:val="004027F9"/>
    <w:rsid w:val="0040301F"/>
    <w:rsid w:val="0040353E"/>
    <w:rsid w:val="004038DA"/>
    <w:rsid w:val="00404334"/>
    <w:rsid w:val="00404364"/>
    <w:rsid w:val="00405083"/>
    <w:rsid w:val="004050C9"/>
    <w:rsid w:val="00405140"/>
    <w:rsid w:val="004057C2"/>
    <w:rsid w:val="00405F96"/>
    <w:rsid w:val="00406E41"/>
    <w:rsid w:val="00407831"/>
    <w:rsid w:val="00407C38"/>
    <w:rsid w:val="00407C4B"/>
    <w:rsid w:val="00407E8F"/>
    <w:rsid w:val="00407F9E"/>
    <w:rsid w:val="00410057"/>
    <w:rsid w:val="00411523"/>
    <w:rsid w:val="0041279C"/>
    <w:rsid w:val="00412C14"/>
    <w:rsid w:val="004143C0"/>
    <w:rsid w:val="004144DA"/>
    <w:rsid w:val="00414BF4"/>
    <w:rsid w:val="00414FD0"/>
    <w:rsid w:val="004150A9"/>
    <w:rsid w:val="00415148"/>
    <w:rsid w:val="00415AC2"/>
    <w:rsid w:val="004161D7"/>
    <w:rsid w:val="004164DD"/>
    <w:rsid w:val="00416F5E"/>
    <w:rsid w:val="00417AD7"/>
    <w:rsid w:val="00417EB0"/>
    <w:rsid w:val="0042187D"/>
    <w:rsid w:val="004219A7"/>
    <w:rsid w:val="004219C5"/>
    <w:rsid w:val="00421AC2"/>
    <w:rsid w:val="0042239B"/>
    <w:rsid w:val="004229B3"/>
    <w:rsid w:val="00424E87"/>
    <w:rsid w:val="00425A47"/>
    <w:rsid w:val="00425DF8"/>
    <w:rsid w:val="00426646"/>
    <w:rsid w:val="00427365"/>
    <w:rsid w:val="004277CB"/>
    <w:rsid w:val="00430156"/>
    <w:rsid w:val="004308BE"/>
    <w:rsid w:val="00430B75"/>
    <w:rsid w:val="00432AE2"/>
    <w:rsid w:val="00432DEB"/>
    <w:rsid w:val="00433650"/>
    <w:rsid w:val="00433887"/>
    <w:rsid w:val="00434235"/>
    <w:rsid w:val="004342AE"/>
    <w:rsid w:val="00436411"/>
    <w:rsid w:val="004364C3"/>
    <w:rsid w:val="0043707C"/>
    <w:rsid w:val="00437995"/>
    <w:rsid w:val="004379C0"/>
    <w:rsid w:val="004409C8"/>
    <w:rsid w:val="00440B40"/>
    <w:rsid w:val="00442BAE"/>
    <w:rsid w:val="00442D56"/>
    <w:rsid w:val="0044388E"/>
    <w:rsid w:val="00443967"/>
    <w:rsid w:val="00443B12"/>
    <w:rsid w:val="00445221"/>
    <w:rsid w:val="00446ED4"/>
    <w:rsid w:val="004472BC"/>
    <w:rsid w:val="0044753B"/>
    <w:rsid w:val="00450269"/>
    <w:rsid w:val="00451456"/>
    <w:rsid w:val="00451469"/>
    <w:rsid w:val="004518FA"/>
    <w:rsid w:val="00451D55"/>
    <w:rsid w:val="0045210E"/>
    <w:rsid w:val="004547FA"/>
    <w:rsid w:val="00454BE3"/>
    <w:rsid w:val="004556D2"/>
    <w:rsid w:val="00456161"/>
    <w:rsid w:val="004562C5"/>
    <w:rsid w:val="00456649"/>
    <w:rsid w:val="0045704D"/>
    <w:rsid w:val="004573C8"/>
    <w:rsid w:val="00460208"/>
    <w:rsid w:val="00460B7A"/>
    <w:rsid w:val="00461070"/>
    <w:rsid w:val="004611A6"/>
    <w:rsid w:val="0046139F"/>
    <w:rsid w:val="004622BB"/>
    <w:rsid w:val="00462405"/>
    <w:rsid w:val="004626B3"/>
    <w:rsid w:val="00463089"/>
    <w:rsid w:val="004632AD"/>
    <w:rsid w:val="00463A30"/>
    <w:rsid w:val="00463D1A"/>
    <w:rsid w:val="004648F2"/>
    <w:rsid w:val="00464AB5"/>
    <w:rsid w:val="00464D45"/>
    <w:rsid w:val="00464DCB"/>
    <w:rsid w:val="0046531E"/>
    <w:rsid w:val="0046587F"/>
    <w:rsid w:val="00466B2C"/>
    <w:rsid w:val="004673BF"/>
    <w:rsid w:val="00467526"/>
    <w:rsid w:val="0047018E"/>
    <w:rsid w:val="00470F04"/>
    <w:rsid w:val="00471273"/>
    <w:rsid w:val="00471AE4"/>
    <w:rsid w:val="00471C29"/>
    <w:rsid w:val="00473755"/>
    <w:rsid w:val="00473805"/>
    <w:rsid w:val="0047441C"/>
    <w:rsid w:val="00474D98"/>
    <w:rsid w:val="00475042"/>
    <w:rsid w:val="004756E6"/>
    <w:rsid w:val="00475B3F"/>
    <w:rsid w:val="00475E4A"/>
    <w:rsid w:val="0047629F"/>
    <w:rsid w:val="004762BB"/>
    <w:rsid w:val="00477B07"/>
    <w:rsid w:val="00477D13"/>
    <w:rsid w:val="004802DA"/>
    <w:rsid w:val="00480A72"/>
    <w:rsid w:val="00480AF5"/>
    <w:rsid w:val="00480B3C"/>
    <w:rsid w:val="004823AF"/>
    <w:rsid w:val="00482496"/>
    <w:rsid w:val="00482977"/>
    <w:rsid w:val="00483564"/>
    <w:rsid w:val="004836A9"/>
    <w:rsid w:val="00483B07"/>
    <w:rsid w:val="00483B5A"/>
    <w:rsid w:val="0048441B"/>
    <w:rsid w:val="004847A7"/>
    <w:rsid w:val="004859C4"/>
    <w:rsid w:val="00485CD2"/>
    <w:rsid w:val="00486B3B"/>
    <w:rsid w:val="00486CA7"/>
    <w:rsid w:val="004875A3"/>
    <w:rsid w:val="00487B72"/>
    <w:rsid w:val="00487C0C"/>
    <w:rsid w:val="00487D41"/>
    <w:rsid w:val="00490128"/>
    <w:rsid w:val="0049049E"/>
    <w:rsid w:val="00490E01"/>
    <w:rsid w:val="00491270"/>
    <w:rsid w:val="0049183D"/>
    <w:rsid w:val="00492042"/>
    <w:rsid w:val="00492654"/>
    <w:rsid w:val="00492792"/>
    <w:rsid w:val="00492D27"/>
    <w:rsid w:val="004935DA"/>
    <w:rsid w:val="004938E6"/>
    <w:rsid w:val="00493C02"/>
    <w:rsid w:val="00493F6A"/>
    <w:rsid w:val="0049445C"/>
    <w:rsid w:val="00494A14"/>
    <w:rsid w:val="004953EA"/>
    <w:rsid w:val="00495D2F"/>
    <w:rsid w:val="00497068"/>
    <w:rsid w:val="004971CD"/>
    <w:rsid w:val="00497A68"/>
    <w:rsid w:val="00497E28"/>
    <w:rsid w:val="004A08B6"/>
    <w:rsid w:val="004A0D37"/>
    <w:rsid w:val="004A0F8E"/>
    <w:rsid w:val="004A1A9A"/>
    <w:rsid w:val="004A1F97"/>
    <w:rsid w:val="004A24F0"/>
    <w:rsid w:val="004A2972"/>
    <w:rsid w:val="004A3207"/>
    <w:rsid w:val="004A3879"/>
    <w:rsid w:val="004A41DA"/>
    <w:rsid w:val="004A4309"/>
    <w:rsid w:val="004A4535"/>
    <w:rsid w:val="004A5337"/>
    <w:rsid w:val="004A53FC"/>
    <w:rsid w:val="004A5E18"/>
    <w:rsid w:val="004A676B"/>
    <w:rsid w:val="004A726D"/>
    <w:rsid w:val="004A72D0"/>
    <w:rsid w:val="004A7BA9"/>
    <w:rsid w:val="004B0747"/>
    <w:rsid w:val="004B1565"/>
    <w:rsid w:val="004B16E9"/>
    <w:rsid w:val="004B1B4D"/>
    <w:rsid w:val="004B203F"/>
    <w:rsid w:val="004B238E"/>
    <w:rsid w:val="004B2423"/>
    <w:rsid w:val="004B2489"/>
    <w:rsid w:val="004B25BD"/>
    <w:rsid w:val="004B2903"/>
    <w:rsid w:val="004B2B12"/>
    <w:rsid w:val="004B3C1B"/>
    <w:rsid w:val="004B57F9"/>
    <w:rsid w:val="004B62F6"/>
    <w:rsid w:val="004B65C8"/>
    <w:rsid w:val="004B73DB"/>
    <w:rsid w:val="004C0AEC"/>
    <w:rsid w:val="004C0D97"/>
    <w:rsid w:val="004C0DFF"/>
    <w:rsid w:val="004C0FFE"/>
    <w:rsid w:val="004C1072"/>
    <w:rsid w:val="004C1830"/>
    <w:rsid w:val="004C1B43"/>
    <w:rsid w:val="004C2612"/>
    <w:rsid w:val="004C2809"/>
    <w:rsid w:val="004C2F58"/>
    <w:rsid w:val="004C3627"/>
    <w:rsid w:val="004C493C"/>
    <w:rsid w:val="004C4F6D"/>
    <w:rsid w:val="004C5154"/>
    <w:rsid w:val="004C550F"/>
    <w:rsid w:val="004C5BC3"/>
    <w:rsid w:val="004C6EA6"/>
    <w:rsid w:val="004C74B8"/>
    <w:rsid w:val="004C7624"/>
    <w:rsid w:val="004C77A0"/>
    <w:rsid w:val="004C78C5"/>
    <w:rsid w:val="004C7BAB"/>
    <w:rsid w:val="004D03E4"/>
    <w:rsid w:val="004D15CC"/>
    <w:rsid w:val="004D1C1F"/>
    <w:rsid w:val="004D3250"/>
    <w:rsid w:val="004D3B56"/>
    <w:rsid w:val="004D47CF"/>
    <w:rsid w:val="004D4C84"/>
    <w:rsid w:val="004D52E4"/>
    <w:rsid w:val="004D5CD3"/>
    <w:rsid w:val="004D66DA"/>
    <w:rsid w:val="004D77C5"/>
    <w:rsid w:val="004D7CAD"/>
    <w:rsid w:val="004D7E05"/>
    <w:rsid w:val="004E00D7"/>
    <w:rsid w:val="004E01B1"/>
    <w:rsid w:val="004E0567"/>
    <w:rsid w:val="004E2336"/>
    <w:rsid w:val="004E2ADE"/>
    <w:rsid w:val="004E2C61"/>
    <w:rsid w:val="004E2E53"/>
    <w:rsid w:val="004E321D"/>
    <w:rsid w:val="004E332B"/>
    <w:rsid w:val="004E33D9"/>
    <w:rsid w:val="004E371C"/>
    <w:rsid w:val="004E39CD"/>
    <w:rsid w:val="004E3A61"/>
    <w:rsid w:val="004E3BC8"/>
    <w:rsid w:val="004E3ECF"/>
    <w:rsid w:val="004E40B5"/>
    <w:rsid w:val="004E4670"/>
    <w:rsid w:val="004E4985"/>
    <w:rsid w:val="004E62D3"/>
    <w:rsid w:val="004E684C"/>
    <w:rsid w:val="004E68AB"/>
    <w:rsid w:val="004E71A2"/>
    <w:rsid w:val="004E74CA"/>
    <w:rsid w:val="004E7DD9"/>
    <w:rsid w:val="004E7EA9"/>
    <w:rsid w:val="004F040F"/>
    <w:rsid w:val="004F1052"/>
    <w:rsid w:val="004F1239"/>
    <w:rsid w:val="004F16E2"/>
    <w:rsid w:val="004F1E95"/>
    <w:rsid w:val="004F342F"/>
    <w:rsid w:val="004F385D"/>
    <w:rsid w:val="004F45FC"/>
    <w:rsid w:val="004F54A7"/>
    <w:rsid w:val="004F612D"/>
    <w:rsid w:val="004F61B0"/>
    <w:rsid w:val="004F62DC"/>
    <w:rsid w:val="004F63AD"/>
    <w:rsid w:val="004F65D0"/>
    <w:rsid w:val="004F6668"/>
    <w:rsid w:val="004F6937"/>
    <w:rsid w:val="004F6E7F"/>
    <w:rsid w:val="005000E1"/>
    <w:rsid w:val="00500551"/>
    <w:rsid w:val="005008CE"/>
    <w:rsid w:val="005009DD"/>
    <w:rsid w:val="00500A3F"/>
    <w:rsid w:val="00501764"/>
    <w:rsid w:val="00501959"/>
    <w:rsid w:val="00501C2D"/>
    <w:rsid w:val="00501E8B"/>
    <w:rsid w:val="00502C58"/>
    <w:rsid w:val="00502D56"/>
    <w:rsid w:val="00503E3D"/>
    <w:rsid w:val="005041F8"/>
    <w:rsid w:val="005044DE"/>
    <w:rsid w:val="00504796"/>
    <w:rsid w:val="0050625B"/>
    <w:rsid w:val="005065F8"/>
    <w:rsid w:val="005074C2"/>
    <w:rsid w:val="0050765F"/>
    <w:rsid w:val="0050768D"/>
    <w:rsid w:val="0050792E"/>
    <w:rsid w:val="00507C13"/>
    <w:rsid w:val="00511286"/>
    <w:rsid w:val="00511616"/>
    <w:rsid w:val="00512160"/>
    <w:rsid w:val="00512567"/>
    <w:rsid w:val="0051279E"/>
    <w:rsid w:val="005132C7"/>
    <w:rsid w:val="00513327"/>
    <w:rsid w:val="00513623"/>
    <w:rsid w:val="0051405B"/>
    <w:rsid w:val="005140C4"/>
    <w:rsid w:val="00514EAD"/>
    <w:rsid w:val="00515086"/>
    <w:rsid w:val="00515E52"/>
    <w:rsid w:val="00516687"/>
    <w:rsid w:val="005166B2"/>
    <w:rsid w:val="00517D12"/>
    <w:rsid w:val="005201C2"/>
    <w:rsid w:val="00521087"/>
    <w:rsid w:val="0052155B"/>
    <w:rsid w:val="00521A9C"/>
    <w:rsid w:val="00521E3B"/>
    <w:rsid w:val="0052341D"/>
    <w:rsid w:val="005242B5"/>
    <w:rsid w:val="005243A5"/>
    <w:rsid w:val="00524A3A"/>
    <w:rsid w:val="00524AAC"/>
    <w:rsid w:val="00525B81"/>
    <w:rsid w:val="0052723E"/>
    <w:rsid w:val="00527B1A"/>
    <w:rsid w:val="00530061"/>
    <w:rsid w:val="0053055E"/>
    <w:rsid w:val="00530BE4"/>
    <w:rsid w:val="00530C8B"/>
    <w:rsid w:val="00531148"/>
    <w:rsid w:val="005314EE"/>
    <w:rsid w:val="00531616"/>
    <w:rsid w:val="00531F60"/>
    <w:rsid w:val="005332DF"/>
    <w:rsid w:val="005346F2"/>
    <w:rsid w:val="00534828"/>
    <w:rsid w:val="00536D87"/>
    <w:rsid w:val="00536FAD"/>
    <w:rsid w:val="0053739A"/>
    <w:rsid w:val="00537A86"/>
    <w:rsid w:val="00540429"/>
    <w:rsid w:val="005407CD"/>
    <w:rsid w:val="005407EE"/>
    <w:rsid w:val="005409CF"/>
    <w:rsid w:val="0054271E"/>
    <w:rsid w:val="0054316A"/>
    <w:rsid w:val="00543442"/>
    <w:rsid w:val="00544175"/>
    <w:rsid w:val="00544258"/>
    <w:rsid w:val="0054521A"/>
    <w:rsid w:val="00545D03"/>
    <w:rsid w:val="00546B62"/>
    <w:rsid w:val="00547A69"/>
    <w:rsid w:val="00547CAC"/>
    <w:rsid w:val="005504BA"/>
    <w:rsid w:val="00550712"/>
    <w:rsid w:val="005520DA"/>
    <w:rsid w:val="00552A66"/>
    <w:rsid w:val="0055355D"/>
    <w:rsid w:val="00553D69"/>
    <w:rsid w:val="00553F6A"/>
    <w:rsid w:val="005547AF"/>
    <w:rsid w:val="005547D9"/>
    <w:rsid w:val="005550AB"/>
    <w:rsid w:val="00555627"/>
    <w:rsid w:val="00555C20"/>
    <w:rsid w:val="00555D01"/>
    <w:rsid w:val="00555DC8"/>
    <w:rsid w:val="005567AE"/>
    <w:rsid w:val="00556FD0"/>
    <w:rsid w:val="00557670"/>
    <w:rsid w:val="005578AB"/>
    <w:rsid w:val="00557A26"/>
    <w:rsid w:val="00557D07"/>
    <w:rsid w:val="0056010B"/>
    <w:rsid w:val="00561150"/>
    <w:rsid w:val="005613B7"/>
    <w:rsid w:val="00561B72"/>
    <w:rsid w:val="00562635"/>
    <w:rsid w:val="0056309D"/>
    <w:rsid w:val="00563480"/>
    <w:rsid w:val="00563E5D"/>
    <w:rsid w:val="00564487"/>
    <w:rsid w:val="005648BA"/>
    <w:rsid w:val="00564CEC"/>
    <w:rsid w:val="00565F90"/>
    <w:rsid w:val="005669C2"/>
    <w:rsid w:val="00566C2D"/>
    <w:rsid w:val="0056705E"/>
    <w:rsid w:val="0056711D"/>
    <w:rsid w:val="00567EC2"/>
    <w:rsid w:val="00567F55"/>
    <w:rsid w:val="00570064"/>
    <w:rsid w:val="00570415"/>
    <w:rsid w:val="00570894"/>
    <w:rsid w:val="00570C64"/>
    <w:rsid w:val="00570C86"/>
    <w:rsid w:val="005710DD"/>
    <w:rsid w:val="005716D8"/>
    <w:rsid w:val="005717C4"/>
    <w:rsid w:val="0057203D"/>
    <w:rsid w:val="00572227"/>
    <w:rsid w:val="00573B7F"/>
    <w:rsid w:val="005741E4"/>
    <w:rsid w:val="005743E4"/>
    <w:rsid w:val="005749DE"/>
    <w:rsid w:val="00574E83"/>
    <w:rsid w:val="005751F3"/>
    <w:rsid w:val="00575674"/>
    <w:rsid w:val="005759B4"/>
    <w:rsid w:val="00575AA5"/>
    <w:rsid w:val="00576681"/>
    <w:rsid w:val="00577364"/>
    <w:rsid w:val="005775FA"/>
    <w:rsid w:val="00577F13"/>
    <w:rsid w:val="005800A0"/>
    <w:rsid w:val="00580158"/>
    <w:rsid w:val="005805F3"/>
    <w:rsid w:val="005807AF"/>
    <w:rsid w:val="00582667"/>
    <w:rsid w:val="00582745"/>
    <w:rsid w:val="005829AF"/>
    <w:rsid w:val="00583030"/>
    <w:rsid w:val="00583D29"/>
    <w:rsid w:val="00584006"/>
    <w:rsid w:val="00584400"/>
    <w:rsid w:val="0058447D"/>
    <w:rsid w:val="00584D37"/>
    <w:rsid w:val="00585057"/>
    <w:rsid w:val="00585B86"/>
    <w:rsid w:val="00585E74"/>
    <w:rsid w:val="0058628D"/>
    <w:rsid w:val="00586372"/>
    <w:rsid w:val="00586C3F"/>
    <w:rsid w:val="00587778"/>
    <w:rsid w:val="00587B61"/>
    <w:rsid w:val="00591CEB"/>
    <w:rsid w:val="00591FE9"/>
    <w:rsid w:val="0059281C"/>
    <w:rsid w:val="005928C1"/>
    <w:rsid w:val="00593768"/>
    <w:rsid w:val="005938A1"/>
    <w:rsid w:val="0059442A"/>
    <w:rsid w:val="00594661"/>
    <w:rsid w:val="00594CCE"/>
    <w:rsid w:val="00594F3F"/>
    <w:rsid w:val="00594FB3"/>
    <w:rsid w:val="00595615"/>
    <w:rsid w:val="0059562C"/>
    <w:rsid w:val="00595B85"/>
    <w:rsid w:val="005A00E8"/>
    <w:rsid w:val="005A0259"/>
    <w:rsid w:val="005A19DE"/>
    <w:rsid w:val="005A19E1"/>
    <w:rsid w:val="005A2448"/>
    <w:rsid w:val="005A2AD5"/>
    <w:rsid w:val="005A31ED"/>
    <w:rsid w:val="005A336A"/>
    <w:rsid w:val="005A3C12"/>
    <w:rsid w:val="005A3DA9"/>
    <w:rsid w:val="005A3E13"/>
    <w:rsid w:val="005A44B4"/>
    <w:rsid w:val="005A5407"/>
    <w:rsid w:val="005A597D"/>
    <w:rsid w:val="005A775E"/>
    <w:rsid w:val="005B0065"/>
    <w:rsid w:val="005B0E0A"/>
    <w:rsid w:val="005B0EF6"/>
    <w:rsid w:val="005B2220"/>
    <w:rsid w:val="005B39C4"/>
    <w:rsid w:val="005B3BA5"/>
    <w:rsid w:val="005B457D"/>
    <w:rsid w:val="005B4648"/>
    <w:rsid w:val="005B4BCC"/>
    <w:rsid w:val="005B5423"/>
    <w:rsid w:val="005B5E3A"/>
    <w:rsid w:val="005B6122"/>
    <w:rsid w:val="005B61E9"/>
    <w:rsid w:val="005B649F"/>
    <w:rsid w:val="005B65A4"/>
    <w:rsid w:val="005B6A9E"/>
    <w:rsid w:val="005B75D9"/>
    <w:rsid w:val="005C05D7"/>
    <w:rsid w:val="005C15B2"/>
    <w:rsid w:val="005C1882"/>
    <w:rsid w:val="005C1928"/>
    <w:rsid w:val="005C1929"/>
    <w:rsid w:val="005C2096"/>
    <w:rsid w:val="005C2213"/>
    <w:rsid w:val="005C36D5"/>
    <w:rsid w:val="005C3768"/>
    <w:rsid w:val="005C445B"/>
    <w:rsid w:val="005C50C8"/>
    <w:rsid w:val="005C5335"/>
    <w:rsid w:val="005C5866"/>
    <w:rsid w:val="005C740E"/>
    <w:rsid w:val="005C78BA"/>
    <w:rsid w:val="005D030E"/>
    <w:rsid w:val="005D05A5"/>
    <w:rsid w:val="005D06F2"/>
    <w:rsid w:val="005D0968"/>
    <w:rsid w:val="005D0C5A"/>
    <w:rsid w:val="005D0DC9"/>
    <w:rsid w:val="005D13E7"/>
    <w:rsid w:val="005D1D05"/>
    <w:rsid w:val="005D2953"/>
    <w:rsid w:val="005D33D7"/>
    <w:rsid w:val="005D346C"/>
    <w:rsid w:val="005D3D15"/>
    <w:rsid w:val="005D47F3"/>
    <w:rsid w:val="005D5205"/>
    <w:rsid w:val="005D6688"/>
    <w:rsid w:val="005D6915"/>
    <w:rsid w:val="005D6FFF"/>
    <w:rsid w:val="005D710B"/>
    <w:rsid w:val="005D72C3"/>
    <w:rsid w:val="005D7342"/>
    <w:rsid w:val="005D7713"/>
    <w:rsid w:val="005D7C3A"/>
    <w:rsid w:val="005E01E4"/>
    <w:rsid w:val="005E0594"/>
    <w:rsid w:val="005E0838"/>
    <w:rsid w:val="005E0C42"/>
    <w:rsid w:val="005E0E83"/>
    <w:rsid w:val="005E117B"/>
    <w:rsid w:val="005E141B"/>
    <w:rsid w:val="005E1DD3"/>
    <w:rsid w:val="005E1F0F"/>
    <w:rsid w:val="005E205B"/>
    <w:rsid w:val="005E3442"/>
    <w:rsid w:val="005E34F9"/>
    <w:rsid w:val="005E3B05"/>
    <w:rsid w:val="005E4874"/>
    <w:rsid w:val="005E4DBF"/>
    <w:rsid w:val="005E590F"/>
    <w:rsid w:val="005E5B41"/>
    <w:rsid w:val="005E6B51"/>
    <w:rsid w:val="005E736C"/>
    <w:rsid w:val="005E7DFD"/>
    <w:rsid w:val="005F0C01"/>
    <w:rsid w:val="005F1005"/>
    <w:rsid w:val="005F15B0"/>
    <w:rsid w:val="005F1788"/>
    <w:rsid w:val="005F2D81"/>
    <w:rsid w:val="005F321E"/>
    <w:rsid w:val="005F36AF"/>
    <w:rsid w:val="005F3E04"/>
    <w:rsid w:val="005F3E7A"/>
    <w:rsid w:val="005F4475"/>
    <w:rsid w:val="005F4745"/>
    <w:rsid w:val="005F500F"/>
    <w:rsid w:val="005F5295"/>
    <w:rsid w:val="005F596C"/>
    <w:rsid w:val="005F5A50"/>
    <w:rsid w:val="005F668F"/>
    <w:rsid w:val="005F74C0"/>
    <w:rsid w:val="005F770D"/>
    <w:rsid w:val="006006CA"/>
    <w:rsid w:val="00600D25"/>
    <w:rsid w:val="00601082"/>
    <w:rsid w:val="006015BF"/>
    <w:rsid w:val="00601C89"/>
    <w:rsid w:val="00602876"/>
    <w:rsid w:val="00602F8E"/>
    <w:rsid w:val="00602FF6"/>
    <w:rsid w:val="00603F0B"/>
    <w:rsid w:val="00604043"/>
    <w:rsid w:val="00604B5F"/>
    <w:rsid w:val="00604CB5"/>
    <w:rsid w:val="00604CC6"/>
    <w:rsid w:val="00604F4E"/>
    <w:rsid w:val="006053D8"/>
    <w:rsid w:val="00606053"/>
    <w:rsid w:val="0060656B"/>
    <w:rsid w:val="006065FF"/>
    <w:rsid w:val="00606D8A"/>
    <w:rsid w:val="006075A1"/>
    <w:rsid w:val="00607951"/>
    <w:rsid w:val="00607AE2"/>
    <w:rsid w:val="00607F2F"/>
    <w:rsid w:val="006110BB"/>
    <w:rsid w:val="00611E1C"/>
    <w:rsid w:val="00611F70"/>
    <w:rsid w:val="00612077"/>
    <w:rsid w:val="006122D6"/>
    <w:rsid w:val="00612CB3"/>
    <w:rsid w:val="00615472"/>
    <w:rsid w:val="00615BB5"/>
    <w:rsid w:val="00616CDF"/>
    <w:rsid w:val="00617EB5"/>
    <w:rsid w:val="00620383"/>
    <w:rsid w:val="006205CA"/>
    <w:rsid w:val="00622557"/>
    <w:rsid w:val="006235F2"/>
    <w:rsid w:val="00623621"/>
    <w:rsid w:val="006236B8"/>
    <w:rsid w:val="006236D8"/>
    <w:rsid w:val="00624144"/>
    <w:rsid w:val="00624211"/>
    <w:rsid w:val="00624465"/>
    <w:rsid w:val="00624D71"/>
    <w:rsid w:val="00625699"/>
    <w:rsid w:val="00625995"/>
    <w:rsid w:val="006264CC"/>
    <w:rsid w:val="0062689A"/>
    <w:rsid w:val="00626A0B"/>
    <w:rsid w:val="00626D7B"/>
    <w:rsid w:val="00626F6F"/>
    <w:rsid w:val="00630ED2"/>
    <w:rsid w:val="0063171A"/>
    <w:rsid w:val="0063173C"/>
    <w:rsid w:val="00631A46"/>
    <w:rsid w:val="00631A7F"/>
    <w:rsid w:val="00632001"/>
    <w:rsid w:val="00632055"/>
    <w:rsid w:val="00632145"/>
    <w:rsid w:val="00632A03"/>
    <w:rsid w:val="00632CCE"/>
    <w:rsid w:val="0063405A"/>
    <w:rsid w:val="00635017"/>
    <w:rsid w:val="00635815"/>
    <w:rsid w:val="006363B1"/>
    <w:rsid w:val="00636410"/>
    <w:rsid w:val="0063657D"/>
    <w:rsid w:val="00636DEB"/>
    <w:rsid w:val="0063756D"/>
    <w:rsid w:val="00637C32"/>
    <w:rsid w:val="0064026A"/>
    <w:rsid w:val="006407B0"/>
    <w:rsid w:val="006416BD"/>
    <w:rsid w:val="0064199F"/>
    <w:rsid w:val="00642152"/>
    <w:rsid w:val="0064250C"/>
    <w:rsid w:val="0064272B"/>
    <w:rsid w:val="006427BB"/>
    <w:rsid w:val="00642AE4"/>
    <w:rsid w:val="00642B12"/>
    <w:rsid w:val="0064306A"/>
    <w:rsid w:val="0064314A"/>
    <w:rsid w:val="00643605"/>
    <w:rsid w:val="00643629"/>
    <w:rsid w:val="00643E24"/>
    <w:rsid w:val="006442A5"/>
    <w:rsid w:val="00644848"/>
    <w:rsid w:val="006449EC"/>
    <w:rsid w:val="00644B94"/>
    <w:rsid w:val="00645423"/>
    <w:rsid w:val="0064573C"/>
    <w:rsid w:val="00645D29"/>
    <w:rsid w:val="006469F5"/>
    <w:rsid w:val="00646E62"/>
    <w:rsid w:val="00647070"/>
    <w:rsid w:val="006477A2"/>
    <w:rsid w:val="00650216"/>
    <w:rsid w:val="0065026D"/>
    <w:rsid w:val="006503D4"/>
    <w:rsid w:val="00651378"/>
    <w:rsid w:val="006513C6"/>
    <w:rsid w:val="006520E6"/>
    <w:rsid w:val="006521A1"/>
    <w:rsid w:val="00652A12"/>
    <w:rsid w:val="00652BED"/>
    <w:rsid w:val="00652DBB"/>
    <w:rsid w:val="00653C5C"/>
    <w:rsid w:val="00653E22"/>
    <w:rsid w:val="00653F58"/>
    <w:rsid w:val="00654139"/>
    <w:rsid w:val="006549D5"/>
    <w:rsid w:val="0065507B"/>
    <w:rsid w:val="006550AC"/>
    <w:rsid w:val="0065562C"/>
    <w:rsid w:val="006557F1"/>
    <w:rsid w:val="00655B82"/>
    <w:rsid w:val="006568F5"/>
    <w:rsid w:val="006573EA"/>
    <w:rsid w:val="00657628"/>
    <w:rsid w:val="00657A74"/>
    <w:rsid w:val="00657DB2"/>
    <w:rsid w:val="00660E00"/>
    <w:rsid w:val="00660FD0"/>
    <w:rsid w:val="00661716"/>
    <w:rsid w:val="0066179D"/>
    <w:rsid w:val="0066179E"/>
    <w:rsid w:val="00661918"/>
    <w:rsid w:val="00661B6F"/>
    <w:rsid w:val="00662681"/>
    <w:rsid w:val="006632D8"/>
    <w:rsid w:val="00663625"/>
    <w:rsid w:val="006637AE"/>
    <w:rsid w:val="00663CA4"/>
    <w:rsid w:val="0066431E"/>
    <w:rsid w:val="0066450E"/>
    <w:rsid w:val="0066497F"/>
    <w:rsid w:val="00665AAB"/>
    <w:rsid w:val="00665CD8"/>
    <w:rsid w:val="00666FAA"/>
    <w:rsid w:val="00666FBA"/>
    <w:rsid w:val="006674F2"/>
    <w:rsid w:val="00667523"/>
    <w:rsid w:val="006701A4"/>
    <w:rsid w:val="00670AB9"/>
    <w:rsid w:val="00670C9F"/>
    <w:rsid w:val="00671003"/>
    <w:rsid w:val="00671B77"/>
    <w:rsid w:val="00672EE3"/>
    <w:rsid w:val="006734D1"/>
    <w:rsid w:val="00673768"/>
    <w:rsid w:val="00673C58"/>
    <w:rsid w:val="00674027"/>
    <w:rsid w:val="00674968"/>
    <w:rsid w:val="00676131"/>
    <w:rsid w:val="00676B9A"/>
    <w:rsid w:val="00677675"/>
    <w:rsid w:val="0067780D"/>
    <w:rsid w:val="006778A6"/>
    <w:rsid w:val="00680A2C"/>
    <w:rsid w:val="0068102F"/>
    <w:rsid w:val="006814DD"/>
    <w:rsid w:val="00681E53"/>
    <w:rsid w:val="0068204C"/>
    <w:rsid w:val="00683122"/>
    <w:rsid w:val="0068372B"/>
    <w:rsid w:val="0068393D"/>
    <w:rsid w:val="00683CA3"/>
    <w:rsid w:val="00683D70"/>
    <w:rsid w:val="0068455C"/>
    <w:rsid w:val="0068463F"/>
    <w:rsid w:val="00685121"/>
    <w:rsid w:val="006851F5"/>
    <w:rsid w:val="0068545F"/>
    <w:rsid w:val="00687784"/>
    <w:rsid w:val="00690D48"/>
    <w:rsid w:val="006915AD"/>
    <w:rsid w:val="00691733"/>
    <w:rsid w:val="00691DC2"/>
    <w:rsid w:val="00691FA2"/>
    <w:rsid w:val="006920D1"/>
    <w:rsid w:val="00692283"/>
    <w:rsid w:val="006922FB"/>
    <w:rsid w:val="00692D61"/>
    <w:rsid w:val="00693552"/>
    <w:rsid w:val="00693964"/>
    <w:rsid w:val="0069404C"/>
    <w:rsid w:val="0069469F"/>
    <w:rsid w:val="0069517F"/>
    <w:rsid w:val="006960A9"/>
    <w:rsid w:val="0069636F"/>
    <w:rsid w:val="006964DB"/>
    <w:rsid w:val="006966A3"/>
    <w:rsid w:val="00696EDC"/>
    <w:rsid w:val="00696FFC"/>
    <w:rsid w:val="006A0059"/>
    <w:rsid w:val="006A02B9"/>
    <w:rsid w:val="006A07F0"/>
    <w:rsid w:val="006A09A5"/>
    <w:rsid w:val="006A1154"/>
    <w:rsid w:val="006A2034"/>
    <w:rsid w:val="006A28B8"/>
    <w:rsid w:val="006A2BE2"/>
    <w:rsid w:val="006A2D18"/>
    <w:rsid w:val="006A36E9"/>
    <w:rsid w:val="006A3875"/>
    <w:rsid w:val="006A491A"/>
    <w:rsid w:val="006A5439"/>
    <w:rsid w:val="006A5891"/>
    <w:rsid w:val="006A58B3"/>
    <w:rsid w:val="006A68E7"/>
    <w:rsid w:val="006A6901"/>
    <w:rsid w:val="006A6D02"/>
    <w:rsid w:val="006A73D9"/>
    <w:rsid w:val="006A7E4B"/>
    <w:rsid w:val="006B0067"/>
    <w:rsid w:val="006B0373"/>
    <w:rsid w:val="006B0E66"/>
    <w:rsid w:val="006B17AF"/>
    <w:rsid w:val="006B1B29"/>
    <w:rsid w:val="006B241F"/>
    <w:rsid w:val="006B24D0"/>
    <w:rsid w:val="006B26AC"/>
    <w:rsid w:val="006B286E"/>
    <w:rsid w:val="006B2B8E"/>
    <w:rsid w:val="006B36AB"/>
    <w:rsid w:val="006B4659"/>
    <w:rsid w:val="006B50DF"/>
    <w:rsid w:val="006B5239"/>
    <w:rsid w:val="006B53A7"/>
    <w:rsid w:val="006B5CC6"/>
    <w:rsid w:val="006B6348"/>
    <w:rsid w:val="006B6CC7"/>
    <w:rsid w:val="006B7063"/>
    <w:rsid w:val="006B7167"/>
    <w:rsid w:val="006B7B91"/>
    <w:rsid w:val="006C0DA1"/>
    <w:rsid w:val="006C10F3"/>
    <w:rsid w:val="006C2168"/>
    <w:rsid w:val="006C292F"/>
    <w:rsid w:val="006C2A19"/>
    <w:rsid w:val="006C2C66"/>
    <w:rsid w:val="006C3198"/>
    <w:rsid w:val="006C36AB"/>
    <w:rsid w:val="006C37C6"/>
    <w:rsid w:val="006C3A37"/>
    <w:rsid w:val="006C43DA"/>
    <w:rsid w:val="006C4478"/>
    <w:rsid w:val="006C5505"/>
    <w:rsid w:val="006C5612"/>
    <w:rsid w:val="006C626F"/>
    <w:rsid w:val="006C6489"/>
    <w:rsid w:val="006C6E6E"/>
    <w:rsid w:val="006C7070"/>
    <w:rsid w:val="006C7931"/>
    <w:rsid w:val="006C7BF4"/>
    <w:rsid w:val="006C7ED4"/>
    <w:rsid w:val="006D1774"/>
    <w:rsid w:val="006D24AF"/>
    <w:rsid w:val="006D2D5D"/>
    <w:rsid w:val="006D3BC5"/>
    <w:rsid w:val="006D3E70"/>
    <w:rsid w:val="006D3EDB"/>
    <w:rsid w:val="006D455E"/>
    <w:rsid w:val="006D4CEE"/>
    <w:rsid w:val="006D4D71"/>
    <w:rsid w:val="006D5B1B"/>
    <w:rsid w:val="006D6499"/>
    <w:rsid w:val="006D6DF3"/>
    <w:rsid w:val="006D71B7"/>
    <w:rsid w:val="006D7BDD"/>
    <w:rsid w:val="006D7CBB"/>
    <w:rsid w:val="006E04E6"/>
    <w:rsid w:val="006E11A6"/>
    <w:rsid w:val="006E12D5"/>
    <w:rsid w:val="006E13B6"/>
    <w:rsid w:val="006E1662"/>
    <w:rsid w:val="006E22F9"/>
    <w:rsid w:val="006E3136"/>
    <w:rsid w:val="006E3E14"/>
    <w:rsid w:val="006E455C"/>
    <w:rsid w:val="006E49B5"/>
    <w:rsid w:val="006E5533"/>
    <w:rsid w:val="006E55DD"/>
    <w:rsid w:val="006E5D1F"/>
    <w:rsid w:val="006E6F58"/>
    <w:rsid w:val="006E70BB"/>
    <w:rsid w:val="006E77BC"/>
    <w:rsid w:val="006E79D9"/>
    <w:rsid w:val="006E7CCB"/>
    <w:rsid w:val="006F10F0"/>
    <w:rsid w:val="006F1634"/>
    <w:rsid w:val="006F18DC"/>
    <w:rsid w:val="006F190F"/>
    <w:rsid w:val="006F1DC9"/>
    <w:rsid w:val="006F21F0"/>
    <w:rsid w:val="006F294A"/>
    <w:rsid w:val="006F2C83"/>
    <w:rsid w:val="006F378E"/>
    <w:rsid w:val="006F46FF"/>
    <w:rsid w:val="006F4CD7"/>
    <w:rsid w:val="006F4E53"/>
    <w:rsid w:val="006F4E76"/>
    <w:rsid w:val="006F50F7"/>
    <w:rsid w:val="006F5315"/>
    <w:rsid w:val="006F595B"/>
    <w:rsid w:val="006F59A5"/>
    <w:rsid w:val="006F5DBD"/>
    <w:rsid w:val="006F6540"/>
    <w:rsid w:val="006F6BDE"/>
    <w:rsid w:val="006F7392"/>
    <w:rsid w:val="006F79B2"/>
    <w:rsid w:val="00700B70"/>
    <w:rsid w:val="00703042"/>
    <w:rsid w:val="0070348F"/>
    <w:rsid w:val="00705858"/>
    <w:rsid w:val="007060C8"/>
    <w:rsid w:val="0070659B"/>
    <w:rsid w:val="007069BF"/>
    <w:rsid w:val="00707BEA"/>
    <w:rsid w:val="00707CFF"/>
    <w:rsid w:val="007106E4"/>
    <w:rsid w:val="0071083B"/>
    <w:rsid w:val="00710E10"/>
    <w:rsid w:val="00711248"/>
    <w:rsid w:val="00711DB5"/>
    <w:rsid w:val="007125D3"/>
    <w:rsid w:val="007131D2"/>
    <w:rsid w:val="007133E6"/>
    <w:rsid w:val="00713BAF"/>
    <w:rsid w:val="00715079"/>
    <w:rsid w:val="0071617A"/>
    <w:rsid w:val="007168ED"/>
    <w:rsid w:val="00716935"/>
    <w:rsid w:val="0071707B"/>
    <w:rsid w:val="007172FD"/>
    <w:rsid w:val="00717D60"/>
    <w:rsid w:val="007214C4"/>
    <w:rsid w:val="007215A2"/>
    <w:rsid w:val="00721DE3"/>
    <w:rsid w:val="00721DF0"/>
    <w:rsid w:val="007226D4"/>
    <w:rsid w:val="00722A26"/>
    <w:rsid w:val="00724062"/>
    <w:rsid w:val="0072560D"/>
    <w:rsid w:val="0072600F"/>
    <w:rsid w:val="0072601D"/>
    <w:rsid w:val="00726BBF"/>
    <w:rsid w:val="007275BB"/>
    <w:rsid w:val="007305DD"/>
    <w:rsid w:val="00732316"/>
    <w:rsid w:val="007323A1"/>
    <w:rsid w:val="007323CC"/>
    <w:rsid w:val="00732A6A"/>
    <w:rsid w:val="00732D97"/>
    <w:rsid w:val="00733A40"/>
    <w:rsid w:val="007340AA"/>
    <w:rsid w:val="007345DE"/>
    <w:rsid w:val="00735255"/>
    <w:rsid w:val="007358F4"/>
    <w:rsid w:val="00735ED2"/>
    <w:rsid w:val="007364C3"/>
    <w:rsid w:val="00736FD7"/>
    <w:rsid w:val="00737229"/>
    <w:rsid w:val="0073729B"/>
    <w:rsid w:val="0073767C"/>
    <w:rsid w:val="00737733"/>
    <w:rsid w:val="00737C97"/>
    <w:rsid w:val="007410D1"/>
    <w:rsid w:val="007416B3"/>
    <w:rsid w:val="0074214E"/>
    <w:rsid w:val="007428C0"/>
    <w:rsid w:val="00742B5C"/>
    <w:rsid w:val="00742EB8"/>
    <w:rsid w:val="007436D0"/>
    <w:rsid w:val="0074393C"/>
    <w:rsid w:val="0074395B"/>
    <w:rsid w:val="0074396A"/>
    <w:rsid w:val="00743A88"/>
    <w:rsid w:val="0074456E"/>
    <w:rsid w:val="0074469F"/>
    <w:rsid w:val="007452C4"/>
    <w:rsid w:val="00745C89"/>
    <w:rsid w:val="00747965"/>
    <w:rsid w:val="00747D9F"/>
    <w:rsid w:val="007514CA"/>
    <w:rsid w:val="00751809"/>
    <w:rsid w:val="00751F26"/>
    <w:rsid w:val="00753002"/>
    <w:rsid w:val="00753138"/>
    <w:rsid w:val="00753171"/>
    <w:rsid w:val="007531B0"/>
    <w:rsid w:val="00753429"/>
    <w:rsid w:val="00753D33"/>
    <w:rsid w:val="00754D74"/>
    <w:rsid w:val="007559A9"/>
    <w:rsid w:val="007567F9"/>
    <w:rsid w:val="00756A84"/>
    <w:rsid w:val="007604E1"/>
    <w:rsid w:val="0076179A"/>
    <w:rsid w:val="0076207F"/>
    <w:rsid w:val="0076245D"/>
    <w:rsid w:val="00762C07"/>
    <w:rsid w:val="00762C25"/>
    <w:rsid w:val="0076358E"/>
    <w:rsid w:val="007637FA"/>
    <w:rsid w:val="00763FFE"/>
    <w:rsid w:val="00764003"/>
    <w:rsid w:val="0076444E"/>
    <w:rsid w:val="00764606"/>
    <w:rsid w:val="00764EA7"/>
    <w:rsid w:val="00765974"/>
    <w:rsid w:val="00766AC0"/>
    <w:rsid w:val="00766CE5"/>
    <w:rsid w:val="0076716A"/>
    <w:rsid w:val="00767283"/>
    <w:rsid w:val="00767B49"/>
    <w:rsid w:val="0077005A"/>
    <w:rsid w:val="00770310"/>
    <w:rsid w:val="00770530"/>
    <w:rsid w:val="007705E5"/>
    <w:rsid w:val="00770E40"/>
    <w:rsid w:val="00771E09"/>
    <w:rsid w:val="00772312"/>
    <w:rsid w:val="0077277C"/>
    <w:rsid w:val="007727BD"/>
    <w:rsid w:val="00773313"/>
    <w:rsid w:val="0077360C"/>
    <w:rsid w:val="007736F4"/>
    <w:rsid w:val="007743B0"/>
    <w:rsid w:val="00774CF5"/>
    <w:rsid w:val="00775044"/>
    <w:rsid w:val="00775742"/>
    <w:rsid w:val="0077585E"/>
    <w:rsid w:val="00776DC3"/>
    <w:rsid w:val="00777964"/>
    <w:rsid w:val="00781088"/>
    <w:rsid w:val="00782C89"/>
    <w:rsid w:val="00782D50"/>
    <w:rsid w:val="00782EDB"/>
    <w:rsid w:val="007830EB"/>
    <w:rsid w:val="00783845"/>
    <w:rsid w:val="00783A5F"/>
    <w:rsid w:val="00783C46"/>
    <w:rsid w:val="00783C5B"/>
    <w:rsid w:val="00784352"/>
    <w:rsid w:val="0078459C"/>
    <w:rsid w:val="00784B85"/>
    <w:rsid w:val="007856B1"/>
    <w:rsid w:val="00785D82"/>
    <w:rsid w:val="00786B58"/>
    <w:rsid w:val="00786BFC"/>
    <w:rsid w:val="0079097B"/>
    <w:rsid w:val="00790A93"/>
    <w:rsid w:val="00790E8D"/>
    <w:rsid w:val="007915A0"/>
    <w:rsid w:val="007917C0"/>
    <w:rsid w:val="00791B2D"/>
    <w:rsid w:val="00791BB6"/>
    <w:rsid w:val="00791FA4"/>
    <w:rsid w:val="007921E8"/>
    <w:rsid w:val="00792760"/>
    <w:rsid w:val="00792913"/>
    <w:rsid w:val="0079377F"/>
    <w:rsid w:val="00793E31"/>
    <w:rsid w:val="0079436C"/>
    <w:rsid w:val="0079490B"/>
    <w:rsid w:val="00795E85"/>
    <w:rsid w:val="0079609E"/>
    <w:rsid w:val="00796334"/>
    <w:rsid w:val="00796BCF"/>
    <w:rsid w:val="00797E8C"/>
    <w:rsid w:val="007A21CB"/>
    <w:rsid w:val="007A27C3"/>
    <w:rsid w:val="007A4425"/>
    <w:rsid w:val="007A478E"/>
    <w:rsid w:val="007A4EE1"/>
    <w:rsid w:val="007A5423"/>
    <w:rsid w:val="007A5A1E"/>
    <w:rsid w:val="007A68CE"/>
    <w:rsid w:val="007A6B8C"/>
    <w:rsid w:val="007A70A4"/>
    <w:rsid w:val="007A7464"/>
    <w:rsid w:val="007B0775"/>
    <w:rsid w:val="007B097E"/>
    <w:rsid w:val="007B0DA4"/>
    <w:rsid w:val="007B10C4"/>
    <w:rsid w:val="007B1700"/>
    <w:rsid w:val="007B1CE6"/>
    <w:rsid w:val="007B1D33"/>
    <w:rsid w:val="007B1D78"/>
    <w:rsid w:val="007B22D3"/>
    <w:rsid w:val="007B36D3"/>
    <w:rsid w:val="007B3F50"/>
    <w:rsid w:val="007B41F0"/>
    <w:rsid w:val="007B5632"/>
    <w:rsid w:val="007B56F6"/>
    <w:rsid w:val="007B6B0A"/>
    <w:rsid w:val="007B6E40"/>
    <w:rsid w:val="007B6F5D"/>
    <w:rsid w:val="007B7D87"/>
    <w:rsid w:val="007C0141"/>
    <w:rsid w:val="007C0BB7"/>
    <w:rsid w:val="007C0C58"/>
    <w:rsid w:val="007C0F56"/>
    <w:rsid w:val="007C2819"/>
    <w:rsid w:val="007C39DA"/>
    <w:rsid w:val="007C3D62"/>
    <w:rsid w:val="007C41D1"/>
    <w:rsid w:val="007C4641"/>
    <w:rsid w:val="007C4712"/>
    <w:rsid w:val="007C5671"/>
    <w:rsid w:val="007C68A0"/>
    <w:rsid w:val="007C6E9F"/>
    <w:rsid w:val="007C7426"/>
    <w:rsid w:val="007D07D0"/>
    <w:rsid w:val="007D07D1"/>
    <w:rsid w:val="007D08E9"/>
    <w:rsid w:val="007D1E91"/>
    <w:rsid w:val="007D3D19"/>
    <w:rsid w:val="007D4152"/>
    <w:rsid w:val="007D4CDC"/>
    <w:rsid w:val="007D549E"/>
    <w:rsid w:val="007D5F30"/>
    <w:rsid w:val="007D6368"/>
    <w:rsid w:val="007D637A"/>
    <w:rsid w:val="007D6C36"/>
    <w:rsid w:val="007D6E1A"/>
    <w:rsid w:val="007D781A"/>
    <w:rsid w:val="007D798F"/>
    <w:rsid w:val="007E0033"/>
    <w:rsid w:val="007E0A41"/>
    <w:rsid w:val="007E1037"/>
    <w:rsid w:val="007E1565"/>
    <w:rsid w:val="007E1BD7"/>
    <w:rsid w:val="007E1D6A"/>
    <w:rsid w:val="007E217F"/>
    <w:rsid w:val="007E2CAA"/>
    <w:rsid w:val="007E3194"/>
    <w:rsid w:val="007E3D5B"/>
    <w:rsid w:val="007E450D"/>
    <w:rsid w:val="007E4573"/>
    <w:rsid w:val="007E4691"/>
    <w:rsid w:val="007E53ED"/>
    <w:rsid w:val="007E5602"/>
    <w:rsid w:val="007E56A9"/>
    <w:rsid w:val="007F1375"/>
    <w:rsid w:val="007F1E2C"/>
    <w:rsid w:val="007F243D"/>
    <w:rsid w:val="007F2473"/>
    <w:rsid w:val="007F26FF"/>
    <w:rsid w:val="007F33B3"/>
    <w:rsid w:val="007F36F7"/>
    <w:rsid w:val="007F3794"/>
    <w:rsid w:val="007F3856"/>
    <w:rsid w:val="007F3900"/>
    <w:rsid w:val="007F41E6"/>
    <w:rsid w:val="007F55D4"/>
    <w:rsid w:val="007F56D1"/>
    <w:rsid w:val="007F68C3"/>
    <w:rsid w:val="007F6C7E"/>
    <w:rsid w:val="007F779D"/>
    <w:rsid w:val="007F7EF0"/>
    <w:rsid w:val="0080043B"/>
    <w:rsid w:val="008007CE"/>
    <w:rsid w:val="00800CCA"/>
    <w:rsid w:val="0080125F"/>
    <w:rsid w:val="0080131B"/>
    <w:rsid w:val="008036E8"/>
    <w:rsid w:val="00803801"/>
    <w:rsid w:val="00803D10"/>
    <w:rsid w:val="008045ED"/>
    <w:rsid w:val="00804AC8"/>
    <w:rsid w:val="008060EE"/>
    <w:rsid w:val="00806F17"/>
    <w:rsid w:val="00807311"/>
    <w:rsid w:val="00807C03"/>
    <w:rsid w:val="00807C99"/>
    <w:rsid w:val="00810838"/>
    <w:rsid w:val="00810B49"/>
    <w:rsid w:val="008110A6"/>
    <w:rsid w:val="00811E69"/>
    <w:rsid w:val="00811EF2"/>
    <w:rsid w:val="00812051"/>
    <w:rsid w:val="00812D40"/>
    <w:rsid w:val="00812F3A"/>
    <w:rsid w:val="00813420"/>
    <w:rsid w:val="00814B20"/>
    <w:rsid w:val="00814BAD"/>
    <w:rsid w:val="00815007"/>
    <w:rsid w:val="00815899"/>
    <w:rsid w:val="008158C3"/>
    <w:rsid w:val="00816AD0"/>
    <w:rsid w:val="008174E0"/>
    <w:rsid w:val="008202CB"/>
    <w:rsid w:val="008208F4"/>
    <w:rsid w:val="00820ABE"/>
    <w:rsid w:val="00820C80"/>
    <w:rsid w:val="00820D76"/>
    <w:rsid w:val="0082180C"/>
    <w:rsid w:val="008224D4"/>
    <w:rsid w:val="00822D81"/>
    <w:rsid w:val="008236F1"/>
    <w:rsid w:val="008239C7"/>
    <w:rsid w:val="00825199"/>
    <w:rsid w:val="008251E9"/>
    <w:rsid w:val="008256BA"/>
    <w:rsid w:val="0082648D"/>
    <w:rsid w:val="0082650A"/>
    <w:rsid w:val="00826AC6"/>
    <w:rsid w:val="00826E2C"/>
    <w:rsid w:val="00826E70"/>
    <w:rsid w:val="00827058"/>
    <w:rsid w:val="008275FA"/>
    <w:rsid w:val="00827D6D"/>
    <w:rsid w:val="00827E64"/>
    <w:rsid w:val="00827EA7"/>
    <w:rsid w:val="0083041D"/>
    <w:rsid w:val="00830420"/>
    <w:rsid w:val="0083050E"/>
    <w:rsid w:val="008307F9"/>
    <w:rsid w:val="008309D7"/>
    <w:rsid w:val="00830BE2"/>
    <w:rsid w:val="00831B15"/>
    <w:rsid w:val="00831DC2"/>
    <w:rsid w:val="008321B1"/>
    <w:rsid w:val="008324B0"/>
    <w:rsid w:val="0083278B"/>
    <w:rsid w:val="00833560"/>
    <w:rsid w:val="008335D8"/>
    <w:rsid w:val="008342F5"/>
    <w:rsid w:val="00834D2F"/>
    <w:rsid w:val="00835089"/>
    <w:rsid w:val="00835158"/>
    <w:rsid w:val="008351EC"/>
    <w:rsid w:val="008358DE"/>
    <w:rsid w:val="00835A2B"/>
    <w:rsid w:val="00835B32"/>
    <w:rsid w:val="00835C67"/>
    <w:rsid w:val="00835E2E"/>
    <w:rsid w:val="00835E45"/>
    <w:rsid w:val="008366BC"/>
    <w:rsid w:val="0083673E"/>
    <w:rsid w:val="008369BD"/>
    <w:rsid w:val="00836B79"/>
    <w:rsid w:val="00837FFC"/>
    <w:rsid w:val="008403FA"/>
    <w:rsid w:val="00840509"/>
    <w:rsid w:val="00841846"/>
    <w:rsid w:val="008421A7"/>
    <w:rsid w:val="00842EF6"/>
    <w:rsid w:val="00843183"/>
    <w:rsid w:val="00843DBB"/>
    <w:rsid w:val="00844079"/>
    <w:rsid w:val="00844FBF"/>
    <w:rsid w:val="008453F6"/>
    <w:rsid w:val="00845BBB"/>
    <w:rsid w:val="00846B4B"/>
    <w:rsid w:val="00846E00"/>
    <w:rsid w:val="0084760C"/>
    <w:rsid w:val="0085084E"/>
    <w:rsid w:val="00850CF2"/>
    <w:rsid w:val="00851897"/>
    <w:rsid w:val="008532B2"/>
    <w:rsid w:val="00853407"/>
    <w:rsid w:val="00853C4A"/>
    <w:rsid w:val="00854945"/>
    <w:rsid w:val="008558F8"/>
    <w:rsid w:val="0085591C"/>
    <w:rsid w:val="0085632C"/>
    <w:rsid w:val="0085665D"/>
    <w:rsid w:val="0085692C"/>
    <w:rsid w:val="00856B6F"/>
    <w:rsid w:val="00856DFC"/>
    <w:rsid w:val="00856FC2"/>
    <w:rsid w:val="008575BC"/>
    <w:rsid w:val="00860D49"/>
    <w:rsid w:val="00860E95"/>
    <w:rsid w:val="008615AE"/>
    <w:rsid w:val="00861760"/>
    <w:rsid w:val="00861C8F"/>
    <w:rsid w:val="00862B59"/>
    <w:rsid w:val="00862E0C"/>
    <w:rsid w:val="00863566"/>
    <w:rsid w:val="00864412"/>
    <w:rsid w:val="00864EBE"/>
    <w:rsid w:val="00865E92"/>
    <w:rsid w:val="0086716B"/>
    <w:rsid w:val="0086722D"/>
    <w:rsid w:val="0086754F"/>
    <w:rsid w:val="008676A3"/>
    <w:rsid w:val="00867805"/>
    <w:rsid w:val="00871193"/>
    <w:rsid w:val="00871407"/>
    <w:rsid w:val="00871543"/>
    <w:rsid w:val="00871CDB"/>
    <w:rsid w:val="00871E20"/>
    <w:rsid w:val="008724CE"/>
    <w:rsid w:val="008724FD"/>
    <w:rsid w:val="00872716"/>
    <w:rsid w:val="008727E1"/>
    <w:rsid w:val="00874142"/>
    <w:rsid w:val="0087425A"/>
    <w:rsid w:val="008742DB"/>
    <w:rsid w:val="00874453"/>
    <w:rsid w:val="008752B1"/>
    <w:rsid w:val="008753CE"/>
    <w:rsid w:val="00875747"/>
    <w:rsid w:val="00875E5D"/>
    <w:rsid w:val="00876694"/>
    <w:rsid w:val="00876866"/>
    <w:rsid w:val="00877DB6"/>
    <w:rsid w:val="00877FA5"/>
    <w:rsid w:val="008807BB"/>
    <w:rsid w:val="008809BC"/>
    <w:rsid w:val="0088134E"/>
    <w:rsid w:val="008815F8"/>
    <w:rsid w:val="00882274"/>
    <w:rsid w:val="00882A42"/>
    <w:rsid w:val="00883BAE"/>
    <w:rsid w:val="00884E64"/>
    <w:rsid w:val="00884F4C"/>
    <w:rsid w:val="00884F88"/>
    <w:rsid w:val="008858BD"/>
    <w:rsid w:val="00885ECD"/>
    <w:rsid w:val="00886F77"/>
    <w:rsid w:val="008871FA"/>
    <w:rsid w:val="0089009E"/>
    <w:rsid w:val="0089101A"/>
    <w:rsid w:val="008911E8"/>
    <w:rsid w:val="008921F7"/>
    <w:rsid w:val="00892D86"/>
    <w:rsid w:val="00893051"/>
    <w:rsid w:val="00893D7A"/>
    <w:rsid w:val="00893E15"/>
    <w:rsid w:val="008948A9"/>
    <w:rsid w:val="00894A2D"/>
    <w:rsid w:val="00894BCE"/>
    <w:rsid w:val="00894BF5"/>
    <w:rsid w:val="00895348"/>
    <w:rsid w:val="00895415"/>
    <w:rsid w:val="00896072"/>
    <w:rsid w:val="00896C51"/>
    <w:rsid w:val="00896D04"/>
    <w:rsid w:val="008971FC"/>
    <w:rsid w:val="008972D2"/>
    <w:rsid w:val="0089761C"/>
    <w:rsid w:val="00897830"/>
    <w:rsid w:val="00897B23"/>
    <w:rsid w:val="008A134A"/>
    <w:rsid w:val="008A18A2"/>
    <w:rsid w:val="008A1A03"/>
    <w:rsid w:val="008A2C4A"/>
    <w:rsid w:val="008A42E8"/>
    <w:rsid w:val="008A4604"/>
    <w:rsid w:val="008A4965"/>
    <w:rsid w:val="008A5916"/>
    <w:rsid w:val="008A5993"/>
    <w:rsid w:val="008A5CB8"/>
    <w:rsid w:val="008A6263"/>
    <w:rsid w:val="008A6305"/>
    <w:rsid w:val="008A63B7"/>
    <w:rsid w:val="008A6A8E"/>
    <w:rsid w:val="008A7129"/>
    <w:rsid w:val="008A72A6"/>
    <w:rsid w:val="008A7705"/>
    <w:rsid w:val="008A7745"/>
    <w:rsid w:val="008B0939"/>
    <w:rsid w:val="008B0BB2"/>
    <w:rsid w:val="008B0C82"/>
    <w:rsid w:val="008B0E15"/>
    <w:rsid w:val="008B103D"/>
    <w:rsid w:val="008B207F"/>
    <w:rsid w:val="008B27CB"/>
    <w:rsid w:val="008B3044"/>
    <w:rsid w:val="008B3729"/>
    <w:rsid w:val="008B3B9C"/>
    <w:rsid w:val="008B4C24"/>
    <w:rsid w:val="008B513C"/>
    <w:rsid w:val="008B55F1"/>
    <w:rsid w:val="008B5DFB"/>
    <w:rsid w:val="008B5E0B"/>
    <w:rsid w:val="008B6A78"/>
    <w:rsid w:val="008B6BE8"/>
    <w:rsid w:val="008B6D8C"/>
    <w:rsid w:val="008B6D9A"/>
    <w:rsid w:val="008C0502"/>
    <w:rsid w:val="008C0CD1"/>
    <w:rsid w:val="008C1FBC"/>
    <w:rsid w:val="008C2DA0"/>
    <w:rsid w:val="008C34FC"/>
    <w:rsid w:val="008C36DE"/>
    <w:rsid w:val="008C42B2"/>
    <w:rsid w:val="008C4448"/>
    <w:rsid w:val="008C5444"/>
    <w:rsid w:val="008C5B11"/>
    <w:rsid w:val="008C6B13"/>
    <w:rsid w:val="008D1071"/>
    <w:rsid w:val="008D1441"/>
    <w:rsid w:val="008D1706"/>
    <w:rsid w:val="008D20C4"/>
    <w:rsid w:val="008D2139"/>
    <w:rsid w:val="008D2B5C"/>
    <w:rsid w:val="008D2C2B"/>
    <w:rsid w:val="008D3BB3"/>
    <w:rsid w:val="008D4A39"/>
    <w:rsid w:val="008D53E2"/>
    <w:rsid w:val="008D5AD0"/>
    <w:rsid w:val="008D61E7"/>
    <w:rsid w:val="008D6962"/>
    <w:rsid w:val="008D752C"/>
    <w:rsid w:val="008D7595"/>
    <w:rsid w:val="008D7750"/>
    <w:rsid w:val="008D7840"/>
    <w:rsid w:val="008D7EB3"/>
    <w:rsid w:val="008E0212"/>
    <w:rsid w:val="008E0732"/>
    <w:rsid w:val="008E0DDF"/>
    <w:rsid w:val="008E1245"/>
    <w:rsid w:val="008E13A9"/>
    <w:rsid w:val="008E1A72"/>
    <w:rsid w:val="008E1CE5"/>
    <w:rsid w:val="008E1F1A"/>
    <w:rsid w:val="008E3557"/>
    <w:rsid w:val="008E41E1"/>
    <w:rsid w:val="008E4209"/>
    <w:rsid w:val="008E430F"/>
    <w:rsid w:val="008E4F21"/>
    <w:rsid w:val="008E516E"/>
    <w:rsid w:val="008E59B4"/>
    <w:rsid w:val="008E5A64"/>
    <w:rsid w:val="008E5A81"/>
    <w:rsid w:val="008E5B24"/>
    <w:rsid w:val="008E65DF"/>
    <w:rsid w:val="008E694E"/>
    <w:rsid w:val="008E6AAD"/>
    <w:rsid w:val="008E6B19"/>
    <w:rsid w:val="008E722B"/>
    <w:rsid w:val="008E7F44"/>
    <w:rsid w:val="008F01BC"/>
    <w:rsid w:val="008F1337"/>
    <w:rsid w:val="008F1971"/>
    <w:rsid w:val="008F1CB5"/>
    <w:rsid w:val="008F204A"/>
    <w:rsid w:val="008F20FA"/>
    <w:rsid w:val="008F24D3"/>
    <w:rsid w:val="008F2719"/>
    <w:rsid w:val="008F4822"/>
    <w:rsid w:val="008F4F1D"/>
    <w:rsid w:val="008F5D80"/>
    <w:rsid w:val="008F64FF"/>
    <w:rsid w:val="008F6CCB"/>
    <w:rsid w:val="008F72FA"/>
    <w:rsid w:val="008F7532"/>
    <w:rsid w:val="008F76B1"/>
    <w:rsid w:val="008F786E"/>
    <w:rsid w:val="00900966"/>
    <w:rsid w:val="00901222"/>
    <w:rsid w:val="00901876"/>
    <w:rsid w:val="00901CF0"/>
    <w:rsid w:val="00901E82"/>
    <w:rsid w:val="009027B1"/>
    <w:rsid w:val="0090350C"/>
    <w:rsid w:val="00903827"/>
    <w:rsid w:val="0090490D"/>
    <w:rsid w:val="00904D4C"/>
    <w:rsid w:val="00904EAD"/>
    <w:rsid w:val="0090549B"/>
    <w:rsid w:val="00905B80"/>
    <w:rsid w:val="0090775A"/>
    <w:rsid w:val="00907831"/>
    <w:rsid w:val="0091029A"/>
    <w:rsid w:val="00911CC4"/>
    <w:rsid w:val="00911EA7"/>
    <w:rsid w:val="00912195"/>
    <w:rsid w:val="00912677"/>
    <w:rsid w:val="0091302A"/>
    <w:rsid w:val="009132B0"/>
    <w:rsid w:val="00913AD6"/>
    <w:rsid w:val="00913AE4"/>
    <w:rsid w:val="00913E1B"/>
    <w:rsid w:val="009140C2"/>
    <w:rsid w:val="0091418C"/>
    <w:rsid w:val="009146CE"/>
    <w:rsid w:val="00914AE8"/>
    <w:rsid w:val="009150BB"/>
    <w:rsid w:val="00916328"/>
    <w:rsid w:val="0091677D"/>
    <w:rsid w:val="00916A8A"/>
    <w:rsid w:val="00917973"/>
    <w:rsid w:val="009204BF"/>
    <w:rsid w:val="00920C5B"/>
    <w:rsid w:val="009227C6"/>
    <w:rsid w:val="00922D6D"/>
    <w:rsid w:val="00922DB6"/>
    <w:rsid w:val="00922E20"/>
    <w:rsid w:val="009231FF"/>
    <w:rsid w:val="0092326A"/>
    <w:rsid w:val="00923440"/>
    <w:rsid w:val="00925075"/>
    <w:rsid w:val="00925F7C"/>
    <w:rsid w:val="00926846"/>
    <w:rsid w:val="00926F6E"/>
    <w:rsid w:val="009273E4"/>
    <w:rsid w:val="00927453"/>
    <w:rsid w:val="00927BBA"/>
    <w:rsid w:val="009312F9"/>
    <w:rsid w:val="00931533"/>
    <w:rsid w:val="00931EF8"/>
    <w:rsid w:val="00932D3A"/>
    <w:rsid w:val="0093352E"/>
    <w:rsid w:val="00933647"/>
    <w:rsid w:val="00933B13"/>
    <w:rsid w:val="009349E3"/>
    <w:rsid w:val="00934BD2"/>
    <w:rsid w:val="009359C0"/>
    <w:rsid w:val="00935C72"/>
    <w:rsid w:val="0093628B"/>
    <w:rsid w:val="00937DBF"/>
    <w:rsid w:val="00941194"/>
    <w:rsid w:val="009428A8"/>
    <w:rsid w:val="00942ED7"/>
    <w:rsid w:val="00942F12"/>
    <w:rsid w:val="009433AD"/>
    <w:rsid w:val="009438E6"/>
    <w:rsid w:val="00944100"/>
    <w:rsid w:val="00944F9D"/>
    <w:rsid w:val="00945641"/>
    <w:rsid w:val="00945D5B"/>
    <w:rsid w:val="00946636"/>
    <w:rsid w:val="009476B7"/>
    <w:rsid w:val="009476C1"/>
    <w:rsid w:val="00947872"/>
    <w:rsid w:val="00947E91"/>
    <w:rsid w:val="009507CA"/>
    <w:rsid w:val="00950975"/>
    <w:rsid w:val="00950D76"/>
    <w:rsid w:val="00951C19"/>
    <w:rsid w:val="009527C7"/>
    <w:rsid w:val="009529D3"/>
    <w:rsid w:val="00952A74"/>
    <w:rsid w:val="0095323E"/>
    <w:rsid w:val="009533AE"/>
    <w:rsid w:val="00954552"/>
    <w:rsid w:val="00954874"/>
    <w:rsid w:val="009555A6"/>
    <w:rsid w:val="00957E1F"/>
    <w:rsid w:val="0096069C"/>
    <w:rsid w:val="00961B2A"/>
    <w:rsid w:val="009624C6"/>
    <w:rsid w:val="009625C9"/>
    <w:rsid w:val="00964325"/>
    <w:rsid w:val="00964632"/>
    <w:rsid w:val="00964898"/>
    <w:rsid w:val="0096499E"/>
    <w:rsid w:val="0096625F"/>
    <w:rsid w:val="00966911"/>
    <w:rsid w:val="00966EF7"/>
    <w:rsid w:val="009676B0"/>
    <w:rsid w:val="009702DA"/>
    <w:rsid w:val="009710D6"/>
    <w:rsid w:val="0097114A"/>
    <w:rsid w:val="00971D35"/>
    <w:rsid w:val="00971E30"/>
    <w:rsid w:val="0097352D"/>
    <w:rsid w:val="009735C5"/>
    <w:rsid w:val="00974163"/>
    <w:rsid w:val="009742DD"/>
    <w:rsid w:val="00975616"/>
    <w:rsid w:val="00975AB9"/>
    <w:rsid w:val="00976326"/>
    <w:rsid w:val="00976424"/>
    <w:rsid w:val="00976A76"/>
    <w:rsid w:val="0097741C"/>
    <w:rsid w:val="009801A3"/>
    <w:rsid w:val="00981FDB"/>
    <w:rsid w:val="009825B3"/>
    <w:rsid w:val="00982913"/>
    <w:rsid w:val="00982A3C"/>
    <w:rsid w:val="00982EEB"/>
    <w:rsid w:val="009835A2"/>
    <w:rsid w:val="009836E7"/>
    <w:rsid w:val="00983DF0"/>
    <w:rsid w:val="0098442B"/>
    <w:rsid w:val="009862B4"/>
    <w:rsid w:val="0098652E"/>
    <w:rsid w:val="009866B4"/>
    <w:rsid w:val="009869A1"/>
    <w:rsid w:val="00986EC1"/>
    <w:rsid w:val="009906E7"/>
    <w:rsid w:val="00990936"/>
    <w:rsid w:val="00992B18"/>
    <w:rsid w:val="00992B1D"/>
    <w:rsid w:val="00992C45"/>
    <w:rsid w:val="00992E5A"/>
    <w:rsid w:val="009932EF"/>
    <w:rsid w:val="00993D33"/>
    <w:rsid w:val="009940A4"/>
    <w:rsid w:val="009941C0"/>
    <w:rsid w:val="00994B3E"/>
    <w:rsid w:val="00994B88"/>
    <w:rsid w:val="009958CA"/>
    <w:rsid w:val="0099672C"/>
    <w:rsid w:val="009967CF"/>
    <w:rsid w:val="009968FD"/>
    <w:rsid w:val="009969C8"/>
    <w:rsid w:val="0099786F"/>
    <w:rsid w:val="009979CB"/>
    <w:rsid w:val="00997BE0"/>
    <w:rsid w:val="009A0BF5"/>
    <w:rsid w:val="009A0F3B"/>
    <w:rsid w:val="009A1048"/>
    <w:rsid w:val="009A1A28"/>
    <w:rsid w:val="009A1CFB"/>
    <w:rsid w:val="009A1D3A"/>
    <w:rsid w:val="009A1D65"/>
    <w:rsid w:val="009A2000"/>
    <w:rsid w:val="009A2036"/>
    <w:rsid w:val="009A2057"/>
    <w:rsid w:val="009A3EEF"/>
    <w:rsid w:val="009A4F2D"/>
    <w:rsid w:val="009A524E"/>
    <w:rsid w:val="009A53B5"/>
    <w:rsid w:val="009A55BA"/>
    <w:rsid w:val="009A5D56"/>
    <w:rsid w:val="009A5FE8"/>
    <w:rsid w:val="009A6104"/>
    <w:rsid w:val="009A64D8"/>
    <w:rsid w:val="009A6DCB"/>
    <w:rsid w:val="009A715C"/>
    <w:rsid w:val="009A7F72"/>
    <w:rsid w:val="009B076B"/>
    <w:rsid w:val="009B0E4E"/>
    <w:rsid w:val="009B1D16"/>
    <w:rsid w:val="009B1E85"/>
    <w:rsid w:val="009B23D9"/>
    <w:rsid w:val="009B27EA"/>
    <w:rsid w:val="009B290B"/>
    <w:rsid w:val="009B36DC"/>
    <w:rsid w:val="009B4035"/>
    <w:rsid w:val="009B46C9"/>
    <w:rsid w:val="009B46FE"/>
    <w:rsid w:val="009B5678"/>
    <w:rsid w:val="009B591C"/>
    <w:rsid w:val="009B5B25"/>
    <w:rsid w:val="009B686E"/>
    <w:rsid w:val="009C057F"/>
    <w:rsid w:val="009C0893"/>
    <w:rsid w:val="009C13D9"/>
    <w:rsid w:val="009C1B33"/>
    <w:rsid w:val="009C29B1"/>
    <w:rsid w:val="009C2D8A"/>
    <w:rsid w:val="009C3095"/>
    <w:rsid w:val="009C3292"/>
    <w:rsid w:val="009C3653"/>
    <w:rsid w:val="009C4B6F"/>
    <w:rsid w:val="009C5190"/>
    <w:rsid w:val="009C57B2"/>
    <w:rsid w:val="009C5818"/>
    <w:rsid w:val="009C60D4"/>
    <w:rsid w:val="009C6E69"/>
    <w:rsid w:val="009C763C"/>
    <w:rsid w:val="009D1167"/>
    <w:rsid w:val="009D1724"/>
    <w:rsid w:val="009D19D8"/>
    <w:rsid w:val="009D1F3E"/>
    <w:rsid w:val="009D22AC"/>
    <w:rsid w:val="009D2E35"/>
    <w:rsid w:val="009D366C"/>
    <w:rsid w:val="009D3C69"/>
    <w:rsid w:val="009D491F"/>
    <w:rsid w:val="009D493E"/>
    <w:rsid w:val="009D49C4"/>
    <w:rsid w:val="009D5F48"/>
    <w:rsid w:val="009D6C4B"/>
    <w:rsid w:val="009D755D"/>
    <w:rsid w:val="009D78BE"/>
    <w:rsid w:val="009E01FB"/>
    <w:rsid w:val="009E04AA"/>
    <w:rsid w:val="009E092B"/>
    <w:rsid w:val="009E0BC7"/>
    <w:rsid w:val="009E1166"/>
    <w:rsid w:val="009E1661"/>
    <w:rsid w:val="009E176C"/>
    <w:rsid w:val="009E20AA"/>
    <w:rsid w:val="009E20AF"/>
    <w:rsid w:val="009E2678"/>
    <w:rsid w:val="009E2F6D"/>
    <w:rsid w:val="009E2FD3"/>
    <w:rsid w:val="009E3CAD"/>
    <w:rsid w:val="009E4A6D"/>
    <w:rsid w:val="009E548D"/>
    <w:rsid w:val="009E5751"/>
    <w:rsid w:val="009E58DC"/>
    <w:rsid w:val="009E5A5E"/>
    <w:rsid w:val="009E5C8F"/>
    <w:rsid w:val="009E62D8"/>
    <w:rsid w:val="009E72B6"/>
    <w:rsid w:val="009E7A7C"/>
    <w:rsid w:val="009F05AC"/>
    <w:rsid w:val="009F09E0"/>
    <w:rsid w:val="009F0C2F"/>
    <w:rsid w:val="009F14D5"/>
    <w:rsid w:val="009F1AD1"/>
    <w:rsid w:val="009F1EBD"/>
    <w:rsid w:val="009F2BE4"/>
    <w:rsid w:val="009F2C73"/>
    <w:rsid w:val="009F2FB5"/>
    <w:rsid w:val="009F35B7"/>
    <w:rsid w:val="009F383C"/>
    <w:rsid w:val="009F38E2"/>
    <w:rsid w:val="009F3F68"/>
    <w:rsid w:val="009F42D2"/>
    <w:rsid w:val="009F4E82"/>
    <w:rsid w:val="009F61F0"/>
    <w:rsid w:val="009F75DE"/>
    <w:rsid w:val="009F7942"/>
    <w:rsid w:val="00A00A38"/>
    <w:rsid w:val="00A0115E"/>
    <w:rsid w:val="00A017BB"/>
    <w:rsid w:val="00A01DC4"/>
    <w:rsid w:val="00A01F3D"/>
    <w:rsid w:val="00A03874"/>
    <w:rsid w:val="00A039BA"/>
    <w:rsid w:val="00A03EC8"/>
    <w:rsid w:val="00A04A34"/>
    <w:rsid w:val="00A04D3B"/>
    <w:rsid w:val="00A05432"/>
    <w:rsid w:val="00A05B96"/>
    <w:rsid w:val="00A05F76"/>
    <w:rsid w:val="00A06A1D"/>
    <w:rsid w:val="00A0755F"/>
    <w:rsid w:val="00A0797F"/>
    <w:rsid w:val="00A07FC6"/>
    <w:rsid w:val="00A10ABB"/>
    <w:rsid w:val="00A11187"/>
    <w:rsid w:val="00A1215C"/>
    <w:rsid w:val="00A12DA8"/>
    <w:rsid w:val="00A130D6"/>
    <w:rsid w:val="00A13CC3"/>
    <w:rsid w:val="00A141E8"/>
    <w:rsid w:val="00A14C23"/>
    <w:rsid w:val="00A14F22"/>
    <w:rsid w:val="00A1569B"/>
    <w:rsid w:val="00A16772"/>
    <w:rsid w:val="00A16B58"/>
    <w:rsid w:val="00A16CF7"/>
    <w:rsid w:val="00A17111"/>
    <w:rsid w:val="00A17192"/>
    <w:rsid w:val="00A2226C"/>
    <w:rsid w:val="00A232B5"/>
    <w:rsid w:val="00A23538"/>
    <w:rsid w:val="00A23D36"/>
    <w:rsid w:val="00A245E4"/>
    <w:rsid w:val="00A245F0"/>
    <w:rsid w:val="00A24683"/>
    <w:rsid w:val="00A246AE"/>
    <w:rsid w:val="00A247F7"/>
    <w:rsid w:val="00A24816"/>
    <w:rsid w:val="00A24843"/>
    <w:rsid w:val="00A24BB0"/>
    <w:rsid w:val="00A24DDF"/>
    <w:rsid w:val="00A24E89"/>
    <w:rsid w:val="00A25222"/>
    <w:rsid w:val="00A25466"/>
    <w:rsid w:val="00A262FB"/>
    <w:rsid w:val="00A26915"/>
    <w:rsid w:val="00A26D39"/>
    <w:rsid w:val="00A27468"/>
    <w:rsid w:val="00A27C5B"/>
    <w:rsid w:val="00A27C9C"/>
    <w:rsid w:val="00A27F2F"/>
    <w:rsid w:val="00A305CB"/>
    <w:rsid w:val="00A30CE3"/>
    <w:rsid w:val="00A30D39"/>
    <w:rsid w:val="00A316DC"/>
    <w:rsid w:val="00A31775"/>
    <w:rsid w:val="00A32AFC"/>
    <w:rsid w:val="00A33738"/>
    <w:rsid w:val="00A33940"/>
    <w:rsid w:val="00A33B1B"/>
    <w:rsid w:val="00A33B45"/>
    <w:rsid w:val="00A34586"/>
    <w:rsid w:val="00A35E68"/>
    <w:rsid w:val="00A360C3"/>
    <w:rsid w:val="00A367F1"/>
    <w:rsid w:val="00A36F20"/>
    <w:rsid w:val="00A37452"/>
    <w:rsid w:val="00A40289"/>
    <w:rsid w:val="00A404F6"/>
    <w:rsid w:val="00A415BD"/>
    <w:rsid w:val="00A422A1"/>
    <w:rsid w:val="00A42A8F"/>
    <w:rsid w:val="00A42FE5"/>
    <w:rsid w:val="00A43629"/>
    <w:rsid w:val="00A43EEB"/>
    <w:rsid w:val="00A441AF"/>
    <w:rsid w:val="00A44311"/>
    <w:rsid w:val="00A44436"/>
    <w:rsid w:val="00A44B6E"/>
    <w:rsid w:val="00A44E02"/>
    <w:rsid w:val="00A46975"/>
    <w:rsid w:val="00A473FF"/>
    <w:rsid w:val="00A500A0"/>
    <w:rsid w:val="00A50D53"/>
    <w:rsid w:val="00A51084"/>
    <w:rsid w:val="00A52019"/>
    <w:rsid w:val="00A52AB5"/>
    <w:rsid w:val="00A52E90"/>
    <w:rsid w:val="00A53F69"/>
    <w:rsid w:val="00A54179"/>
    <w:rsid w:val="00A543AB"/>
    <w:rsid w:val="00A5477F"/>
    <w:rsid w:val="00A563DE"/>
    <w:rsid w:val="00A56409"/>
    <w:rsid w:val="00A56A0B"/>
    <w:rsid w:val="00A570BD"/>
    <w:rsid w:val="00A576E6"/>
    <w:rsid w:val="00A6025E"/>
    <w:rsid w:val="00A6027E"/>
    <w:rsid w:val="00A609F7"/>
    <w:rsid w:val="00A6165A"/>
    <w:rsid w:val="00A61926"/>
    <w:rsid w:val="00A61E76"/>
    <w:rsid w:val="00A6215F"/>
    <w:rsid w:val="00A62F70"/>
    <w:rsid w:val="00A63C50"/>
    <w:rsid w:val="00A6460E"/>
    <w:rsid w:val="00A64CE4"/>
    <w:rsid w:val="00A65D92"/>
    <w:rsid w:val="00A663C6"/>
    <w:rsid w:val="00A664E1"/>
    <w:rsid w:val="00A67246"/>
    <w:rsid w:val="00A67578"/>
    <w:rsid w:val="00A70FC4"/>
    <w:rsid w:val="00A71170"/>
    <w:rsid w:val="00A7146B"/>
    <w:rsid w:val="00A72434"/>
    <w:rsid w:val="00A7265C"/>
    <w:rsid w:val="00A72EB3"/>
    <w:rsid w:val="00A7301F"/>
    <w:rsid w:val="00A7435B"/>
    <w:rsid w:val="00A74CC2"/>
    <w:rsid w:val="00A75BE8"/>
    <w:rsid w:val="00A75C9D"/>
    <w:rsid w:val="00A76524"/>
    <w:rsid w:val="00A7653A"/>
    <w:rsid w:val="00A76771"/>
    <w:rsid w:val="00A767A3"/>
    <w:rsid w:val="00A76CBE"/>
    <w:rsid w:val="00A77951"/>
    <w:rsid w:val="00A800E6"/>
    <w:rsid w:val="00A80547"/>
    <w:rsid w:val="00A8094C"/>
    <w:rsid w:val="00A82131"/>
    <w:rsid w:val="00A8213E"/>
    <w:rsid w:val="00A827C7"/>
    <w:rsid w:val="00A82804"/>
    <w:rsid w:val="00A8350C"/>
    <w:rsid w:val="00A83705"/>
    <w:rsid w:val="00A838C4"/>
    <w:rsid w:val="00A83988"/>
    <w:rsid w:val="00A844B6"/>
    <w:rsid w:val="00A852D4"/>
    <w:rsid w:val="00A852FB"/>
    <w:rsid w:val="00A853D2"/>
    <w:rsid w:val="00A853E7"/>
    <w:rsid w:val="00A85ED8"/>
    <w:rsid w:val="00A860DA"/>
    <w:rsid w:val="00A86571"/>
    <w:rsid w:val="00A86FAB"/>
    <w:rsid w:val="00A8780C"/>
    <w:rsid w:val="00A90271"/>
    <w:rsid w:val="00A90A1B"/>
    <w:rsid w:val="00A913B1"/>
    <w:rsid w:val="00A91AD3"/>
    <w:rsid w:val="00A91BB3"/>
    <w:rsid w:val="00A9215B"/>
    <w:rsid w:val="00A93A3F"/>
    <w:rsid w:val="00A93B26"/>
    <w:rsid w:val="00A94017"/>
    <w:rsid w:val="00A94020"/>
    <w:rsid w:val="00A9466E"/>
    <w:rsid w:val="00A9473F"/>
    <w:rsid w:val="00A94B56"/>
    <w:rsid w:val="00A9554A"/>
    <w:rsid w:val="00A96164"/>
    <w:rsid w:val="00A966D3"/>
    <w:rsid w:val="00A967D2"/>
    <w:rsid w:val="00A96AAE"/>
    <w:rsid w:val="00AA077D"/>
    <w:rsid w:val="00AA0DA1"/>
    <w:rsid w:val="00AA0FB7"/>
    <w:rsid w:val="00AA299C"/>
    <w:rsid w:val="00AA2DB6"/>
    <w:rsid w:val="00AA38F3"/>
    <w:rsid w:val="00AA3901"/>
    <w:rsid w:val="00AA3D37"/>
    <w:rsid w:val="00AA4007"/>
    <w:rsid w:val="00AA40B1"/>
    <w:rsid w:val="00AA43BE"/>
    <w:rsid w:val="00AA45EA"/>
    <w:rsid w:val="00AA4BF6"/>
    <w:rsid w:val="00AA5B60"/>
    <w:rsid w:val="00AA6328"/>
    <w:rsid w:val="00AA6442"/>
    <w:rsid w:val="00AA651F"/>
    <w:rsid w:val="00AA73B7"/>
    <w:rsid w:val="00AA74D5"/>
    <w:rsid w:val="00AA7C19"/>
    <w:rsid w:val="00AB0631"/>
    <w:rsid w:val="00AB06E3"/>
    <w:rsid w:val="00AB0800"/>
    <w:rsid w:val="00AB08B1"/>
    <w:rsid w:val="00AB0EB2"/>
    <w:rsid w:val="00AB11DC"/>
    <w:rsid w:val="00AB1A6A"/>
    <w:rsid w:val="00AB21A1"/>
    <w:rsid w:val="00AB3BCA"/>
    <w:rsid w:val="00AB417D"/>
    <w:rsid w:val="00AB4332"/>
    <w:rsid w:val="00AB4EE3"/>
    <w:rsid w:val="00AB5713"/>
    <w:rsid w:val="00AB57B4"/>
    <w:rsid w:val="00AB61F2"/>
    <w:rsid w:val="00AB6617"/>
    <w:rsid w:val="00AB6776"/>
    <w:rsid w:val="00AB6D98"/>
    <w:rsid w:val="00AB7606"/>
    <w:rsid w:val="00AB7617"/>
    <w:rsid w:val="00AB77FB"/>
    <w:rsid w:val="00AB7CE3"/>
    <w:rsid w:val="00AC0C31"/>
    <w:rsid w:val="00AC295B"/>
    <w:rsid w:val="00AC2B7A"/>
    <w:rsid w:val="00AC387E"/>
    <w:rsid w:val="00AC4262"/>
    <w:rsid w:val="00AC4557"/>
    <w:rsid w:val="00AC498B"/>
    <w:rsid w:val="00AC524C"/>
    <w:rsid w:val="00AC6F3D"/>
    <w:rsid w:val="00AC7CD4"/>
    <w:rsid w:val="00AD0785"/>
    <w:rsid w:val="00AD1671"/>
    <w:rsid w:val="00AD2019"/>
    <w:rsid w:val="00AD37C6"/>
    <w:rsid w:val="00AD39B0"/>
    <w:rsid w:val="00AD3D00"/>
    <w:rsid w:val="00AD47D6"/>
    <w:rsid w:val="00AD4DCC"/>
    <w:rsid w:val="00AD4DF8"/>
    <w:rsid w:val="00AD5091"/>
    <w:rsid w:val="00AD51F0"/>
    <w:rsid w:val="00AD61B9"/>
    <w:rsid w:val="00AD694D"/>
    <w:rsid w:val="00AD6AD5"/>
    <w:rsid w:val="00AD6D00"/>
    <w:rsid w:val="00AD6E7F"/>
    <w:rsid w:val="00AD70E7"/>
    <w:rsid w:val="00AD7842"/>
    <w:rsid w:val="00AD79F2"/>
    <w:rsid w:val="00AD7BAD"/>
    <w:rsid w:val="00AE0015"/>
    <w:rsid w:val="00AE00C2"/>
    <w:rsid w:val="00AE0F4E"/>
    <w:rsid w:val="00AE14D0"/>
    <w:rsid w:val="00AE362D"/>
    <w:rsid w:val="00AE3DC9"/>
    <w:rsid w:val="00AE3EA0"/>
    <w:rsid w:val="00AE4BEC"/>
    <w:rsid w:val="00AE57A7"/>
    <w:rsid w:val="00AE57E8"/>
    <w:rsid w:val="00AE5F76"/>
    <w:rsid w:val="00AE6204"/>
    <w:rsid w:val="00AE6558"/>
    <w:rsid w:val="00AE66DA"/>
    <w:rsid w:val="00AE6DF3"/>
    <w:rsid w:val="00AE7183"/>
    <w:rsid w:val="00AF04BF"/>
    <w:rsid w:val="00AF0CED"/>
    <w:rsid w:val="00AF1A2C"/>
    <w:rsid w:val="00AF2D20"/>
    <w:rsid w:val="00AF3043"/>
    <w:rsid w:val="00AF4160"/>
    <w:rsid w:val="00AF419F"/>
    <w:rsid w:val="00AF50C0"/>
    <w:rsid w:val="00AF5C91"/>
    <w:rsid w:val="00AF5EDF"/>
    <w:rsid w:val="00AF7257"/>
    <w:rsid w:val="00AF7523"/>
    <w:rsid w:val="00B0046B"/>
    <w:rsid w:val="00B004A1"/>
    <w:rsid w:val="00B0090B"/>
    <w:rsid w:val="00B00EA4"/>
    <w:rsid w:val="00B01951"/>
    <w:rsid w:val="00B02A54"/>
    <w:rsid w:val="00B03F5A"/>
    <w:rsid w:val="00B040A7"/>
    <w:rsid w:val="00B049DD"/>
    <w:rsid w:val="00B04AF9"/>
    <w:rsid w:val="00B0581F"/>
    <w:rsid w:val="00B06E58"/>
    <w:rsid w:val="00B10C00"/>
    <w:rsid w:val="00B10D09"/>
    <w:rsid w:val="00B11E92"/>
    <w:rsid w:val="00B13EB4"/>
    <w:rsid w:val="00B150A9"/>
    <w:rsid w:val="00B15106"/>
    <w:rsid w:val="00B15802"/>
    <w:rsid w:val="00B160C1"/>
    <w:rsid w:val="00B16778"/>
    <w:rsid w:val="00B17002"/>
    <w:rsid w:val="00B172AF"/>
    <w:rsid w:val="00B202F5"/>
    <w:rsid w:val="00B20A77"/>
    <w:rsid w:val="00B20E03"/>
    <w:rsid w:val="00B21BDD"/>
    <w:rsid w:val="00B22242"/>
    <w:rsid w:val="00B223A7"/>
    <w:rsid w:val="00B223B3"/>
    <w:rsid w:val="00B224C2"/>
    <w:rsid w:val="00B2390A"/>
    <w:rsid w:val="00B23FFC"/>
    <w:rsid w:val="00B247A8"/>
    <w:rsid w:val="00B24E01"/>
    <w:rsid w:val="00B25705"/>
    <w:rsid w:val="00B26043"/>
    <w:rsid w:val="00B26AFF"/>
    <w:rsid w:val="00B26C5B"/>
    <w:rsid w:val="00B26CE9"/>
    <w:rsid w:val="00B275A4"/>
    <w:rsid w:val="00B27AF4"/>
    <w:rsid w:val="00B27B2E"/>
    <w:rsid w:val="00B30423"/>
    <w:rsid w:val="00B30903"/>
    <w:rsid w:val="00B30926"/>
    <w:rsid w:val="00B30BD6"/>
    <w:rsid w:val="00B310B3"/>
    <w:rsid w:val="00B31405"/>
    <w:rsid w:val="00B3177D"/>
    <w:rsid w:val="00B3178B"/>
    <w:rsid w:val="00B318B9"/>
    <w:rsid w:val="00B31DCE"/>
    <w:rsid w:val="00B31ECB"/>
    <w:rsid w:val="00B32A7D"/>
    <w:rsid w:val="00B332B9"/>
    <w:rsid w:val="00B333D3"/>
    <w:rsid w:val="00B33C93"/>
    <w:rsid w:val="00B3497D"/>
    <w:rsid w:val="00B35882"/>
    <w:rsid w:val="00B358B9"/>
    <w:rsid w:val="00B368FF"/>
    <w:rsid w:val="00B36A8B"/>
    <w:rsid w:val="00B36E17"/>
    <w:rsid w:val="00B371D4"/>
    <w:rsid w:val="00B3782A"/>
    <w:rsid w:val="00B37F4C"/>
    <w:rsid w:val="00B401DC"/>
    <w:rsid w:val="00B407BB"/>
    <w:rsid w:val="00B40973"/>
    <w:rsid w:val="00B40B26"/>
    <w:rsid w:val="00B427EE"/>
    <w:rsid w:val="00B432C3"/>
    <w:rsid w:val="00B44296"/>
    <w:rsid w:val="00B4462C"/>
    <w:rsid w:val="00B44B59"/>
    <w:rsid w:val="00B4525F"/>
    <w:rsid w:val="00B459A4"/>
    <w:rsid w:val="00B465BA"/>
    <w:rsid w:val="00B47C51"/>
    <w:rsid w:val="00B47E55"/>
    <w:rsid w:val="00B50A24"/>
    <w:rsid w:val="00B5140A"/>
    <w:rsid w:val="00B5144C"/>
    <w:rsid w:val="00B515E2"/>
    <w:rsid w:val="00B51A94"/>
    <w:rsid w:val="00B51BFB"/>
    <w:rsid w:val="00B52C6D"/>
    <w:rsid w:val="00B53A27"/>
    <w:rsid w:val="00B544D3"/>
    <w:rsid w:val="00B54645"/>
    <w:rsid w:val="00B5513A"/>
    <w:rsid w:val="00B55624"/>
    <w:rsid w:val="00B55F6C"/>
    <w:rsid w:val="00B56064"/>
    <w:rsid w:val="00B56427"/>
    <w:rsid w:val="00B5691E"/>
    <w:rsid w:val="00B570FA"/>
    <w:rsid w:val="00B57131"/>
    <w:rsid w:val="00B57AF8"/>
    <w:rsid w:val="00B57B19"/>
    <w:rsid w:val="00B57F4E"/>
    <w:rsid w:val="00B57F7D"/>
    <w:rsid w:val="00B607E2"/>
    <w:rsid w:val="00B61109"/>
    <w:rsid w:val="00B61599"/>
    <w:rsid w:val="00B61750"/>
    <w:rsid w:val="00B6324C"/>
    <w:rsid w:val="00B63C5E"/>
    <w:rsid w:val="00B64939"/>
    <w:rsid w:val="00B64E9C"/>
    <w:rsid w:val="00B6510E"/>
    <w:rsid w:val="00B6624D"/>
    <w:rsid w:val="00B67D9E"/>
    <w:rsid w:val="00B70071"/>
    <w:rsid w:val="00B70376"/>
    <w:rsid w:val="00B70652"/>
    <w:rsid w:val="00B709E2"/>
    <w:rsid w:val="00B71D59"/>
    <w:rsid w:val="00B71E11"/>
    <w:rsid w:val="00B72E8D"/>
    <w:rsid w:val="00B7305B"/>
    <w:rsid w:val="00B73B1A"/>
    <w:rsid w:val="00B7410B"/>
    <w:rsid w:val="00B741B1"/>
    <w:rsid w:val="00B74345"/>
    <w:rsid w:val="00B74E11"/>
    <w:rsid w:val="00B757F3"/>
    <w:rsid w:val="00B758F9"/>
    <w:rsid w:val="00B75FE6"/>
    <w:rsid w:val="00B76C02"/>
    <w:rsid w:val="00B76F97"/>
    <w:rsid w:val="00B7705B"/>
    <w:rsid w:val="00B773D1"/>
    <w:rsid w:val="00B7776F"/>
    <w:rsid w:val="00B779F1"/>
    <w:rsid w:val="00B80173"/>
    <w:rsid w:val="00B80616"/>
    <w:rsid w:val="00B8084D"/>
    <w:rsid w:val="00B81125"/>
    <w:rsid w:val="00B815E9"/>
    <w:rsid w:val="00B81F83"/>
    <w:rsid w:val="00B82625"/>
    <w:rsid w:val="00B84B18"/>
    <w:rsid w:val="00B84B9B"/>
    <w:rsid w:val="00B855EA"/>
    <w:rsid w:val="00B8622C"/>
    <w:rsid w:val="00B871EA"/>
    <w:rsid w:val="00B87656"/>
    <w:rsid w:val="00B87829"/>
    <w:rsid w:val="00B87BFF"/>
    <w:rsid w:val="00B90F70"/>
    <w:rsid w:val="00B9136D"/>
    <w:rsid w:val="00B916AC"/>
    <w:rsid w:val="00B917CC"/>
    <w:rsid w:val="00B91E18"/>
    <w:rsid w:val="00B920B4"/>
    <w:rsid w:val="00B92533"/>
    <w:rsid w:val="00B927A6"/>
    <w:rsid w:val="00B92998"/>
    <w:rsid w:val="00B931CF"/>
    <w:rsid w:val="00B933E0"/>
    <w:rsid w:val="00B9348E"/>
    <w:rsid w:val="00B936E8"/>
    <w:rsid w:val="00B937F5"/>
    <w:rsid w:val="00B945D7"/>
    <w:rsid w:val="00B948AF"/>
    <w:rsid w:val="00B9497F"/>
    <w:rsid w:val="00B94C7A"/>
    <w:rsid w:val="00B9569D"/>
    <w:rsid w:val="00B957B4"/>
    <w:rsid w:val="00B963FB"/>
    <w:rsid w:val="00B96506"/>
    <w:rsid w:val="00B97751"/>
    <w:rsid w:val="00BA08F7"/>
    <w:rsid w:val="00BA0D7F"/>
    <w:rsid w:val="00BA0EDD"/>
    <w:rsid w:val="00BA168C"/>
    <w:rsid w:val="00BA17DC"/>
    <w:rsid w:val="00BA1F64"/>
    <w:rsid w:val="00BA22C6"/>
    <w:rsid w:val="00BA2A0D"/>
    <w:rsid w:val="00BA2D63"/>
    <w:rsid w:val="00BA3366"/>
    <w:rsid w:val="00BA408D"/>
    <w:rsid w:val="00BA4E42"/>
    <w:rsid w:val="00BA4F5F"/>
    <w:rsid w:val="00BA5472"/>
    <w:rsid w:val="00BA55A4"/>
    <w:rsid w:val="00BA63E8"/>
    <w:rsid w:val="00BA6647"/>
    <w:rsid w:val="00BA68D2"/>
    <w:rsid w:val="00BA7C4D"/>
    <w:rsid w:val="00BB06D2"/>
    <w:rsid w:val="00BB0710"/>
    <w:rsid w:val="00BB0D2F"/>
    <w:rsid w:val="00BB1573"/>
    <w:rsid w:val="00BB19CC"/>
    <w:rsid w:val="00BB1A9C"/>
    <w:rsid w:val="00BB1AAC"/>
    <w:rsid w:val="00BB1B21"/>
    <w:rsid w:val="00BB1D79"/>
    <w:rsid w:val="00BB1D93"/>
    <w:rsid w:val="00BB268F"/>
    <w:rsid w:val="00BB32E4"/>
    <w:rsid w:val="00BB358A"/>
    <w:rsid w:val="00BB4753"/>
    <w:rsid w:val="00BB6A3C"/>
    <w:rsid w:val="00BB70FB"/>
    <w:rsid w:val="00BB710D"/>
    <w:rsid w:val="00BB7115"/>
    <w:rsid w:val="00BC0A3E"/>
    <w:rsid w:val="00BC0ED9"/>
    <w:rsid w:val="00BC1206"/>
    <w:rsid w:val="00BC1749"/>
    <w:rsid w:val="00BC1ACB"/>
    <w:rsid w:val="00BC1F7A"/>
    <w:rsid w:val="00BC24F1"/>
    <w:rsid w:val="00BC29F2"/>
    <w:rsid w:val="00BC3734"/>
    <w:rsid w:val="00BC3EB9"/>
    <w:rsid w:val="00BC3F68"/>
    <w:rsid w:val="00BC6E22"/>
    <w:rsid w:val="00BC6E59"/>
    <w:rsid w:val="00BC7970"/>
    <w:rsid w:val="00BC7A28"/>
    <w:rsid w:val="00BD0BD3"/>
    <w:rsid w:val="00BD0CE2"/>
    <w:rsid w:val="00BD10B2"/>
    <w:rsid w:val="00BD1736"/>
    <w:rsid w:val="00BD181E"/>
    <w:rsid w:val="00BD19D8"/>
    <w:rsid w:val="00BD2894"/>
    <w:rsid w:val="00BD2D1F"/>
    <w:rsid w:val="00BD36E0"/>
    <w:rsid w:val="00BD432C"/>
    <w:rsid w:val="00BD4D35"/>
    <w:rsid w:val="00BD4EE8"/>
    <w:rsid w:val="00BD5892"/>
    <w:rsid w:val="00BD64C6"/>
    <w:rsid w:val="00BD6E52"/>
    <w:rsid w:val="00BD6FAA"/>
    <w:rsid w:val="00BD7292"/>
    <w:rsid w:val="00BD7B0F"/>
    <w:rsid w:val="00BD7F17"/>
    <w:rsid w:val="00BD7FDB"/>
    <w:rsid w:val="00BE021F"/>
    <w:rsid w:val="00BE1396"/>
    <w:rsid w:val="00BE1C3D"/>
    <w:rsid w:val="00BE26ED"/>
    <w:rsid w:val="00BE2ED8"/>
    <w:rsid w:val="00BE4AC0"/>
    <w:rsid w:val="00BE4E3F"/>
    <w:rsid w:val="00BE52A8"/>
    <w:rsid w:val="00BE5696"/>
    <w:rsid w:val="00BE5AC2"/>
    <w:rsid w:val="00BE6291"/>
    <w:rsid w:val="00BE62FB"/>
    <w:rsid w:val="00BE639E"/>
    <w:rsid w:val="00BE6EFE"/>
    <w:rsid w:val="00BF0F0B"/>
    <w:rsid w:val="00BF1419"/>
    <w:rsid w:val="00BF23F2"/>
    <w:rsid w:val="00BF2400"/>
    <w:rsid w:val="00BF2E05"/>
    <w:rsid w:val="00BF2E71"/>
    <w:rsid w:val="00BF30DC"/>
    <w:rsid w:val="00BF32E3"/>
    <w:rsid w:val="00BF351B"/>
    <w:rsid w:val="00BF38FB"/>
    <w:rsid w:val="00BF3998"/>
    <w:rsid w:val="00BF3BBB"/>
    <w:rsid w:val="00BF429A"/>
    <w:rsid w:val="00BF45C5"/>
    <w:rsid w:val="00BF4AB8"/>
    <w:rsid w:val="00BF4C34"/>
    <w:rsid w:val="00BF5557"/>
    <w:rsid w:val="00BF5810"/>
    <w:rsid w:val="00BF5A22"/>
    <w:rsid w:val="00BF5BB5"/>
    <w:rsid w:val="00BF667A"/>
    <w:rsid w:val="00BF71ED"/>
    <w:rsid w:val="00BF7725"/>
    <w:rsid w:val="00BF7D47"/>
    <w:rsid w:val="00C00355"/>
    <w:rsid w:val="00C0036B"/>
    <w:rsid w:val="00C01FA1"/>
    <w:rsid w:val="00C03491"/>
    <w:rsid w:val="00C035F5"/>
    <w:rsid w:val="00C04402"/>
    <w:rsid w:val="00C046B4"/>
    <w:rsid w:val="00C04A35"/>
    <w:rsid w:val="00C052CF"/>
    <w:rsid w:val="00C055BF"/>
    <w:rsid w:val="00C05888"/>
    <w:rsid w:val="00C05E81"/>
    <w:rsid w:val="00C061CD"/>
    <w:rsid w:val="00C0767A"/>
    <w:rsid w:val="00C0785D"/>
    <w:rsid w:val="00C07B5A"/>
    <w:rsid w:val="00C100DB"/>
    <w:rsid w:val="00C107A2"/>
    <w:rsid w:val="00C11523"/>
    <w:rsid w:val="00C11760"/>
    <w:rsid w:val="00C11989"/>
    <w:rsid w:val="00C122DE"/>
    <w:rsid w:val="00C12619"/>
    <w:rsid w:val="00C12E63"/>
    <w:rsid w:val="00C132E8"/>
    <w:rsid w:val="00C13418"/>
    <w:rsid w:val="00C13C6C"/>
    <w:rsid w:val="00C14352"/>
    <w:rsid w:val="00C15A30"/>
    <w:rsid w:val="00C15FA5"/>
    <w:rsid w:val="00C1736A"/>
    <w:rsid w:val="00C178B4"/>
    <w:rsid w:val="00C179C9"/>
    <w:rsid w:val="00C203B7"/>
    <w:rsid w:val="00C20797"/>
    <w:rsid w:val="00C209B1"/>
    <w:rsid w:val="00C214B3"/>
    <w:rsid w:val="00C22C1B"/>
    <w:rsid w:val="00C23398"/>
    <w:rsid w:val="00C23CAB"/>
    <w:rsid w:val="00C2426C"/>
    <w:rsid w:val="00C242AA"/>
    <w:rsid w:val="00C24BA8"/>
    <w:rsid w:val="00C24DD3"/>
    <w:rsid w:val="00C25B5B"/>
    <w:rsid w:val="00C25E05"/>
    <w:rsid w:val="00C25F24"/>
    <w:rsid w:val="00C261D8"/>
    <w:rsid w:val="00C26378"/>
    <w:rsid w:val="00C26D6E"/>
    <w:rsid w:val="00C26E63"/>
    <w:rsid w:val="00C270CD"/>
    <w:rsid w:val="00C274C4"/>
    <w:rsid w:val="00C278F6"/>
    <w:rsid w:val="00C27EF8"/>
    <w:rsid w:val="00C302E1"/>
    <w:rsid w:val="00C302E2"/>
    <w:rsid w:val="00C30395"/>
    <w:rsid w:val="00C305DE"/>
    <w:rsid w:val="00C30711"/>
    <w:rsid w:val="00C3112C"/>
    <w:rsid w:val="00C313AC"/>
    <w:rsid w:val="00C31C12"/>
    <w:rsid w:val="00C3227D"/>
    <w:rsid w:val="00C3228E"/>
    <w:rsid w:val="00C32613"/>
    <w:rsid w:val="00C326B8"/>
    <w:rsid w:val="00C32A8B"/>
    <w:rsid w:val="00C33627"/>
    <w:rsid w:val="00C3399C"/>
    <w:rsid w:val="00C35A61"/>
    <w:rsid w:val="00C35E5F"/>
    <w:rsid w:val="00C3672D"/>
    <w:rsid w:val="00C36C4F"/>
    <w:rsid w:val="00C37BDE"/>
    <w:rsid w:val="00C37E9D"/>
    <w:rsid w:val="00C40358"/>
    <w:rsid w:val="00C405D2"/>
    <w:rsid w:val="00C40705"/>
    <w:rsid w:val="00C40DC3"/>
    <w:rsid w:val="00C41156"/>
    <w:rsid w:val="00C41B41"/>
    <w:rsid w:val="00C42589"/>
    <w:rsid w:val="00C42944"/>
    <w:rsid w:val="00C42DCD"/>
    <w:rsid w:val="00C42EC1"/>
    <w:rsid w:val="00C4345F"/>
    <w:rsid w:val="00C436BA"/>
    <w:rsid w:val="00C4396E"/>
    <w:rsid w:val="00C43F64"/>
    <w:rsid w:val="00C4405D"/>
    <w:rsid w:val="00C4432D"/>
    <w:rsid w:val="00C443DC"/>
    <w:rsid w:val="00C44630"/>
    <w:rsid w:val="00C45472"/>
    <w:rsid w:val="00C459CF"/>
    <w:rsid w:val="00C47683"/>
    <w:rsid w:val="00C47B14"/>
    <w:rsid w:val="00C50AB1"/>
    <w:rsid w:val="00C51217"/>
    <w:rsid w:val="00C51FCF"/>
    <w:rsid w:val="00C521FA"/>
    <w:rsid w:val="00C528C1"/>
    <w:rsid w:val="00C52C0C"/>
    <w:rsid w:val="00C533DE"/>
    <w:rsid w:val="00C53D50"/>
    <w:rsid w:val="00C53DD2"/>
    <w:rsid w:val="00C5467D"/>
    <w:rsid w:val="00C54F21"/>
    <w:rsid w:val="00C552C2"/>
    <w:rsid w:val="00C5548C"/>
    <w:rsid w:val="00C5555E"/>
    <w:rsid w:val="00C5572E"/>
    <w:rsid w:val="00C5679B"/>
    <w:rsid w:val="00C57009"/>
    <w:rsid w:val="00C570D8"/>
    <w:rsid w:val="00C60978"/>
    <w:rsid w:val="00C616F1"/>
    <w:rsid w:val="00C62116"/>
    <w:rsid w:val="00C62AD4"/>
    <w:rsid w:val="00C64334"/>
    <w:rsid w:val="00C64673"/>
    <w:rsid w:val="00C65899"/>
    <w:rsid w:val="00C659EF"/>
    <w:rsid w:val="00C66643"/>
    <w:rsid w:val="00C66E48"/>
    <w:rsid w:val="00C66FF0"/>
    <w:rsid w:val="00C67675"/>
    <w:rsid w:val="00C67F25"/>
    <w:rsid w:val="00C701B8"/>
    <w:rsid w:val="00C703D9"/>
    <w:rsid w:val="00C7107D"/>
    <w:rsid w:val="00C71668"/>
    <w:rsid w:val="00C716B0"/>
    <w:rsid w:val="00C72441"/>
    <w:rsid w:val="00C72F1F"/>
    <w:rsid w:val="00C73DB5"/>
    <w:rsid w:val="00C73EF1"/>
    <w:rsid w:val="00C740CA"/>
    <w:rsid w:val="00C74137"/>
    <w:rsid w:val="00C74659"/>
    <w:rsid w:val="00C750F0"/>
    <w:rsid w:val="00C75541"/>
    <w:rsid w:val="00C75B6A"/>
    <w:rsid w:val="00C765E4"/>
    <w:rsid w:val="00C76740"/>
    <w:rsid w:val="00C769D9"/>
    <w:rsid w:val="00C77558"/>
    <w:rsid w:val="00C778C2"/>
    <w:rsid w:val="00C77D5B"/>
    <w:rsid w:val="00C8006E"/>
    <w:rsid w:val="00C8078F"/>
    <w:rsid w:val="00C80953"/>
    <w:rsid w:val="00C818CA"/>
    <w:rsid w:val="00C829C3"/>
    <w:rsid w:val="00C83CDC"/>
    <w:rsid w:val="00C84DC1"/>
    <w:rsid w:val="00C85753"/>
    <w:rsid w:val="00C85834"/>
    <w:rsid w:val="00C85AE5"/>
    <w:rsid w:val="00C85D44"/>
    <w:rsid w:val="00C8609C"/>
    <w:rsid w:val="00C86310"/>
    <w:rsid w:val="00C864A1"/>
    <w:rsid w:val="00C8659D"/>
    <w:rsid w:val="00C8681F"/>
    <w:rsid w:val="00C86ED5"/>
    <w:rsid w:val="00C879D1"/>
    <w:rsid w:val="00C87E50"/>
    <w:rsid w:val="00C9119E"/>
    <w:rsid w:val="00C91911"/>
    <w:rsid w:val="00C9220C"/>
    <w:rsid w:val="00C92309"/>
    <w:rsid w:val="00C936FF"/>
    <w:rsid w:val="00C94B5C"/>
    <w:rsid w:val="00C94C05"/>
    <w:rsid w:val="00C9523D"/>
    <w:rsid w:val="00C95A5F"/>
    <w:rsid w:val="00C95D7F"/>
    <w:rsid w:val="00C961E5"/>
    <w:rsid w:val="00C96A81"/>
    <w:rsid w:val="00C96E1A"/>
    <w:rsid w:val="00C96F0E"/>
    <w:rsid w:val="00C97517"/>
    <w:rsid w:val="00CA0002"/>
    <w:rsid w:val="00CA06B8"/>
    <w:rsid w:val="00CA0912"/>
    <w:rsid w:val="00CA0CEA"/>
    <w:rsid w:val="00CA1210"/>
    <w:rsid w:val="00CA17C0"/>
    <w:rsid w:val="00CA1A5F"/>
    <w:rsid w:val="00CA1BE0"/>
    <w:rsid w:val="00CA2B2E"/>
    <w:rsid w:val="00CA2B72"/>
    <w:rsid w:val="00CA2C2B"/>
    <w:rsid w:val="00CA2C99"/>
    <w:rsid w:val="00CA36FA"/>
    <w:rsid w:val="00CA3BB4"/>
    <w:rsid w:val="00CA3E60"/>
    <w:rsid w:val="00CA4A04"/>
    <w:rsid w:val="00CA555A"/>
    <w:rsid w:val="00CA5662"/>
    <w:rsid w:val="00CA5713"/>
    <w:rsid w:val="00CA5C81"/>
    <w:rsid w:val="00CA6B83"/>
    <w:rsid w:val="00CA6FBC"/>
    <w:rsid w:val="00CB0186"/>
    <w:rsid w:val="00CB03C1"/>
    <w:rsid w:val="00CB0670"/>
    <w:rsid w:val="00CB0AB8"/>
    <w:rsid w:val="00CB0E1D"/>
    <w:rsid w:val="00CB1C83"/>
    <w:rsid w:val="00CB2998"/>
    <w:rsid w:val="00CB2B9A"/>
    <w:rsid w:val="00CB3FA3"/>
    <w:rsid w:val="00CB48E6"/>
    <w:rsid w:val="00CB4D9A"/>
    <w:rsid w:val="00CB4E27"/>
    <w:rsid w:val="00CB5A99"/>
    <w:rsid w:val="00CB5EFE"/>
    <w:rsid w:val="00CB627E"/>
    <w:rsid w:val="00CB62CB"/>
    <w:rsid w:val="00CB67F9"/>
    <w:rsid w:val="00CB6C9F"/>
    <w:rsid w:val="00CB7401"/>
    <w:rsid w:val="00CB767F"/>
    <w:rsid w:val="00CB77E0"/>
    <w:rsid w:val="00CB7B29"/>
    <w:rsid w:val="00CB7F3A"/>
    <w:rsid w:val="00CC01E9"/>
    <w:rsid w:val="00CC06C7"/>
    <w:rsid w:val="00CC0862"/>
    <w:rsid w:val="00CC0B0B"/>
    <w:rsid w:val="00CC2548"/>
    <w:rsid w:val="00CC2B9A"/>
    <w:rsid w:val="00CC2E20"/>
    <w:rsid w:val="00CC3558"/>
    <w:rsid w:val="00CC426C"/>
    <w:rsid w:val="00CC56AC"/>
    <w:rsid w:val="00CC6B50"/>
    <w:rsid w:val="00CC7604"/>
    <w:rsid w:val="00CC76BC"/>
    <w:rsid w:val="00CD0571"/>
    <w:rsid w:val="00CD0885"/>
    <w:rsid w:val="00CD0FA7"/>
    <w:rsid w:val="00CD2F61"/>
    <w:rsid w:val="00CD3820"/>
    <w:rsid w:val="00CD3DFA"/>
    <w:rsid w:val="00CD47F2"/>
    <w:rsid w:val="00CD4A37"/>
    <w:rsid w:val="00CD4A6C"/>
    <w:rsid w:val="00CD523A"/>
    <w:rsid w:val="00CD53A8"/>
    <w:rsid w:val="00CD62DB"/>
    <w:rsid w:val="00CD634C"/>
    <w:rsid w:val="00CD6789"/>
    <w:rsid w:val="00CD6B8D"/>
    <w:rsid w:val="00CD6EDF"/>
    <w:rsid w:val="00CD7676"/>
    <w:rsid w:val="00CD7DD8"/>
    <w:rsid w:val="00CE0706"/>
    <w:rsid w:val="00CE092F"/>
    <w:rsid w:val="00CE0B05"/>
    <w:rsid w:val="00CE1AA3"/>
    <w:rsid w:val="00CE1B73"/>
    <w:rsid w:val="00CE1BA0"/>
    <w:rsid w:val="00CE1C03"/>
    <w:rsid w:val="00CE230D"/>
    <w:rsid w:val="00CE3DBD"/>
    <w:rsid w:val="00CE4C75"/>
    <w:rsid w:val="00CE4E7C"/>
    <w:rsid w:val="00CE5225"/>
    <w:rsid w:val="00CE5750"/>
    <w:rsid w:val="00CE5C2A"/>
    <w:rsid w:val="00CE629D"/>
    <w:rsid w:val="00CE6916"/>
    <w:rsid w:val="00CE7568"/>
    <w:rsid w:val="00CF01D1"/>
    <w:rsid w:val="00CF05CB"/>
    <w:rsid w:val="00CF11E1"/>
    <w:rsid w:val="00CF1CEB"/>
    <w:rsid w:val="00CF1F2F"/>
    <w:rsid w:val="00CF281D"/>
    <w:rsid w:val="00CF2AB7"/>
    <w:rsid w:val="00CF326B"/>
    <w:rsid w:val="00CF37E7"/>
    <w:rsid w:val="00CF39ED"/>
    <w:rsid w:val="00CF3B07"/>
    <w:rsid w:val="00CF3F3E"/>
    <w:rsid w:val="00CF4207"/>
    <w:rsid w:val="00CF4763"/>
    <w:rsid w:val="00CF4DBB"/>
    <w:rsid w:val="00CF53C2"/>
    <w:rsid w:val="00CF5BED"/>
    <w:rsid w:val="00CF7F11"/>
    <w:rsid w:val="00D01126"/>
    <w:rsid w:val="00D011B5"/>
    <w:rsid w:val="00D01AEE"/>
    <w:rsid w:val="00D028DA"/>
    <w:rsid w:val="00D02C5D"/>
    <w:rsid w:val="00D0363E"/>
    <w:rsid w:val="00D03E01"/>
    <w:rsid w:val="00D03EEA"/>
    <w:rsid w:val="00D04242"/>
    <w:rsid w:val="00D057DC"/>
    <w:rsid w:val="00D05943"/>
    <w:rsid w:val="00D06384"/>
    <w:rsid w:val="00D06F12"/>
    <w:rsid w:val="00D07045"/>
    <w:rsid w:val="00D0748E"/>
    <w:rsid w:val="00D101F8"/>
    <w:rsid w:val="00D10639"/>
    <w:rsid w:val="00D1074A"/>
    <w:rsid w:val="00D11AF2"/>
    <w:rsid w:val="00D11BA3"/>
    <w:rsid w:val="00D12007"/>
    <w:rsid w:val="00D127B7"/>
    <w:rsid w:val="00D1308A"/>
    <w:rsid w:val="00D15A04"/>
    <w:rsid w:val="00D162E4"/>
    <w:rsid w:val="00D1641E"/>
    <w:rsid w:val="00D16A85"/>
    <w:rsid w:val="00D16EF4"/>
    <w:rsid w:val="00D177AA"/>
    <w:rsid w:val="00D20AFA"/>
    <w:rsid w:val="00D20B25"/>
    <w:rsid w:val="00D2137C"/>
    <w:rsid w:val="00D222FA"/>
    <w:rsid w:val="00D23030"/>
    <w:rsid w:val="00D23CA4"/>
    <w:rsid w:val="00D23ED2"/>
    <w:rsid w:val="00D2408A"/>
    <w:rsid w:val="00D2599A"/>
    <w:rsid w:val="00D26B37"/>
    <w:rsid w:val="00D27A56"/>
    <w:rsid w:val="00D304AC"/>
    <w:rsid w:val="00D31200"/>
    <w:rsid w:val="00D31329"/>
    <w:rsid w:val="00D316DA"/>
    <w:rsid w:val="00D319C5"/>
    <w:rsid w:val="00D31FC6"/>
    <w:rsid w:val="00D32593"/>
    <w:rsid w:val="00D32A41"/>
    <w:rsid w:val="00D33EEA"/>
    <w:rsid w:val="00D350EE"/>
    <w:rsid w:val="00D352DF"/>
    <w:rsid w:val="00D35CA7"/>
    <w:rsid w:val="00D3642B"/>
    <w:rsid w:val="00D37281"/>
    <w:rsid w:val="00D3778E"/>
    <w:rsid w:val="00D37ADA"/>
    <w:rsid w:val="00D37BA2"/>
    <w:rsid w:val="00D404C3"/>
    <w:rsid w:val="00D40D6C"/>
    <w:rsid w:val="00D4164F"/>
    <w:rsid w:val="00D42363"/>
    <w:rsid w:val="00D427A9"/>
    <w:rsid w:val="00D42939"/>
    <w:rsid w:val="00D42DCB"/>
    <w:rsid w:val="00D447CF"/>
    <w:rsid w:val="00D44925"/>
    <w:rsid w:val="00D44AE8"/>
    <w:rsid w:val="00D450EB"/>
    <w:rsid w:val="00D454CB"/>
    <w:rsid w:val="00D45CCE"/>
    <w:rsid w:val="00D46018"/>
    <w:rsid w:val="00D4620D"/>
    <w:rsid w:val="00D467D0"/>
    <w:rsid w:val="00D46C4F"/>
    <w:rsid w:val="00D47625"/>
    <w:rsid w:val="00D47C89"/>
    <w:rsid w:val="00D47E39"/>
    <w:rsid w:val="00D511D8"/>
    <w:rsid w:val="00D512AD"/>
    <w:rsid w:val="00D51501"/>
    <w:rsid w:val="00D517BC"/>
    <w:rsid w:val="00D51B62"/>
    <w:rsid w:val="00D51BF6"/>
    <w:rsid w:val="00D51DDF"/>
    <w:rsid w:val="00D53144"/>
    <w:rsid w:val="00D53406"/>
    <w:rsid w:val="00D53AF2"/>
    <w:rsid w:val="00D55FA5"/>
    <w:rsid w:val="00D561D2"/>
    <w:rsid w:val="00D56331"/>
    <w:rsid w:val="00D56467"/>
    <w:rsid w:val="00D57DDB"/>
    <w:rsid w:val="00D60B44"/>
    <w:rsid w:val="00D613DF"/>
    <w:rsid w:val="00D61744"/>
    <w:rsid w:val="00D62630"/>
    <w:rsid w:val="00D6267C"/>
    <w:rsid w:val="00D62C3B"/>
    <w:rsid w:val="00D64851"/>
    <w:rsid w:val="00D662B2"/>
    <w:rsid w:val="00D663CC"/>
    <w:rsid w:val="00D67103"/>
    <w:rsid w:val="00D70520"/>
    <w:rsid w:val="00D70A8B"/>
    <w:rsid w:val="00D70BD6"/>
    <w:rsid w:val="00D710D2"/>
    <w:rsid w:val="00D738C4"/>
    <w:rsid w:val="00D739A0"/>
    <w:rsid w:val="00D73ED9"/>
    <w:rsid w:val="00D744D2"/>
    <w:rsid w:val="00D74AD1"/>
    <w:rsid w:val="00D74D0C"/>
    <w:rsid w:val="00D74E43"/>
    <w:rsid w:val="00D74F18"/>
    <w:rsid w:val="00D75D14"/>
    <w:rsid w:val="00D767E0"/>
    <w:rsid w:val="00D769DE"/>
    <w:rsid w:val="00D76D11"/>
    <w:rsid w:val="00D7762B"/>
    <w:rsid w:val="00D8022B"/>
    <w:rsid w:val="00D802AF"/>
    <w:rsid w:val="00D80DCB"/>
    <w:rsid w:val="00D81DC2"/>
    <w:rsid w:val="00D82A97"/>
    <w:rsid w:val="00D82E9A"/>
    <w:rsid w:val="00D83F1B"/>
    <w:rsid w:val="00D841AC"/>
    <w:rsid w:val="00D84204"/>
    <w:rsid w:val="00D846A0"/>
    <w:rsid w:val="00D84B14"/>
    <w:rsid w:val="00D85509"/>
    <w:rsid w:val="00D85821"/>
    <w:rsid w:val="00D85969"/>
    <w:rsid w:val="00D85AB6"/>
    <w:rsid w:val="00D85B7E"/>
    <w:rsid w:val="00D87283"/>
    <w:rsid w:val="00D900F1"/>
    <w:rsid w:val="00D902C0"/>
    <w:rsid w:val="00D9037E"/>
    <w:rsid w:val="00D90876"/>
    <w:rsid w:val="00D90C5A"/>
    <w:rsid w:val="00D91182"/>
    <w:rsid w:val="00D91B3B"/>
    <w:rsid w:val="00D92617"/>
    <w:rsid w:val="00D928C1"/>
    <w:rsid w:val="00D92A74"/>
    <w:rsid w:val="00D92E37"/>
    <w:rsid w:val="00D93AAE"/>
    <w:rsid w:val="00D943D1"/>
    <w:rsid w:val="00D94E6B"/>
    <w:rsid w:val="00D9528D"/>
    <w:rsid w:val="00D9597B"/>
    <w:rsid w:val="00D9664F"/>
    <w:rsid w:val="00D967EF"/>
    <w:rsid w:val="00D96A8E"/>
    <w:rsid w:val="00D96B67"/>
    <w:rsid w:val="00DA0E0B"/>
    <w:rsid w:val="00DA15AE"/>
    <w:rsid w:val="00DA1F9E"/>
    <w:rsid w:val="00DA230B"/>
    <w:rsid w:val="00DA2788"/>
    <w:rsid w:val="00DA5C37"/>
    <w:rsid w:val="00DA606A"/>
    <w:rsid w:val="00DA653B"/>
    <w:rsid w:val="00DA7003"/>
    <w:rsid w:val="00DA72F9"/>
    <w:rsid w:val="00DB08FB"/>
    <w:rsid w:val="00DB0DCB"/>
    <w:rsid w:val="00DB277C"/>
    <w:rsid w:val="00DB2C15"/>
    <w:rsid w:val="00DB2F62"/>
    <w:rsid w:val="00DB350B"/>
    <w:rsid w:val="00DB3857"/>
    <w:rsid w:val="00DB3E49"/>
    <w:rsid w:val="00DB4088"/>
    <w:rsid w:val="00DB46FA"/>
    <w:rsid w:val="00DB47A6"/>
    <w:rsid w:val="00DB4C23"/>
    <w:rsid w:val="00DB4DEF"/>
    <w:rsid w:val="00DB4F7F"/>
    <w:rsid w:val="00DB570F"/>
    <w:rsid w:val="00DB5911"/>
    <w:rsid w:val="00DB5BD6"/>
    <w:rsid w:val="00DB6608"/>
    <w:rsid w:val="00DB740E"/>
    <w:rsid w:val="00DB7F4A"/>
    <w:rsid w:val="00DC0D54"/>
    <w:rsid w:val="00DC19C5"/>
    <w:rsid w:val="00DC1BC4"/>
    <w:rsid w:val="00DC1FE2"/>
    <w:rsid w:val="00DC23E9"/>
    <w:rsid w:val="00DC24F4"/>
    <w:rsid w:val="00DC2673"/>
    <w:rsid w:val="00DC2C94"/>
    <w:rsid w:val="00DC3211"/>
    <w:rsid w:val="00DC35B2"/>
    <w:rsid w:val="00DC3BE4"/>
    <w:rsid w:val="00DC3FDA"/>
    <w:rsid w:val="00DC42D3"/>
    <w:rsid w:val="00DC449D"/>
    <w:rsid w:val="00DC44F5"/>
    <w:rsid w:val="00DC46BA"/>
    <w:rsid w:val="00DC4873"/>
    <w:rsid w:val="00DC4E1C"/>
    <w:rsid w:val="00DC4F2A"/>
    <w:rsid w:val="00DC5A95"/>
    <w:rsid w:val="00DC5B8F"/>
    <w:rsid w:val="00DC67AE"/>
    <w:rsid w:val="00DC6830"/>
    <w:rsid w:val="00DC7313"/>
    <w:rsid w:val="00DC7543"/>
    <w:rsid w:val="00DC7A77"/>
    <w:rsid w:val="00DD023D"/>
    <w:rsid w:val="00DD173C"/>
    <w:rsid w:val="00DD33BC"/>
    <w:rsid w:val="00DD34A8"/>
    <w:rsid w:val="00DD36A9"/>
    <w:rsid w:val="00DD3745"/>
    <w:rsid w:val="00DD3A49"/>
    <w:rsid w:val="00DD3A4F"/>
    <w:rsid w:val="00DD4037"/>
    <w:rsid w:val="00DD4E1F"/>
    <w:rsid w:val="00DD56F4"/>
    <w:rsid w:val="00DD5A25"/>
    <w:rsid w:val="00DD5CE5"/>
    <w:rsid w:val="00DD6092"/>
    <w:rsid w:val="00DD7EA9"/>
    <w:rsid w:val="00DE03E6"/>
    <w:rsid w:val="00DE106F"/>
    <w:rsid w:val="00DE1E25"/>
    <w:rsid w:val="00DE2EF5"/>
    <w:rsid w:val="00DE3017"/>
    <w:rsid w:val="00DE33B9"/>
    <w:rsid w:val="00DE3795"/>
    <w:rsid w:val="00DE3AAA"/>
    <w:rsid w:val="00DE3E59"/>
    <w:rsid w:val="00DE3FAD"/>
    <w:rsid w:val="00DE3FBD"/>
    <w:rsid w:val="00DE4755"/>
    <w:rsid w:val="00DE5130"/>
    <w:rsid w:val="00DE523C"/>
    <w:rsid w:val="00DE53A3"/>
    <w:rsid w:val="00DE594E"/>
    <w:rsid w:val="00DE5FE7"/>
    <w:rsid w:val="00DE6EC4"/>
    <w:rsid w:val="00DE6EF0"/>
    <w:rsid w:val="00DE7101"/>
    <w:rsid w:val="00DE77E2"/>
    <w:rsid w:val="00DE7DDE"/>
    <w:rsid w:val="00DF0504"/>
    <w:rsid w:val="00DF0CD5"/>
    <w:rsid w:val="00DF0D08"/>
    <w:rsid w:val="00DF1596"/>
    <w:rsid w:val="00DF20BA"/>
    <w:rsid w:val="00DF331F"/>
    <w:rsid w:val="00DF3D6B"/>
    <w:rsid w:val="00DF4296"/>
    <w:rsid w:val="00DF4593"/>
    <w:rsid w:val="00DF4C7D"/>
    <w:rsid w:val="00DF4F3F"/>
    <w:rsid w:val="00DF5168"/>
    <w:rsid w:val="00DF5319"/>
    <w:rsid w:val="00DF5556"/>
    <w:rsid w:val="00DF5B4C"/>
    <w:rsid w:val="00DF702E"/>
    <w:rsid w:val="00DF71A2"/>
    <w:rsid w:val="00DF7C0E"/>
    <w:rsid w:val="00E001EF"/>
    <w:rsid w:val="00E00F0A"/>
    <w:rsid w:val="00E016F8"/>
    <w:rsid w:val="00E01F13"/>
    <w:rsid w:val="00E01F35"/>
    <w:rsid w:val="00E02E1D"/>
    <w:rsid w:val="00E02EA5"/>
    <w:rsid w:val="00E03116"/>
    <w:rsid w:val="00E039CA"/>
    <w:rsid w:val="00E04462"/>
    <w:rsid w:val="00E0560F"/>
    <w:rsid w:val="00E0696F"/>
    <w:rsid w:val="00E07722"/>
    <w:rsid w:val="00E0788C"/>
    <w:rsid w:val="00E07E3A"/>
    <w:rsid w:val="00E1046E"/>
    <w:rsid w:val="00E1058E"/>
    <w:rsid w:val="00E10E6D"/>
    <w:rsid w:val="00E11C0F"/>
    <w:rsid w:val="00E125A5"/>
    <w:rsid w:val="00E12F0C"/>
    <w:rsid w:val="00E131CF"/>
    <w:rsid w:val="00E13502"/>
    <w:rsid w:val="00E1410A"/>
    <w:rsid w:val="00E14210"/>
    <w:rsid w:val="00E1590C"/>
    <w:rsid w:val="00E15B1D"/>
    <w:rsid w:val="00E160E4"/>
    <w:rsid w:val="00E1651C"/>
    <w:rsid w:val="00E16AF3"/>
    <w:rsid w:val="00E16F93"/>
    <w:rsid w:val="00E17560"/>
    <w:rsid w:val="00E17707"/>
    <w:rsid w:val="00E20F5F"/>
    <w:rsid w:val="00E217D7"/>
    <w:rsid w:val="00E21A1A"/>
    <w:rsid w:val="00E222E2"/>
    <w:rsid w:val="00E22F2C"/>
    <w:rsid w:val="00E23B92"/>
    <w:rsid w:val="00E246DA"/>
    <w:rsid w:val="00E24AD0"/>
    <w:rsid w:val="00E2530E"/>
    <w:rsid w:val="00E25702"/>
    <w:rsid w:val="00E27199"/>
    <w:rsid w:val="00E27605"/>
    <w:rsid w:val="00E27BD7"/>
    <w:rsid w:val="00E27DC4"/>
    <w:rsid w:val="00E27EF8"/>
    <w:rsid w:val="00E302B4"/>
    <w:rsid w:val="00E310B4"/>
    <w:rsid w:val="00E311E1"/>
    <w:rsid w:val="00E31E78"/>
    <w:rsid w:val="00E3250E"/>
    <w:rsid w:val="00E32658"/>
    <w:rsid w:val="00E327A5"/>
    <w:rsid w:val="00E328B3"/>
    <w:rsid w:val="00E32ED3"/>
    <w:rsid w:val="00E342C1"/>
    <w:rsid w:val="00E348D2"/>
    <w:rsid w:val="00E35332"/>
    <w:rsid w:val="00E36356"/>
    <w:rsid w:val="00E365A3"/>
    <w:rsid w:val="00E37780"/>
    <w:rsid w:val="00E37C9D"/>
    <w:rsid w:val="00E4093A"/>
    <w:rsid w:val="00E41633"/>
    <w:rsid w:val="00E4187A"/>
    <w:rsid w:val="00E41DDA"/>
    <w:rsid w:val="00E43010"/>
    <w:rsid w:val="00E43261"/>
    <w:rsid w:val="00E437B9"/>
    <w:rsid w:val="00E439DF"/>
    <w:rsid w:val="00E43B1F"/>
    <w:rsid w:val="00E45128"/>
    <w:rsid w:val="00E4517D"/>
    <w:rsid w:val="00E45973"/>
    <w:rsid w:val="00E46092"/>
    <w:rsid w:val="00E46E45"/>
    <w:rsid w:val="00E47BD2"/>
    <w:rsid w:val="00E47D03"/>
    <w:rsid w:val="00E47D74"/>
    <w:rsid w:val="00E5068F"/>
    <w:rsid w:val="00E50CC5"/>
    <w:rsid w:val="00E50CDF"/>
    <w:rsid w:val="00E50FB3"/>
    <w:rsid w:val="00E51B0E"/>
    <w:rsid w:val="00E529EF"/>
    <w:rsid w:val="00E53246"/>
    <w:rsid w:val="00E533F7"/>
    <w:rsid w:val="00E53CA5"/>
    <w:rsid w:val="00E54183"/>
    <w:rsid w:val="00E54997"/>
    <w:rsid w:val="00E55803"/>
    <w:rsid w:val="00E55CED"/>
    <w:rsid w:val="00E57108"/>
    <w:rsid w:val="00E571EA"/>
    <w:rsid w:val="00E572BE"/>
    <w:rsid w:val="00E5730B"/>
    <w:rsid w:val="00E57323"/>
    <w:rsid w:val="00E57DB9"/>
    <w:rsid w:val="00E60F10"/>
    <w:rsid w:val="00E6188A"/>
    <w:rsid w:val="00E61CAC"/>
    <w:rsid w:val="00E623AC"/>
    <w:rsid w:val="00E62B02"/>
    <w:rsid w:val="00E636D3"/>
    <w:rsid w:val="00E63772"/>
    <w:rsid w:val="00E64098"/>
    <w:rsid w:val="00E640DC"/>
    <w:rsid w:val="00E646B4"/>
    <w:rsid w:val="00E6557C"/>
    <w:rsid w:val="00E65CB2"/>
    <w:rsid w:val="00E65CF9"/>
    <w:rsid w:val="00E6655C"/>
    <w:rsid w:val="00E6685F"/>
    <w:rsid w:val="00E66BA1"/>
    <w:rsid w:val="00E67210"/>
    <w:rsid w:val="00E6756E"/>
    <w:rsid w:val="00E705DE"/>
    <w:rsid w:val="00E70F4F"/>
    <w:rsid w:val="00E71334"/>
    <w:rsid w:val="00E71545"/>
    <w:rsid w:val="00E7205D"/>
    <w:rsid w:val="00E72102"/>
    <w:rsid w:val="00E724A1"/>
    <w:rsid w:val="00E7263D"/>
    <w:rsid w:val="00E72EB0"/>
    <w:rsid w:val="00E7320A"/>
    <w:rsid w:val="00E7360A"/>
    <w:rsid w:val="00E73D25"/>
    <w:rsid w:val="00E75384"/>
    <w:rsid w:val="00E75414"/>
    <w:rsid w:val="00E76647"/>
    <w:rsid w:val="00E76A09"/>
    <w:rsid w:val="00E76DAD"/>
    <w:rsid w:val="00E81975"/>
    <w:rsid w:val="00E828ED"/>
    <w:rsid w:val="00E82BEF"/>
    <w:rsid w:val="00E83033"/>
    <w:rsid w:val="00E83062"/>
    <w:rsid w:val="00E835F5"/>
    <w:rsid w:val="00E83D4F"/>
    <w:rsid w:val="00E84E22"/>
    <w:rsid w:val="00E85F1F"/>
    <w:rsid w:val="00E8634F"/>
    <w:rsid w:val="00E86621"/>
    <w:rsid w:val="00E8701F"/>
    <w:rsid w:val="00E87767"/>
    <w:rsid w:val="00E9008E"/>
    <w:rsid w:val="00E90DB6"/>
    <w:rsid w:val="00E91F06"/>
    <w:rsid w:val="00E9277C"/>
    <w:rsid w:val="00E92B02"/>
    <w:rsid w:val="00E932FD"/>
    <w:rsid w:val="00E94896"/>
    <w:rsid w:val="00E95CD4"/>
    <w:rsid w:val="00E96488"/>
    <w:rsid w:val="00E96ABD"/>
    <w:rsid w:val="00E96BF7"/>
    <w:rsid w:val="00E97957"/>
    <w:rsid w:val="00EA027B"/>
    <w:rsid w:val="00EA1A40"/>
    <w:rsid w:val="00EA1DD1"/>
    <w:rsid w:val="00EA2471"/>
    <w:rsid w:val="00EA2E5A"/>
    <w:rsid w:val="00EA39FD"/>
    <w:rsid w:val="00EA4010"/>
    <w:rsid w:val="00EA46D5"/>
    <w:rsid w:val="00EA47B8"/>
    <w:rsid w:val="00EA47DD"/>
    <w:rsid w:val="00EA4880"/>
    <w:rsid w:val="00EA49A4"/>
    <w:rsid w:val="00EA5641"/>
    <w:rsid w:val="00EA589F"/>
    <w:rsid w:val="00EA66A0"/>
    <w:rsid w:val="00EA698F"/>
    <w:rsid w:val="00EA7008"/>
    <w:rsid w:val="00EA71E0"/>
    <w:rsid w:val="00EA7E67"/>
    <w:rsid w:val="00EB03E9"/>
    <w:rsid w:val="00EB162A"/>
    <w:rsid w:val="00EB18F3"/>
    <w:rsid w:val="00EB1D20"/>
    <w:rsid w:val="00EB229D"/>
    <w:rsid w:val="00EB31F8"/>
    <w:rsid w:val="00EB4228"/>
    <w:rsid w:val="00EB44CC"/>
    <w:rsid w:val="00EB4A3D"/>
    <w:rsid w:val="00EB5330"/>
    <w:rsid w:val="00EB5970"/>
    <w:rsid w:val="00EB663F"/>
    <w:rsid w:val="00EB68F4"/>
    <w:rsid w:val="00EB696C"/>
    <w:rsid w:val="00EB6F87"/>
    <w:rsid w:val="00EB7408"/>
    <w:rsid w:val="00EC12F0"/>
    <w:rsid w:val="00EC1B03"/>
    <w:rsid w:val="00EC2610"/>
    <w:rsid w:val="00EC2894"/>
    <w:rsid w:val="00EC3287"/>
    <w:rsid w:val="00EC35E5"/>
    <w:rsid w:val="00EC3A7F"/>
    <w:rsid w:val="00EC3BAA"/>
    <w:rsid w:val="00EC3DA7"/>
    <w:rsid w:val="00EC3F3C"/>
    <w:rsid w:val="00EC4C15"/>
    <w:rsid w:val="00EC5ADE"/>
    <w:rsid w:val="00EC5F6E"/>
    <w:rsid w:val="00EC5F92"/>
    <w:rsid w:val="00EC615C"/>
    <w:rsid w:val="00EC6BA7"/>
    <w:rsid w:val="00EC6E1F"/>
    <w:rsid w:val="00EC7EC4"/>
    <w:rsid w:val="00ED125E"/>
    <w:rsid w:val="00ED1436"/>
    <w:rsid w:val="00ED1788"/>
    <w:rsid w:val="00ED1D6E"/>
    <w:rsid w:val="00ED1F10"/>
    <w:rsid w:val="00ED216A"/>
    <w:rsid w:val="00ED22B5"/>
    <w:rsid w:val="00ED23DF"/>
    <w:rsid w:val="00ED27F1"/>
    <w:rsid w:val="00ED28E8"/>
    <w:rsid w:val="00ED2BD6"/>
    <w:rsid w:val="00ED42D1"/>
    <w:rsid w:val="00ED4BAF"/>
    <w:rsid w:val="00ED4D2A"/>
    <w:rsid w:val="00ED4E87"/>
    <w:rsid w:val="00ED52AE"/>
    <w:rsid w:val="00ED58B7"/>
    <w:rsid w:val="00ED5E9A"/>
    <w:rsid w:val="00ED67B2"/>
    <w:rsid w:val="00ED6C43"/>
    <w:rsid w:val="00ED6E42"/>
    <w:rsid w:val="00EE027B"/>
    <w:rsid w:val="00EE03A7"/>
    <w:rsid w:val="00EE075B"/>
    <w:rsid w:val="00EE1825"/>
    <w:rsid w:val="00EE1D46"/>
    <w:rsid w:val="00EE3283"/>
    <w:rsid w:val="00EE359E"/>
    <w:rsid w:val="00EE3FAF"/>
    <w:rsid w:val="00EE41C5"/>
    <w:rsid w:val="00EE4322"/>
    <w:rsid w:val="00EE509E"/>
    <w:rsid w:val="00EE6CEE"/>
    <w:rsid w:val="00EE75CA"/>
    <w:rsid w:val="00EF00F0"/>
    <w:rsid w:val="00EF02FF"/>
    <w:rsid w:val="00EF3AAA"/>
    <w:rsid w:val="00EF45C0"/>
    <w:rsid w:val="00EF5016"/>
    <w:rsid w:val="00EF52DC"/>
    <w:rsid w:val="00EF5706"/>
    <w:rsid w:val="00EF59B9"/>
    <w:rsid w:val="00EF5B2A"/>
    <w:rsid w:val="00EF63BE"/>
    <w:rsid w:val="00EF6528"/>
    <w:rsid w:val="00EF6A2C"/>
    <w:rsid w:val="00EF6B9F"/>
    <w:rsid w:val="00F00D09"/>
    <w:rsid w:val="00F0122E"/>
    <w:rsid w:val="00F02ED0"/>
    <w:rsid w:val="00F031AA"/>
    <w:rsid w:val="00F032DA"/>
    <w:rsid w:val="00F03782"/>
    <w:rsid w:val="00F03788"/>
    <w:rsid w:val="00F03826"/>
    <w:rsid w:val="00F03A26"/>
    <w:rsid w:val="00F04286"/>
    <w:rsid w:val="00F04B13"/>
    <w:rsid w:val="00F04D92"/>
    <w:rsid w:val="00F05E82"/>
    <w:rsid w:val="00F0614B"/>
    <w:rsid w:val="00F063DB"/>
    <w:rsid w:val="00F07825"/>
    <w:rsid w:val="00F109D5"/>
    <w:rsid w:val="00F10DCA"/>
    <w:rsid w:val="00F1104F"/>
    <w:rsid w:val="00F110A1"/>
    <w:rsid w:val="00F1160A"/>
    <w:rsid w:val="00F118EC"/>
    <w:rsid w:val="00F1192E"/>
    <w:rsid w:val="00F11B57"/>
    <w:rsid w:val="00F12320"/>
    <w:rsid w:val="00F13C2F"/>
    <w:rsid w:val="00F140AF"/>
    <w:rsid w:val="00F14627"/>
    <w:rsid w:val="00F16121"/>
    <w:rsid w:val="00F1656E"/>
    <w:rsid w:val="00F1755D"/>
    <w:rsid w:val="00F2015D"/>
    <w:rsid w:val="00F20862"/>
    <w:rsid w:val="00F20A03"/>
    <w:rsid w:val="00F20FF5"/>
    <w:rsid w:val="00F21345"/>
    <w:rsid w:val="00F22356"/>
    <w:rsid w:val="00F2285D"/>
    <w:rsid w:val="00F22AFB"/>
    <w:rsid w:val="00F23DC0"/>
    <w:rsid w:val="00F24678"/>
    <w:rsid w:val="00F24A67"/>
    <w:rsid w:val="00F24D66"/>
    <w:rsid w:val="00F25175"/>
    <w:rsid w:val="00F25484"/>
    <w:rsid w:val="00F25C6F"/>
    <w:rsid w:val="00F2720F"/>
    <w:rsid w:val="00F27372"/>
    <w:rsid w:val="00F3040C"/>
    <w:rsid w:val="00F312E7"/>
    <w:rsid w:val="00F314B7"/>
    <w:rsid w:val="00F31B1A"/>
    <w:rsid w:val="00F324B0"/>
    <w:rsid w:val="00F3293F"/>
    <w:rsid w:val="00F33CD9"/>
    <w:rsid w:val="00F34550"/>
    <w:rsid w:val="00F3509B"/>
    <w:rsid w:val="00F351AD"/>
    <w:rsid w:val="00F36353"/>
    <w:rsid w:val="00F3665D"/>
    <w:rsid w:val="00F36828"/>
    <w:rsid w:val="00F3770B"/>
    <w:rsid w:val="00F37883"/>
    <w:rsid w:val="00F3797A"/>
    <w:rsid w:val="00F40033"/>
    <w:rsid w:val="00F407CD"/>
    <w:rsid w:val="00F42180"/>
    <w:rsid w:val="00F4256C"/>
    <w:rsid w:val="00F428A1"/>
    <w:rsid w:val="00F434C2"/>
    <w:rsid w:val="00F43F44"/>
    <w:rsid w:val="00F4462B"/>
    <w:rsid w:val="00F44EAE"/>
    <w:rsid w:val="00F451E4"/>
    <w:rsid w:val="00F4570F"/>
    <w:rsid w:val="00F457A0"/>
    <w:rsid w:val="00F45900"/>
    <w:rsid w:val="00F46249"/>
    <w:rsid w:val="00F46CC5"/>
    <w:rsid w:val="00F46DBC"/>
    <w:rsid w:val="00F4789D"/>
    <w:rsid w:val="00F47AD6"/>
    <w:rsid w:val="00F47C63"/>
    <w:rsid w:val="00F47E8E"/>
    <w:rsid w:val="00F47F98"/>
    <w:rsid w:val="00F50395"/>
    <w:rsid w:val="00F50407"/>
    <w:rsid w:val="00F50D33"/>
    <w:rsid w:val="00F52265"/>
    <w:rsid w:val="00F5234C"/>
    <w:rsid w:val="00F5238C"/>
    <w:rsid w:val="00F52547"/>
    <w:rsid w:val="00F52761"/>
    <w:rsid w:val="00F53121"/>
    <w:rsid w:val="00F53842"/>
    <w:rsid w:val="00F53B60"/>
    <w:rsid w:val="00F55EE0"/>
    <w:rsid w:val="00F55F92"/>
    <w:rsid w:val="00F55FC7"/>
    <w:rsid w:val="00F572A5"/>
    <w:rsid w:val="00F5795C"/>
    <w:rsid w:val="00F60307"/>
    <w:rsid w:val="00F60818"/>
    <w:rsid w:val="00F61075"/>
    <w:rsid w:val="00F6165E"/>
    <w:rsid w:val="00F61866"/>
    <w:rsid w:val="00F6195B"/>
    <w:rsid w:val="00F62A4C"/>
    <w:rsid w:val="00F62C26"/>
    <w:rsid w:val="00F62E23"/>
    <w:rsid w:val="00F63E1F"/>
    <w:rsid w:val="00F645A7"/>
    <w:rsid w:val="00F647EB"/>
    <w:rsid w:val="00F653B9"/>
    <w:rsid w:val="00F65AC2"/>
    <w:rsid w:val="00F66367"/>
    <w:rsid w:val="00F66398"/>
    <w:rsid w:val="00F668FC"/>
    <w:rsid w:val="00F66B19"/>
    <w:rsid w:val="00F67DAD"/>
    <w:rsid w:val="00F67E72"/>
    <w:rsid w:val="00F70590"/>
    <w:rsid w:val="00F708D9"/>
    <w:rsid w:val="00F7106F"/>
    <w:rsid w:val="00F714D6"/>
    <w:rsid w:val="00F7222E"/>
    <w:rsid w:val="00F73A9B"/>
    <w:rsid w:val="00F73DD1"/>
    <w:rsid w:val="00F74577"/>
    <w:rsid w:val="00F75019"/>
    <w:rsid w:val="00F75137"/>
    <w:rsid w:val="00F75759"/>
    <w:rsid w:val="00F759D7"/>
    <w:rsid w:val="00F75AC6"/>
    <w:rsid w:val="00F75D8F"/>
    <w:rsid w:val="00F763AC"/>
    <w:rsid w:val="00F76864"/>
    <w:rsid w:val="00F76BE2"/>
    <w:rsid w:val="00F76CA1"/>
    <w:rsid w:val="00F76DBF"/>
    <w:rsid w:val="00F778BE"/>
    <w:rsid w:val="00F8021E"/>
    <w:rsid w:val="00F809A3"/>
    <w:rsid w:val="00F810CA"/>
    <w:rsid w:val="00F8119A"/>
    <w:rsid w:val="00F816DB"/>
    <w:rsid w:val="00F8297B"/>
    <w:rsid w:val="00F83662"/>
    <w:rsid w:val="00F8391A"/>
    <w:rsid w:val="00F84184"/>
    <w:rsid w:val="00F8641E"/>
    <w:rsid w:val="00F87A72"/>
    <w:rsid w:val="00F90038"/>
    <w:rsid w:val="00F9014C"/>
    <w:rsid w:val="00F9054A"/>
    <w:rsid w:val="00F90563"/>
    <w:rsid w:val="00F9111C"/>
    <w:rsid w:val="00F911F0"/>
    <w:rsid w:val="00F9136C"/>
    <w:rsid w:val="00F91556"/>
    <w:rsid w:val="00F919C2"/>
    <w:rsid w:val="00F91E8F"/>
    <w:rsid w:val="00F920A9"/>
    <w:rsid w:val="00F921E5"/>
    <w:rsid w:val="00F92E56"/>
    <w:rsid w:val="00F92EDD"/>
    <w:rsid w:val="00F93430"/>
    <w:rsid w:val="00F93AB2"/>
    <w:rsid w:val="00F93D62"/>
    <w:rsid w:val="00F943A2"/>
    <w:rsid w:val="00F944AD"/>
    <w:rsid w:val="00F95EBB"/>
    <w:rsid w:val="00F96CED"/>
    <w:rsid w:val="00F96D70"/>
    <w:rsid w:val="00F9719B"/>
    <w:rsid w:val="00F976AC"/>
    <w:rsid w:val="00F976E7"/>
    <w:rsid w:val="00F97F8F"/>
    <w:rsid w:val="00FA0BA8"/>
    <w:rsid w:val="00FA1A82"/>
    <w:rsid w:val="00FA1C1E"/>
    <w:rsid w:val="00FA1C27"/>
    <w:rsid w:val="00FA1F77"/>
    <w:rsid w:val="00FA2BFF"/>
    <w:rsid w:val="00FA2D8B"/>
    <w:rsid w:val="00FA33D7"/>
    <w:rsid w:val="00FA33E7"/>
    <w:rsid w:val="00FA3D20"/>
    <w:rsid w:val="00FA3FDD"/>
    <w:rsid w:val="00FA452C"/>
    <w:rsid w:val="00FA469F"/>
    <w:rsid w:val="00FA4A1C"/>
    <w:rsid w:val="00FA4A6B"/>
    <w:rsid w:val="00FA4F55"/>
    <w:rsid w:val="00FA54CC"/>
    <w:rsid w:val="00FA6CE9"/>
    <w:rsid w:val="00FA70DC"/>
    <w:rsid w:val="00FA72DA"/>
    <w:rsid w:val="00FA7EDD"/>
    <w:rsid w:val="00FB02C4"/>
    <w:rsid w:val="00FB14B3"/>
    <w:rsid w:val="00FB16A3"/>
    <w:rsid w:val="00FB1C72"/>
    <w:rsid w:val="00FB1FBE"/>
    <w:rsid w:val="00FB2C6F"/>
    <w:rsid w:val="00FB3102"/>
    <w:rsid w:val="00FB359C"/>
    <w:rsid w:val="00FB3F65"/>
    <w:rsid w:val="00FB467B"/>
    <w:rsid w:val="00FB4D7B"/>
    <w:rsid w:val="00FB5100"/>
    <w:rsid w:val="00FB56F5"/>
    <w:rsid w:val="00FB5F47"/>
    <w:rsid w:val="00FB69E1"/>
    <w:rsid w:val="00FB739A"/>
    <w:rsid w:val="00FB73EE"/>
    <w:rsid w:val="00FB79AC"/>
    <w:rsid w:val="00FB7A52"/>
    <w:rsid w:val="00FB7B2D"/>
    <w:rsid w:val="00FC0254"/>
    <w:rsid w:val="00FC1443"/>
    <w:rsid w:val="00FC24B2"/>
    <w:rsid w:val="00FC2504"/>
    <w:rsid w:val="00FC2AF9"/>
    <w:rsid w:val="00FC36C9"/>
    <w:rsid w:val="00FC3C17"/>
    <w:rsid w:val="00FC5AF4"/>
    <w:rsid w:val="00FC5E1F"/>
    <w:rsid w:val="00FC644D"/>
    <w:rsid w:val="00FC6A09"/>
    <w:rsid w:val="00FC7009"/>
    <w:rsid w:val="00FC777A"/>
    <w:rsid w:val="00FC782A"/>
    <w:rsid w:val="00FC7B76"/>
    <w:rsid w:val="00FC7F0A"/>
    <w:rsid w:val="00FD036C"/>
    <w:rsid w:val="00FD0708"/>
    <w:rsid w:val="00FD122E"/>
    <w:rsid w:val="00FD1CBC"/>
    <w:rsid w:val="00FD1D79"/>
    <w:rsid w:val="00FD1D9B"/>
    <w:rsid w:val="00FD2A0E"/>
    <w:rsid w:val="00FD2CEC"/>
    <w:rsid w:val="00FD2EFF"/>
    <w:rsid w:val="00FD4658"/>
    <w:rsid w:val="00FD4869"/>
    <w:rsid w:val="00FD49ED"/>
    <w:rsid w:val="00FD6634"/>
    <w:rsid w:val="00FD6839"/>
    <w:rsid w:val="00FD6B0F"/>
    <w:rsid w:val="00FD6DBA"/>
    <w:rsid w:val="00FD725F"/>
    <w:rsid w:val="00FD7779"/>
    <w:rsid w:val="00FD7F9A"/>
    <w:rsid w:val="00FE02B3"/>
    <w:rsid w:val="00FE0925"/>
    <w:rsid w:val="00FE0DF6"/>
    <w:rsid w:val="00FE1026"/>
    <w:rsid w:val="00FE11B6"/>
    <w:rsid w:val="00FE2019"/>
    <w:rsid w:val="00FE3469"/>
    <w:rsid w:val="00FE359E"/>
    <w:rsid w:val="00FE3C38"/>
    <w:rsid w:val="00FE419C"/>
    <w:rsid w:val="00FE43FD"/>
    <w:rsid w:val="00FE45D4"/>
    <w:rsid w:val="00FE4B4E"/>
    <w:rsid w:val="00FE4E67"/>
    <w:rsid w:val="00FE5AD3"/>
    <w:rsid w:val="00FE5FB6"/>
    <w:rsid w:val="00FE607F"/>
    <w:rsid w:val="00FE6308"/>
    <w:rsid w:val="00FE7C57"/>
    <w:rsid w:val="00FF001F"/>
    <w:rsid w:val="00FF0664"/>
    <w:rsid w:val="00FF1E02"/>
    <w:rsid w:val="00FF23FF"/>
    <w:rsid w:val="00FF2E78"/>
    <w:rsid w:val="00FF2FB2"/>
    <w:rsid w:val="00FF35D3"/>
    <w:rsid w:val="00FF4A2A"/>
    <w:rsid w:val="00FF4B16"/>
    <w:rsid w:val="00FF4C8B"/>
    <w:rsid w:val="00FF522B"/>
    <w:rsid w:val="00FF53C1"/>
    <w:rsid w:val="00FF5822"/>
    <w:rsid w:val="00FF5CDC"/>
    <w:rsid w:val="00FF6045"/>
    <w:rsid w:val="00FF6383"/>
    <w:rsid w:val="00FF6477"/>
    <w:rsid w:val="00FF7B97"/>
    <w:rsid w:val="00FF7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4137"/>
  <w14:defaultImageDpi w14:val="32767"/>
  <w15:chartTrackingRefBased/>
  <w15:docId w15:val="{AF184A80-257D-EF49-9490-3FE2439E4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65CB2"/>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1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archhistory-search-term">
    <w:name w:val="searchhistory-search-term"/>
    <w:basedOn w:val="DefaultParagraphFont"/>
    <w:rsid w:val="00814B20"/>
  </w:style>
  <w:style w:type="paragraph" w:styleId="NormalWeb">
    <w:name w:val="Normal (Web)"/>
    <w:basedOn w:val="Normal"/>
    <w:link w:val="NormalWebChar"/>
    <w:uiPriority w:val="99"/>
    <w:unhideWhenUsed/>
    <w:rsid w:val="00E328B3"/>
    <w:pPr>
      <w:spacing w:before="100" w:beforeAutospacing="1" w:after="100" w:afterAutospacing="1"/>
    </w:pPr>
    <w:rPr>
      <w:lang w:val="en-SG" w:eastAsia="en-US"/>
    </w:rPr>
  </w:style>
  <w:style w:type="character" w:customStyle="1" w:styleId="NormalWebChar">
    <w:name w:val="Normal (Web) Char"/>
    <w:basedOn w:val="DefaultParagraphFont"/>
    <w:link w:val="NormalWeb"/>
    <w:uiPriority w:val="99"/>
    <w:rsid w:val="00E328B3"/>
    <w:rPr>
      <w:rFonts w:ascii="Times New Roman" w:eastAsia="Times New Roman" w:hAnsi="Times New Roman" w:cs="Times New Roman"/>
      <w:lang w:val="en-SG"/>
    </w:rPr>
  </w:style>
  <w:style w:type="paragraph" w:styleId="ListParagraph">
    <w:name w:val="List Paragraph"/>
    <w:basedOn w:val="Normal"/>
    <w:uiPriority w:val="34"/>
    <w:qFormat/>
    <w:rsid w:val="00E328B3"/>
    <w:pPr>
      <w:ind w:left="720"/>
      <w:contextualSpacing/>
    </w:pPr>
    <w:rPr>
      <w:rFonts w:asciiTheme="minorHAnsi" w:eastAsiaTheme="minorHAnsi" w:hAnsiTheme="minorHAnsi" w:cstheme="minorBidi"/>
      <w:lang w:eastAsia="en-US"/>
    </w:rPr>
  </w:style>
  <w:style w:type="table" w:customStyle="1" w:styleId="PlainTable41">
    <w:name w:val="Plain Table 41"/>
    <w:basedOn w:val="TableNormal"/>
    <w:uiPriority w:val="99"/>
    <w:rsid w:val="00E328B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92B1D"/>
    <w:rPr>
      <w:lang w:val="en-SG"/>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DefaultParagraphFont"/>
    <w:rsid w:val="00355356"/>
    <w:rPr>
      <w:rFonts w:ascii="Times-Roman" w:hAnsi="Times-Roman" w:hint="default"/>
      <w:b w:val="0"/>
      <w:bCs w:val="0"/>
      <w:i w:val="0"/>
      <w:iCs w:val="0"/>
      <w:color w:val="242021"/>
      <w:sz w:val="22"/>
      <w:szCs w:val="22"/>
    </w:rPr>
  </w:style>
  <w:style w:type="character" w:styleId="Hyperlink">
    <w:name w:val="Hyperlink"/>
    <w:basedOn w:val="DefaultParagraphFont"/>
    <w:uiPriority w:val="99"/>
    <w:unhideWhenUsed/>
    <w:rsid w:val="00A7795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66430">
      <w:bodyDiv w:val="1"/>
      <w:marLeft w:val="0"/>
      <w:marRight w:val="0"/>
      <w:marTop w:val="0"/>
      <w:marBottom w:val="0"/>
      <w:divBdr>
        <w:top w:val="none" w:sz="0" w:space="0" w:color="auto"/>
        <w:left w:val="none" w:sz="0" w:space="0" w:color="auto"/>
        <w:bottom w:val="none" w:sz="0" w:space="0" w:color="auto"/>
        <w:right w:val="none" w:sz="0" w:space="0" w:color="auto"/>
      </w:divBdr>
    </w:div>
    <w:div w:id="46152984">
      <w:bodyDiv w:val="1"/>
      <w:marLeft w:val="0"/>
      <w:marRight w:val="0"/>
      <w:marTop w:val="0"/>
      <w:marBottom w:val="0"/>
      <w:divBdr>
        <w:top w:val="none" w:sz="0" w:space="0" w:color="auto"/>
        <w:left w:val="none" w:sz="0" w:space="0" w:color="auto"/>
        <w:bottom w:val="none" w:sz="0" w:space="0" w:color="auto"/>
        <w:right w:val="none" w:sz="0" w:space="0" w:color="auto"/>
      </w:divBdr>
    </w:div>
    <w:div w:id="66420361">
      <w:bodyDiv w:val="1"/>
      <w:marLeft w:val="0"/>
      <w:marRight w:val="0"/>
      <w:marTop w:val="0"/>
      <w:marBottom w:val="0"/>
      <w:divBdr>
        <w:top w:val="none" w:sz="0" w:space="0" w:color="auto"/>
        <w:left w:val="none" w:sz="0" w:space="0" w:color="auto"/>
        <w:bottom w:val="none" w:sz="0" w:space="0" w:color="auto"/>
        <w:right w:val="none" w:sz="0" w:space="0" w:color="auto"/>
      </w:divBdr>
    </w:div>
    <w:div w:id="69624741">
      <w:bodyDiv w:val="1"/>
      <w:marLeft w:val="0"/>
      <w:marRight w:val="0"/>
      <w:marTop w:val="0"/>
      <w:marBottom w:val="0"/>
      <w:divBdr>
        <w:top w:val="none" w:sz="0" w:space="0" w:color="auto"/>
        <w:left w:val="none" w:sz="0" w:space="0" w:color="auto"/>
        <w:bottom w:val="none" w:sz="0" w:space="0" w:color="auto"/>
        <w:right w:val="none" w:sz="0" w:space="0" w:color="auto"/>
      </w:divBdr>
    </w:div>
    <w:div w:id="71398259">
      <w:bodyDiv w:val="1"/>
      <w:marLeft w:val="0"/>
      <w:marRight w:val="0"/>
      <w:marTop w:val="0"/>
      <w:marBottom w:val="0"/>
      <w:divBdr>
        <w:top w:val="none" w:sz="0" w:space="0" w:color="auto"/>
        <w:left w:val="none" w:sz="0" w:space="0" w:color="auto"/>
        <w:bottom w:val="none" w:sz="0" w:space="0" w:color="auto"/>
        <w:right w:val="none" w:sz="0" w:space="0" w:color="auto"/>
      </w:divBdr>
    </w:div>
    <w:div w:id="85924790">
      <w:bodyDiv w:val="1"/>
      <w:marLeft w:val="0"/>
      <w:marRight w:val="0"/>
      <w:marTop w:val="0"/>
      <w:marBottom w:val="0"/>
      <w:divBdr>
        <w:top w:val="none" w:sz="0" w:space="0" w:color="auto"/>
        <w:left w:val="none" w:sz="0" w:space="0" w:color="auto"/>
        <w:bottom w:val="none" w:sz="0" w:space="0" w:color="auto"/>
        <w:right w:val="none" w:sz="0" w:space="0" w:color="auto"/>
      </w:divBdr>
    </w:div>
    <w:div w:id="132020983">
      <w:bodyDiv w:val="1"/>
      <w:marLeft w:val="0"/>
      <w:marRight w:val="0"/>
      <w:marTop w:val="0"/>
      <w:marBottom w:val="0"/>
      <w:divBdr>
        <w:top w:val="none" w:sz="0" w:space="0" w:color="auto"/>
        <w:left w:val="none" w:sz="0" w:space="0" w:color="auto"/>
        <w:bottom w:val="none" w:sz="0" w:space="0" w:color="auto"/>
        <w:right w:val="none" w:sz="0" w:space="0" w:color="auto"/>
      </w:divBdr>
    </w:div>
    <w:div w:id="148332702">
      <w:bodyDiv w:val="1"/>
      <w:marLeft w:val="0"/>
      <w:marRight w:val="0"/>
      <w:marTop w:val="0"/>
      <w:marBottom w:val="0"/>
      <w:divBdr>
        <w:top w:val="none" w:sz="0" w:space="0" w:color="auto"/>
        <w:left w:val="none" w:sz="0" w:space="0" w:color="auto"/>
        <w:bottom w:val="none" w:sz="0" w:space="0" w:color="auto"/>
        <w:right w:val="none" w:sz="0" w:space="0" w:color="auto"/>
      </w:divBdr>
    </w:div>
    <w:div w:id="150677420">
      <w:bodyDiv w:val="1"/>
      <w:marLeft w:val="0"/>
      <w:marRight w:val="0"/>
      <w:marTop w:val="0"/>
      <w:marBottom w:val="0"/>
      <w:divBdr>
        <w:top w:val="none" w:sz="0" w:space="0" w:color="auto"/>
        <w:left w:val="none" w:sz="0" w:space="0" w:color="auto"/>
        <w:bottom w:val="none" w:sz="0" w:space="0" w:color="auto"/>
        <w:right w:val="none" w:sz="0" w:space="0" w:color="auto"/>
      </w:divBdr>
    </w:div>
    <w:div w:id="163210038">
      <w:bodyDiv w:val="1"/>
      <w:marLeft w:val="0"/>
      <w:marRight w:val="0"/>
      <w:marTop w:val="0"/>
      <w:marBottom w:val="0"/>
      <w:divBdr>
        <w:top w:val="none" w:sz="0" w:space="0" w:color="auto"/>
        <w:left w:val="none" w:sz="0" w:space="0" w:color="auto"/>
        <w:bottom w:val="none" w:sz="0" w:space="0" w:color="auto"/>
        <w:right w:val="none" w:sz="0" w:space="0" w:color="auto"/>
      </w:divBdr>
    </w:div>
    <w:div w:id="183441283">
      <w:bodyDiv w:val="1"/>
      <w:marLeft w:val="0"/>
      <w:marRight w:val="0"/>
      <w:marTop w:val="0"/>
      <w:marBottom w:val="0"/>
      <w:divBdr>
        <w:top w:val="none" w:sz="0" w:space="0" w:color="auto"/>
        <w:left w:val="none" w:sz="0" w:space="0" w:color="auto"/>
        <w:bottom w:val="none" w:sz="0" w:space="0" w:color="auto"/>
        <w:right w:val="none" w:sz="0" w:space="0" w:color="auto"/>
      </w:divBdr>
      <w:divsChild>
        <w:div w:id="2026907940">
          <w:marLeft w:val="0"/>
          <w:marRight w:val="0"/>
          <w:marTop w:val="0"/>
          <w:marBottom w:val="0"/>
          <w:divBdr>
            <w:top w:val="none" w:sz="0" w:space="0" w:color="auto"/>
            <w:left w:val="none" w:sz="0" w:space="0" w:color="auto"/>
            <w:bottom w:val="none" w:sz="0" w:space="0" w:color="auto"/>
            <w:right w:val="none" w:sz="0" w:space="0" w:color="auto"/>
          </w:divBdr>
        </w:div>
      </w:divsChild>
    </w:div>
    <w:div w:id="184248912">
      <w:bodyDiv w:val="1"/>
      <w:marLeft w:val="0"/>
      <w:marRight w:val="0"/>
      <w:marTop w:val="0"/>
      <w:marBottom w:val="0"/>
      <w:divBdr>
        <w:top w:val="none" w:sz="0" w:space="0" w:color="auto"/>
        <w:left w:val="none" w:sz="0" w:space="0" w:color="auto"/>
        <w:bottom w:val="none" w:sz="0" w:space="0" w:color="auto"/>
        <w:right w:val="none" w:sz="0" w:space="0" w:color="auto"/>
      </w:divBdr>
    </w:div>
    <w:div w:id="188107472">
      <w:bodyDiv w:val="1"/>
      <w:marLeft w:val="0"/>
      <w:marRight w:val="0"/>
      <w:marTop w:val="0"/>
      <w:marBottom w:val="0"/>
      <w:divBdr>
        <w:top w:val="none" w:sz="0" w:space="0" w:color="auto"/>
        <w:left w:val="none" w:sz="0" w:space="0" w:color="auto"/>
        <w:bottom w:val="none" w:sz="0" w:space="0" w:color="auto"/>
        <w:right w:val="none" w:sz="0" w:space="0" w:color="auto"/>
      </w:divBdr>
    </w:div>
    <w:div w:id="189031222">
      <w:bodyDiv w:val="1"/>
      <w:marLeft w:val="0"/>
      <w:marRight w:val="0"/>
      <w:marTop w:val="0"/>
      <w:marBottom w:val="0"/>
      <w:divBdr>
        <w:top w:val="none" w:sz="0" w:space="0" w:color="auto"/>
        <w:left w:val="none" w:sz="0" w:space="0" w:color="auto"/>
        <w:bottom w:val="none" w:sz="0" w:space="0" w:color="auto"/>
        <w:right w:val="none" w:sz="0" w:space="0" w:color="auto"/>
      </w:divBdr>
    </w:div>
    <w:div w:id="205606984">
      <w:bodyDiv w:val="1"/>
      <w:marLeft w:val="0"/>
      <w:marRight w:val="0"/>
      <w:marTop w:val="0"/>
      <w:marBottom w:val="0"/>
      <w:divBdr>
        <w:top w:val="none" w:sz="0" w:space="0" w:color="auto"/>
        <w:left w:val="none" w:sz="0" w:space="0" w:color="auto"/>
        <w:bottom w:val="none" w:sz="0" w:space="0" w:color="auto"/>
        <w:right w:val="none" w:sz="0" w:space="0" w:color="auto"/>
      </w:divBdr>
    </w:div>
    <w:div w:id="213204319">
      <w:bodyDiv w:val="1"/>
      <w:marLeft w:val="0"/>
      <w:marRight w:val="0"/>
      <w:marTop w:val="0"/>
      <w:marBottom w:val="0"/>
      <w:divBdr>
        <w:top w:val="none" w:sz="0" w:space="0" w:color="auto"/>
        <w:left w:val="none" w:sz="0" w:space="0" w:color="auto"/>
        <w:bottom w:val="none" w:sz="0" w:space="0" w:color="auto"/>
        <w:right w:val="none" w:sz="0" w:space="0" w:color="auto"/>
      </w:divBdr>
    </w:div>
    <w:div w:id="214776961">
      <w:bodyDiv w:val="1"/>
      <w:marLeft w:val="0"/>
      <w:marRight w:val="0"/>
      <w:marTop w:val="0"/>
      <w:marBottom w:val="0"/>
      <w:divBdr>
        <w:top w:val="none" w:sz="0" w:space="0" w:color="auto"/>
        <w:left w:val="none" w:sz="0" w:space="0" w:color="auto"/>
        <w:bottom w:val="none" w:sz="0" w:space="0" w:color="auto"/>
        <w:right w:val="none" w:sz="0" w:space="0" w:color="auto"/>
      </w:divBdr>
    </w:div>
    <w:div w:id="215361769">
      <w:bodyDiv w:val="1"/>
      <w:marLeft w:val="0"/>
      <w:marRight w:val="0"/>
      <w:marTop w:val="0"/>
      <w:marBottom w:val="0"/>
      <w:divBdr>
        <w:top w:val="none" w:sz="0" w:space="0" w:color="auto"/>
        <w:left w:val="none" w:sz="0" w:space="0" w:color="auto"/>
        <w:bottom w:val="none" w:sz="0" w:space="0" w:color="auto"/>
        <w:right w:val="none" w:sz="0" w:space="0" w:color="auto"/>
      </w:divBdr>
    </w:div>
    <w:div w:id="216356806">
      <w:bodyDiv w:val="1"/>
      <w:marLeft w:val="0"/>
      <w:marRight w:val="0"/>
      <w:marTop w:val="0"/>
      <w:marBottom w:val="0"/>
      <w:divBdr>
        <w:top w:val="none" w:sz="0" w:space="0" w:color="auto"/>
        <w:left w:val="none" w:sz="0" w:space="0" w:color="auto"/>
        <w:bottom w:val="none" w:sz="0" w:space="0" w:color="auto"/>
        <w:right w:val="none" w:sz="0" w:space="0" w:color="auto"/>
      </w:divBdr>
    </w:div>
    <w:div w:id="219051469">
      <w:bodyDiv w:val="1"/>
      <w:marLeft w:val="0"/>
      <w:marRight w:val="0"/>
      <w:marTop w:val="0"/>
      <w:marBottom w:val="0"/>
      <w:divBdr>
        <w:top w:val="none" w:sz="0" w:space="0" w:color="auto"/>
        <w:left w:val="none" w:sz="0" w:space="0" w:color="auto"/>
        <w:bottom w:val="none" w:sz="0" w:space="0" w:color="auto"/>
        <w:right w:val="none" w:sz="0" w:space="0" w:color="auto"/>
      </w:divBdr>
    </w:div>
    <w:div w:id="219439561">
      <w:bodyDiv w:val="1"/>
      <w:marLeft w:val="0"/>
      <w:marRight w:val="0"/>
      <w:marTop w:val="0"/>
      <w:marBottom w:val="0"/>
      <w:divBdr>
        <w:top w:val="none" w:sz="0" w:space="0" w:color="auto"/>
        <w:left w:val="none" w:sz="0" w:space="0" w:color="auto"/>
        <w:bottom w:val="none" w:sz="0" w:space="0" w:color="auto"/>
        <w:right w:val="none" w:sz="0" w:space="0" w:color="auto"/>
      </w:divBdr>
    </w:div>
    <w:div w:id="232279816">
      <w:bodyDiv w:val="1"/>
      <w:marLeft w:val="0"/>
      <w:marRight w:val="0"/>
      <w:marTop w:val="0"/>
      <w:marBottom w:val="0"/>
      <w:divBdr>
        <w:top w:val="none" w:sz="0" w:space="0" w:color="auto"/>
        <w:left w:val="none" w:sz="0" w:space="0" w:color="auto"/>
        <w:bottom w:val="none" w:sz="0" w:space="0" w:color="auto"/>
        <w:right w:val="none" w:sz="0" w:space="0" w:color="auto"/>
      </w:divBdr>
    </w:div>
    <w:div w:id="243730006">
      <w:bodyDiv w:val="1"/>
      <w:marLeft w:val="0"/>
      <w:marRight w:val="0"/>
      <w:marTop w:val="0"/>
      <w:marBottom w:val="0"/>
      <w:divBdr>
        <w:top w:val="none" w:sz="0" w:space="0" w:color="auto"/>
        <w:left w:val="none" w:sz="0" w:space="0" w:color="auto"/>
        <w:bottom w:val="none" w:sz="0" w:space="0" w:color="auto"/>
        <w:right w:val="none" w:sz="0" w:space="0" w:color="auto"/>
      </w:divBdr>
    </w:div>
    <w:div w:id="263345589">
      <w:bodyDiv w:val="1"/>
      <w:marLeft w:val="0"/>
      <w:marRight w:val="0"/>
      <w:marTop w:val="0"/>
      <w:marBottom w:val="0"/>
      <w:divBdr>
        <w:top w:val="none" w:sz="0" w:space="0" w:color="auto"/>
        <w:left w:val="none" w:sz="0" w:space="0" w:color="auto"/>
        <w:bottom w:val="none" w:sz="0" w:space="0" w:color="auto"/>
        <w:right w:val="none" w:sz="0" w:space="0" w:color="auto"/>
      </w:divBdr>
    </w:div>
    <w:div w:id="266819251">
      <w:bodyDiv w:val="1"/>
      <w:marLeft w:val="0"/>
      <w:marRight w:val="0"/>
      <w:marTop w:val="0"/>
      <w:marBottom w:val="0"/>
      <w:divBdr>
        <w:top w:val="none" w:sz="0" w:space="0" w:color="auto"/>
        <w:left w:val="none" w:sz="0" w:space="0" w:color="auto"/>
        <w:bottom w:val="none" w:sz="0" w:space="0" w:color="auto"/>
        <w:right w:val="none" w:sz="0" w:space="0" w:color="auto"/>
      </w:divBdr>
    </w:div>
    <w:div w:id="278223198">
      <w:bodyDiv w:val="1"/>
      <w:marLeft w:val="0"/>
      <w:marRight w:val="0"/>
      <w:marTop w:val="0"/>
      <w:marBottom w:val="0"/>
      <w:divBdr>
        <w:top w:val="none" w:sz="0" w:space="0" w:color="auto"/>
        <w:left w:val="none" w:sz="0" w:space="0" w:color="auto"/>
        <w:bottom w:val="none" w:sz="0" w:space="0" w:color="auto"/>
        <w:right w:val="none" w:sz="0" w:space="0" w:color="auto"/>
      </w:divBdr>
    </w:div>
    <w:div w:id="286745811">
      <w:bodyDiv w:val="1"/>
      <w:marLeft w:val="0"/>
      <w:marRight w:val="0"/>
      <w:marTop w:val="0"/>
      <w:marBottom w:val="0"/>
      <w:divBdr>
        <w:top w:val="none" w:sz="0" w:space="0" w:color="auto"/>
        <w:left w:val="none" w:sz="0" w:space="0" w:color="auto"/>
        <w:bottom w:val="none" w:sz="0" w:space="0" w:color="auto"/>
        <w:right w:val="none" w:sz="0" w:space="0" w:color="auto"/>
      </w:divBdr>
    </w:div>
    <w:div w:id="296690027">
      <w:bodyDiv w:val="1"/>
      <w:marLeft w:val="0"/>
      <w:marRight w:val="0"/>
      <w:marTop w:val="0"/>
      <w:marBottom w:val="0"/>
      <w:divBdr>
        <w:top w:val="none" w:sz="0" w:space="0" w:color="auto"/>
        <w:left w:val="none" w:sz="0" w:space="0" w:color="auto"/>
        <w:bottom w:val="none" w:sz="0" w:space="0" w:color="auto"/>
        <w:right w:val="none" w:sz="0" w:space="0" w:color="auto"/>
      </w:divBdr>
    </w:div>
    <w:div w:id="305748590">
      <w:bodyDiv w:val="1"/>
      <w:marLeft w:val="0"/>
      <w:marRight w:val="0"/>
      <w:marTop w:val="0"/>
      <w:marBottom w:val="0"/>
      <w:divBdr>
        <w:top w:val="none" w:sz="0" w:space="0" w:color="auto"/>
        <w:left w:val="none" w:sz="0" w:space="0" w:color="auto"/>
        <w:bottom w:val="none" w:sz="0" w:space="0" w:color="auto"/>
        <w:right w:val="none" w:sz="0" w:space="0" w:color="auto"/>
      </w:divBdr>
    </w:div>
    <w:div w:id="308752922">
      <w:bodyDiv w:val="1"/>
      <w:marLeft w:val="0"/>
      <w:marRight w:val="0"/>
      <w:marTop w:val="0"/>
      <w:marBottom w:val="0"/>
      <w:divBdr>
        <w:top w:val="none" w:sz="0" w:space="0" w:color="auto"/>
        <w:left w:val="none" w:sz="0" w:space="0" w:color="auto"/>
        <w:bottom w:val="none" w:sz="0" w:space="0" w:color="auto"/>
        <w:right w:val="none" w:sz="0" w:space="0" w:color="auto"/>
      </w:divBdr>
    </w:div>
    <w:div w:id="311374826">
      <w:bodyDiv w:val="1"/>
      <w:marLeft w:val="0"/>
      <w:marRight w:val="0"/>
      <w:marTop w:val="0"/>
      <w:marBottom w:val="0"/>
      <w:divBdr>
        <w:top w:val="none" w:sz="0" w:space="0" w:color="auto"/>
        <w:left w:val="none" w:sz="0" w:space="0" w:color="auto"/>
        <w:bottom w:val="none" w:sz="0" w:space="0" w:color="auto"/>
        <w:right w:val="none" w:sz="0" w:space="0" w:color="auto"/>
      </w:divBdr>
    </w:div>
    <w:div w:id="319383295">
      <w:bodyDiv w:val="1"/>
      <w:marLeft w:val="0"/>
      <w:marRight w:val="0"/>
      <w:marTop w:val="0"/>
      <w:marBottom w:val="0"/>
      <w:divBdr>
        <w:top w:val="none" w:sz="0" w:space="0" w:color="auto"/>
        <w:left w:val="none" w:sz="0" w:space="0" w:color="auto"/>
        <w:bottom w:val="none" w:sz="0" w:space="0" w:color="auto"/>
        <w:right w:val="none" w:sz="0" w:space="0" w:color="auto"/>
      </w:divBdr>
    </w:div>
    <w:div w:id="333998336">
      <w:bodyDiv w:val="1"/>
      <w:marLeft w:val="0"/>
      <w:marRight w:val="0"/>
      <w:marTop w:val="0"/>
      <w:marBottom w:val="0"/>
      <w:divBdr>
        <w:top w:val="none" w:sz="0" w:space="0" w:color="auto"/>
        <w:left w:val="none" w:sz="0" w:space="0" w:color="auto"/>
        <w:bottom w:val="none" w:sz="0" w:space="0" w:color="auto"/>
        <w:right w:val="none" w:sz="0" w:space="0" w:color="auto"/>
      </w:divBdr>
    </w:div>
    <w:div w:id="336003935">
      <w:bodyDiv w:val="1"/>
      <w:marLeft w:val="0"/>
      <w:marRight w:val="0"/>
      <w:marTop w:val="0"/>
      <w:marBottom w:val="0"/>
      <w:divBdr>
        <w:top w:val="none" w:sz="0" w:space="0" w:color="auto"/>
        <w:left w:val="none" w:sz="0" w:space="0" w:color="auto"/>
        <w:bottom w:val="none" w:sz="0" w:space="0" w:color="auto"/>
        <w:right w:val="none" w:sz="0" w:space="0" w:color="auto"/>
      </w:divBdr>
    </w:div>
    <w:div w:id="339895581">
      <w:bodyDiv w:val="1"/>
      <w:marLeft w:val="0"/>
      <w:marRight w:val="0"/>
      <w:marTop w:val="0"/>
      <w:marBottom w:val="0"/>
      <w:divBdr>
        <w:top w:val="none" w:sz="0" w:space="0" w:color="auto"/>
        <w:left w:val="none" w:sz="0" w:space="0" w:color="auto"/>
        <w:bottom w:val="none" w:sz="0" w:space="0" w:color="auto"/>
        <w:right w:val="none" w:sz="0" w:space="0" w:color="auto"/>
      </w:divBdr>
    </w:div>
    <w:div w:id="344554702">
      <w:bodyDiv w:val="1"/>
      <w:marLeft w:val="0"/>
      <w:marRight w:val="0"/>
      <w:marTop w:val="0"/>
      <w:marBottom w:val="0"/>
      <w:divBdr>
        <w:top w:val="none" w:sz="0" w:space="0" w:color="auto"/>
        <w:left w:val="none" w:sz="0" w:space="0" w:color="auto"/>
        <w:bottom w:val="none" w:sz="0" w:space="0" w:color="auto"/>
        <w:right w:val="none" w:sz="0" w:space="0" w:color="auto"/>
      </w:divBdr>
    </w:div>
    <w:div w:id="357701796">
      <w:bodyDiv w:val="1"/>
      <w:marLeft w:val="0"/>
      <w:marRight w:val="0"/>
      <w:marTop w:val="0"/>
      <w:marBottom w:val="0"/>
      <w:divBdr>
        <w:top w:val="none" w:sz="0" w:space="0" w:color="auto"/>
        <w:left w:val="none" w:sz="0" w:space="0" w:color="auto"/>
        <w:bottom w:val="none" w:sz="0" w:space="0" w:color="auto"/>
        <w:right w:val="none" w:sz="0" w:space="0" w:color="auto"/>
      </w:divBdr>
    </w:div>
    <w:div w:id="360206922">
      <w:bodyDiv w:val="1"/>
      <w:marLeft w:val="0"/>
      <w:marRight w:val="0"/>
      <w:marTop w:val="0"/>
      <w:marBottom w:val="0"/>
      <w:divBdr>
        <w:top w:val="none" w:sz="0" w:space="0" w:color="auto"/>
        <w:left w:val="none" w:sz="0" w:space="0" w:color="auto"/>
        <w:bottom w:val="none" w:sz="0" w:space="0" w:color="auto"/>
        <w:right w:val="none" w:sz="0" w:space="0" w:color="auto"/>
      </w:divBdr>
    </w:div>
    <w:div w:id="375008655">
      <w:bodyDiv w:val="1"/>
      <w:marLeft w:val="0"/>
      <w:marRight w:val="0"/>
      <w:marTop w:val="0"/>
      <w:marBottom w:val="0"/>
      <w:divBdr>
        <w:top w:val="none" w:sz="0" w:space="0" w:color="auto"/>
        <w:left w:val="none" w:sz="0" w:space="0" w:color="auto"/>
        <w:bottom w:val="none" w:sz="0" w:space="0" w:color="auto"/>
        <w:right w:val="none" w:sz="0" w:space="0" w:color="auto"/>
      </w:divBdr>
    </w:div>
    <w:div w:id="379524931">
      <w:bodyDiv w:val="1"/>
      <w:marLeft w:val="0"/>
      <w:marRight w:val="0"/>
      <w:marTop w:val="0"/>
      <w:marBottom w:val="0"/>
      <w:divBdr>
        <w:top w:val="none" w:sz="0" w:space="0" w:color="auto"/>
        <w:left w:val="none" w:sz="0" w:space="0" w:color="auto"/>
        <w:bottom w:val="none" w:sz="0" w:space="0" w:color="auto"/>
        <w:right w:val="none" w:sz="0" w:space="0" w:color="auto"/>
      </w:divBdr>
    </w:div>
    <w:div w:id="380829890">
      <w:bodyDiv w:val="1"/>
      <w:marLeft w:val="0"/>
      <w:marRight w:val="0"/>
      <w:marTop w:val="0"/>
      <w:marBottom w:val="0"/>
      <w:divBdr>
        <w:top w:val="none" w:sz="0" w:space="0" w:color="auto"/>
        <w:left w:val="none" w:sz="0" w:space="0" w:color="auto"/>
        <w:bottom w:val="none" w:sz="0" w:space="0" w:color="auto"/>
        <w:right w:val="none" w:sz="0" w:space="0" w:color="auto"/>
      </w:divBdr>
    </w:div>
    <w:div w:id="385109071">
      <w:bodyDiv w:val="1"/>
      <w:marLeft w:val="0"/>
      <w:marRight w:val="0"/>
      <w:marTop w:val="0"/>
      <w:marBottom w:val="0"/>
      <w:divBdr>
        <w:top w:val="none" w:sz="0" w:space="0" w:color="auto"/>
        <w:left w:val="none" w:sz="0" w:space="0" w:color="auto"/>
        <w:bottom w:val="none" w:sz="0" w:space="0" w:color="auto"/>
        <w:right w:val="none" w:sz="0" w:space="0" w:color="auto"/>
      </w:divBdr>
    </w:div>
    <w:div w:id="385229042">
      <w:bodyDiv w:val="1"/>
      <w:marLeft w:val="0"/>
      <w:marRight w:val="0"/>
      <w:marTop w:val="0"/>
      <w:marBottom w:val="0"/>
      <w:divBdr>
        <w:top w:val="none" w:sz="0" w:space="0" w:color="auto"/>
        <w:left w:val="none" w:sz="0" w:space="0" w:color="auto"/>
        <w:bottom w:val="none" w:sz="0" w:space="0" w:color="auto"/>
        <w:right w:val="none" w:sz="0" w:space="0" w:color="auto"/>
      </w:divBdr>
    </w:div>
    <w:div w:id="387269360">
      <w:bodyDiv w:val="1"/>
      <w:marLeft w:val="0"/>
      <w:marRight w:val="0"/>
      <w:marTop w:val="0"/>
      <w:marBottom w:val="0"/>
      <w:divBdr>
        <w:top w:val="none" w:sz="0" w:space="0" w:color="auto"/>
        <w:left w:val="none" w:sz="0" w:space="0" w:color="auto"/>
        <w:bottom w:val="none" w:sz="0" w:space="0" w:color="auto"/>
        <w:right w:val="none" w:sz="0" w:space="0" w:color="auto"/>
      </w:divBdr>
    </w:div>
    <w:div w:id="393044336">
      <w:bodyDiv w:val="1"/>
      <w:marLeft w:val="0"/>
      <w:marRight w:val="0"/>
      <w:marTop w:val="0"/>
      <w:marBottom w:val="0"/>
      <w:divBdr>
        <w:top w:val="none" w:sz="0" w:space="0" w:color="auto"/>
        <w:left w:val="none" w:sz="0" w:space="0" w:color="auto"/>
        <w:bottom w:val="none" w:sz="0" w:space="0" w:color="auto"/>
        <w:right w:val="none" w:sz="0" w:space="0" w:color="auto"/>
      </w:divBdr>
    </w:div>
    <w:div w:id="395519635">
      <w:bodyDiv w:val="1"/>
      <w:marLeft w:val="0"/>
      <w:marRight w:val="0"/>
      <w:marTop w:val="0"/>
      <w:marBottom w:val="0"/>
      <w:divBdr>
        <w:top w:val="none" w:sz="0" w:space="0" w:color="auto"/>
        <w:left w:val="none" w:sz="0" w:space="0" w:color="auto"/>
        <w:bottom w:val="none" w:sz="0" w:space="0" w:color="auto"/>
        <w:right w:val="none" w:sz="0" w:space="0" w:color="auto"/>
      </w:divBdr>
    </w:div>
    <w:div w:id="402028227">
      <w:bodyDiv w:val="1"/>
      <w:marLeft w:val="0"/>
      <w:marRight w:val="0"/>
      <w:marTop w:val="0"/>
      <w:marBottom w:val="0"/>
      <w:divBdr>
        <w:top w:val="none" w:sz="0" w:space="0" w:color="auto"/>
        <w:left w:val="none" w:sz="0" w:space="0" w:color="auto"/>
        <w:bottom w:val="none" w:sz="0" w:space="0" w:color="auto"/>
        <w:right w:val="none" w:sz="0" w:space="0" w:color="auto"/>
      </w:divBdr>
    </w:div>
    <w:div w:id="406650909">
      <w:bodyDiv w:val="1"/>
      <w:marLeft w:val="0"/>
      <w:marRight w:val="0"/>
      <w:marTop w:val="0"/>
      <w:marBottom w:val="0"/>
      <w:divBdr>
        <w:top w:val="none" w:sz="0" w:space="0" w:color="auto"/>
        <w:left w:val="none" w:sz="0" w:space="0" w:color="auto"/>
        <w:bottom w:val="none" w:sz="0" w:space="0" w:color="auto"/>
        <w:right w:val="none" w:sz="0" w:space="0" w:color="auto"/>
      </w:divBdr>
    </w:div>
    <w:div w:id="410272785">
      <w:bodyDiv w:val="1"/>
      <w:marLeft w:val="0"/>
      <w:marRight w:val="0"/>
      <w:marTop w:val="0"/>
      <w:marBottom w:val="0"/>
      <w:divBdr>
        <w:top w:val="none" w:sz="0" w:space="0" w:color="auto"/>
        <w:left w:val="none" w:sz="0" w:space="0" w:color="auto"/>
        <w:bottom w:val="none" w:sz="0" w:space="0" w:color="auto"/>
        <w:right w:val="none" w:sz="0" w:space="0" w:color="auto"/>
      </w:divBdr>
    </w:div>
    <w:div w:id="423651005">
      <w:bodyDiv w:val="1"/>
      <w:marLeft w:val="0"/>
      <w:marRight w:val="0"/>
      <w:marTop w:val="0"/>
      <w:marBottom w:val="0"/>
      <w:divBdr>
        <w:top w:val="none" w:sz="0" w:space="0" w:color="auto"/>
        <w:left w:val="none" w:sz="0" w:space="0" w:color="auto"/>
        <w:bottom w:val="none" w:sz="0" w:space="0" w:color="auto"/>
        <w:right w:val="none" w:sz="0" w:space="0" w:color="auto"/>
      </w:divBdr>
    </w:div>
    <w:div w:id="427115344">
      <w:bodyDiv w:val="1"/>
      <w:marLeft w:val="0"/>
      <w:marRight w:val="0"/>
      <w:marTop w:val="0"/>
      <w:marBottom w:val="0"/>
      <w:divBdr>
        <w:top w:val="none" w:sz="0" w:space="0" w:color="auto"/>
        <w:left w:val="none" w:sz="0" w:space="0" w:color="auto"/>
        <w:bottom w:val="none" w:sz="0" w:space="0" w:color="auto"/>
        <w:right w:val="none" w:sz="0" w:space="0" w:color="auto"/>
      </w:divBdr>
    </w:div>
    <w:div w:id="440303207">
      <w:bodyDiv w:val="1"/>
      <w:marLeft w:val="0"/>
      <w:marRight w:val="0"/>
      <w:marTop w:val="0"/>
      <w:marBottom w:val="0"/>
      <w:divBdr>
        <w:top w:val="none" w:sz="0" w:space="0" w:color="auto"/>
        <w:left w:val="none" w:sz="0" w:space="0" w:color="auto"/>
        <w:bottom w:val="none" w:sz="0" w:space="0" w:color="auto"/>
        <w:right w:val="none" w:sz="0" w:space="0" w:color="auto"/>
      </w:divBdr>
    </w:div>
    <w:div w:id="446432671">
      <w:bodyDiv w:val="1"/>
      <w:marLeft w:val="0"/>
      <w:marRight w:val="0"/>
      <w:marTop w:val="0"/>
      <w:marBottom w:val="0"/>
      <w:divBdr>
        <w:top w:val="none" w:sz="0" w:space="0" w:color="auto"/>
        <w:left w:val="none" w:sz="0" w:space="0" w:color="auto"/>
        <w:bottom w:val="none" w:sz="0" w:space="0" w:color="auto"/>
        <w:right w:val="none" w:sz="0" w:space="0" w:color="auto"/>
      </w:divBdr>
    </w:div>
    <w:div w:id="447315710">
      <w:bodyDiv w:val="1"/>
      <w:marLeft w:val="0"/>
      <w:marRight w:val="0"/>
      <w:marTop w:val="0"/>
      <w:marBottom w:val="0"/>
      <w:divBdr>
        <w:top w:val="none" w:sz="0" w:space="0" w:color="auto"/>
        <w:left w:val="none" w:sz="0" w:space="0" w:color="auto"/>
        <w:bottom w:val="none" w:sz="0" w:space="0" w:color="auto"/>
        <w:right w:val="none" w:sz="0" w:space="0" w:color="auto"/>
      </w:divBdr>
    </w:div>
    <w:div w:id="454179119">
      <w:bodyDiv w:val="1"/>
      <w:marLeft w:val="0"/>
      <w:marRight w:val="0"/>
      <w:marTop w:val="0"/>
      <w:marBottom w:val="0"/>
      <w:divBdr>
        <w:top w:val="none" w:sz="0" w:space="0" w:color="auto"/>
        <w:left w:val="none" w:sz="0" w:space="0" w:color="auto"/>
        <w:bottom w:val="none" w:sz="0" w:space="0" w:color="auto"/>
        <w:right w:val="none" w:sz="0" w:space="0" w:color="auto"/>
      </w:divBdr>
    </w:div>
    <w:div w:id="467018318">
      <w:bodyDiv w:val="1"/>
      <w:marLeft w:val="0"/>
      <w:marRight w:val="0"/>
      <w:marTop w:val="0"/>
      <w:marBottom w:val="0"/>
      <w:divBdr>
        <w:top w:val="none" w:sz="0" w:space="0" w:color="auto"/>
        <w:left w:val="none" w:sz="0" w:space="0" w:color="auto"/>
        <w:bottom w:val="none" w:sz="0" w:space="0" w:color="auto"/>
        <w:right w:val="none" w:sz="0" w:space="0" w:color="auto"/>
      </w:divBdr>
    </w:div>
    <w:div w:id="489100109">
      <w:bodyDiv w:val="1"/>
      <w:marLeft w:val="0"/>
      <w:marRight w:val="0"/>
      <w:marTop w:val="0"/>
      <w:marBottom w:val="0"/>
      <w:divBdr>
        <w:top w:val="none" w:sz="0" w:space="0" w:color="auto"/>
        <w:left w:val="none" w:sz="0" w:space="0" w:color="auto"/>
        <w:bottom w:val="none" w:sz="0" w:space="0" w:color="auto"/>
        <w:right w:val="none" w:sz="0" w:space="0" w:color="auto"/>
      </w:divBdr>
    </w:div>
    <w:div w:id="491607047">
      <w:bodyDiv w:val="1"/>
      <w:marLeft w:val="0"/>
      <w:marRight w:val="0"/>
      <w:marTop w:val="0"/>
      <w:marBottom w:val="0"/>
      <w:divBdr>
        <w:top w:val="none" w:sz="0" w:space="0" w:color="auto"/>
        <w:left w:val="none" w:sz="0" w:space="0" w:color="auto"/>
        <w:bottom w:val="none" w:sz="0" w:space="0" w:color="auto"/>
        <w:right w:val="none" w:sz="0" w:space="0" w:color="auto"/>
      </w:divBdr>
    </w:div>
    <w:div w:id="493372323">
      <w:bodyDiv w:val="1"/>
      <w:marLeft w:val="0"/>
      <w:marRight w:val="0"/>
      <w:marTop w:val="0"/>
      <w:marBottom w:val="0"/>
      <w:divBdr>
        <w:top w:val="none" w:sz="0" w:space="0" w:color="auto"/>
        <w:left w:val="none" w:sz="0" w:space="0" w:color="auto"/>
        <w:bottom w:val="none" w:sz="0" w:space="0" w:color="auto"/>
        <w:right w:val="none" w:sz="0" w:space="0" w:color="auto"/>
      </w:divBdr>
    </w:div>
    <w:div w:id="500462114">
      <w:bodyDiv w:val="1"/>
      <w:marLeft w:val="0"/>
      <w:marRight w:val="0"/>
      <w:marTop w:val="0"/>
      <w:marBottom w:val="0"/>
      <w:divBdr>
        <w:top w:val="none" w:sz="0" w:space="0" w:color="auto"/>
        <w:left w:val="none" w:sz="0" w:space="0" w:color="auto"/>
        <w:bottom w:val="none" w:sz="0" w:space="0" w:color="auto"/>
        <w:right w:val="none" w:sz="0" w:space="0" w:color="auto"/>
      </w:divBdr>
    </w:div>
    <w:div w:id="517158289">
      <w:bodyDiv w:val="1"/>
      <w:marLeft w:val="0"/>
      <w:marRight w:val="0"/>
      <w:marTop w:val="0"/>
      <w:marBottom w:val="0"/>
      <w:divBdr>
        <w:top w:val="none" w:sz="0" w:space="0" w:color="auto"/>
        <w:left w:val="none" w:sz="0" w:space="0" w:color="auto"/>
        <w:bottom w:val="none" w:sz="0" w:space="0" w:color="auto"/>
        <w:right w:val="none" w:sz="0" w:space="0" w:color="auto"/>
      </w:divBdr>
    </w:div>
    <w:div w:id="523441900">
      <w:bodyDiv w:val="1"/>
      <w:marLeft w:val="0"/>
      <w:marRight w:val="0"/>
      <w:marTop w:val="0"/>
      <w:marBottom w:val="0"/>
      <w:divBdr>
        <w:top w:val="none" w:sz="0" w:space="0" w:color="auto"/>
        <w:left w:val="none" w:sz="0" w:space="0" w:color="auto"/>
        <w:bottom w:val="none" w:sz="0" w:space="0" w:color="auto"/>
        <w:right w:val="none" w:sz="0" w:space="0" w:color="auto"/>
      </w:divBdr>
    </w:div>
    <w:div w:id="524944342">
      <w:bodyDiv w:val="1"/>
      <w:marLeft w:val="0"/>
      <w:marRight w:val="0"/>
      <w:marTop w:val="0"/>
      <w:marBottom w:val="0"/>
      <w:divBdr>
        <w:top w:val="none" w:sz="0" w:space="0" w:color="auto"/>
        <w:left w:val="none" w:sz="0" w:space="0" w:color="auto"/>
        <w:bottom w:val="none" w:sz="0" w:space="0" w:color="auto"/>
        <w:right w:val="none" w:sz="0" w:space="0" w:color="auto"/>
      </w:divBdr>
    </w:div>
    <w:div w:id="564031109">
      <w:bodyDiv w:val="1"/>
      <w:marLeft w:val="0"/>
      <w:marRight w:val="0"/>
      <w:marTop w:val="0"/>
      <w:marBottom w:val="0"/>
      <w:divBdr>
        <w:top w:val="none" w:sz="0" w:space="0" w:color="auto"/>
        <w:left w:val="none" w:sz="0" w:space="0" w:color="auto"/>
        <w:bottom w:val="none" w:sz="0" w:space="0" w:color="auto"/>
        <w:right w:val="none" w:sz="0" w:space="0" w:color="auto"/>
      </w:divBdr>
    </w:div>
    <w:div w:id="607198776">
      <w:bodyDiv w:val="1"/>
      <w:marLeft w:val="0"/>
      <w:marRight w:val="0"/>
      <w:marTop w:val="0"/>
      <w:marBottom w:val="0"/>
      <w:divBdr>
        <w:top w:val="none" w:sz="0" w:space="0" w:color="auto"/>
        <w:left w:val="none" w:sz="0" w:space="0" w:color="auto"/>
        <w:bottom w:val="none" w:sz="0" w:space="0" w:color="auto"/>
        <w:right w:val="none" w:sz="0" w:space="0" w:color="auto"/>
      </w:divBdr>
    </w:div>
    <w:div w:id="622074515">
      <w:bodyDiv w:val="1"/>
      <w:marLeft w:val="0"/>
      <w:marRight w:val="0"/>
      <w:marTop w:val="0"/>
      <w:marBottom w:val="0"/>
      <w:divBdr>
        <w:top w:val="none" w:sz="0" w:space="0" w:color="auto"/>
        <w:left w:val="none" w:sz="0" w:space="0" w:color="auto"/>
        <w:bottom w:val="none" w:sz="0" w:space="0" w:color="auto"/>
        <w:right w:val="none" w:sz="0" w:space="0" w:color="auto"/>
      </w:divBdr>
    </w:div>
    <w:div w:id="622270610">
      <w:bodyDiv w:val="1"/>
      <w:marLeft w:val="0"/>
      <w:marRight w:val="0"/>
      <w:marTop w:val="0"/>
      <w:marBottom w:val="0"/>
      <w:divBdr>
        <w:top w:val="none" w:sz="0" w:space="0" w:color="auto"/>
        <w:left w:val="none" w:sz="0" w:space="0" w:color="auto"/>
        <w:bottom w:val="none" w:sz="0" w:space="0" w:color="auto"/>
        <w:right w:val="none" w:sz="0" w:space="0" w:color="auto"/>
      </w:divBdr>
    </w:div>
    <w:div w:id="622657961">
      <w:bodyDiv w:val="1"/>
      <w:marLeft w:val="0"/>
      <w:marRight w:val="0"/>
      <w:marTop w:val="0"/>
      <w:marBottom w:val="0"/>
      <w:divBdr>
        <w:top w:val="none" w:sz="0" w:space="0" w:color="auto"/>
        <w:left w:val="none" w:sz="0" w:space="0" w:color="auto"/>
        <w:bottom w:val="none" w:sz="0" w:space="0" w:color="auto"/>
        <w:right w:val="none" w:sz="0" w:space="0" w:color="auto"/>
      </w:divBdr>
    </w:div>
    <w:div w:id="630280715">
      <w:bodyDiv w:val="1"/>
      <w:marLeft w:val="0"/>
      <w:marRight w:val="0"/>
      <w:marTop w:val="0"/>
      <w:marBottom w:val="0"/>
      <w:divBdr>
        <w:top w:val="none" w:sz="0" w:space="0" w:color="auto"/>
        <w:left w:val="none" w:sz="0" w:space="0" w:color="auto"/>
        <w:bottom w:val="none" w:sz="0" w:space="0" w:color="auto"/>
        <w:right w:val="none" w:sz="0" w:space="0" w:color="auto"/>
      </w:divBdr>
    </w:div>
    <w:div w:id="666175539">
      <w:bodyDiv w:val="1"/>
      <w:marLeft w:val="0"/>
      <w:marRight w:val="0"/>
      <w:marTop w:val="0"/>
      <w:marBottom w:val="0"/>
      <w:divBdr>
        <w:top w:val="none" w:sz="0" w:space="0" w:color="auto"/>
        <w:left w:val="none" w:sz="0" w:space="0" w:color="auto"/>
        <w:bottom w:val="none" w:sz="0" w:space="0" w:color="auto"/>
        <w:right w:val="none" w:sz="0" w:space="0" w:color="auto"/>
      </w:divBdr>
    </w:div>
    <w:div w:id="682438779">
      <w:bodyDiv w:val="1"/>
      <w:marLeft w:val="0"/>
      <w:marRight w:val="0"/>
      <w:marTop w:val="0"/>
      <w:marBottom w:val="0"/>
      <w:divBdr>
        <w:top w:val="none" w:sz="0" w:space="0" w:color="auto"/>
        <w:left w:val="none" w:sz="0" w:space="0" w:color="auto"/>
        <w:bottom w:val="none" w:sz="0" w:space="0" w:color="auto"/>
        <w:right w:val="none" w:sz="0" w:space="0" w:color="auto"/>
      </w:divBdr>
    </w:div>
    <w:div w:id="684792950">
      <w:bodyDiv w:val="1"/>
      <w:marLeft w:val="0"/>
      <w:marRight w:val="0"/>
      <w:marTop w:val="0"/>
      <w:marBottom w:val="0"/>
      <w:divBdr>
        <w:top w:val="none" w:sz="0" w:space="0" w:color="auto"/>
        <w:left w:val="none" w:sz="0" w:space="0" w:color="auto"/>
        <w:bottom w:val="none" w:sz="0" w:space="0" w:color="auto"/>
        <w:right w:val="none" w:sz="0" w:space="0" w:color="auto"/>
      </w:divBdr>
    </w:div>
    <w:div w:id="698822047">
      <w:bodyDiv w:val="1"/>
      <w:marLeft w:val="0"/>
      <w:marRight w:val="0"/>
      <w:marTop w:val="0"/>
      <w:marBottom w:val="0"/>
      <w:divBdr>
        <w:top w:val="none" w:sz="0" w:space="0" w:color="auto"/>
        <w:left w:val="none" w:sz="0" w:space="0" w:color="auto"/>
        <w:bottom w:val="none" w:sz="0" w:space="0" w:color="auto"/>
        <w:right w:val="none" w:sz="0" w:space="0" w:color="auto"/>
      </w:divBdr>
    </w:div>
    <w:div w:id="714157513">
      <w:bodyDiv w:val="1"/>
      <w:marLeft w:val="0"/>
      <w:marRight w:val="0"/>
      <w:marTop w:val="0"/>
      <w:marBottom w:val="0"/>
      <w:divBdr>
        <w:top w:val="none" w:sz="0" w:space="0" w:color="auto"/>
        <w:left w:val="none" w:sz="0" w:space="0" w:color="auto"/>
        <w:bottom w:val="none" w:sz="0" w:space="0" w:color="auto"/>
        <w:right w:val="none" w:sz="0" w:space="0" w:color="auto"/>
      </w:divBdr>
    </w:div>
    <w:div w:id="716903040">
      <w:bodyDiv w:val="1"/>
      <w:marLeft w:val="0"/>
      <w:marRight w:val="0"/>
      <w:marTop w:val="0"/>
      <w:marBottom w:val="0"/>
      <w:divBdr>
        <w:top w:val="none" w:sz="0" w:space="0" w:color="auto"/>
        <w:left w:val="none" w:sz="0" w:space="0" w:color="auto"/>
        <w:bottom w:val="none" w:sz="0" w:space="0" w:color="auto"/>
        <w:right w:val="none" w:sz="0" w:space="0" w:color="auto"/>
      </w:divBdr>
    </w:div>
    <w:div w:id="719212074">
      <w:bodyDiv w:val="1"/>
      <w:marLeft w:val="0"/>
      <w:marRight w:val="0"/>
      <w:marTop w:val="0"/>
      <w:marBottom w:val="0"/>
      <w:divBdr>
        <w:top w:val="none" w:sz="0" w:space="0" w:color="auto"/>
        <w:left w:val="none" w:sz="0" w:space="0" w:color="auto"/>
        <w:bottom w:val="none" w:sz="0" w:space="0" w:color="auto"/>
        <w:right w:val="none" w:sz="0" w:space="0" w:color="auto"/>
      </w:divBdr>
    </w:div>
    <w:div w:id="723263050">
      <w:bodyDiv w:val="1"/>
      <w:marLeft w:val="0"/>
      <w:marRight w:val="0"/>
      <w:marTop w:val="0"/>
      <w:marBottom w:val="0"/>
      <w:divBdr>
        <w:top w:val="none" w:sz="0" w:space="0" w:color="auto"/>
        <w:left w:val="none" w:sz="0" w:space="0" w:color="auto"/>
        <w:bottom w:val="none" w:sz="0" w:space="0" w:color="auto"/>
        <w:right w:val="none" w:sz="0" w:space="0" w:color="auto"/>
      </w:divBdr>
    </w:div>
    <w:div w:id="738676595">
      <w:bodyDiv w:val="1"/>
      <w:marLeft w:val="0"/>
      <w:marRight w:val="0"/>
      <w:marTop w:val="0"/>
      <w:marBottom w:val="0"/>
      <w:divBdr>
        <w:top w:val="none" w:sz="0" w:space="0" w:color="auto"/>
        <w:left w:val="none" w:sz="0" w:space="0" w:color="auto"/>
        <w:bottom w:val="none" w:sz="0" w:space="0" w:color="auto"/>
        <w:right w:val="none" w:sz="0" w:space="0" w:color="auto"/>
      </w:divBdr>
    </w:div>
    <w:div w:id="750002523">
      <w:bodyDiv w:val="1"/>
      <w:marLeft w:val="0"/>
      <w:marRight w:val="0"/>
      <w:marTop w:val="0"/>
      <w:marBottom w:val="0"/>
      <w:divBdr>
        <w:top w:val="none" w:sz="0" w:space="0" w:color="auto"/>
        <w:left w:val="none" w:sz="0" w:space="0" w:color="auto"/>
        <w:bottom w:val="none" w:sz="0" w:space="0" w:color="auto"/>
        <w:right w:val="none" w:sz="0" w:space="0" w:color="auto"/>
      </w:divBdr>
    </w:div>
    <w:div w:id="755594784">
      <w:bodyDiv w:val="1"/>
      <w:marLeft w:val="0"/>
      <w:marRight w:val="0"/>
      <w:marTop w:val="0"/>
      <w:marBottom w:val="0"/>
      <w:divBdr>
        <w:top w:val="none" w:sz="0" w:space="0" w:color="auto"/>
        <w:left w:val="none" w:sz="0" w:space="0" w:color="auto"/>
        <w:bottom w:val="none" w:sz="0" w:space="0" w:color="auto"/>
        <w:right w:val="none" w:sz="0" w:space="0" w:color="auto"/>
      </w:divBdr>
    </w:div>
    <w:div w:id="756945340">
      <w:bodyDiv w:val="1"/>
      <w:marLeft w:val="0"/>
      <w:marRight w:val="0"/>
      <w:marTop w:val="0"/>
      <w:marBottom w:val="0"/>
      <w:divBdr>
        <w:top w:val="none" w:sz="0" w:space="0" w:color="auto"/>
        <w:left w:val="none" w:sz="0" w:space="0" w:color="auto"/>
        <w:bottom w:val="none" w:sz="0" w:space="0" w:color="auto"/>
        <w:right w:val="none" w:sz="0" w:space="0" w:color="auto"/>
      </w:divBdr>
    </w:div>
    <w:div w:id="765610838">
      <w:bodyDiv w:val="1"/>
      <w:marLeft w:val="0"/>
      <w:marRight w:val="0"/>
      <w:marTop w:val="0"/>
      <w:marBottom w:val="0"/>
      <w:divBdr>
        <w:top w:val="none" w:sz="0" w:space="0" w:color="auto"/>
        <w:left w:val="none" w:sz="0" w:space="0" w:color="auto"/>
        <w:bottom w:val="none" w:sz="0" w:space="0" w:color="auto"/>
        <w:right w:val="none" w:sz="0" w:space="0" w:color="auto"/>
      </w:divBdr>
    </w:div>
    <w:div w:id="782267947">
      <w:bodyDiv w:val="1"/>
      <w:marLeft w:val="0"/>
      <w:marRight w:val="0"/>
      <w:marTop w:val="0"/>
      <w:marBottom w:val="0"/>
      <w:divBdr>
        <w:top w:val="none" w:sz="0" w:space="0" w:color="auto"/>
        <w:left w:val="none" w:sz="0" w:space="0" w:color="auto"/>
        <w:bottom w:val="none" w:sz="0" w:space="0" w:color="auto"/>
        <w:right w:val="none" w:sz="0" w:space="0" w:color="auto"/>
      </w:divBdr>
    </w:div>
    <w:div w:id="784614187">
      <w:bodyDiv w:val="1"/>
      <w:marLeft w:val="0"/>
      <w:marRight w:val="0"/>
      <w:marTop w:val="0"/>
      <w:marBottom w:val="0"/>
      <w:divBdr>
        <w:top w:val="none" w:sz="0" w:space="0" w:color="auto"/>
        <w:left w:val="none" w:sz="0" w:space="0" w:color="auto"/>
        <w:bottom w:val="none" w:sz="0" w:space="0" w:color="auto"/>
        <w:right w:val="none" w:sz="0" w:space="0" w:color="auto"/>
      </w:divBdr>
    </w:div>
    <w:div w:id="786504701">
      <w:bodyDiv w:val="1"/>
      <w:marLeft w:val="0"/>
      <w:marRight w:val="0"/>
      <w:marTop w:val="0"/>
      <w:marBottom w:val="0"/>
      <w:divBdr>
        <w:top w:val="none" w:sz="0" w:space="0" w:color="auto"/>
        <w:left w:val="none" w:sz="0" w:space="0" w:color="auto"/>
        <w:bottom w:val="none" w:sz="0" w:space="0" w:color="auto"/>
        <w:right w:val="none" w:sz="0" w:space="0" w:color="auto"/>
      </w:divBdr>
    </w:div>
    <w:div w:id="790513468">
      <w:bodyDiv w:val="1"/>
      <w:marLeft w:val="0"/>
      <w:marRight w:val="0"/>
      <w:marTop w:val="0"/>
      <w:marBottom w:val="0"/>
      <w:divBdr>
        <w:top w:val="none" w:sz="0" w:space="0" w:color="auto"/>
        <w:left w:val="none" w:sz="0" w:space="0" w:color="auto"/>
        <w:bottom w:val="none" w:sz="0" w:space="0" w:color="auto"/>
        <w:right w:val="none" w:sz="0" w:space="0" w:color="auto"/>
      </w:divBdr>
    </w:div>
    <w:div w:id="822309179">
      <w:bodyDiv w:val="1"/>
      <w:marLeft w:val="0"/>
      <w:marRight w:val="0"/>
      <w:marTop w:val="0"/>
      <w:marBottom w:val="0"/>
      <w:divBdr>
        <w:top w:val="none" w:sz="0" w:space="0" w:color="auto"/>
        <w:left w:val="none" w:sz="0" w:space="0" w:color="auto"/>
        <w:bottom w:val="none" w:sz="0" w:space="0" w:color="auto"/>
        <w:right w:val="none" w:sz="0" w:space="0" w:color="auto"/>
      </w:divBdr>
    </w:div>
    <w:div w:id="839471839">
      <w:bodyDiv w:val="1"/>
      <w:marLeft w:val="0"/>
      <w:marRight w:val="0"/>
      <w:marTop w:val="0"/>
      <w:marBottom w:val="0"/>
      <w:divBdr>
        <w:top w:val="none" w:sz="0" w:space="0" w:color="auto"/>
        <w:left w:val="none" w:sz="0" w:space="0" w:color="auto"/>
        <w:bottom w:val="none" w:sz="0" w:space="0" w:color="auto"/>
        <w:right w:val="none" w:sz="0" w:space="0" w:color="auto"/>
      </w:divBdr>
    </w:div>
    <w:div w:id="839855319">
      <w:bodyDiv w:val="1"/>
      <w:marLeft w:val="0"/>
      <w:marRight w:val="0"/>
      <w:marTop w:val="0"/>
      <w:marBottom w:val="0"/>
      <w:divBdr>
        <w:top w:val="none" w:sz="0" w:space="0" w:color="auto"/>
        <w:left w:val="none" w:sz="0" w:space="0" w:color="auto"/>
        <w:bottom w:val="none" w:sz="0" w:space="0" w:color="auto"/>
        <w:right w:val="none" w:sz="0" w:space="0" w:color="auto"/>
      </w:divBdr>
    </w:div>
    <w:div w:id="859125595">
      <w:bodyDiv w:val="1"/>
      <w:marLeft w:val="0"/>
      <w:marRight w:val="0"/>
      <w:marTop w:val="0"/>
      <w:marBottom w:val="0"/>
      <w:divBdr>
        <w:top w:val="none" w:sz="0" w:space="0" w:color="auto"/>
        <w:left w:val="none" w:sz="0" w:space="0" w:color="auto"/>
        <w:bottom w:val="none" w:sz="0" w:space="0" w:color="auto"/>
        <w:right w:val="none" w:sz="0" w:space="0" w:color="auto"/>
      </w:divBdr>
    </w:div>
    <w:div w:id="875578981">
      <w:bodyDiv w:val="1"/>
      <w:marLeft w:val="0"/>
      <w:marRight w:val="0"/>
      <w:marTop w:val="0"/>
      <w:marBottom w:val="0"/>
      <w:divBdr>
        <w:top w:val="none" w:sz="0" w:space="0" w:color="auto"/>
        <w:left w:val="none" w:sz="0" w:space="0" w:color="auto"/>
        <w:bottom w:val="none" w:sz="0" w:space="0" w:color="auto"/>
        <w:right w:val="none" w:sz="0" w:space="0" w:color="auto"/>
      </w:divBdr>
    </w:div>
    <w:div w:id="886841675">
      <w:bodyDiv w:val="1"/>
      <w:marLeft w:val="0"/>
      <w:marRight w:val="0"/>
      <w:marTop w:val="0"/>
      <w:marBottom w:val="0"/>
      <w:divBdr>
        <w:top w:val="none" w:sz="0" w:space="0" w:color="auto"/>
        <w:left w:val="none" w:sz="0" w:space="0" w:color="auto"/>
        <w:bottom w:val="none" w:sz="0" w:space="0" w:color="auto"/>
        <w:right w:val="none" w:sz="0" w:space="0" w:color="auto"/>
      </w:divBdr>
    </w:div>
    <w:div w:id="893547798">
      <w:bodyDiv w:val="1"/>
      <w:marLeft w:val="0"/>
      <w:marRight w:val="0"/>
      <w:marTop w:val="0"/>
      <w:marBottom w:val="0"/>
      <w:divBdr>
        <w:top w:val="none" w:sz="0" w:space="0" w:color="auto"/>
        <w:left w:val="none" w:sz="0" w:space="0" w:color="auto"/>
        <w:bottom w:val="none" w:sz="0" w:space="0" w:color="auto"/>
        <w:right w:val="none" w:sz="0" w:space="0" w:color="auto"/>
      </w:divBdr>
    </w:div>
    <w:div w:id="906451654">
      <w:bodyDiv w:val="1"/>
      <w:marLeft w:val="0"/>
      <w:marRight w:val="0"/>
      <w:marTop w:val="0"/>
      <w:marBottom w:val="0"/>
      <w:divBdr>
        <w:top w:val="none" w:sz="0" w:space="0" w:color="auto"/>
        <w:left w:val="none" w:sz="0" w:space="0" w:color="auto"/>
        <w:bottom w:val="none" w:sz="0" w:space="0" w:color="auto"/>
        <w:right w:val="none" w:sz="0" w:space="0" w:color="auto"/>
      </w:divBdr>
    </w:div>
    <w:div w:id="906839022">
      <w:bodyDiv w:val="1"/>
      <w:marLeft w:val="0"/>
      <w:marRight w:val="0"/>
      <w:marTop w:val="0"/>
      <w:marBottom w:val="0"/>
      <w:divBdr>
        <w:top w:val="none" w:sz="0" w:space="0" w:color="auto"/>
        <w:left w:val="none" w:sz="0" w:space="0" w:color="auto"/>
        <w:bottom w:val="none" w:sz="0" w:space="0" w:color="auto"/>
        <w:right w:val="none" w:sz="0" w:space="0" w:color="auto"/>
      </w:divBdr>
    </w:div>
    <w:div w:id="937716764">
      <w:bodyDiv w:val="1"/>
      <w:marLeft w:val="0"/>
      <w:marRight w:val="0"/>
      <w:marTop w:val="0"/>
      <w:marBottom w:val="0"/>
      <w:divBdr>
        <w:top w:val="none" w:sz="0" w:space="0" w:color="auto"/>
        <w:left w:val="none" w:sz="0" w:space="0" w:color="auto"/>
        <w:bottom w:val="none" w:sz="0" w:space="0" w:color="auto"/>
        <w:right w:val="none" w:sz="0" w:space="0" w:color="auto"/>
      </w:divBdr>
    </w:div>
    <w:div w:id="939527252">
      <w:bodyDiv w:val="1"/>
      <w:marLeft w:val="0"/>
      <w:marRight w:val="0"/>
      <w:marTop w:val="0"/>
      <w:marBottom w:val="0"/>
      <w:divBdr>
        <w:top w:val="none" w:sz="0" w:space="0" w:color="auto"/>
        <w:left w:val="none" w:sz="0" w:space="0" w:color="auto"/>
        <w:bottom w:val="none" w:sz="0" w:space="0" w:color="auto"/>
        <w:right w:val="none" w:sz="0" w:space="0" w:color="auto"/>
      </w:divBdr>
    </w:div>
    <w:div w:id="942149615">
      <w:bodyDiv w:val="1"/>
      <w:marLeft w:val="0"/>
      <w:marRight w:val="0"/>
      <w:marTop w:val="0"/>
      <w:marBottom w:val="0"/>
      <w:divBdr>
        <w:top w:val="none" w:sz="0" w:space="0" w:color="auto"/>
        <w:left w:val="none" w:sz="0" w:space="0" w:color="auto"/>
        <w:bottom w:val="none" w:sz="0" w:space="0" w:color="auto"/>
        <w:right w:val="none" w:sz="0" w:space="0" w:color="auto"/>
      </w:divBdr>
    </w:div>
    <w:div w:id="942492712">
      <w:bodyDiv w:val="1"/>
      <w:marLeft w:val="0"/>
      <w:marRight w:val="0"/>
      <w:marTop w:val="0"/>
      <w:marBottom w:val="0"/>
      <w:divBdr>
        <w:top w:val="none" w:sz="0" w:space="0" w:color="auto"/>
        <w:left w:val="none" w:sz="0" w:space="0" w:color="auto"/>
        <w:bottom w:val="none" w:sz="0" w:space="0" w:color="auto"/>
        <w:right w:val="none" w:sz="0" w:space="0" w:color="auto"/>
      </w:divBdr>
    </w:div>
    <w:div w:id="952204923">
      <w:bodyDiv w:val="1"/>
      <w:marLeft w:val="0"/>
      <w:marRight w:val="0"/>
      <w:marTop w:val="0"/>
      <w:marBottom w:val="0"/>
      <w:divBdr>
        <w:top w:val="none" w:sz="0" w:space="0" w:color="auto"/>
        <w:left w:val="none" w:sz="0" w:space="0" w:color="auto"/>
        <w:bottom w:val="none" w:sz="0" w:space="0" w:color="auto"/>
        <w:right w:val="none" w:sz="0" w:space="0" w:color="auto"/>
      </w:divBdr>
    </w:div>
    <w:div w:id="958948397">
      <w:bodyDiv w:val="1"/>
      <w:marLeft w:val="0"/>
      <w:marRight w:val="0"/>
      <w:marTop w:val="0"/>
      <w:marBottom w:val="0"/>
      <w:divBdr>
        <w:top w:val="none" w:sz="0" w:space="0" w:color="auto"/>
        <w:left w:val="none" w:sz="0" w:space="0" w:color="auto"/>
        <w:bottom w:val="none" w:sz="0" w:space="0" w:color="auto"/>
        <w:right w:val="none" w:sz="0" w:space="0" w:color="auto"/>
      </w:divBdr>
    </w:div>
    <w:div w:id="963078171">
      <w:bodyDiv w:val="1"/>
      <w:marLeft w:val="0"/>
      <w:marRight w:val="0"/>
      <w:marTop w:val="0"/>
      <w:marBottom w:val="0"/>
      <w:divBdr>
        <w:top w:val="none" w:sz="0" w:space="0" w:color="auto"/>
        <w:left w:val="none" w:sz="0" w:space="0" w:color="auto"/>
        <w:bottom w:val="none" w:sz="0" w:space="0" w:color="auto"/>
        <w:right w:val="none" w:sz="0" w:space="0" w:color="auto"/>
      </w:divBdr>
    </w:div>
    <w:div w:id="968897417">
      <w:bodyDiv w:val="1"/>
      <w:marLeft w:val="0"/>
      <w:marRight w:val="0"/>
      <w:marTop w:val="0"/>
      <w:marBottom w:val="0"/>
      <w:divBdr>
        <w:top w:val="none" w:sz="0" w:space="0" w:color="auto"/>
        <w:left w:val="none" w:sz="0" w:space="0" w:color="auto"/>
        <w:bottom w:val="none" w:sz="0" w:space="0" w:color="auto"/>
        <w:right w:val="none" w:sz="0" w:space="0" w:color="auto"/>
      </w:divBdr>
    </w:div>
    <w:div w:id="977805908">
      <w:bodyDiv w:val="1"/>
      <w:marLeft w:val="0"/>
      <w:marRight w:val="0"/>
      <w:marTop w:val="0"/>
      <w:marBottom w:val="0"/>
      <w:divBdr>
        <w:top w:val="none" w:sz="0" w:space="0" w:color="auto"/>
        <w:left w:val="none" w:sz="0" w:space="0" w:color="auto"/>
        <w:bottom w:val="none" w:sz="0" w:space="0" w:color="auto"/>
        <w:right w:val="none" w:sz="0" w:space="0" w:color="auto"/>
      </w:divBdr>
    </w:div>
    <w:div w:id="986861501">
      <w:bodyDiv w:val="1"/>
      <w:marLeft w:val="0"/>
      <w:marRight w:val="0"/>
      <w:marTop w:val="0"/>
      <w:marBottom w:val="0"/>
      <w:divBdr>
        <w:top w:val="none" w:sz="0" w:space="0" w:color="auto"/>
        <w:left w:val="none" w:sz="0" w:space="0" w:color="auto"/>
        <w:bottom w:val="none" w:sz="0" w:space="0" w:color="auto"/>
        <w:right w:val="none" w:sz="0" w:space="0" w:color="auto"/>
      </w:divBdr>
    </w:div>
    <w:div w:id="992677230">
      <w:bodyDiv w:val="1"/>
      <w:marLeft w:val="0"/>
      <w:marRight w:val="0"/>
      <w:marTop w:val="0"/>
      <w:marBottom w:val="0"/>
      <w:divBdr>
        <w:top w:val="none" w:sz="0" w:space="0" w:color="auto"/>
        <w:left w:val="none" w:sz="0" w:space="0" w:color="auto"/>
        <w:bottom w:val="none" w:sz="0" w:space="0" w:color="auto"/>
        <w:right w:val="none" w:sz="0" w:space="0" w:color="auto"/>
      </w:divBdr>
    </w:div>
    <w:div w:id="995839463">
      <w:bodyDiv w:val="1"/>
      <w:marLeft w:val="0"/>
      <w:marRight w:val="0"/>
      <w:marTop w:val="0"/>
      <w:marBottom w:val="0"/>
      <w:divBdr>
        <w:top w:val="none" w:sz="0" w:space="0" w:color="auto"/>
        <w:left w:val="none" w:sz="0" w:space="0" w:color="auto"/>
        <w:bottom w:val="none" w:sz="0" w:space="0" w:color="auto"/>
        <w:right w:val="none" w:sz="0" w:space="0" w:color="auto"/>
      </w:divBdr>
    </w:div>
    <w:div w:id="1002662185">
      <w:bodyDiv w:val="1"/>
      <w:marLeft w:val="0"/>
      <w:marRight w:val="0"/>
      <w:marTop w:val="0"/>
      <w:marBottom w:val="0"/>
      <w:divBdr>
        <w:top w:val="none" w:sz="0" w:space="0" w:color="auto"/>
        <w:left w:val="none" w:sz="0" w:space="0" w:color="auto"/>
        <w:bottom w:val="none" w:sz="0" w:space="0" w:color="auto"/>
        <w:right w:val="none" w:sz="0" w:space="0" w:color="auto"/>
      </w:divBdr>
    </w:div>
    <w:div w:id="1011564569">
      <w:bodyDiv w:val="1"/>
      <w:marLeft w:val="0"/>
      <w:marRight w:val="0"/>
      <w:marTop w:val="0"/>
      <w:marBottom w:val="0"/>
      <w:divBdr>
        <w:top w:val="none" w:sz="0" w:space="0" w:color="auto"/>
        <w:left w:val="none" w:sz="0" w:space="0" w:color="auto"/>
        <w:bottom w:val="none" w:sz="0" w:space="0" w:color="auto"/>
        <w:right w:val="none" w:sz="0" w:space="0" w:color="auto"/>
      </w:divBdr>
    </w:div>
    <w:div w:id="1020624428">
      <w:bodyDiv w:val="1"/>
      <w:marLeft w:val="0"/>
      <w:marRight w:val="0"/>
      <w:marTop w:val="0"/>
      <w:marBottom w:val="0"/>
      <w:divBdr>
        <w:top w:val="none" w:sz="0" w:space="0" w:color="auto"/>
        <w:left w:val="none" w:sz="0" w:space="0" w:color="auto"/>
        <w:bottom w:val="none" w:sz="0" w:space="0" w:color="auto"/>
        <w:right w:val="none" w:sz="0" w:space="0" w:color="auto"/>
      </w:divBdr>
    </w:div>
    <w:div w:id="1020935836">
      <w:bodyDiv w:val="1"/>
      <w:marLeft w:val="0"/>
      <w:marRight w:val="0"/>
      <w:marTop w:val="0"/>
      <w:marBottom w:val="0"/>
      <w:divBdr>
        <w:top w:val="none" w:sz="0" w:space="0" w:color="auto"/>
        <w:left w:val="none" w:sz="0" w:space="0" w:color="auto"/>
        <w:bottom w:val="none" w:sz="0" w:space="0" w:color="auto"/>
        <w:right w:val="none" w:sz="0" w:space="0" w:color="auto"/>
      </w:divBdr>
    </w:div>
    <w:div w:id="1021974932">
      <w:bodyDiv w:val="1"/>
      <w:marLeft w:val="0"/>
      <w:marRight w:val="0"/>
      <w:marTop w:val="0"/>
      <w:marBottom w:val="0"/>
      <w:divBdr>
        <w:top w:val="none" w:sz="0" w:space="0" w:color="auto"/>
        <w:left w:val="none" w:sz="0" w:space="0" w:color="auto"/>
        <w:bottom w:val="none" w:sz="0" w:space="0" w:color="auto"/>
        <w:right w:val="none" w:sz="0" w:space="0" w:color="auto"/>
      </w:divBdr>
    </w:div>
    <w:div w:id="1025905274">
      <w:bodyDiv w:val="1"/>
      <w:marLeft w:val="0"/>
      <w:marRight w:val="0"/>
      <w:marTop w:val="0"/>
      <w:marBottom w:val="0"/>
      <w:divBdr>
        <w:top w:val="none" w:sz="0" w:space="0" w:color="auto"/>
        <w:left w:val="none" w:sz="0" w:space="0" w:color="auto"/>
        <w:bottom w:val="none" w:sz="0" w:space="0" w:color="auto"/>
        <w:right w:val="none" w:sz="0" w:space="0" w:color="auto"/>
      </w:divBdr>
    </w:div>
    <w:div w:id="1044868305">
      <w:bodyDiv w:val="1"/>
      <w:marLeft w:val="0"/>
      <w:marRight w:val="0"/>
      <w:marTop w:val="0"/>
      <w:marBottom w:val="0"/>
      <w:divBdr>
        <w:top w:val="none" w:sz="0" w:space="0" w:color="auto"/>
        <w:left w:val="none" w:sz="0" w:space="0" w:color="auto"/>
        <w:bottom w:val="none" w:sz="0" w:space="0" w:color="auto"/>
        <w:right w:val="none" w:sz="0" w:space="0" w:color="auto"/>
      </w:divBdr>
    </w:div>
    <w:div w:id="1049643666">
      <w:bodyDiv w:val="1"/>
      <w:marLeft w:val="0"/>
      <w:marRight w:val="0"/>
      <w:marTop w:val="0"/>
      <w:marBottom w:val="0"/>
      <w:divBdr>
        <w:top w:val="none" w:sz="0" w:space="0" w:color="auto"/>
        <w:left w:val="none" w:sz="0" w:space="0" w:color="auto"/>
        <w:bottom w:val="none" w:sz="0" w:space="0" w:color="auto"/>
        <w:right w:val="none" w:sz="0" w:space="0" w:color="auto"/>
      </w:divBdr>
    </w:div>
    <w:div w:id="1059089924">
      <w:bodyDiv w:val="1"/>
      <w:marLeft w:val="0"/>
      <w:marRight w:val="0"/>
      <w:marTop w:val="0"/>
      <w:marBottom w:val="0"/>
      <w:divBdr>
        <w:top w:val="none" w:sz="0" w:space="0" w:color="auto"/>
        <w:left w:val="none" w:sz="0" w:space="0" w:color="auto"/>
        <w:bottom w:val="none" w:sz="0" w:space="0" w:color="auto"/>
        <w:right w:val="none" w:sz="0" w:space="0" w:color="auto"/>
      </w:divBdr>
    </w:div>
    <w:div w:id="1073502908">
      <w:bodyDiv w:val="1"/>
      <w:marLeft w:val="0"/>
      <w:marRight w:val="0"/>
      <w:marTop w:val="0"/>
      <w:marBottom w:val="0"/>
      <w:divBdr>
        <w:top w:val="none" w:sz="0" w:space="0" w:color="auto"/>
        <w:left w:val="none" w:sz="0" w:space="0" w:color="auto"/>
        <w:bottom w:val="none" w:sz="0" w:space="0" w:color="auto"/>
        <w:right w:val="none" w:sz="0" w:space="0" w:color="auto"/>
      </w:divBdr>
    </w:div>
    <w:div w:id="1078752870">
      <w:bodyDiv w:val="1"/>
      <w:marLeft w:val="0"/>
      <w:marRight w:val="0"/>
      <w:marTop w:val="0"/>
      <w:marBottom w:val="0"/>
      <w:divBdr>
        <w:top w:val="none" w:sz="0" w:space="0" w:color="auto"/>
        <w:left w:val="none" w:sz="0" w:space="0" w:color="auto"/>
        <w:bottom w:val="none" w:sz="0" w:space="0" w:color="auto"/>
        <w:right w:val="none" w:sz="0" w:space="0" w:color="auto"/>
      </w:divBdr>
    </w:div>
    <w:div w:id="1095400848">
      <w:bodyDiv w:val="1"/>
      <w:marLeft w:val="0"/>
      <w:marRight w:val="0"/>
      <w:marTop w:val="0"/>
      <w:marBottom w:val="0"/>
      <w:divBdr>
        <w:top w:val="none" w:sz="0" w:space="0" w:color="auto"/>
        <w:left w:val="none" w:sz="0" w:space="0" w:color="auto"/>
        <w:bottom w:val="none" w:sz="0" w:space="0" w:color="auto"/>
        <w:right w:val="none" w:sz="0" w:space="0" w:color="auto"/>
      </w:divBdr>
    </w:div>
    <w:div w:id="1096634347">
      <w:bodyDiv w:val="1"/>
      <w:marLeft w:val="0"/>
      <w:marRight w:val="0"/>
      <w:marTop w:val="0"/>
      <w:marBottom w:val="0"/>
      <w:divBdr>
        <w:top w:val="none" w:sz="0" w:space="0" w:color="auto"/>
        <w:left w:val="none" w:sz="0" w:space="0" w:color="auto"/>
        <w:bottom w:val="none" w:sz="0" w:space="0" w:color="auto"/>
        <w:right w:val="none" w:sz="0" w:space="0" w:color="auto"/>
      </w:divBdr>
    </w:div>
    <w:div w:id="1116826242">
      <w:bodyDiv w:val="1"/>
      <w:marLeft w:val="0"/>
      <w:marRight w:val="0"/>
      <w:marTop w:val="0"/>
      <w:marBottom w:val="0"/>
      <w:divBdr>
        <w:top w:val="none" w:sz="0" w:space="0" w:color="auto"/>
        <w:left w:val="none" w:sz="0" w:space="0" w:color="auto"/>
        <w:bottom w:val="none" w:sz="0" w:space="0" w:color="auto"/>
        <w:right w:val="none" w:sz="0" w:space="0" w:color="auto"/>
      </w:divBdr>
    </w:div>
    <w:div w:id="1130978689">
      <w:bodyDiv w:val="1"/>
      <w:marLeft w:val="0"/>
      <w:marRight w:val="0"/>
      <w:marTop w:val="0"/>
      <w:marBottom w:val="0"/>
      <w:divBdr>
        <w:top w:val="none" w:sz="0" w:space="0" w:color="auto"/>
        <w:left w:val="none" w:sz="0" w:space="0" w:color="auto"/>
        <w:bottom w:val="none" w:sz="0" w:space="0" w:color="auto"/>
        <w:right w:val="none" w:sz="0" w:space="0" w:color="auto"/>
      </w:divBdr>
    </w:div>
    <w:div w:id="1162695286">
      <w:bodyDiv w:val="1"/>
      <w:marLeft w:val="0"/>
      <w:marRight w:val="0"/>
      <w:marTop w:val="0"/>
      <w:marBottom w:val="0"/>
      <w:divBdr>
        <w:top w:val="none" w:sz="0" w:space="0" w:color="auto"/>
        <w:left w:val="none" w:sz="0" w:space="0" w:color="auto"/>
        <w:bottom w:val="none" w:sz="0" w:space="0" w:color="auto"/>
        <w:right w:val="none" w:sz="0" w:space="0" w:color="auto"/>
      </w:divBdr>
    </w:div>
    <w:div w:id="1187137905">
      <w:bodyDiv w:val="1"/>
      <w:marLeft w:val="0"/>
      <w:marRight w:val="0"/>
      <w:marTop w:val="0"/>
      <w:marBottom w:val="0"/>
      <w:divBdr>
        <w:top w:val="none" w:sz="0" w:space="0" w:color="auto"/>
        <w:left w:val="none" w:sz="0" w:space="0" w:color="auto"/>
        <w:bottom w:val="none" w:sz="0" w:space="0" w:color="auto"/>
        <w:right w:val="none" w:sz="0" w:space="0" w:color="auto"/>
      </w:divBdr>
    </w:div>
    <w:div w:id="1195116380">
      <w:bodyDiv w:val="1"/>
      <w:marLeft w:val="0"/>
      <w:marRight w:val="0"/>
      <w:marTop w:val="0"/>
      <w:marBottom w:val="0"/>
      <w:divBdr>
        <w:top w:val="none" w:sz="0" w:space="0" w:color="auto"/>
        <w:left w:val="none" w:sz="0" w:space="0" w:color="auto"/>
        <w:bottom w:val="none" w:sz="0" w:space="0" w:color="auto"/>
        <w:right w:val="none" w:sz="0" w:space="0" w:color="auto"/>
      </w:divBdr>
    </w:div>
    <w:div w:id="1201481541">
      <w:bodyDiv w:val="1"/>
      <w:marLeft w:val="0"/>
      <w:marRight w:val="0"/>
      <w:marTop w:val="0"/>
      <w:marBottom w:val="0"/>
      <w:divBdr>
        <w:top w:val="none" w:sz="0" w:space="0" w:color="auto"/>
        <w:left w:val="none" w:sz="0" w:space="0" w:color="auto"/>
        <w:bottom w:val="none" w:sz="0" w:space="0" w:color="auto"/>
        <w:right w:val="none" w:sz="0" w:space="0" w:color="auto"/>
      </w:divBdr>
    </w:div>
    <w:div w:id="1209297412">
      <w:bodyDiv w:val="1"/>
      <w:marLeft w:val="0"/>
      <w:marRight w:val="0"/>
      <w:marTop w:val="0"/>
      <w:marBottom w:val="0"/>
      <w:divBdr>
        <w:top w:val="none" w:sz="0" w:space="0" w:color="auto"/>
        <w:left w:val="none" w:sz="0" w:space="0" w:color="auto"/>
        <w:bottom w:val="none" w:sz="0" w:space="0" w:color="auto"/>
        <w:right w:val="none" w:sz="0" w:space="0" w:color="auto"/>
      </w:divBdr>
    </w:div>
    <w:div w:id="1209606752">
      <w:bodyDiv w:val="1"/>
      <w:marLeft w:val="0"/>
      <w:marRight w:val="0"/>
      <w:marTop w:val="0"/>
      <w:marBottom w:val="0"/>
      <w:divBdr>
        <w:top w:val="none" w:sz="0" w:space="0" w:color="auto"/>
        <w:left w:val="none" w:sz="0" w:space="0" w:color="auto"/>
        <w:bottom w:val="none" w:sz="0" w:space="0" w:color="auto"/>
        <w:right w:val="none" w:sz="0" w:space="0" w:color="auto"/>
      </w:divBdr>
    </w:div>
    <w:div w:id="1212033989">
      <w:bodyDiv w:val="1"/>
      <w:marLeft w:val="0"/>
      <w:marRight w:val="0"/>
      <w:marTop w:val="0"/>
      <w:marBottom w:val="0"/>
      <w:divBdr>
        <w:top w:val="none" w:sz="0" w:space="0" w:color="auto"/>
        <w:left w:val="none" w:sz="0" w:space="0" w:color="auto"/>
        <w:bottom w:val="none" w:sz="0" w:space="0" w:color="auto"/>
        <w:right w:val="none" w:sz="0" w:space="0" w:color="auto"/>
      </w:divBdr>
    </w:div>
    <w:div w:id="1217358710">
      <w:bodyDiv w:val="1"/>
      <w:marLeft w:val="0"/>
      <w:marRight w:val="0"/>
      <w:marTop w:val="0"/>
      <w:marBottom w:val="0"/>
      <w:divBdr>
        <w:top w:val="none" w:sz="0" w:space="0" w:color="auto"/>
        <w:left w:val="none" w:sz="0" w:space="0" w:color="auto"/>
        <w:bottom w:val="none" w:sz="0" w:space="0" w:color="auto"/>
        <w:right w:val="none" w:sz="0" w:space="0" w:color="auto"/>
      </w:divBdr>
    </w:div>
    <w:div w:id="1217938890">
      <w:bodyDiv w:val="1"/>
      <w:marLeft w:val="0"/>
      <w:marRight w:val="0"/>
      <w:marTop w:val="0"/>
      <w:marBottom w:val="0"/>
      <w:divBdr>
        <w:top w:val="none" w:sz="0" w:space="0" w:color="auto"/>
        <w:left w:val="none" w:sz="0" w:space="0" w:color="auto"/>
        <w:bottom w:val="none" w:sz="0" w:space="0" w:color="auto"/>
        <w:right w:val="none" w:sz="0" w:space="0" w:color="auto"/>
      </w:divBdr>
    </w:div>
    <w:div w:id="1221864042">
      <w:bodyDiv w:val="1"/>
      <w:marLeft w:val="0"/>
      <w:marRight w:val="0"/>
      <w:marTop w:val="0"/>
      <w:marBottom w:val="0"/>
      <w:divBdr>
        <w:top w:val="none" w:sz="0" w:space="0" w:color="auto"/>
        <w:left w:val="none" w:sz="0" w:space="0" w:color="auto"/>
        <w:bottom w:val="none" w:sz="0" w:space="0" w:color="auto"/>
        <w:right w:val="none" w:sz="0" w:space="0" w:color="auto"/>
      </w:divBdr>
    </w:div>
    <w:div w:id="1239244380">
      <w:bodyDiv w:val="1"/>
      <w:marLeft w:val="0"/>
      <w:marRight w:val="0"/>
      <w:marTop w:val="0"/>
      <w:marBottom w:val="0"/>
      <w:divBdr>
        <w:top w:val="none" w:sz="0" w:space="0" w:color="auto"/>
        <w:left w:val="none" w:sz="0" w:space="0" w:color="auto"/>
        <w:bottom w:val="none" w:sz="0" w:space="0" w:color="auto"/>
        <w:right w:val="none" w:sz="0" w:space="0" w:color="auto"/>
      </w:divBdr>
    </w:div>
    <w:div w:id="1296987889">
      <w:bodyDiv w:val="1"/>
      <w:marLeft w:val="0"/>
      <w:marRight w:val="0"/>
      <w:marTop w:val="0"/>
      <w:marBottom w:val="0"/>
      <w:divBdr>
        <w:top w:val="none" w:sz="0" w:space="0" w:color="auto"/>
        <w:left w:val="none" w:sz="0" w:space="0" w:color="auto"/>
        <w:bottom w:val="none" w:sz="0" w:space="0" w:color="auto"/>
        <w:right w:val="none" w:sz="0" w:space="0" w:color="auto"/>
      </w:divBdr>
    </w:div>
    <w:div w:id="1327053231">
      <w:bodyDiv w:val="1"/>
      <w:marLeft w:val="0"/>
      <w:marRight w:val="0"/>
      <w:marTop w:val="0"/>
      <w:marBottom w:val="0"/>
      <w:divBdr>
        <w:top w:val="none" w:sz="0" w:space="0" w:color="auto"/>
        <w:left w:val="none" w:sz="0" w:space="0" w:color="auto"/>
        <w:bottom w:val="none" w:sz="0" w:space="0" w:color="auto"/>
        <w:right w:val="none" w:sz="0" w:space="0" w:color="auto"/>
      </w:divBdr>
    </w:div>
    <w:div w:id="1337463858">
      <w:bodyDiv w:val="1"/>
      <w:marLeft w:val="0"/>
      <w:marRight w:val="0"/>
      <w:marTop w:val="0"/>
      <w:marBottom w:val="0"/>
      <w:divBdr>
        <w:top w:val="none" w:sz="0" w:space="0" w:color="auto"/>
        <w:left w:val="none" w:sz="0" w:space="0" w:color="auto"/>
        <w:bottom w:val="none" w:sz="0" w:space="0" w:color="auto"/>
        <w:right w:val="none" w:sz="0" w:space="0" w:color="auto"/>
      </w:divBdr>
    </w:div>
    <w:div w:id="1350644070">
      <w:bodyDiv w:val="1"/>
      <w:marLeft w:val="0"/>
      <w:marRight w:val="0"/>
      <w:marTop w:val="0"/>
      <w:marBottom w:val="0"/>
      <w:divBdr>
        <w:top w:val="none" w:sz="0" w:space="0" w:color="auto"/>
        <w:left w:val="none" w:sz="0" w:space="0" w:color="auto"/>
        <w:bottom w:val="none" w:sz="0" w:space="0" w:color="auto"/>
        <w:right w:val="none" w:sz="0" w:space="0" w:color="auto"/>
      </w:divBdr>
    </w:div>
    <w:div w:id="1356468876">
      <w:bodyDiv w:val="1"/>
      <w:marLeft w:val="0"/>
      <w:marRight w:val="0"/>
      <w:marTop w:val="0"/>
      <w:marBottom w:val="0"/>
      <w:divBdr>
        <w:top w:val="none" w:sz="0" w:space="0" w:color="auto"/>
        <w:left w:val="none" w:sz="0" w:space="0" w:color="auto"/>
        <w:bottom w:val="none" w:sz="0" w:space="0" w:color="auto"/>
        <w:right w:val="none" w:sz="0" w:space="0" w:color="auto"/>
      </w:divBdr>
    </w:div>
    <w:div w:id="1359963765">
      <w:bodyDiv w:val="1"/>
      <w:marLeft w:val="0"/>
      <w:marRight w:val="0"/>
      <w:marTop w:val="0"/>
      <w:marBottom w:val="0"/>
      <w:divBdr>
        <w:top w:val="none" w:sz="0" w:space="0" w:color="auto"/>
        <w:left w:val="none" w:sz="0" w:space="0" w:color="auto"/>
        <w:bottom w:val="none" w:sz="0" w:space="0" w:color="auto"/>
        <w:right w:val="none" w:sz="0" w:space="0" w:color="auto"/>
      </w:divBdr>
    </w:div>
    <w:div w:id="1367367934">
      <w:bodyDiv w:val="1"/>
      <w:marLeft w:val="0"/>
      <w:marRight w:val="0"/>
      <w:marTop w:val="0"/>
      <w:marBottom w:val="0"/>
      <w:divBdr>
        <w:top w:val="none" w:sz="0" w:space="0" w:color="auto"/>
        <w:left w:val="none" w:sz="0" w:space="0" w:color="auto"/>
        <w:bottom w:val="none" w:sz="0" w:space="0" w:color="auto"/>
        <w:right w:val="none" w:sz="0" w:space="0" w:color="auto"/>
      </w:divBdr>
    </w:div>
    <w:div w:id="1381124557">
      <w:bodyDiv w:val="1"/>
      <w:marLeft w:val="0"/>
      <w:marRight w:val="0"/>
      <w:marTop w:val="0"/>
      <w:marBottom w:val="0"/>
      <w:divBdr>
        <w:top w:val="none" w:sz="0" w:space="0" w:color="auto"/>
        <w:left w:val="none" w:sz="0" w:space="0" w:color="auto"/>
        <w:bottom w:val="none" w:sz="0" w:space="0" w:color="auto"/>
        <w:right w:val="none" w:sz="0" w:space="0" w:color="auto"/>
      </w:divBdr>
    </w:div>
    <w:div w:id="1391613300">
      <w:bodyDiv w:val="1"/>
      <w:marLeft w:val="0"/>
      <w:marRight w:val="0"/>
      <w:marTop w:val="0"/>
      <w:marBottom w:val="0"/>
      <w:divBdr>
        <w:top w:val="none" w:sz="0" w:space="0" w:color="auto"/>
        <w:left w:val="none" w:sz="0" w:space="0" w:color="auto"/>
        <w:bottom w:val="none" w:sz="0" w:space="0" w:color="auto"/>
        <w:right w:val="none" w:sz="0" w:space="0" w:color="auto"/>
      </w:divBdr>
    </w:div>
    <w:div w:id="1391616337">
      <w:bodyDiv w:val="1"/>
      <w:marLeft w:val="0"/>
      <w:marRight w:val="0"/>
      <w:marTop w:val="0"/>
      <w:marBottom w:val="0"/>
      <w:divBdr>
        <w:top w:val="none" w:sz="0" w:space="0" w:color="auto"/>
        <w:left w:val="none" w:sz="0" w:space="0" w:color="auto"/>
        <w:bottom w:val="none" w:sz="0" w:space="0" w:color="auto"/>
        <w:right w:val="none" w:sz="0" w:space="0" w:color="auto"/>
      </w:divBdr>
    </w:div>
    <w:div w:id="1391998272">
      <w:bodyDiv w:val="1"/>
      <w:marLeft w:val="0"/>
      <w:marRight w:val="0"/>
      <w:marTop w:val="0"/>
      <w:marBottom w:val="0"/>
      <w:divBdr>
        <w:top w:val="none" w:sz="0" w:space="0" w:color="auto"/>
        <w:left w:val="none" w:sz="0" w:space="0" w:color="auto"/>
        <w:bottom w:val="none" w:sz="0" w:space="0" w:color="auto"/>
        <w:right w:val="none" w:sz="0" w:space="0" w:color="auto"/>
      </w:divBdr>
    </w:div>
    <w:div w:id="1409184471">
      <w:bodyDiv w:val="1"/>
      <w:marLeft w:val="0"/>
      <w:marRight w:val="0"/>
      <w:marTop w:val="0"/>
      <w:marBottom w:val="0"/>
      <w:divBdr>
        <w:top w:val="none" w:sz="0" w:space="0" w:color="auto"/>
        <w:left w:val="none" w:sz="0" w:space="0" w:color="auto"/>
        <w:bottom w:val="none" w:sz="0" w:space="0" w:color="auto"/>
        <w:right w:val="none" w:sz="0" w:space="0" w:color="auto"/>
      </w:divBdr>
    </w:div>
    <w:div w:id="1411853194">
      <w:bodyDiv w:val="1"/>
      <w:marLeft w:val="0"/>
      <w:marRight w:val="0"/>
      <w:marTop w:val="0"/>
      <w:marBottom w:val="0"/>
      <w:divBdr>
        <w:top w:val="none" w:sz="0" w:space="0" w:color="auto"/>
        <w:left w:val="none" w:sz="0" w:space="0" w:color="auto"/>
        <w:bottom w:val="none" w:sz="0" w:space="0" w:color="auto"/>
        <w:right w:val="none" w:sz="0" w:space="0" w:color="auto"/>
      </w:divBdr>
    </w:div>
    <w:div w:id="1448961324">
      <w:bodyDiv w:val="1"/>
      <w:marLeft w:val="0"/>
      <w:marRight w:val="0"/>
      <w:marTop w:val="0"/>
      <w:marBottom w:val="0"/>
      <w:divBdr>
        <w:top w:val="none" w:sz="0" w:space="0" w:color="auto"/>
        <w:left w:val="none" w:sz="0" w:space="0" w:color="auto"/>
        <w:bottom w:val="none" w:sz="0" w:space="0" w:color="auto"/>
        <w:right w:val="none" w:sz="0" w:space="0" w:color="auto"/>
      </w:divBdr>
    </w:div>
    <w:div w:id="1450053159">
      <w:bodyDiv w:val="1"/>
      <w:marLeft w:val="0"/>
      <w:marRight w:val="0"/>
      <w:marTop w:val="0"/>
      <w:marBottom w:val="0"/>
      <w:divBdr>
        <w:top w:val="none" w:sz="0" w:space="0" w:color="auto"/>
        <w:left w:val="none" w:sz="0" w:space="0" w:color="auto"/>
        <w:bottom w:val="none" w:sz="0" w:space="0" w:color="auto"/>
        <w:right w:val="none" w:sz="0" w:space="0" w:color="auto"/>
      </w:divBdr>
    </w:div>
    <w:div w:id="1486972951">
      <w:bodyDiv w:val="1"/>
      <w:marLeft w:val="0"/>
      <w:marRight w:val="0"/>
      <w:marTop w:val="0"/>
      <w:marBottom w:val="0"/>
      <w:divBdr>
        <w:top w:val="none" w:sz="0" w:space="0" w:color="auto"/>
        <w:left w:val="none" w:sz="0" w:space="0" w:color="auto"/>
        <w:bottom w:val="none" w:sz="0" w:space="0" w:color="auto"/>
        <w:right w:val="none" w:sz="0" w:space="0" w:color="auto"/>
      </w:divBdr>
    </w:div>
    <w:div w:id="1487016736">
      <w:bodyDiv w:val="1"/>
      <w:marLeft w:val="0"/>
      <w:marRight w:val="0"/>
      <w:marTop w:val="0"/>
      <w:marBottom w:val="0"/>
      <w:divBdr>
        <w:top w:val="none" w:sz="0" w:space="0" w:color="auto"/>
        <w:left w:val="none" w:sz="0" w:space="0" w:color="auto"/>
        <w:bottom w:val="none" w:sz="0" w:space="0" w:color="auto"/>
        <w:right w:val="none" w:sz="0" w:space="0" w:color="auto"/>
      </w:divBdr>
    </w:div>
    <w:div w:id="1514687376">
      <w:bodyDiv w:val="1"/>
      <w:marLeft w:val="0"/>
      <w:marRight w:val="0"/>
      <w:marTop w:val="0"/>
      <w:marBottom w:val="0"/>
      <w:divBdr>
        <w:top w:val="none" w:sz="0" w:space="0" w:color="auto"/>
        <w:left w:val="none" w:sz="0" w:space="0" w:color="auto"/>
        <w:bottom w:val="none" w:sz="0" w:space="0" w:color="auto"/>
        <w:right w:val="none" w:sz="0" w:space="0" w:color="auto"/>
      </w:divBdr>
    </w:div>
    <w:div w:id="1522473449">
      <w:bodyDiv w:val="1"/>
      <w:marLeft w:val="0"/>
      <w:marRight w:val="0"/>
      <w:marTop w:val="0"/>
      <w:marBottom w:val="0"/>
      <w:divBdr>
        <w:top w:val="none" w:sz="0" w:space="0" w:color="auto"/>
        <w:left w:val="none" w:sz="0" w:space="0" w:color="auto"/>
        <w:bottom w:val="none" w:sz="0" w:space="0" w:color="auto"/>
        <w:right w:val="none" w:sz="0" w:space="0" w:color="auto"/>
      </w:divBdr>
    </w:div>
    <w:div w:id="1524127673">
      <w:bodyDiv w:val="1"/>
      <w:marLeft w:val="0"/>
      <w:marRight w:val="0"/>
      <w:marTop w:val="0"/>
      <w:marBottom w:val="0"/>
      <w:divBdr>
        <w:top w:val="none" w:sz="0" w:space="0" w:color="auto"/>
        <w:left w:val="none" w:sz="0" w:space="0" w:color="auto"/>
        <w:bottom w:val="none" w:sz="0" w:space="0" w:color="auto"/>
        <w:right w:val="none" w:sz="0" w:space="0" w:color="auto"/>
      </w:divBdr>
    </w:div>
    <w:div w:id="1534687038">
      <w:bodyDiv w:val="1"/>
      <w:marLeft w:val="0"/>
      <w:marRight w:val="0"/>
      <w:marTop w:val="0"/>
      <w:marBottom w:val="0"/>
      <w:divBdr>
        <w:top w:val="none" w:sz="0" w:space="0" w:color="auto"/>
        <w:left w:val="none" w:sz="0" w:space="0" w:color="auto"/>
        <w:bottom w:val="none" w:sz="0" w:space="0" w:color="auto"/>
        <w:right w:val="none" w:sz="0" w:space="0" w:color="auto"/>
      </w:divBdr>
    </w:div>
    <w:div w:id="1540972772">
      <w:bodyDiv w:val="1"/>
      <w:marLeft w:val="0"/>
      <w:marRight w:val="0"/>
      <w:marTop w:val="0"/>
      <w:marBottom w:val="0"/>
      <w:divBdr>
        <w:top w:val="none" w:sz="0" w:space="0" w:color="auto"/>
        <w:left w:val="none" w:sz="0" w:space="0" w:color="auto"/>
        <w:bottom w:val="none" w:sz="0" w:space="0" w:color="auto"/>
        <w:right w:val="none" w:sz="0" w:space="0" w:color="auto"/>
      </w:divBdr>
    </w:div>
    <w:div w:id="1546529631">
      <w:bodyDiv w:val="1"/>
      <w:marLeft w:val="0"/>
      <w:marRight w:val="0"/>
      <w:marTop w:val="0"/>
      <w:marBottom w:val="0"/>
      <w:divBdr>
        <w:top w:val="none" w:sz="0" w:space="0" w:color="auto"/>
        <w:left w:val="none" w:sz="0" w:space="0" w:color="auto"/>
        <w:bottom w:val="none" w:sz="0" w:space="0" w:color="auto"/>
        <w:right w:val="none" w:sz="0" w:space="0" w:color="auto"/>
      </w:divBdr>
    </w:div>
    <w:div w:id="1550073491">
      <w:bodyDiv w:val="1"/>
      <w:marLeft w:val="0"/>
      <w:marRight w:val="0"/>
      <w:marTop w:val="0"/>
      <w:marBottom w:val="0"/>
      <w:divBdr>
        <w:top w:val="none" w:sz="0" w:space="0" w:color="auto"/>
        <w:left w:val="none" w:sz="0" w:space="0" w:color="auto"/>
        <w:bottom w:val="none" w:sz="0" w:space="0" w:color="auto"/>
        <w:right w:val="none" w:sz="0" w:space="0" w:color="auto"/>
      </w:divBdr>
    </w:div>
    <w:div w:id="1561362311">
      <w:bodyDiv w:val="1"/>
      <w:marLeft w:val="0"/>
      <w:marRight w:val="0"/>
      <w:marTop w:val="0"/>
      <w:marBottom w:val="0"/>
      <w:divBdr>
        <w:top w:val="none" w:sz="0" w:space="0" w:color="auto"/>
        <w:left w:val="none" w:sz="0" w:space="0" w:color="auto"/>
        <w:bottom w:val="none" w:sz="0" w:space="0" w:color="auto"/>
        <w:right w:val="none" w:sz="0" w:space="0" w:color="auto"/>
      </w:divBdr>
    </w:div>
    <w:div w:id="1561483166">
      <w:bodyDiv w:val="1"/>
      <w:marLeft w:val="0"/>
      <w:marRight w:val="0"/>
      <w:marTop w:val="0"/>
      <w:marBottom w:val="0"/>
      <w:divBdr>
        <w:top w:val="none" w:sz="0" w:space="0" w:color="auto"/>
        <w:left w:val="none" w:sz="0" w:space="0" w:color="auto"/>
        <w:bottom w:val="none" w:sz="0" w:space="0" w:color="auto"/>
        <w:right w:val="none" w:sz="0" w:space="0" w:color="auto"/>
      </w:divBdr>
    </w:div>
    <w:div w:id="1577083081">
      <w:bodyDiv w:val="1"/>
      <w:marLeft w:val="0"/>
      <w:marRight w:val="0"/>
      <w:marTop w:val="0"/>
      <w:marBottom w:val="0"/>
      <w:divBdr>
        <w:top w:val="none" w:sz="0" w:space="0" w:color="auto"/>
        <w:left w:val="none" w:sz="0" w:space="0" w:color="auto"/>
        <w:bottom w:val="none" w:sz="0" w:space="0" w:color="auto"/>
        <w:right w:val="none" w:sz="0" w:space="0" w:color="auto"/>
      </w:divBdr>
    </w:div>
    <w:div w:id="1588493295">
      <w:bodyDiv w:val="1"/>
      <w:marLeft w:val="0"/>
      <w:marRight w:val="0"/>
      <w:marTop w:val="0"/>
      <w:marBottom w:val="0"/>
      <w:divBdr>
        <w:top w:val="none" w:sz="0" w:space="0" w:color="auto"/>
        <w:left w:val="none" w:sz="0" w:space="0" w:color="auto"/>
        <w:bottom w:val="none" w:sz="0" w:space="0" w:color="auto"/>
        <w:right w:val="none" w:sz="0" w:space="0" w:color="auto"/>
      </w:divBdr>
    </w:div>
    <w:div w:id="1589269373">
      <w:bodyDiv w:val="1"/>
      <w:marLeft w:val="0"/>
      <w:marRight w:val="0"/>
      <w:marTop w:val="0"/>
      <w:marBottom w:val="0"/>
      <w:divBdr>
        <w:top w:val="none" w:sz="0" w:space="0" w:color="auto"/>
        <w:left w:val="none" w:sz="0" w:space="0" w:color="auto"/>
        <w:bottom w:val="none" w:sz="0" w:space="0" w:color="auto"/>
        <w:right w:val="none" w:sz="0" w:space="0" w:color="auto"/>
      </w:divBdr>
    </w:div>
    <w:div w:id="1591087169">
      <w:bodyDiv w:val="1"/>
      <w:marLeft w:val="0"/>
      <w:marRight w:val="0"/>
      <w:marTop w:val="0"/>
      <w:marBottom w:val="0"/>
      <w:divBdr>
        <w:top w:val="none" w:sz="0" w:space="0" w:color="auto"/>
        <w:left w:val="none" w:sz="0" w:space="0" w:color="auto"/>
        <w:bottom w:val="none" w:sz="0" w:space="0" w:color="auto"/>
        <w:right w:val="none" w:sz="0" w:space="0" w:color="auto"/>
      </w:divBdr>
    </w:div>
    <w:div w:id="1595939391">
      <w:bodyDiv w:val="1"/>
      <w:marLeft w:val="0"/>
      <w:marRight w:val="0"/>
      <w:marTop w:val="0"/>
      <w:marBottom w:val="0"/>
      <w:divBdr>
        <w:top w:val="none" w:sz="0" w:space="0" w:color="auto"/>
        <w:left w:val="none" w:sz="0" w:space="0" w:color="auto"/>
        <w:bottom w:val="none" w:sz="0" w:space="0" w:color="auto"/>
        <w:right w:val="none" w:sz="0" w:space="0" w:color="auto"/>
      </w:divBdr>
    </w:div>
    <w:div w:id="1608193297">
      <w:bodyDiv w:val="1"/>
      <w:marLeft w:val="0"/>
      <w:marRight w:val="0"/>
      <w:marTop w:val="0"/>
      <w:marBottom w:val="0"/>
      <w:divBdr>
        <w:top w:val="none" w:sz="0" w:space="0" w:color="auto"/>
        <w:left w:val="none" w:sz="0" w:space="0" w:color="auto"/>
        <w:bottom w:val="none" w:sz="0" w:space="0" w:color="auto"/>
        <w:right w:val="none" w:sz="0" w:space="0" w:color="auto"/>
      </w:divBdr>
    </w:div>
    <w:div w:id="1637683744">
      <w:bodyDiv w:val="1"/>
      <w:marLeft w:val="0"/>
      <w:marRight w:val="0"/>
      <w:marTop w:val="0"/>
      <w:marBottom w:val="0"/>
      <w:divBdr>
        <w:top w:val="none" w:sz="0" w:space="0" w:color="auto"/>
        <w:left w:val="none" w:sz="0" w:space="0" w:color="auto"/>
        <w:bottom w:val="none" w:sz="0" w:space="0" w:color="auto"/>
        <w:right w:val="none" w:sz="0" w:space="0" w:color="auto"/>
      </w:divBdr>
    </w:div>
    <w:div w:id="1639843621">
      <w:bodyDiv w:val="1"/>
      <w:marLeft w:val="0"/>
      <w:marRight w:val="0"/>
      <w:marTop w:val="0"/>
      <w:marBottom w:val="0"/>
      <w:divBdr>
        <w:top w:val="none" w:sz="0" w:space="0" w:color="auto"/>
        <w:left w:val="none" w:sz="0" w:space="0" w:color="auto"/>
        <w:bottom w:val="none" w:sz="0" w:space="0" w:color="auto"/>
        <w:right w:val="none" w:sz="0" w:space="0" w:color="auto"/>
      </w:divBdr>
    </w:div>
    <w:div w:id="1646083114">
      <w:bodyDiv w:val="1"/>
      <w:marLeft w:val="0"/>
      <w:marRight w:val="0"/>
      <w:marTop w:val="0"/>
      <w:marBottom w:val="0"/>
      <w:divBdr>
        <w:top w:val="none" w:sz="0" w:space="0" w:color="auto"/>
        <w:left w:val="none" w:sz="0" w:space="0" w:color="auto"/>
        <w:bottom w:val="none" w:sz="0" w:space="0" w:color="auto"/>
        <w:right w:val="none" w:sz="0" w:space="0" w:color="auto"/>
      </w:divBdr>
    </w:div>
    <w:div w:id="1647591860">
      <w:bodyDiv w:val="1"/>
      <w:marLeft w:val="0"/>
      <w:marRight w:val="0"/>
      <w:marTop w:val="0"/>
      <w:marBottom w:val="0"/>
      <w:divBdr>
        <w:top w:val="none" w:sz="0" w:space="0" w:color="auto"/>
        <w:left w:val="none" w:sz="0" w:space="0" w:color="auto"/>
        <w:bottom w:val="none" w:sz="0" w:space="0" w:color="auto"/>
        <w:right w:val="none" w:sz="0" w:space="0" w:color="auto"/>
      </w:divBdr>
    </w:div>
    <w:div w:id="1656567474">
      <w:bodyDiv w:val="1"/>
      <w:marLeft w:val="0"/>
      <w:marRight w:val="0"/>
      <w:marTop w:val="0"/>
      <w:marBottom w:val="0"/>
      <w:divBdr>
        <w:top w:val="none" w:sz="0" w:space="0" w:color="auto"/>
        <w:left w:val="none" w:sz="0" w:space="0" w:color="auto"/>
        <w:bottom w:val="none" w:sz="0" w:space="0" w:color="auto"/>
        <w:right w:val="none" w:sz="0" w:space="0" w:color="auto"/>
      </w:divBdr>
    </w:div>
    <w:div w:id="1659726854">
      <w:bodyDiv w:val="1"/>
      <w:marLeft w:val="0"/>
      <w:marRight w:val="0"/>
      <w:marTop w:val="0"/>
      <w:marBottom w:val="0"/>
      <w:divBdr>
        <w:top w:val="none" w:sz="0" w:space="0" w:color="auto"/>
        <w:left w:val="none" w:sz="0" w:space="0" w:color="auto"/>
        <w:bottom w:val="none" w:sz="0" w:space="0" w:color="auto"/>
        <w:right w:val="none" w:sz="0" w:space="0" w:color="auto"/>
      </w:divBdr>
    </w:div>
    <w:div w:id="1665475465">
      <w:bodyDiv w:val="1"/>
      <w:marLeft w:val="0"/>
      <w:marRight w:val="0"/>
      <w:marTop w:val="0"/>
      <w:marBottom w:val="0"/>
      <w:divBdr>
        <w:top w:val="none" w:sz="0" w:space="0" w:color="auto"/>
        <w:left w:val="none" w:sz="0" w:space="0" w:color="auto"/>
        <w:bottom w:val="none" w:sz="0" w:space="0" w:color="auto"/>
        <w:right w:val="none" w:sz="0" w:space="0" w:color="auto"/>
      </w:divBdr>
    </w:div>
    <w:div w:id="1674991343">
      <w:bodyDiv w:val="1"/>
      <w:marLeft w:val="0"/>
      <w:marRight w:val="0"/>
      <w:marTop w:val="0"/>
      <w:marBottom w:val="0"/>
      <w:divBdr>
        <w:top w:val="none" w:sz="0" w:space="0" w:color="auto"/>
        <w:left w:val="none" w:sz="0" w:space="0" w:color="auto"/>
        <w:bottom w:val="none" w:sz="0" w:space="0" w:color="auto"/>
        <w:right w:val="none" w:sz="0" w:space="0" w:color="auto"/>
      </w:divBdr>
    </w:div>
    <w:div w:id="1677491920">
      <w:bodyDiv w:val="1"/>
      <w:marLeft w:val="0"/>
      <w:marRight w:val="0"/>
      <w:marTop w:val="0"/>
      <w:marBottom w:val="0"/>
      <w:divBdr>
        <w:top w:val="none" w:sz="0" w:space="0" w:color="auto"/>
        <w:left w:val="none" w:sz="0" w:space="0" w:color="auto"/>
        <w:bottom w:val="none" w:sz="0" w:space="0" w:color="auto"/>
        <w:right w:val="none" w:sz="0" w:space="0" w:color="auto"/>
      </w:divBdr>
    </w:div>
    <w:div w:id="1689258290">
      <w:bodyDiv w:val="1"/>
      <w:marLeft w:val="0"/>
      <w:marRight w:val="0"/>
      <w:marTop w:val="0"/>
      <w:marBottom w:val="0"/>
      <w:divBdr>
        <w:top w:val="none" w:sz="0" w:space="0" w:color="auto"/>
        <w:left w:val="none" w:sz="0" w:space="0" w:color="auto"/>
        <w:bottom w:val="none" w:sz="0" w:space="0" w:color="auto"/>
        <w:right w:val="none" w:sz="0" w:space="0" w:color="auto"/>
      </w:divBdr>
    </w:div>
    <w:div w:id="1695810208">
      <w:bodyDiv w:val="1"/>
      <w:marLeft w:val="0"/>
      <w:marRight w:val="0"/>
      <w:marTop w:val="0"/>
      <w:marBottom w:val="0"/>
      <w:divBdr>
        <w:top w:val="none" w:sz="0" w:space="0" w:color="auto"/>
        <w:left w:val="none" w:sz="0" w:space="0" w:color="auto"/>
        <w:bottom w:val="none" w:sz="0" w:space="0" w:color="auto"/>
        <w:right w:val="none" w:sz="0" w:space="0" w:color="auto"/>
      </w:divBdr>
    </w:div>
    <w:div w:id="1710259366">
      <w:bodyDiv w:val="1"/>
      <w:marLeft w:val="0"/>
      <w:marRight w:val="0"/>
      <w:marTop w:val="0"/>
      <w:marBottom w:val="0"/>
      <w:divBdr>
        <w:top w:val="none" w:sz="0" w:space="0" w:color="auto"/>
        <w:left w:val="none" w:sz="0" w:space="0" w:color="auto"/>
        <w:bottom w:val="none" w:sz="0" w:space="0" w:color="auto"/>
        <w:right w:val="none" w:sz="0" w:space="0" w:color="auto"/>
      </w:divBdr>
    </w:div>
    <w:div w:id="1718820877">
      <w:bodyDiv w:val="1"/>
      <w:marLeft w:val="0"/>
      <w:marRight w:val="0"/>
      <w:marTop w:val="0"/>
      <w:marBottom w:val="0"/>
      <w:divBdr>
        <w:top w:val="none" w:sz="0" w:space="0" w:color="auto"/>
        <w:left w:val="none" w:sz="0" w:space="0" w:color="auto"/>
        <w:bottom w:val="none" w:sz="0" w:space="0" w:color="auto"/>
        <w:right w:val="none" w:sz="0" w:space="0" w:color="auto"/>
      </w:divBdr>
    </w:div>
    <w:div w:id="1724669371">
      <w:bodyDiv w:val="1"/>
      <w:marLeft w:val="0"/>
      <w:marRight w:val="0"/>
      <w:marTop w:val="0"/>
      <w:marBottom w:val="0"/>
      <w:divBdr>
        <w:top w:val="none" w:sz="0" w:space="0" w:color="auto"/>
        <w:left w:val="none" w:sz="0" w:space="0" w:color="auto"/>
        <w:bottom w:val="none" w:sz="0" w:space="0" w:color="auto"/>
        <w:right w:val="none" w:sz="0" w:space="0" w:color="auto"/>
      </w:divBdr>
    </w:div>
    <w:div w:id="1730767846">
      <w:bodyDiv w:val="1"/>
      <w:marLeft w:val="0"/>
      <w:marRight w:val="0"/>
      <w:marTop w:val="0"/>
      <w:marBottom w:val="0"/>
      <w:divBdr>
        <w:top w:val="none" w:sz="0" w:space="0" w:color="auto"/>
        <w:left w:val="none" w:sz="0" w:space="0" w:color="auto"/>
        <w:bottom w:val="none" w:sz="0" w:space="0" w:color="auto"/>
        <w:right w:val="none" w:sz="0" w:space="0" w:color="auto"/>
      </w:divBdr>
    </w:div>
    <w:div w:id="1741099457">
      <w:bodyDiv w:val="1"/>
      <w:marLeft w:val="0"/>
      <w:marRight w:val="0"/>
      <w:marTop w:val="0"/>
      <w:marBottom w:val="0"/>
      <w:divBdr>
        <w:top w:val="none" w:sz="0" w:space="0" w:color="auto"/>
        <w:left w:val="none" w:sz="0" w:space="0" w:color="auto"/>
        <w:bottom w:val="none" w:sz="0" w:space="0" w:color="auto"/>
        <w:right w:val="none" w:sz="0" w:space="0" w:color="auto"/>
      </w:divBdr>
    </w:div>
    <w:div w:id="1773471713">
      <w:bodyDiv w:val="1"/>
      <w:marLeft w:val="0"/>
      <w:marRight w:val="0"/>
      <w:marTop w:val="0"/>
      <w:marBottom w:val="0"/>
      <w:divBdr>
        <w:top w:val="none" w:sz="0" w:space="0" w:color="auto"/>
        <w:left w:val="none" w:sz="0" w:space="0" w:color="auto"/>
        <w:bottom w:val="none" w:sz="0" w:space="0" w:color="auto"/>
        <w:right w:val="none" w:sz="0" w:space="0" w:color="auto"/>
      </w:divBdr>
    </w:div>
    <w:div w:id="1777824845">
      <w:bodyDiv w:val="1"/>
      <w:marLeft w:val="0"/>
      <w:marRight w:val="0"/>
      <w:marTop w:val="0"/>
      <w:marBottom w:val="0"/>
      <w:divBdr>
        <w:top w:val="none" w:sz="0" w:space="0" w:color="auto"/>
        <w:left w:val="none" w:sz="0" w:space="0" w:color="auto"/>
        <w:bottom w:val="none" w:sz="0" w:space="0" w:color="auto"/>
        <w:right w:val="none" w:sz="0" w:space="0" w:color="auto"/>
      </w:divBdr>
    </w:div>
    <w:div w:id="1778670713">
      <w:bodyDiv w:val="1"/>
      <w:marLeft w:val="0"/>
      <w:marRight w:val="0"/>
      <w:marTop w:val="0"/>
      <w:marBottom w:val="0"/>
      <w:divBdr>
        <w:top w:val="none" w:sz="0" w:space="0" w:color="auto"/>
        <w:left w:val="none" w:sz="0" w:space="0" w:color="auto"/>
        <w:bottom w:val="none" w:sz="0" w:space="0" w:color="auto"/>
        <w:right w:val="none" w:sz="0" w:space="0" w:color="auto"/>
      </w:divBdr>
    </w:div>
    <w:div w:id="1785226182">
      <w:bodyDiv w:val="1"/>
      <w:marLeft w:val="0"/>
      <w:marRight w:val="0"/>
      <w:marTop w:val="0"/>
      <w:marBottom w:val="0"/>
      <w:divBdr>
        <w:top w:val="none" w:sz="0" w:space="0" w:color="auto"/>
        <w:left w:val="none" w:sz="0" w:space="0" w:color="auto"/>
        <w:bottom w:val="none" w:sz="0" w:space="0" w:color="auto"/>
        <w:right w:val="none" w:sz="0" w:space="0" w:color="auto"/>
      </w:divBdr>
    </w:div>
    <w:div w:id="1828744400">
      <w:bodyDiv w:val="1"/>
      <w:marLeft w:val="0"/>
      <w:marRight w:val="0"/>
      <w:marTop w:val="0"/>
      <w:marBottom w:val="0"/>
      <w:divBdr>
        <w:top w:val="none" w:sz="0" w:space="0" w:color="auto"/>
        <w:left w:val="none" w:sz="0" w:space="0" w:color="auto"/>
        <w:bottom w:val="none" w:sz="0" w:space="0" w:color="auto"/>
        <w:right w:val="none" w:sz="0" w:space="0" w:color="auto"/>
      </w:divBdr>
    </w:div>
    <w:div w:id="1889489606">
      <w:bodyDiv w:val="1"/>
      <w:marLeft w:val="0"/>
      <w:marRight w:val="0"/>
      <w:marTop w:val="0"/>
      <w:marBottom w:val="0"/>
      <w:divBdr>
        <w:top w:val="none" w:sz="0" w:space="0" w:color="auto"/>
        <w:left w:val="none" w:sz="0" w:space="0" w:color="auto"/>
        <w:bottom w:val="none" w:sz="0" w:space="0" w:color="auto"/>
        <w:right w:val="none" w:sz="0" w:space="0" w:color="auto"/>
      </w:divBdr>
    </w:div>
    <w:div w:id="1895893329">
      <w:bodyDiv w:val="1"/>
      <w:marLeft w:val="0"/>
      <w:marRight w:val="0"/>
      <w:marTop w:val="0"/>
      <w:marBottom w:val="0"/>
      <w:divBdr>
        <w:top w:val="none" w:sz="0" w:space="0" w:color="auto"/>
        <w:left w:val="none" w:sz="0" w:space="0" w:color="auto"/>
        <w:bottom w:val="none" w:sz="0" w:space="0" w:color="auto"/>
        <w:right w:val="none" w:sz="0" w:space="0" w:color="auto"/>
      </w:divBdr>
    </w:div>
    <w:div w:id="1896349960">
      <w:bodyDiv w:val="1"/>
      <w:marLeft w:val="0"/>
      <w:marRight w:val="0"/>
      <w:marTop w:val="0"/>
      <w:marBottom w:val="0"/>
      <w:divBdr>
        <w:top w:val="none" w:sz="0" w:space="0" w:color="auto"/>
        <w:left w:val="none" w:sz="0" w:space="0" w:color="auto"/>
        <w:bottom w:val="none" w:sz="0" w:space="0" w:color="auto"/>
        <w:right w:val="none" w:sz="0" w:space="0" w:color="auto"/>
      </w:divBdr>
    </w:div>
    <w:div w:id="1934706799">
      <w:bodyDiv w:val="1"/>
      <w:marLeft w:val="0"/>
      <w:marRight w:val="0"/>
      <w:marTop w:val="0"/>
      <w:marBottom w:val="0"/>
      <w:divBdr>
        <w:top w:val="none" w:sz="0" w:space="0" w:color="auto"/>
        <w:left w:val="none" w:sz="0" w:space="0" w:color="auto"/>
        <w:bottom w:val="none" w:sz="0" w:space="0" w:color="auto"/>
        <w:right w:val="none" w:sz="0" w:space="0" w:color="auto"/>
      </w:divBdr>
    </w:div>
    <w:div w:id="1941065887">
      <w:bodyDiv w:val="1"/>
      <w:marLeft w:val="0"/>
      <w:marRight w:val="0"/>
      <w:marTop w:val="0"/>
      <w:marBottom w:val="0"/>
      <w:divBdr>
        <w:top w:val="none" w:sz="0" w:space="0" w:color="auto"/>
        <w:left w:val="none" w:sz="0" w:space="0" w:color="auto"/>
        <w:bottom w:val="none" w:sz="0" w:space="0" w:color="auto"/>
        <w:right w:val="none" w:sz="0" w:space="0" w:color="auto"/>
      </w:divBdr>
    </w:div>
    <w:div w:id="1944532663">
      <w:bodyDiv w:val="1"/>
      <w:marLeft w:val="0"/>
      <w:marRight w:val="0"/>
      <w:marTop w:val="0"/>
      <w:marBottom w:val="0"/>
      <w:divBdr>
        <w:top w:val="none" w:sz="0" w:space="0" w:color="auto"/>
        <w:left w:val="none" w:sz="0" w:space="0" w:color="auto"/>
        <w:bottom w:val="none" w:sz="0" w:space="0" w:color="auto"/>
        <w:right w:val="none" w:sz="0" w:space="0" w:color="auto"/>
      </w:divBdr>
    </w:div>
    <w:div w:id="1962108404">
      <w:bodyDiv w:val="1"/>
      <w:marLeft w:val="0"/>
      <w:marRight w:val="0"/>
      <w:marTop w:val="0"/>
      <w:marBottom w:val="0"/>
      <w:divBdr>
        <w:top w:val="none" w:sz="0" w:space="0" w:color="auto"/>
        <w:left w:val="none" w:sz="0" w:space="0" w:color="auto"/>
        <w:bottom w:val="none" w:sz="0" w:space="0" w:color="auto"/>
        <w:right w:val="none" w:sz="0" w:space="0" w:color="auto"/>
      </w:divBdr>
    </w:div>
    <w:div w:id="1967658947">
      <w:bodyDiv w:val="1"/>
      <w:marLeft w:val="0"/>
      <w:marRight w:val="0"/>
      <w:marTop w:val="0"/>
      <w:marBottom w:val="0"/>
      <w:divBdr>
        <w:top w:val="none" w:sz="0" w:space="0" w:color="auto"/>
        <w:left w:val="none" w:sz="0" w:space="0" w:color="auto"/>
        <w:bottom w:val="none" w:sz="0" w:space="0" w:color="auto"/>
        <w:right w:val="none" w:sz="0" w:space="0" w:color="auto"/>
      </w:divBdr>
    </w:div>
    <w:div w:id="1972049430">
      <w:bodyDiv w:val="1"/>
      <w:marLeft w:val="0"/>
      <w:marRight w:val="0"/>
      <w:marTop w:val="0"/>
      <w:marBottom w:val="0"/>
      <w:divBdr>
        <w:top w:val="none" w:sz="0" w:space="0" w:color="auto"/>
        <w:left w:val="none" w:sz="0" w:space="0" w:color="auto"/>
        <w:bottom w:val="none" w:sz="0" w:space="0" w:color="auto"/>
        <w:right w:val="none" w:sz="0" w:space="0" w:color="auto"/>
      </w:divBdr>
    </w:div>
    <w:div w:id="1976183275">
      <w:bodyDiv w:val="1"/>
      <w:marLeft w:val="0"/>
      <w:marRight w:val="0"/>
      <w:marTop w:val="0"/>
      <w:marBottom w:val="0"/>
      <w:divBdr>
        <w:top w:val="none" w:sz="0" w:space="0" w:color="auto"/>
        <w:left w:val="none" w:sz="0" w:space="0" w:color="auto"/>
        <w:bottom w:val="none" w:sz="0" w:space="0" w:color="auto"/>
        <w:right w:val="none" w:sz="0" w:space="0" w:color="auto"/>
      </w:divBdr>
    </w:div>
    <w:div w:id="1989043394">
      <w:bodyDiv w:val="1"/>
      <w:marLeft w:val="0"/>
      <w:marRight w:val="0"/>
      <w:marTop w:val="0"/>
      <w:marBottom w:val="0"/>
      <w:divBdr>
        <w:top w:val="none" w:sz="0" w:space="0" w:color="auto"/>
        <w:left w:val="none" w:sz="0" w:space="0" w:color="auto"/>
        <w:bottom w:val="none" w:sz="0" w:space="0" w:color="auto"/>
        <w:right w:val="none" w:sz="0" w:space="0" w:color="auto"/>
      </w:divBdr>
    </w:div>
    <w:div w:id="1989287750">
      <w:bodyDiv w:val="1"/>
      <w:marLeft w:val="0"/>
      <w:marRight w:val="0"/>
      <w:marTop w:val="0"/>
      <w:marBottom w:val="0"/>
      <w:divBdr>
        <w:top w:val="none" w:sz="0" w:space="0" w:color="auto"/>
        <w:left w:val="none" w:sz="0" w:space="0" w:color="auto"/>
        <w:bottom w:val="none" w:sz="0" w:space="0" w:color="auto"/>
        <w:right w:val="none" w:sz="0" w:space="0" w:color="auto"/>
      </w:divBdr>
    </w:div>
    <w:div w:id="1989629688">
      <w:bodyDiv w:val="1"/>
      <w:marLeft w:val="0"/>
      <w:marRight w:val="0"/>
      <w:marTop w:val="0"/>
      <w:marBottom w:val="0"/>
      <w:divBdr>
        <w:top w:val="none" w:sz="0" w:space="0" w:color="auto"/>
        <w:left w:val="none" w:sz="0" w:space="0" w:color="auto"/>
        <w:bottom w:val="none" w:sz="0" w:space="0" w:color="auto"/>
        <w:right w:val="none" w:sz="0" w:space="0" w:color="auto"/>
      </w:divBdr>
    </w:div>
    <w:div w:id="1989704411">
      <w:bodyDiv w:val="1"/>
      <w:marLeft w:val="0"/>
      <w:marRight w:val="0"/>
      <w:marTop w:val="0"/>
      <w:marBottom w:val="0"/>
      <w:divBdr>
        <w:top w:val="none" w:sz="0" w:space="0" w:color="auto"/>
        <w:left w:val="none" w:sz="0" w:space="0" w:color="auto"/>
        <w:bottom w:val="none" w:sz="0" w:space="0" w:color="auto"/>
        <w:right w:val="none" w:sz="0" w:space="0" w:color="auto"/>
      </w:divBdr>
    </w:div>
    <w:div w:id="1991327449">
      <w:bodyDiv w:val="1"/>
      <w:marLeft w:val="0"/>
      <w:marRight w:val="0"/>
      <w:marTop w:val="0"/>
      <w:marBottom w:val="0"/>
      <w:divBdr>
        <w:top w:val="none" w:sz="0" w:space="0" w:color="auto"/>
        <w:left w:val="none" w:sz="0" w:space="0" w:color="auto"/>
        <w:bottom w:val="none" w:sz="0" w:space="0" w:color="auto"/>
        <w:right w:val="none" w:sz="0" w:space="0" w:color="auto"/>
      </w:divBdr>
    </w:div>
    <w:div w:id="1993097374">
      <w:bodyDiv w:val="1"/>
      <w:marLeft w:val="0"/>
      <w:marRight w:val="0"/>
      <w:marTop w:val="0"/>
      <w:marBottom w:val="0"/>
      <w:divBdr>
        <w:top w:val="none" w:sz="0" w:space="0" w:color="auto"/>
        <w:left w:val="none" w:sz="0" w:space="0" w:color="auto"/>
        <w:bottom w:val="none" w:sz="0" w:space="0" w:color="auto"/>
        <w:right w:val="none" w:sz="0" w:space="0" w:color="auto"/>
      </w:divBdr>
    </w:div>
    <w:div w:id="1998142710">
      <w:bodyDiv w:val="1"/>
      <w:marLeft w:val="0"/>
      <w:marRight w:val="0"/>
      <w:marTop w:val="0"/>
      <w:marBottom w:val="0"/>
      <w:divBdr>
        <w:top w:val="none" w:sz="0" w:space="0" w:color="auto"/>
        <w:left w:val="none" w:sz="0" w:space="0" w:color="auto"/>
        <w:bottom w:val="none" w:sz="0" w:space="0" w:color="auto"/>
        <w:right w:val="none" w:sz="0" w:space="0" w:color="auto"/>
      </w:divBdr>
    </w:div>
    <w:div w:id="2002614794">
      <w:bodyDiv w:val="1"/>
      <w:marLeft w:val="0"/>
      <w:marRight w:val="0"/>
      <w:marTop w:val="0"/>
      <w:marBottom w:val="0"/>
      <w:divBdr>
        <w:top w:val="none" w:sz="0" w:space="0" w:color="auto"/>
        <w:left w:val="none" w:sz="0" w:space="0" w:color="auto"/>
        <w:bottom w:val="none" w:sz="0" w:space="0" w:color="auto"/>
        <w:right w:val="none" w:sz="0" w:space="0" w:color="auto"/>
      </w:divBdr>
    </w:div>
    <w:div w:id="2008511962">
      <w:bodyDiv w:val="1"/>
      <w:marLeft w:val="0"/>
      <w:marRight w:val="0"/>
      <w:marTop w:val="0"/>
      <w:marBottom w:val="0"/>
      <w:divBdr>
        <w:top w:val="none" w:sz="0" w:space="0" w:color="auto"/>
        <w:left w:val="none" w:sz="0" w:space="0" w:color="auto"/>
        <w:bottom w:val="none" w:sz="0" w:space="0" w:color="auto"/>
        <w:right w:val="none" w:sz="0" w:space="0" w:color="auto"/>
      </w:divBdr>
    </w:div>
    <w:div w:id="2015572083">
      <w:bodyDiv w:val="1"/>
      <w:marLeft w:val="0"/>
      <w:marRight w:val="0"/>
      <w:marTop w:val="0"/>
      <w:marBottom w:val="0"/>
      <w:divBdr>
        <w:top w:val="none" w:sz="0" w:space="0" w:color="auto"/>
        <w:left w:val="none" w:sz="0" w:space="0" w:color="auto"/>
        <w:bottom w:val="none" w:sz="0" w:space="0" w:color="auto"/>
        <w:right w:val="none" w:sz="0" w:space="0" w:color="auto"/>
      </w:divBdr>
    </w:div>
    <w:div w:id="2015837502">
      <w:bodyDiv w:val="1"/>
      <w:marLeft w:val="0"/>
      <w:marRight w:val="0"/>
      <w:marTop w:val="0"/>
      <w:marBottom w:val="0"/>
      <w:divBdr>
        <w:top w:val="none" w:sz="0" w:space="0" w:color="auto"/>
        <w:left w:val="none" w:sz="0" w:space="0" w:color="auto"/>
        <w:bottom w:val="none" w:sz="0" w:space="0" w:color="auto"/>
        <w:right w:val="none" w:sz="0" w:space="0" w:color="auto"/>
      </w:divBdr>
    </w:div>
    <w:div w:id="2023429629">
      <w:bodyDiv w:val="1"/>
      <w:marLeft w:val="0"/>
      <w:marRight w:val="0"/>
      <w:marTop w:val="0"/>
      <w:marBottom w:val="0"/>
      <w:divBdr>
        <w:top w:val="none" w:sz="0" w:space="0" w:color="auto"/>
        <w:left w:val="none" w:sz="0" w:space="0" w:color="auto"/>
        <w:bottom w:val="none" w:sz="0" w:space="0" w:color="auto"/>
        <w:right w:val="none" w:sz="0" w:space="0" w:color="auto"/>
      </w:divBdr>
    </w:div>
    <w:div w:id="2023782148">
      <w:bodyDiv w:val="1"/>
      <w:marLeft w:val="0"/>
      <w:marRight w:val="0"/>
      <w:marTop w:val="0"/>
      <w:marBottom w:val="0"/>
      <w:divBdr>
        <w:top w:val="none" w:sz="0" w:space="0" w:color="auto"/>
        <w:left w:val="none" w:sz="0" w:space="0" w:color="auto"/>
        <w:bottom w:val="none" w:sz="0" w:space="0" w:color="auto"/>
        <w:right w:val="none" w:sz="0" w:space="0" w:color="auto"/>
      </w:divBdr>
    </w:div>
    <w:div w:id="2027126027">
      <w:bodyDiv w:val="1"/>
      <w:marLeft w:val="0"/>
      <w:marRight w:val="0"/>
      <w:marTop w:val="0"/>
      <w:marBottom w:val="0"/>
      <w:divBdr>
        <w:top w:val="none" w:sz="0" w:space="0" w:color="auto"/>
        <w:left w:val="none" w:sz="0" w:space="0" w:color="auto"/>
        <w:bottom w:val="none" w:sz="0" w:space="0" w:color="auto"/>
        <w:right w:val="none" w:sz="0" w:space="0" w:color="auto"/>
      </w:divBdr>
    </w:div>
    <w:div w:id="2030178375">
      <w:bodyDiv w:val="1"/>
      <w:marLeft w:val="0"/>
      <w:marRight w:val="0"/>
      <w:marTop w:val="0"/>
      <w:marBottom w:val="0"/>
      <w:divBdr>
        <w:top w:val="none" w:sz="0" w:space="0" w:color="auto"/>
        <w:left w:val="none" w:sz="0" w:space="0" w:color="auto"/>
        <w:bottom w:val="none" w:sz="0" w:space="0" w:color="auto"/>
        <w:right w:val="none" w:sz="0" w:space="0" w:color="auto"/>
      </w:divBdr>
    </w:div>
    <w:div w:id="2042825640">
      <w:bodyDiv w:val="1"/>
      <w:marLeft w:val="0"/>
      <w:marRight w:val="0"/>
      <w:marTop w:val="0"/>
      <w:marBottom w:val="0"/>
      <w:divBdr>
        <w:top w:val="none" w:sz="0" w:space="0" w:color="auto"/>
        <w:left w:val="none" w:sz="0" w:space="0" w:color="auto"/>
        <w:bottom w:val="none" w:sz="0" w:space="0" w:color="auto"/>
        <w:right w:val="none" w:sz="0" w:space="0" w:color="auto"/>
      </w:divBdr>
    </w:div>
    <w:div w:id="2048096792">
      <w:bodyDiv w:val="1"/>
      <w:marLeft w:val="0"/>
      <w:marRight w:val="0"/>
      <w:marTop w:val="0"/>
      <w:marBottom w:val="0"/>
      <w:divBdr>
        <w:top w:val="none" w:sz="0" w:space="0" w:color="auto"/>
        <w:left w:val="none" w:sz="0" w:space="0" w:color="auto"/>
        <w:bottom w:val="none" w:sz="0" w:space="0" w:color="auto"/>
        <w:right w:val="none" w:sz="0" w:space="0" w:color="auto"/>
      </w:divBdr>
    </w:div>
    <w:div w:id="2056806551">
      <w:bodyDiv w:val="1"/>
      <w:marLeft w:val="0"/>
      <w:marRight w:val="0"/>
      <w:marTop w:val="0"/>
      <w:marBottom w:val="0"/>
      <w:divBdr>
        <w:top w:val="none" w:sz="0" w:space="0" w:color="auto"/>
        <w:left w:val="none" w:sz="0" w:space="0" w:color="auto"/>
        <w:bottom w:val="none" w:sz="0" w:space="0" w:color="auto"/>
        <w:right w:val="none" w:sz="0" w:space="0" w:color="auto"/>
      </w:divBdr>
    </w:div>
    <w:div w:id="2068911081">
      <w:bodyDiv w:val="1"/>
      <w:marLeft w:val="0"/>
      <w:marRight w:val="0"/>
      <w:marTop w:val="0"/>
      <w:marBottom w:val="0"/>
      <w:divBdr>
        <w:top w:val="none" w:sz="0" w:space="0" w:color="auto"/>
        <w:left w:val="none" w:sz="0" w:space="0" w:color="auto"/>
        <w:bottom w:val="none" w:sz="0" w:space="0" w:color="auto"/>
        <w:right w:val="none" w:sz="0" w:space="0" w:color="auto"/>
      </w:divBdr>
    </w:div>
    <w:div w:id="2084373436">
      <w:bodyDiv w:val="1"/>
      <w:marLeft w:val="0"/>
      <w:marRight w:val="0"/>
      <w:marTop w:val="0"/>
      <w:marBottom w:val="0"/>
      <w:divBdr>
        <w:top w:val="none" w:sz="0" w:space="0" w:color="auto"/>
        <w:left w:val="none" w:sz="0" w:space="0" w:color="auto"/>
        <w:bottom w:val="none" w:sz="0" w:space="0" w:color="auto"/>
        <w:right w:val="none" w:sz="0" w:space="0" w:color="auto"/>
      </w:divBdr>
    </w:div>
    <w:div w:id="2085176899">
      <w:bodyDiv w:val="1"/>
      <w:marLeft w:val="0"/>
      <w:marRight w:val="0"/>
      <w:marTop w:val="0"/>
      <w:marBottom w:val="0"/>
      <w:divBdr>
        <w:top w:val="none" w:sz="0" w:space="0" w:color="auto"/>
        <w:left w:val="none" w:sz="0" w:space="0" w:color="auto"/>
        <w:bottom w:val="none" w:sz="0" w:space="0" w:color="auto"/>
        <w:right w:val="none" w:sz="0" w:space="0" w:color="auto"/>
      </w:divBdr>
    </w:div>
    <w:div w:id="2087266949">
      <w:bodyDiv w:val="1"/>
      <w:marLeft w:val="0"/>
      <w:marRight w:val="0"/>
      <w:marTop w:val="0"/>
      <w:marBottom w:val="0"/>
      <w:divBdr>
        <w:top w:val="none" w:sz="0" w:space="0" w:color="auto"/>
        <w:left w:val="none" w:sz="0" w:space="0" w:color="auto"/>
        <w:bottom w:val="none" w:sz="0" w:space="0" w:color="auto"/>
        <w:right w:val="none" w:sz="0" w:space="0" w:color="auto"/>
      </w:divBdr>
    </w:div>
    <w:div w:id="2094810385">
      <w:bodyDiv w:val="1"/>
      <w:marLeft w:val="0"/>
      <w:marRight w:val="0"/>
      <w:marTop w:val="0"/>
      <w:marBottom w:val="0"/>
      <w:divBdr>
        <w:top w:val="none" w:sz="0" w:space="0" w:color="auto"/>
        <w:left w:val="none" w:sz="0" w:space="0" w:color="auto"/>
        <w:bottom w:val="none" w:sz="0" w:space="0" w:color="auto"/>
        <w:right w:val="none" w:sz="0" w:space="0" w:color="auto"/>
      </w:divBdr>
    </w:div>
    <w:div w:id="2094812206">
      <w:bodyDiv w:val="1"/>
      <w:marLeft w:val="0"/>
      <w:marRight w:val="0"/>
      <w:marTop w:val="0"/>
      <w:marBottom w:val="0"/>
      <w:divBdr>
        <w:top w:val="none" w:sz="0" w:space="0" w:color="auto"/>
        <w:left w:val="none" w:sz="0" w:space="0" w:color="auto"/>
        <w:bottom w:val="none" w:sz="0" w:space="0" w:color="auto"/>
        <w:right w:val="none" w:sz="0" w:space="0" w:color="auto"/>
      </w:divBdr>
    </w:div>
    <w:div w:id="2097895448">
      <w:bodyDiv w:val="1"/>
      <w:marLeft w:val="0"/>
      <w:marRight w:val="0"/>
      <w:marTop w:val="0"/>
      <w:marBottom w:val="0"/>
      <w:divBdr>
        <w:top w:val="none" w:sz="0" w:space="0" w:color="auto"/>
        <w:left w:val="none" w:sz="0" w:space="0" w:color="auto"/>
        <w:bottom w:val="none" w:sz="0" w:space="0" w:color="auto"/>
        <w:right w:val="none" w:sz="0" w:space="0" w:color="auto"/>
      </w:divBdr>
    </w:div>
    <w:div w:id="2110004742">
      <w:bodyDiv w:val="1"/>
      <w:marLeft w:val="0"/>
      <w:marRight w:val="0"/>
      <w:marTop w:val="0"/>
      <w:marBottom w:val="0"/>
      <w:divBdr>
        <w:top w:val="none" w:sz="0" w:space="0" w:color="auto"/>
        <w:left w:val="none" w:sz="0" w:space="0" w:color="auto"/>
        <w:bottom w:val="none" w:sz="0" w:space="0" w:color="auto"/>
        <w:right w:val="none" w:sz="0" w:space="0" w:color="auto"/>
      </w:divBdr>
    </w:div>
    <w:div w:id="2110811889">
      <w:bodyDiv w:val="1"/>
      <w:marLeft w:val="0"/>
      <w:marRight w:val="0"/>
      <w:marTop w:val="0"/>
      <w:marBottom w:val="0"/>
      <w:divBdr>
        <w:top w:val="none" w:sz="0" w:space="0" w:color="auto"/>
        <w:left w:val="none" w:sz="0" w:space="0" w:color="auto"/>
        <w:bottom w:val="none" w:sz="0" w:space="0" w:color="auto"/>
        <w:right w:val="none" w:sz="0" w:space="0" w:color="auto"/>
      </w:divBdr>
    </w:div>
    <w:div w:id="2117167679">
      <w:bodyDiv w:val="1"/>
      <w:marLeft w:val="0"/>
      <w:marRight w:val="0"/>
      <w:marTop w:val="0"/>
      <w:marBottom w:val="0"/>
      <w:divBdr>
        <w:top w:val="none" w:sz="0" w:space="0" w:color="auto"/>
        <w:left w:val="none" w:sz="0" w:space="0" w:color="auto"/>
        <w:bottom w:val="none" w:sz="0" w:space="0" w:color="auto"/>
        <w:right w:val="none" w:sz="0" w:space="0" w:color="auto"/>
      </w:divBdr>
    </w:div>
    <w:div w:id="2122527636">
      <w:bodyDiv w:val="1"/>
      <w:marLeft w:val="0"/>
      <w:marRight w:val="0"/>
      <w:marTop w:val="0"/>
      <w:marBottom w:val="0"/>
      <w:divBdr>
        <w:top w:val="none" w:sz="0" w:space="0" w:color="auto"/>
        <w:left w:val="none" w:sz="0" w:space="0" w:color="auto"/>
        <w:bottom w:val="none" w:sz="0" w:space="0" w:color="auto"/>
        <w:right w:val="none" w:sz="0" w:space="0" w:color="auto"/>
      </w:divBdr>
    </w:div>
    <w:div w:id="2123725101">
      <w:bodyDiv w:val="1"/>
      <w:marLeft w:val="0"/>
      <w:marRight w:val="0"/>
      <w:marTop w:val="0"/>
      <w:marBottom w:val="0"/>
      <w:divBdr>
        <w:top w:val="none" w:sz="0" w:space="0" w:color="auto"/>
        <w:left w:val="none" w:sz="0" w:space="0" w:color="auto"/>
        <w:bottom w:val="none" w:sz="0" w:space="0" w:color="auto"/>
        <w:right w:val="none" w:sz="0" w:space="0" w:color="auto"/>
      </w:divBdr>
    </w:div>
    <w:div w:id="2132674372">
      <w:bodyDiv w:val="1"/>
      <w:marLeft w:val="0"/>
      <w:marRight w:val="0"/>
      <w:marTop w:val="0"/>
      <w:marBottom w:val="0"/>
      <w:divBdr>
        <w:top w:val="none" w:sz="0" w:space="0" w:color="auto"/>
        <w:left w:val="none" w:sz="0" w:space="0" w:color="auto"/>
        <w:bottom w:val="none" w:sz="0" w:space="0" w:color="auto"/>
        <w:right w:val="none" w:sz="0" w:space="0" w:color="auto"/>
      </w:divBdr>
    </w:div>
    <w:div w:id="2138138210">
      <w:bodyDiv w:val="1"/>
      <w:marLeft w:val="0"/>
      <w:marRight w:val="0"/>
      <w:marTop w:val="0"/>
      <w:marBottom w:val="0"/>
      <w:divBdr>
        <w:top w:val="none" w:sz="0" w:space="0" w:color="auto"/>
        <w:left w:val="none" w:sz="0" w:space="0" w:color="auto"/>
        <w:bottom w:val="none" w:sz="0" w:space="0" w:color="auto"/>
        <w:right w:val="none" w:sz="0" w:space="0" w:color="auto"/>
      </w:divBdr>
    </w:div>
    <w:div w:id="2140343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97/inf.0000000000000889" TargetMode="External"/><Relationship Id="rId299" Type="http://schemas.openxmlformats.org/officeDocument/2006/relationships/hyperlink" Target="https://doi.org/10.1016/j.wneu.2019.06.150" TargetMode="External"/><Relationship Id="rId21" Type="http://schemas.openxmlformats.org/officeDocument/2006/relationships/hyperlink" Target="https://doi.org/10.1016/j.wneu.2019.01.262" TargetMode="External"/><Relationship Id="rId63" Type="http://schemas.openxmlformats.org/officeDocument/2006/relationships/hyperlink" Target="https://doi.org/10.1007/s00381-017-3358-5" TargetMode="External"/><Relationship Id="rId159" Type="http://schemas.openxmlformats.org/officeDocument/2006/relationships/hyperlink" Target="https://doi.org/10.3171/2015.10.peds15369" TargetMode="External"/><Relationship Id="rId324" Type="http://schemas.openxmlformats.org/officeDocument/2006/relationships/hyperlink" Target="https://doi.org/10.1080/02688697.2021.1902472" TargetMode="External"/><Relationship Id="rId170" Type="http://schemas.openxmlformats.org/officeDocument/2006/relationships/hyperlink" Target="https://doi.org/10.3109/02688697.2013.835376" TargetMode="External"/><Relationship Id="rId226" Type="http://schemas.openxmlformats.org/officeDocument/2006/relationships/hyperlink" Target="https://doi.org/10.3340/jkns.2014.56.5.410" TargetMode="External"/><Relationship Id="rId268" Type="http://schemas.openxmlformats.org/officeDocument/2006/relationships/hyperlink" Target="https://doi.org/10.3171/2022.11.peds22421" TargetMode="External"/><Relationship Id="rId32" Type="http://schemas.openxmlformats.org/officeDocument/2006/relationships/hyperlink" Target="https://doi.org/10.1016/j.wneu.2019.04.003" TargetMode="External"/><Relationship Id="rId74" Type="http://schemas.openxmlformats.org/officeDocument/2006/relationships/hyperlink" Target="https://doi.org/10.1007/s00586-023-07729-x" TargetMode="External"/><Relationship Id="rId128" Type="http://schemas.openxmlformats.org/officeDocument/2006/relationships/hyperlink" Target="https://doi.org/10.1080/02688697.2018.1476673" TargetMode="External"/><Relationship Id="rId335" Type="http://schemas.openxmlformats.org/officeDocument/2006/relationships/hyperlink" Target="https://doi.org/10.5137/1019-5149.jtn.9281-13.1" TargetMode="External"/><Relationship Id="rId5" Type="http://schemas.openxmlformats.org/officeDocument/2006/relationships/hyperlink" Target="https://doi.org/10.3171/2014.12.jns142092" TargetMode="External"/><Relationship Id="rId181" Type="http://schemas.openxmlformats.org/officeDocument/2006/relationships/hyperlink" Target="https://doi.org/10.1016/j.wneu.2018.01.183" TargetMode="External"/><Relationship Id="rId237" Type="http://schemas.openxmlformats.org/officeDocument/2006/relationships/hyperlink" Target="https://doi.org/10.1159/000520197" TargetMode="External"/><Relationship Id="rId279" Type="http://schemas.openxmlformats.org/officeDocument/2006/relationships/hyperlink" Target="https://doi.org/10.1016/j.jocn.2011.01.016" TargetMode="External"/><Relationship Id="rId43" Type="http://schemas.openxmlformats.org/officeDocument/2006/relationships/hyperlink" Target="https://doi.org/10.3171/2014.12.peds13675" TargetMode="External"/><Relationship Id="rId139" Type="http://schemas.openxmlformats.org/officeDocument/2006/relationships/hyperlink" Target="https://doi.org/10.1111/ner.12605" TargetMode="External"/><Relationship Id="rId290" Type="http://schemas.openxmlformats.org/officeDocument/2006/relationships/hyperlink" Target="https://doi.org/10.1016/j.wnsx.2023.100264" TargetMode="External"/><Relationship Id="rId304" Type="http://schemas.openxmlformats.org/officeDocument/2006/relationships/hyperlink" Target="https://doi.org/10.3171/2019.5.focus19241" TargetMode="External"/><Relationship Id="rId346" Type="http://schemas.openxmlformats.org/officeDocument/2006/relationships/hyperlink" Target="https://doi.org/10.1007/s10143-015-0619-1" TargetMode="External"/><Relationship Id="rId85" Type="http://schemas.openxmlformats.org/officeDocument/2006/relationships/hyperlink" Target="https://doi.org/10.3171/2010.10.jns101042" TargetMode="External"/><Relationship Id="rId150" Type="http://schemas.openxmlformats.org/officeDocument/2006/relationships/hyperlink" Target="https://doi.org/10.1016/j.jocn.2006.12.002" TargetMode="External"/><Relationship Id="rId192" Type="http://schemas.openxmlformats.org/officeDocument/2006/relationships/hyperlink" Target="https://doi.org/10.3171/2013.2.jns121731" TargetMode="External"/><Relationship Id="rId206" Type="http://schemas.openxmlformats.org/officeDocument/2006/relationships/hyperlink" Target="https://doi.org/10.1016/j.clineuro.2018.11.008" TargetMode="External"/><Relationship Id="rId248" Type="http://schemas.openxmlformats.org/officeDocument/2006/relationships/hyperlink" Target="https://doi.org/10.1097/ta.0b013e318256a150" TargetMode="External"/><Relationship Id="rId12" Type="http://schemas.openxmlformats.org/officeDocument/2006/relationships/hyperlink" Target="https://doi.org/10.1080/02688697.2017.1407746" TargetMode="External"/><Relationship Id="rId108" Type="http://schemas.openxmlformats.org/officeDocument/2006/relationships/hyperlink" Target="https://doi.org/10.1007/s00701-023-05764-7" TargetMode="External"/><Relationship Id="rId315" Type="http://schemas.openxmlformats.org/officeDocument/2006/relationships/hyperlink" Target="https://doi.org/10.1016/j.wneu.2010.01.017" TargetMode="External"/><Relationship Id="rId54" Type="http://schemas.openxmlformats.org/officeDocument/2006/relationships/hyperlink" Target="https://doi.org/10.1007/s00701-005-0576-5" TargetMode="External"/><Relationship Id="rId96" Type="http://schemas.openxmlformats.org/officeDocument/2006/relationships/hyperlink" Target="https://doi.org/10.3171/2016.2.jns152345" TargetMode="External"/><Relationship Id="rId161" Type="http://schemas.openxmlformats.org/officeDocument/2006/relationships/hyperlink" Target="https://doi.org/10.1213/ane.0000000000001946" TargetMode="External"/><Relationship Id="rId217" Type="http://schemas.openxmlformats.org/officeDocument/2006/relationships/hyperlink" Target="https://doi.org/10.1016/j.wneu.2014.10.013" TargetMode="External"/><Relationship Id="rId259" Type="http://schemas.openxmlformats.org/officeDocument/2006/relationships/hyperlink" Target="https://doi.org/10.1186/s12871-021-01342-5" TargetMode="External"/><Relationship Id="rId23" Type="http://schemas.openxmlformats.org/officeDocument/2006/relationships/hyperlink" Target="https://doi.org/10.3171/2020.10.jns201255" TargetMode="External"/><Relationship Id="rId119" Type="http://schemas.openxmlformats.org/officeDocument/2006/relationships/hyperlink" Target="https://doi.org/10.3171/2014.7.peds13658" TargetMode="External"/><Relationship Id="rId270" Type="http://schemas.openxmlformats.org/officeDocument/2006/relationships/hyperlink" Target="https://doi.org/10.1227/ons.0000000000000546" TargetMode="External"/><Relationship Id="rId326" Type="http://schemas.openxmlformats.org/officeDocument/2006/relationships/hyperlink" Target="https://doi.org/10.1016/j.jclinane.2021.110575" TargetMode="External"/><Relationship Id="rId65" Type="http://schemas.openxmlformats.org/officeDocument/2006/relationships/hyperlink" Target="https://doi.org/10.1186/s13756-020-00784-9" TargetMode="External"/><Relationship Id="rId130" Type="http://schemas.openxmlformats.org/officeDocument/2006/relationships/hyperlink" Target="https://doi.org/10.3171/2013.10.jns131225" TargetMode="External"/><Relationship Id="rId172" Type="http://schemas.openxmlformats.org/officeDocument/2006/relationships/hyperlink" Target="https://doi.org/10.1093/neuros/nyx505" TargetMode="External"/><Relationship Id="rId228" Type="http://schemas.openxmlformats.org/officeDocument/2006/relationships/hyperlink" Target="https://doi.org/10.3171/2014.10.jns14632" TargetMode="External"/><Relationship Id="rId281" Type="http://schemas.openxmlformats.org/officeDocument/2006/relationships/hyperlink" Target="https://doi.org/10.1016/j.jhin.2008.04.032" TargetMode="External"/><Relationship Id="rId337" Type="http://schemas.openxmlformats.org/officeDocument/2006/relationships/hyperlink" Target="https://doi.org/10.1186/s12879-022-07719-2" TargetMode="External"/><Relationship Id="rId34" Type="http://schemas.openxmlformats.org/officeDocument/2006/relationships/hyperlink" Target="https://doi.org/10.1245/s10434-008-0048-2" TargetMode="External"/><Relationship Id="rId76" Type="http://schemas.openxmlformats.org/officeDocument/2006/relationships/hyperlink" Target="https://doi.org/10.1227/neu.0000000000002376" TargetMode="External"/><Relationship Id="rId141" Type="http://schemas.openxmlformats.org/officeDocument/2006/relationships/hyperlink" Target="https://doi.org/10.1016/j.surneu.2007.06.091" TargetMode="External"/><Relationship Id="rId7" Type="http://schemas.openxmlformats.org/officeDocument/2006/relationships/hyperlink" Target="https://doi.org/10.3171/2020.11.jns203567" TargetMode="External"/><Relationship Id="rId183" Type="http://schemas.openxmlformats.org/officeDocument/2006/relationships/hyperlink" Target="https://doi.org/10.1002/lary.29485" TargetMode="External"/><Relationship Id="rId239" Type="http://schemas.openxmlformats.org/officeDocument/2006/relationships/hyperlink" Target="https://doi.org/10.1080/02688690500145639" TargetMode="External"/><Relationship Id="rId250" Type="http://schemas.openxmlformats.org/officeDocument/2006/relationships/hyperlink" Target="https://doi.org/10.1016/j.wneu.2022.07.013" TargetMode="External"/><Relationship Id="rId292" Type="http://schemas.openxmlformats.org/officeDocument/2006/relationships/hyperlink" Target="https://doi.org/10.1093/ons/opw004" TargetMode="External"/><Relationship Id="rId306" Type="http://schemas.openxmlformats.org/officeDocument/2006/relationships/hyperlink" Target="https://doi.org/10.1159/000357384" TargetMode="External"/><Relationship Id="rId45" Type="http://schemas.openxmlformats.org/officeDocument/2006/relationships/hyperlink" Target="https://doi.org/10.1016/j.wneu.2015.02.032" TargetMode="External"/><Relationship Id="rId87" Type="http://schemas.openxmlformats.org/officeDocument/2006/relationships/hyperlink" Target="https://doi.org/10.1055/s-0034-1371516" TargetMode="External"/><Relationship Id="rId110" Type="http://schemas.openxmlformats.org/officeDocument/2006/relationships/hyperlink" Target="https://doi.org/10.3171/2022.3.jns212637" TargetMode="External"/><Relationship Id="rId348" Type="http://schemas.openxmlformats.org/officeDocument/2006/relationships/hyperlink" Target="https://doi.org/10.1016/j.jocn.2011.01.026" TargetMode="External"/><Relationship Id="rId152" Type="http://schemas.openxmlformats.org/officeDocument/2006/relationships/hyperlink" Target="https://doi.org/10.1016/j.inat.2019.100606" TargetMode="External"/><Relationship Id="rId194" Type="http://schemas.openxmlformats.org/officeDocument/2006/relationships/hyperlink" Target="https://doi.org/10.1016/j.jgar.2023.08.006" TargetMode="External"/><Relationship Id="rId208" Type="http://schemas.openxmlformats.org/officeDocument/2006/relationships/hyperlink" Target="https://doi.org/10.1016/j.wneu.2021.12.010" TargetMode="External"/><Relationship Id="rId261" Type="http://schemas.openxmlformats.org/officeDocument/2006/relationships/hyperlink" Target="https://doi.org/10.1055/s-0034-1396660" TargetMode="External"/><Relationship Id="rId14" Type="http://schemas.openxmlformats.org/officeDocument/2006/relationships/hyperlink" Target="https://doi.org/10.1097/scs.0b013e31816ae358" TargetMode="External"/><Relationship Id="rId56" Type="http://schemas.openxmlformats.org/officeDocument/2006/relationships/hyperlink" Target="https://doi.org/10.3171/2020.7.JNS20284" TargetMode="External"/><Relationship Id="rId317" Type="http://schemas.openxmlformats.org/officeDocument/2006/relationships/hyperlink" Target="https://doi.org/10.1016/s0090-3019(03)00070-3" TargetMode="External"/><Relationship Id="rId98" Type="http://schemas.openxmlformats.org/officeDocument/2006/relationships/hyperlink" Target="https://doi.org/10.1161/strokeaha.117.016702" TargetMode="External"/><Relationship Id="rId121" Type="http://schemas.openxmlformats.org/officeDocument/2006/relationships/hyperlink" Target="https://doi.org/10.1016/j.clineuro.2023.107864" TargetMode="External"/><Relationship Id="rId163" Type="http://schemas.openxmlformats.org/officeDocument/2006/relationships/hyperlink" Target="https://doi.org/10.1227/neu.0000000000002053" TargetMode="External"/><Relationship Id="rId219" Type="http://schemas.openxmlformats.org/officeDocument/2006/relationships/hyperlink" Target="https://doi.org/10.1089/neu.2023.0122" TargetMode="External"/><Relationship Id="rId230" Type="http://schemas.openxmlformats.org/officeDocument/2006/relationships/hyperlink" Target="https://doi.org/10.1227/neu.0b013e31825c3426" TargetMode="External"/><Relationship Id="rId251" Type="http://schemas.openxmlformats.org/officeDocument/2006/relationships/hyperlink" Target="https://doi.org/10.1007/s10143-015-0666-7" TargetMode="External"/><Relationship Id="rId25" Type="http://schemas.openxmlformats.org/officeDocument/2006/relationships/hyperlink" Target="https://doi.org/10.1007/s00415-017-8680-z" TargetMode="External"/><Relationship Id="rId46" Type="http://schemas.openxmlformats.org/officeDocument/2006/relationships/hyperlink" Target="https://doi.org/10.1007/s11060-013-1089-3" TargetMode="External"/><Relationship Id="rId67" Type="http://schemas.openxmlformats.org/officeDocument/2006/relationships/hyperlink" Target="https://doi.org/10.1016/j.wneu.2019.07.183" TargetMode="External"/><Relationship Id="rId272" Type="http://schemas.openxmlformats.org/officeDocument/2006/relationships/hyperlink" Target="https://doi.org/10.1016/j.wneu.2023.04.020" TargetMode="External"/><Relationship Id="rId293" Type="http://schemas.openxmlformats.org/officeDocument/2006/relationships/hyperlink" Target="https://doi.org/10.3171/2018.2.peds17717" TargetMode="External"/><Relationship Id="rId307" Type="http://schemas.openxmlformats.org/officeDocument/2006/relationships/hyperlink" Target="https://doi.org/10.2176/nmc.oa.2017-0034" TargetMode="External"/><Relationship Id="rId328" Type="http://schemas.openxmlformats.org/officeDocument/2006/relationships/hyperlink" Target="https://doi.org/10.3389/fonc.2022.959072" TargetMode="External"/><Relationship Id="rId349" Type="http://schemas.openxmlformats.org/officeDocument/2006/relationships/hyperlink" Target="https://doi.org/10.1016/j.wneu.2017.08.028" TargetMode="External"/><Relationship Id="rId88" Type="http://schemas.openxmlformats.org/officeDocument/2006/relationships/hyperlink" Target="https://doi.org/10.1055/s-0043-1774720" TargetMode="External"/><Relationship Id="rId111" Type="http://schemas.openxmlformats.org/officeDocument/2006/relationships/hyperlink" Target="https://doi.org/10.1227/neu.0000000000002689" TargetMode="External"/><Relationship Id="rId132" Type="http://schemas.openxmlformats.org/officeDocument/2006/relationships/hyperlink" Target="https://doi.org/10.1097/00001665-200107000-00009" TargetMode="External"/><Relationship Id="rId153" Type="http://schemas.openxmlformats.org/officeDocument/2006/relationships/hyperlink" Target="https://doi.org/10.3171/2008.6.17603" TargetMode="External"/><Relationship Id="rId174" Type="http://schemas.openxmlformats.org/officeDocument/2006/relationships/hyperlink" Target="https://doi.org/10.3171/2010.2.jns09950" TargetMode="External"/><Relationship Id="rId195" Type="http://schemas.openxmlformats.org/officeDocument/2006/relationships/hyperlink" Target="https://doi.org/10.1016/j.injury.2011.11.005" TargetMode="External"/><Relationship Id="rId209" Type="http://schemas.openxmlformats.org/officeDocument/2006/relationships/hyperlink" Target="https://doi.org/10.1186/s13756-019-0525-3" TargetMode="External"/><Relationship Id="rId220" Type="http://schemas.openxmlformats.org/officeDocument/2006/relationships/hyperlink" Target="https://doi.org/10.1016/j.clineuro.2022.107383" TargetMode="External"/><Relationship Id="rId241" Type="http://schemas.openxmlformats.org/officeDocument/2006/relationships/hyperlink" Target="https://doi.org/10.1111/jocn.13149" TargetMode="External"/><Relationship Id="rId15" Type="http://schemas.openxmlformats.org/officeDocument/2006/relationships/hyperlink" Target="https://doi.org/10.3109/02688697.2016.1161726" TargetMode="External"/><Relationship Id="rId36" Type="http://schemas.openxmlformats.org/officeDocument/2006/relationships/hyperlink" Target="https://doi.org/10.1016/j.wneu.2018.07.134" TargetMode="External"/><Relationship Id="rId57" Type="http://schemas.openxmlformats.org/officeDocument/2006/relationships/hyperlink" Target="https://doi.org/10.1097/scs.0000000000003166" TargetMode="External"/><Relationship Id="rId262" Type="http://schemas.openxmlformats.org/officeDocument/2006/relationships/hyperlink" Target="https://doi.org/10.23736/s0390-5616.19.04693-9" TargetMode="External"/><Relationship Id="rId283" Type="http://schemas.openxmlformats.org/officeDocument/2006/relationships/hyperlink" Target="https://doi.org/10.1016/j.clineuro.2020.106372" TargetMode="External"/><Relationship Id="rId318" Type="http://schemas.openxmlformats.org/officeDocument/2006/relationships/hyperlink" Target="https://doi.org/10.1002/lary.26403" TargetMode="External"/><Relationship Id="rId339" Type="http://schemas.openxmlformats.org/officeDocument/2006/relationships/hyperlink" Target="https://doi.org/10.1016/j.wneu.2017.10.117" TargetMode="External"/><Relationship Id="rId78" Type="http://schemas.openxmlformats.org/officeDocument/2006/relationships/hyperlink" Target="https://doi.org/10.1016/j.clineuro.2014.06.029" TargetMode="External"/><Relationship Id="rId99" Type="http://schemas.openxmlformats.org/officeDocument/2006/relationships/hyperlink" Target="https://doi.org/10.1093/neuros/nyx089" TargetMode="External"/><Relationship Id="rId101" Type="http://schemas.openxmlformats.org/officeDocument/2006/relationships/hyperlink" Target="https://doi.org/10.3109/02688697.2015.1071321" TargetMode="External"/><Relationship Id="rId122" Type="http://schemas.openxmlformats.org/officeDocument/2006/relationships/hyperlink" Target="https://doi.org/10.1159/000338254" TargetMode="External"/><Relationship Id="rId143" Type="http://schemas.openxmlformats.org/officeDocument/2006/relationships/hyperlink" Target="https://doi.org/10.1227/neu.0000000000000625" TargetMode="External"/><Relationship Id="rId164" Type="http://schemas.openxmlformats.org/officeDocument/2006/relationships/hyperlink" Target="https://doi.org/10.1016/j.wneu.2018.07.200" TargetMode="External"/><Relationship Id="rId185" Type="http://schemas.openxmlformats.org/officeDocument/2006/relationships/hyperlink" Target="https://doi.org/10.1111/epi.16442" TargetMode="External"/><Relationship Id="rId350" Type="http://schemas.openxmlformats.org/officeDocument/2006/relationships/hyperlink" Target="https://doi.org/10.1016/j.wneu.2018.08.172" TargetMode="External"/><Relationship Id="rId9" Type="http://schemas.openxmlformats.org/officeDocument/2006/relationships/hyperlink" Target="https://doi.org/10.3171/2017.9.jns1780" TargetMode="External"/><Relationship Id="rId210" Type="http://schemas.openxmlformats.org/officeDocument/2006/relationships/hyperlink" Target="https://doi.org/10.1093/cid/ciaa884" TargetMode="External"/><Relationship Id="rId26" Type="http://schemas.openxmlformats.org/officeDocument/2006/relationships/hyperlink" Target="https://doi.org/10.1007/s00381-019-04219-8" TargetMode="External"/><Relationship Id="rId231" Type="http://schemas.openxmlformats.org/officeDocument/2006/relationships/hyperlink" Target="https://doi.org/10.1016/j.wneu.2023.04.008" TargetMode="External"/><Relationship Id="rId252" Type="http://schemas.openxmlformats.org/officeDocument/2006/relationships/hyperlink" Target="https://doi.org/10.1016/j.jhin.2016.11.019" TargetMode="External"/><Relationship Id="rId273" Type="http://schemas.openxmlformats.org/officeDocument/2006/relationships/hyperlink" Target="https://doi.org/10.3171/2023.2.jns222262" TargetMode="External"/><Relationship Id="rId294" Type="http://schemas.openxmlformats.org/officeDocument/2006/relationships/hyperlink" Target="https://doi.org/10.3171/ped.2007.106.1.15" TargetMode="External"/><Relationship Id="rId308" Type="http://schemas.openxmlformats.org/officeDocument/2006/relationships/hyperlink" Target="https://doi.org/10.1007/s00701-014-2042-8" TargetMode="External"/><Relationship Id="rId329" Type="http://schemas.openxmlformats.org/officeDocument/2006/relationships/hyperlink" Target="https://doi.org/10.1016/j.jocn.2018.04.076" TargetMode="External"/><Relationship Id="rId47" Type="http://schemas.openxmlformats.org/officeDocument/2006/relationships/hyperlink" Target="https://doi.org/10.1227/neu.0b013e31823672ad" TargetMode="External"/><Relationship Id="rId68" Type="http://schemas.openxmlformats.org/officeDocument/2006/relationships/hyperlink" Target="https://doi.org/10.3171/2021.10.peds21291" TargetMode="External"/><Relationship Id="rId89" Type="http://schemas.openxmlformats.org/officeDocument/2006/relationships/hyperlink" Target="https://doi.org/10.3171/jns.2007.106.1.52" TargetMode="External"/><Relationship Id="rId112" Type="http://schemas.openxmlformats.org/officeDocument/2006/relationships/hyperlink" Target="https://doi.org/10.3390/diagnostics12123045" TargetMode="External"/><Relationship Id="rId133" Type="http://schemas.openxmlformats.org/officeDocument/2006/relationships/hyperlink" Target="https://doi.org/10.3171/2015.9.peds1559" TargetMode="External"/><Relationship Id="rId154" Type="http://schemas.openxmlformats.org/officeDocument/2006/relationships/hyperlink" Target="https://doi.org/10.1016/j.clineuro.2020.106192" TargetMode="External"/><Relationship Id="rId175" Type="http://schemas.openxmlformats.org/officeDocument/2006/relationships/hyperlink" Target="https://doi.org/10.1227/ons.0000000000000698" TargetMode="External"/><Relationship Id="rId340" Type="http://schemas.openxmlformats.org/officeDocument/2006/relationships/hyperlink" Target="https://doi.org/10.1016/j.wneu.2021.09.111" TargetMode="External"/><Relationship Id="rId196" Type="http://schemas.openxmlformats.org/officeDocument/2006/relationships/hyperlink" Target="https://doi.org/10.1016/j.ijsu.2013.07.013" TargetMode="External"/><Relationship Id="rId200" Type="http://schemas.openxmlformats.org/officeDocument/2006/relationships/hyperlink" Target="https://doi.org/10.1007/s00701-020-04242-8" TargetMode="External"/><Relationship Id="rId16" Type="http://schemas.openxmlformats.org/officeDocument/2006/relationships/hyperlink" Target="https://doi.org/10.15537/smj.2020.6.25095" TargetMode="External"/><Relationship Id="rId221" Type="http://schemas.openxmlformats.org/officeDocument/2006/relationships/hyperlink" Target="https://doi.org/10.3171/2016.12.jns162096" TargetMode="External"/><Relationship Id="rId242" Type="http://schemas.openxmlformats.org/officeDocument/2006/relationships/hyperlink" Target="https://doi.org/10.1007/s00701-013-1856-0" TargetMode="External"/><Relationship Id="rId263" Type="http://schemas.openxmlformats.org/officeDocument/2006/relationships/hyperlink" Target="https://doi.org/10.1080/02688690400022771" TargetMode="External"/><Relationship Id="rId284" Type="http://schemas.openxmlformats.org/officeDocument/2006/relationships/hyperlink" Target="https://doi.org/10.1016/j.wneu.2021.11.010" TargetMode="External"/><Relationship Id="rId319" Type="http://schemas.openxmlformats.org/officeDocument/2006/relationships/hyperlink" Target="https://doi.org/10.1016/j.clineuro.2012.12.002" TargetMode="External"/><Relationship Id="rId37" Type="http://schemas.openxmlformats.org/officeDocument/2006/relationships/hyperlink" Target="https://doi.org/10.1136/neurintsurg-2021-017352" TargetMode="External"/><Relationship Id="rId58" Type="http://schemas.openxmlformats.org/officeDocument/2006/relationships/hyperlink" Target="https://doi.org/10.1016/j.clineuro.2020.106315" TargetMode="External"/><Relationship Id="rId79" Type="http://schemas.openxmlformats.org/officeDocument/2006/relationships/hyperlink" Target="https://doi.org/10.3171/2011.1.jns10782" TargetMode="External"/><Relationship Id="rId102" Type="http://schemas.openxmlformats.org/officeDocument/2006/relationships/hyperlink" Target="https://doi.org/10.1016/j.ijid.2023.10.008" TargetMode="External"/><Relationship Id="rId123" Type="http://schemas.openxmlformats.org/officeDocument/2006/relationships/hyperlink" Target="https://doi.org/10.1016/j.wneu.2015.01.018" TargetMode="External"/><Relationship Id="rId144" Type="http://schemas.openxmlformats.org/officeDocument/2006/relationships/hyperlink" Target="https://doi.org/10.1016/j.clineuro.2020.105705" TargetMode="External"/><Relationship Id="rId330" Type="http://schemas.openxmlformats.org/officeDocument/2006/relationships/hyperlink" Target="https://doi.org/10.1080/02688690042843" TargetMode="External"/><Relationship Id="rId90" Type="http://schemas.openxmlformats.org/officeDocument/2006/relationships/hyperlink" Target="https://doi.org/10.1055/s-0036-1592306" TargetMode="External"/><Relationship Id="rId165" Type="http://schemas.openxmlformats.org/officeDocument/2006/relationships/hyperlink" Target="https://doi.org/10.1016/j.wneu.2018.09.081" TargetMode="External"/><Relationship Id="rId186" Type="http://schemas.openxmlformats.org/officeDocument/2006/relationships/hyperlink" Target="https://doi.org/10.1055/s-0034-1395383" TargetMode="External"/><Relationship Id="rId351" Type="http://schemas.openxmlformats.org/officeDocument/2006/relationships/hyperlink" Target="https://doi.org/10.12669/pjms.39.6.7963" TargetMode="External"/><Relationship Id="rId211" Type="http://schemas.openxmlformats.org/officeDocument/2006/relationships/hyperlink" Target="https://doi.org/10.1186/s13756-021-01016-4" TargetMode="External"/><Relationship Id="rId232" Type="http://schemas.openxmlformats.org/officeDocument/2006/relationships/hyperlink" Target="https://doi.org/10.1227/neu.0000000000002507" TargetMode="External"/><Relationship Id="rId253" Type="http://schemas.openxmlformats.org/officeDocument/2006/relationships/hyperlink" Target="https://doi.org/10.3389/fnins.2022.917752" TargetMode="External"/><Relationship Id="rId274" Type="http://schemas.openxmlformats.org/officeDocument/2006/relationships/hyperlink" Target="https://doi.org/10.1055/a-1911-8678" TargetMode="External"/><Relationship Id="rId295" Type="http://schemas.openxmlformats.org/officeDocument/2006/relationships/hyperlink" Target="https://doi.org/10.1086/516661" TargetMode="External"/><Relationship Id="rId309" Type="http://schemas.openxmlformats.org/officeDocument/2006/relationships/hyperlink" Target="https://doi.org/10.1016/j.neurom.2021.12.011" TargetMode="External"/><Relationship Id="rId27" Type="http://schemas.openxmlformats.org/officeDocument/2006/relationships/hyperlink" Target="https://doi.org/10.1093/ons/opaa217" TargetMode="External"/><Relationship Id="rId48" Type="http://schemas.openxmlformats.org/officeDocument/2006/relationships/hyperlink" Target="https://doi.org/10.1016/j.wneu.2013.01.013" TargetMode="External"/><Relationship Id="rId69" Type="http://schemas.openxmlformats.org/officeDocument/2006/relationships/hyperlink" Target="https://doi.org/10.1007/s10143-021-01513-5" TargetMode="External"/><Relationship Id="rId113" Type="http://schemas.openxmlformats.org/officeDocument/2006/relationships/hyperlink" Target="https://doi.org/10.1080/02688697.2018.1490943" TargetMode="External"/><Relationship Id="rId134" Type="http://schemas.openxmlformats.org/officeDocument/2006/relationships/hyperlink" Target="https://doi.org/10.1227/neu.0000000000002397" TargetMode="External"/><Relationship Id="rId320" Type="http://schemas.openxmlformats.org/officeDocument/2006/relationships/hyperlink" Target="https://doi.org/10.3171/2013.8.jns13703" TargetMode="External"/><Relationship Id="rId80" Type="http://schemas.openxmlformats.org/officeDocument/2006/relationships/hyperlink" Target="https://doi.org/10.3171/2013.9.jns13843" TargetMode="External"/><Relationship Id="rId155" Type="http://schemas.openxmlformats.org/officeDocument/2006/relationships/hyperlink" Target="https://doi.org/10.1055/s-0039-1698391" TargetMode="External"/><Relationship Id="rId176" Type="http://schemas.openxmlformats.org/officeDocument/2006/relationships/hyperlink" Target="https://doi.org/10.1227/01.neu.0000370247.11479.b6" TargetMode="External"/><Relationship Id="rId197" Type="http://schemas.openxmlformats.org/officeDocument/2006/relationships/hyperlink" Target="https://doi.org/10.1097/ta.0b013e318203208a" TargetMode="External"/><Relationship Id="rId341" Type="http://schemas.openxmlformats.org/officeDocument/2006/relationships/hyperlink" Target="https://doi.org/10.1227/01.neu.0000156472.29749.b8" TargetMode="External"/><Relationship Id="rId201" Type="http://schemas.openxmlformats.org/officeDocument/2006/relationships/hyperlink" Target="https://doi.org/10.3171/2018.5.peds1846" TargetMode="External"/><Relationship Id="rId222" Type="http://schemas.openxmlformats.org/officeDocument/2006/relationships/hyperlink" Target="https://doi.org/10.1007/s00701-022-05337-0" TargetMode="External"/><Relationship Id="rId243" Type="http://schemas.openxmlformats.org/officeDocument/2006/relationships/hyperlink" Target="https://doi.org/10.1227/neu.0b013e31826a8ab0" TargetMode="External"/><Relationship Id="rId264" Type="http://schemas.openxmlformats.org/officeDocument/2006/relationships/hyperlink" Target="https://doi.org/10.1007/s00701-018-3617-6" TargetMode="External"/><Relationship Id="rId285" Type="http://schemas.openxmlformats.org/officeDocument/2006/relationships/hyperlink" Target="https://doi.org/10.1016/j.wneu.2015.01.030" TargetMode="External"/><Relationship Id="rId17" Type="http://schemas.openxmlformats.org/officeDocument/2006/relationships/hyperlink" Target="https://doi.org/10.3109/02688697.2011.633640" TargetMode="External"/><Relationship Id="rId38" Type="http://schemas.openxmlformats.org/officeDocument/2006/relationships/hyperlink" Target="https://doi.org/10.1002/14651858.cd009685.pub2" TargetMode="External"/><Relationship Id="rId59" Type="http://schemas.openxmlformats.org/officeDocument/2006/relationships/hyperlink" Target="https://doi.org/10.1186/s13049-015-0155-6" TargetMode="External"/><Relationship Id="rId103" Type="http://schemas.openxmlformats.org/officeDocument/2006/relationships/hyperlink" Target="https://doi.org/10.1016/s1130-1473(09)70154-x" TargetMode="External"/><Relationship Id="rId124" Type="http://schemas.openxmlformats.org/officeDocument/2006/relationships/hyperlink" Target="https://doi.org/10.1016/j.wneu.2017.10.112" TargetMode="External"/><Relationship Id="rId310" Type="http://schemas.openxmlformats.org/officeDocument/2006/relationships/hyperlink" Target="https://doi.org/10.1016/j.bas.2023.102733" TargetMode="External"/><Relationship Id="rId70" Type="http://schemas.openxmlformats.org/officeDocument/2006/relationships/hyperlink" Target="https://doi.org/10.1179/1743132815y.0000000042" TargetMode="External"/><Relationship Id="rId91" Type="http://schemas.openxmlformats.org/officeDocument/2006/relationships/hyperlink" Target="https://doi.org/10.1016/j.wneu.2019.05.022" TargetMode="External"/><Relationship Id="rId145" Type="http://schemas.openxmlformats.org/officeDocument/2006/relationships/hyperlink" Target="https://doi.org/10.1093/neuros/nyx024" TargetMode="External"/><Relationship Id="rId166" Type="http://schemas.openxmlformats.org/officeDocument/2006/relationships/hyperlink" Target="https://doi.org/10.3389/fonc.2021.662943" TargetMode="External"/><Relationship Id="rId187" Type="http://schemas.openxmlformats.org/officeDocument/2006/relationships/hyperlink" Target="https://doi.org/10.3171/2018.5.peds17719" TargetMode="External"/><Relationship Id="rId331" Type="http://schemas.openxmlformats.org/officeDocument/2006/relationships/hyperlink" Target="https://doi.org/10.1159/000442893" TargetMode="External"/><Relationship Id="rId352" Type="http://schemas.openxmlformats.org/officeDocument/2006/relationships/hyperlink" Target="https://doi.org/10.1016/j.jcms.2013.01.006" TargetMode="External"/><Relationship Id="rId1" Type="http://schemas.openxmlformats.org/officeDocument/2006/relationships/numbering" Target="numbering.xml"/><Relationship Id="rId212" Type="http://schemas.openxmlformats.org/officeDocument/2006/relationships/hyperlink" Target="https://doi.org/10.1007/s00701-023-05870-6" TargetMode="External"/><Relationship Id="rId233" Type="http://schemas.openxmlformats.org/officeDocument/2006/relationships/hyperlink" Target="https://doi.org/10.1016/j.inat.2022.101489" TargetMode="External"/><Relationship Id="rId254" Type="http://schemas.openxmlformats.org/officeDocument/2006/relationships/hyperlink" Target="https://doi.org/10.1016/j.jocn.2020.07.048" TargetMode="External"/><Relationship Id="rId28" Type="http://schemas.openxmlformats.org/officeDocument/2006/relationships/hyperlink" Target="https://doi.org/10.1016/j.clineuro.2014.08.019" TargetMode="External"/><Relationship Id="rId49" Type="http://schemas.openxmlformats.org/officeDocument/2006/relationships/hyperlink" Target="https://doi.org/10.3109/02688697.2012.743968" TargetMode="External"/><Relationship Id="rId114" Type="http://schemas.openxmlformats.org/officeDocument/2006/relationships/hyperlink" Target="https://doi.org/10.1093/neuros/nyy090" TargetMode="External"/><Relationship Id="rId275" Type="http://schemas.openxmlformats.org/officeDocument/2006/relationships/hyperlink" Target="https://doi.org/10.1055/s-0042-1751000" TargetMode="External"/><Relationship Id="rId296" Type="http://schemas.openxmlformats.org/officeDocument/2006/relationships/hyperlink" Target="https://doi.org/10.3171/2020.6.peds2089" TargetMode="External"/><Relationship Id="rId300" Type="http://schemas.openxmlformats.org/officeDocument/2006/relationships/hyperlink" Target="https://doi.org/10.1016/j.bjid.2018.08.001" TargetMode="External"/><Relationship Id="rId60" Type="http://schemas.openxmlformats.org/officeDocument/2006/relationships/hyperlink" Target="https://doi.org/10.1016/j.wneu.2018.08.102" TargetMode="External"/><Relationship Id="rId81" Type="http://schemas.openxmlformats.org/officeDocument/2006/relationships/hyperlink" Target="https://doi.org/10.1016/j.wneu.2010.10.020" TargetMode="External"/><Relationship Id="rId135" Type="http://schemas.openxmlformats.org/officeDocument/2006/relationships/hyperlink" Target="https://doi.org/10.1002/lary.29893" TargetMode="External"/><Relationship Id="rId156" Type="http://schemas.openxmlformats.org/officeDocument/2006/relationships/hyperlink" Target="https://doi.org/10.4103/ajns.ajns_268_18" TargetMode="External"/><Relationship Id="rId177" Type="http://schemas.openxmlformats.org/officeDocument/2006/relationships/hyperlink" Target="https://doi.org/10.3171/2020.7.jns201385" TargetMode="External"/><Relationship Id="rId198" Type="http://schemas.openxmlformats.org/officeDocument/2006/relationships/hyperlink" Target="https://doi.org/10.1056/nejmoa2020473" TargetMode="External"/><Relationship Id="rId321" Type="http://schemas.openxmlformats.org/officeDocument/2006/relationships/hyperlink" Target="https://doi.org/10.3171/2013.1.jns121626" TargetMode="External"/><Relationship Id="rId342" Type="http://schemas.openxmlformats.org/officeDocument/2006/relationships/hyperlink" Target="https://doi.org/10.3340/jkns.2023.0024" TargetMode="External"/><Relationship Id="rId202" Type="http://schemas.openxmlformats.org/officeDocument/2006/relationships/hyperlink" Target="https://doi.org/10.1016/j.wneu.2018.07.080" TargetMode="External"/><Relationship Id="rId223" Type="http://schemas.openxmlformats.org/officeDocument/2006/relationships/hyperlink" Target="https://doi.org/10.1016/j.wneu.2023.10.009" TargetMode="External"/><Relationship Id="rId244" Type="http://schemas.openxmlformats.org/officeDocument/2006/relationships/hyperlink" Target="https://doi.org/10.1016/j.amjsurg.2016.06.001" TargetMode="External"/><Relationship Id="rId18" Type="http://schemas.openxmlformats.org/officeDocument/2006/relationships/hyperlink" Target="https://doi.org/10.1016/j.jocn.2015.03.009" TargetMode="External"/><Relationship Id="rId39" Type="http://schemas.openxmlformats.org/officeDocument/2006/relationships/hyperlink" Target="https://doi.org/10.1016/j.wneu.2017.07.044" TargetMode="External"/><Relationship Id="rId265" Type="http://schemas.openxmlformats.org/officeDocument/2006/relationships/hyperlink" Target="https://doi.org/10.4103/0028-3886.132364" TargetMode="External"/><Relationship Id="rId286" Type="http://schemas.openxmlformats.org/officeDocument/2006/relationships/hyperlink" Target="https://doi.org/10.1016/j.anl.2022.03.006" TargetMode="External"/><Relationship Id="rId50" Type="http://schemas.openxmlformats.org/officeDocument/2006/relationships/hyperlink" Target="https://doi.org/10.1016/j.wneu.2018.09.079" TargetMode="External"/><Relationship Id="rId104" Type="http://schemas.openxmlformats.org/officeDocument/2006/relationships/hyperlink" Target="https://doi.org/10.1001/jamaneurol.2014.1272" TargetMode="External"/><Relationship Id="rId125" Type="http://schemas.openxmlformats.org/officeDocument/2006/relationships/hyperlink" Target="https://doi.org/10.1227/neu.0b013e31821bc435" TargetMode="External"/><Relationship Id="rId146" Type="http://schemas.openxmlformats.org/officeDocument/2006/relationships/hyperlink" Target="https://doi.org/10.1067/mhn.2003.14" TargetMode="External"/><Relationship Id="rId167" Type="http://schemas.openxmlformats.org/officeDocument/2006/relationships/hyperlink" Target="https://doi.org/10.1016/j.inat.2022.101704" TargetMode="External"/><Relationship Id="rId188" Type="http://schemas.openxmlformats.org/officeDocument/2006/relationships/hyperlink" Target="https://doi.org/10.1017/ice.2022.112" TargetMode="External"/><Relationship Id="rId311" Type="http://schemas.openxmlformats.org/officeDocument/2006/relationships/hyperlink" Target="https://doi.org/10.1016/j.wneu.2019.12.004" TargetMode="External"/><Relationship Id="rId332" Type="http://schemas.openxmlformats.org/officeDocument/2006/relationships/hyperlink" Target="https://doi.org/10.1007/s00701-016-3039-2" TargetMode="External"/><Relationship Id="rId353" Type="http://schemas.openxmlformats.org/officeDocument/2006/relationships/hyperlink" Target="https://doi.org/10.21037/atm.2020.03.221" TargetMode="External"/><Relationship Id="rId71" Type="http://schemas.openxmlformats.org/officeDocument/2006/relationships/hyperlink" Target="https://doi.org/10.1007/s11060-020-03410-1" TargetMode="External"/><Relationship Id="rId92" Type="http://schemas.openxmlformats.org/officeDocument/2006/relationships/hyperlink" Target="https://doi.org/10.1007/s00701-014-2081-1" TargetMode="External"/><Relationship Id="rId213" Type="http://schemas.openxmlformats.org/officeDocument/2006/relationships/hyperlink" Target="https://doi.org/10.1007/s00701-018-3704-8" TargetMode="External"/><Relationship Id="rId234" Type="http://schemas.openxmlformats.org/officeDocument/2006/relationships/hyperlink" Target="https://doi.org/10.1016/j.wnsx.2023.100257" TargetMode="External"/><Relationship Id="rId2" Type="http://schemas.openxmlformats.org/officeDocument/2006/relationships/styles" Target="styles.xml"/><Relationship Id="rId29" Type="http://schemas.openxmlformats.org/officeDocument/2006/relationships/hyperlink" Target="https://doi.org/10.1007/s11060-013-1273-5" TargetMode="External"/><Relationship Id="rId255" Type="http://schemas.openxmlformats.org/officeDocument/2006/relationships/hyperlink" Target="https://doi.org/10.1097/scs.0000000000008872" TargetMode="External"/><Relationship Id="rId276" Type="http://schemas.openxmlformats.org/officeDocument/2006/relationships/hyperlink" Target="https://doi.org/10.1227/neu.0b013e3181f88867" TargetMode="External"/><Relationship Id="rId297" Type="http://schemas.openxmlformats.org/officeDocument/2006/relationships/hyperlink" Target="https://doi.org/10.1016/j.jcms.2009.06.003" TargetMode="External"/><Relationship Id="rId40" Type="http://schemas.openxmlformats.org/officeDocument/2006/relationships/hyperlink" Target="https://doi.org/10.1016/j.wneu.2019.08.066" TargetMode="External"/><Relationship Id="rId115" Type="http://schemas.openxmlformats.org/officeDocument/2006/relationships/hyperlink" Target="https://doi.org/10.3171/2013.4.jns121829" TargetMode="External"/><Relationship Id="rId136" Type="http://schemas.openxmlformats.org/officeDocument/2006/relationships/hyperlink" Target="https://doi.org/10.1684/epd.2011.0413" TargetMode="External"/><Relationship Id="rId157" Type="http://schemas.openxmlformats.org/officeDocument/2006/relationships/hyperlink" Target="https://doi.org/10.1016/j.jocn.2022.06.024" TargetMode="External"/><Relationship Id="rId178" Type="http://schemas.openxmlformats.org/officeDocument/2006/relationships/hyperlink" Target="https://doi.org/10.3171/2010.5.peds1018" TargetMode="External"/><Relationship Id="rId301" Type="http://schemas.openxmlformats.org/officeDocument/2006/relationships/hyperlink" Target="https://doi.org/10.3171/2014.9.jns131648" TargetMode="External"/><Relationship Id="rId322" Type="http://schemas.openxmlformats.org/officeDocument/2006/relationships/hyperlink" Target="https://doi.org/10.3171/2013.8.jns13703" TargetMode="External"/><Relationship Id="rId343" Type="http://schemas.openxmlformats.org/officeDocument/2006/relationships/hyperlink" Target="https://doi.org/10.1093/neuros/nyw139" TargetMode="External"/><Relationship Id="rId61" Type="http://schemas.openxmlformats.org/officeDocument/2006/relationships/hyperlink" Target="https://doi.org/10.1016/j.clineuro.2019.105503" TargetMode="External"/><Relationship Id="rId82" Type="http://schemas.openxmlformats.org/officeDocument/2006/relationships/hyperlink" Target="https://doi.org/10.1227/01.neu.0000054219.35102.b4" TargetMode="External"/><Relationship Id="rId199" Type="http://schemas.openxmlformats.org/officeDocument/2006/relationships/hyperlink" Target="https://doi.org/10.3340/jkns.2012.52.4.396" TargetMode="External"/><Relationship Id="rId203" Type="http://schemas.openxmlformats.org/officeDocument/2006/relationships/hyperlink" Target="https://doi.org/10.3171/2019.7.peds19272" TargetMode="External"/><Relationship Id="rId19" Type="http://schemas.openxmlformats.org/officeDocument/2006/relationships/hyperlink" Target="https://doi.org/10.1007/s10143-020-01296-1" TargetMode="External"/><Relationship Id="rId224" Type="http://schemas.openxmlformats.org/officeDocument/2006/relationships/hyperlink" Target="https://doi.org/10.1016/j.wneu.2020.05.154" TargetMode="External"/><Relationship Id="rId245" Type="http://schemas.openxmlformats.org/officeDocument/2006/relationships/hyperlink" Target="https://doi.org/10.1097/ta.0000000000003385" TargetMode="External"/><Relationship Id="rId266" Type="http://schemas.openxmlformats.org/officeDocument/2006/relationships/hyperlink" Target="https://doi.org/10.1007/s00701-020-04309-6" TargetMode="External"/><Relationship Id="rId287" Type="http://schemas.openxmlformats.org/officeDocument/2006/relationships/hyperlink" Target="https://doi.org/10.1001/jamaneurol.2019.0098" TargetMode="External"/><Relationship Id="rId30" Type="http://schemas.openxmlformats.org/officeDocument/2006/relationships/hyperlink" Target="https://doi.org/10.1016/j.wneu.2020.11.102" TargetMode="External"/><Relationship Id="rId105" Type="http://schemas.openxmlformats.org/officeDocument/2006/relationships/hyperlink" Target="https://doi.org/10.3171/2022.3.jns212399" TargetMode="External"/><Relationship Id="rId126" Type="http://schemas.openxmlformats.org/officeDocument/2006/relationships/hyperlink" Target="https://doi.org/10.1016/j.wneu.2010.07.014" TargetMode="External"/><Relationship Id="rId147" Type="http://schemas.openxmlformats.org/officeDocument/2006/relationships/hyperlink" Target="https://doi.org/10.1016/j.clineuro.2014.05.005" TargetMode="External"/><Relationship Id="rId168" Type="http://schemas.openxmlformats.org/officeDocument/2006/relationships/hyperlink" Target="https://doi.org/10.3171/2019.9.peds1939" TargetMode="External"/><Relationship Id="rId312" Type="http://schemas.openxmlformats.org/officeDocument/2006/relationships/hyperlink" Target="https://doi.org/10.3171/2020.2.jns193335" TargetMode="External"/><Relationship Id="rId333" Type="http://schemas.openxmlformats.org/officeDocument/2006/relationships/hyperlink" Target="https://doi.org/10.3171/2022.1.jns212782" TargetMode="External"/><Relationship Id="rId354" Type="http://schemas.openxmlformats.org/officeDocument/2006/relationships/hyperlink" Target="https://doi.org/10.1016/j.wneu.2023.08.063" TargetMode="External"/><Relationship Id="rId51" Type="http://schemas.openxmlformats.org/officeDocument/2006/relationships/hyperlink" Target="https://doi.org/10.1016/j.wneu.2018.04.077" TargetMode="External"/><Relationship Id="rId72" Type="http://schemas.openxmlformats.org/officeDocument/2006/relationships/hyperlink" Target="https://doi.org/10.3171/jns.2003.98.6.1175" TargetMode="External"/><Relationship Id="rId93" Type="http://schemas.openxmlformats.org/officeDocument/2006/relationships/hyperlink" Target="https://doi.org/10.1016/j.ejso.2023.107044" TargetMode="External"/><Relationship Id="rId189" Type="http://schemas.openxmlformats.org/officeDocument/2006/relationships/hyperlink" Target="https://doi.org/10.1016/j.wneu.2019.05.021" TargetMode="External"/><Relationship Id="rId3" Type="http://schemas.openxmlformats.org/officeDocument/2006/relationships/settings" Target="settings.xml"/><Relationship Id="rId214" Type="http://schemas.openxmlformats.org/officeDocument/2006/relationships/hyperlink" Target="https://doi.org/10.1016/j.wneu.2016.03.081" TargetMode="External"/><Relationship Id="rId235" Type="http://schemas.openxmlformats.org/officeDocument/2006/relationships/hyperlink" Target="https://doi.org/10.3390/ijerph16060911" TargetMode="External"/><Relationship Id="rId256" Type="http://schemas.openxmlformats.org/officeDocument/2006/relationships/hyperlink" Target="https://doi.org/10.3171/2014.12.jns141029" TargetMode="External"/><Relationship Id="rId277" Type="http://schemas.openxmlformats.org/officeDocument/2006/relationships/hyperlink" Target="https://doi.org/10.1055/s-0032-1312709" TargetMode="External"/><Relationship Id="rId298" Type="http://schemas.openxmlformats.org/officeDocument/2006/relationships/hyperlink" Target="https://doi.org/10.1159/000362934" TargetMode="External"/><Relationship Id="rId116" Type="http://schemas.openxmlformats.org/officeDocument/2006/relationships/hyperlink" Target="https://doi.org/10.1016/j.jocn.2017.09.021" TargetMode="External"/><Relationship Id="rId137" Type="http://schemas.openxmlformats.org/officeDocument/2006/relationships/hyperlink" Target="https://doi.org/10.1016/j.wneu.2016.02.071" TargetMode="External"/><Relationship Id="rId158" Type="http://schemas.openxmlformats.org/officeDocument/2006/relationships/hyperlink" Target="https://doi.org/10.4103/joacp.joacp_373_16" TargetMode="External"/><Relationship Id="rId302" Type="http://schemas.openxmlformats.org/officeDocument/2006/relationships/hyperlink" Target="https://doi.org/10.3390/jcm11051286" TargetMode="External"/><Relationship Id="rId323" Type="http://schemas.openxmlformats.org/officeDocument/2006/relationships/hyperlink" Target="https://doi.org/10.3171/2016.9.jns16149" TargetMode="External"/><Relationship Id="rId344" Type="http://schemas.openxmlformats.org/officeDocument/2006/relationships/hyperlink" Target="https://doi.org/10.1016/j.jcms.2014.05.014" TargetMode="External"/><Relationship Id="rId20" Type="http://schemas.openxmlformats.org/officeDocument/2006/relationships/hyperlink" Target="https://doi.org/10.1016/j.wneu.2019.09.120" TargetMode="External"/><Relationship Id="rId41" Type="http://schemas.openxmlformats.org/officeDocument/2006/relationships/hyperlink" Target="https://doi.org/10.3171/2012.10.jns12305" TargetMode="External"/><Relationship Id="rId62" Type="http://schemas.openxmlformats.org/officeDocument/2006/relationships/hyperlink" Target="https://doi.org/10.1179/joc.2001.13.supplement-2.119" TargetMode="External"/><Relationship Id="rId83" Type="http://schemas.openxmlformats.org/officeDocument/2006/relationships/hyperlink" Target="https://doi.org/10.1016/j.wneu.2020.01.137" TargetMode="External"/><Relationship Id="rId179" Type="http://schemas.openxmlformats.org/officeDocument/2006/relationships/hyperlink" Target="https://doi.org/10.3389/fneur.2023.1153392" TargetMode="External"/><Relationship Id="rId190" Type="http://schemas.openxmlformats.org/officeDocument/2006/relationships/hyperlink" Target="https://doi.org/10.1080/02688697.2016.1187259" TargetMode="External"/><Relationship Id="rId204" Type="http://schemas.openxmlformats.org/officeDocument/2006/relationships/hyperlink" Target="https://doi.org/10.3340/jkns.2018.0021" TargetMode="External"/><Relationship Id="rId225" Type="http://schemas.openxmlformats.org/officeDocument/2006/relationships/hyperlink" Target="https://doi.org/10.3389/fneur.2021.745575" TargetMode="External"/><Relationship Id="rId246" Type="http://schemas.openxmlformats.org/officeDocument/2006/relationships/hyperlink" Target="https://doi.org/10.3171/2016.5.jns152118" TargetMode="External"/><Relationship Id="rId267" Type="http://schemas.openxmlformats.org/officeDocument/2006/relationships/hyperlink" Target="https://doi.org/10.1097/00129492-200111000-00031" TargetMode="External"/><Relationship Id="rId288" Type="http://schemas.openxmlformats.org/officeDocument/2006/relationships/hyperlink" Target="https://doi.org/10.1159/000050379" TargetMode="External"/><Relationship Id="rId106" Type="http://schemas.openxmlformats.org/officeDocument/2006/relationships/hyperlink" Target="https://doi.org/10.3171/2014.8.jns1498" TargetMode="External"/><Relationship Id="rId127" Type="http://schemas.openxmlformats.org/officeDocument/2006/relationships/hyperlink" Target="https://doi.org/10.1016/j.jocn.2019.08.026" TargetMode="External"/><Relationship Id="rId313" Type="http://schemas.openxmlformats.org/officeDocument/2006/relationships/hyperlink" Target="https://doi.org/10.1016/j.wneu.2019.11.018" TargetMode="External"/><Relationship Id="rId10" Type="http://schemas.openxmlformats.org/officeDocument/2006/relationships/hyperlink" Target="https://doi.org/10.1016/j.wneu.2018.04.061" TargetMode="External"/><Relationship Id="rId31" Type="http://schemas.openxmlformats.org/officeDocument/2006/relationships/hyperlink" Target="https://doi.org/10.1055/s-0040-1715811" TargetMode="External"/><Relationship Id="rId52" Type="http://schemas.openxmlformats.org/officeDocument/2006/relationships/hyperlink" Target="https://doi.org/10.3171/2014.9.jns132679" TargetMode="External"/><Relationship Id="rId73" Type="http://schemas.openxmlformats.org/officeDocument/2006/relationships/hyperlink" Target="https://doi.org/10.21315/mjms2017.24.6.8" TargetMode="External"/><Relationship Id="rId94" Type="http://schemas.openxmlformats.org/officeDocument/2006/relationships/hyperlink" Target="https://doi.org/10.1016/j.wneu.2020.05.259" TargetMode="External"/><Relationship Id="rId148" Type="http://schemas.openxmlformats.org/officeDocument/2006/relationships/hyperlink" Target="https://doi.org/10.1017/cjn.2015.46" TargetMode="External"/><Relationship Id="rId169" Type="http://schemas.openxmlformats.org/officeDocument/2006/relationships/hyperlink" Target="https://doi.org/10.1016/j.ajic.2011.06.005" TargetMode="External"/><Relationship Id="rId334" Type="http://schemas.openxmlformats.org/officeDocument/2006/relationships/hyperlink" Target="https://doi.org/10.3171/ped.2007.106.6.450" TargetMode="External"/><Relationship Id="rId355"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yperlink" Target="https://doi.org/10.3171/2018.7.focus18258" TargetMode="External"/><Relationship Id="rId215" Type="http://schemas.openxmlformats.org/officeDocument/2006/relationships/hyperlink" Target="https://doi.org/10.1016/j.pjnns.2016.11.007" TargetMode="External"/><Relationship Id="rId236" Type="http://schemas.openxmlformats.org/officeDocument/2006/relationships/hyperlink" Target="https://doi.org/10.1007/s00381-006-0117-4" TargetMode="External"/><Relationship Id="rId257" Type="http://schemas.openxmlformats.org/officeDocument/2006/relationships/hyperlink" Target="https://doi.org/10.1097/scs.0000000000009920" TargetMode="External"/><Relationship Id="rId278" Type="http://schemas.openxmlformats.org/officeDocument/2006/relationships/hyperlink" Target="https://doi.org/10.1016/j.wneu.2017.12.062" TargetMode="External"/><Relationship Id="rId303" Type="http://schemas.openxmlformats.org/officeDocument/2006/relationships/hyperlink" Target="https://doi.org/10.1016/j.jocn.2014.11.021" TargetMode="External"/><Relationship Id="rId42" Type="http://schemas.openxmlformats.org/officeDocument/2006/relationships/hyperlink" Target="https://doi.org/10.3171/2016.9.jns16367" TargetMode="External"/><Relationship Id="rId84" Type="http://schemas.openxmlformats.org/officeDocument/2006/relationships/hyperlink" Target="https://doi.org/10.3171/2022.4.jns22290" TargetMode="External"/><Relationship Id="rId138" Type="http://schemas.openxmlformats.org/officeDocument/2006/relationships/hyperlink" Target="https://doi.org/10.3171/2020.9.peds20556" TargetMode="External"/><Relationship Id="rId345" Type="http://schemas.openxmlformats.org/officeDocument/2006/relationships/hyperlink" Target="https://doi.org/10.3171/2014.9.jns14405" TargetMode="External"/><Relationship Id="rId191" Type="http://schemas.openxmlformats.org/officeDocument/2006/relationships/hyperlink" Target="https://doi.org/10.1097/prs.0b013e318267d4de" TargetMode="External"/><Relationship Id="rId205" Type="http://schemas.openxmlformats.org/officeDocument/2006/relationships/hyperlink" Target="https://doi.org/10.1371/journal.pone.0232561" TargetMode="External"/><Relationship Id="rId247" Type="http://schemas.openxmlformats.org/officeDocument/2006/relationships/hyperlink" Target="https://doi.org/10.1186/s12871-022-01962-5" TargetMode="External"/><Relationship Id="rId107" Type="http://schemas.openxmlformats.org/officeDocument/2006/relationships/hyperlink" Target="https://doi.org/10.1016/j.wneu.2017.03.093" TargetMode="External"/><Relationship Id="rId289" Type="http://schemas.openxmlformats.org/officeDocument/2006/relationships/hyperlink" Target="https://doi.org/10.1227/neu.0000000000001110" TargetMode="External"/><Relationship Id="rId11" Type="http://schemas.openxmlformats.org/officeDocument/2006/relationships/hyperlink" Target="https://doi.org/10.1007/s10143-016-0700-4" TargetMode="External"/><Relationship Id="rId53" Type="http://schemas.openxmlformats.org/officeDocument/2006/relationships/hyperlink" Target="https://doi.org/10.1371/journal.pone.0105288" TargetMode="External"/><Relationship Id="rId149" Type="http://schemas.openxmlformats.org/officeDocument/2006/relationships/hyperlink" Target="https://doi.org/10.1016/j.wneu.2018.06.153" TargetMode="External"/><Relationship Id="rId314" Type="http://schemas.openxmlformats.org/officeDocument/2006/relationships/hyperlink" Target="https://doi.org/10.1016/j.jhin.2015.12.018" TargetMode="External"/><Relationship Id="rId356" Type="http://schemas.openxmlformats.org/officeDocument/2006/relationships/theme" Target="theme/theme1.xml"/><Relationship Id="rId95" Type="http://schemas.openxmlformats.org/officeDocument/2006/relationships/hyperlink" Target="https://doi.org/10.3171/2016.2.peds15604" TargetMode="External"/><Relationship Id="rId160" Type="http://schemas.openxmlformats.org/officeDocument/2006/relationships/hyperlink" Target="https://doi.org/10.1245/s10434-012-2748-x" TargetMode="External"/><Relationship Id="rId216" Type="http://schemas.openxmlformats.org/officeDocument/2006/relationships/hyperlink" Target="https://doi.org/10.1007/s00381-019-04357-z" TargetMode="External"/><Relationship Id="rId258" Type="http://schemas.openxmlformats.org/officeDocument/2006/relationships/hyperlink" Target="https://doi.org/10.1016/j.wneu.2017.01.106" TargetMode="External"/><Relationship Id="rId22" Type="http://schemas.openxmlformats.org/officeDocument/2006/relationships/hyperlink" Target="https://doi.org/10.1179/1754762814y.0000000090" TargetMode="External"/><Relationship Id="rId64" Type="http://schemas.openxmlformats.org/officeDocument/2006/relationships/hyperlink" Target="https://doi.org/10.1017/ash.2021.258" TargetMode="External"/><Relationship Id="rId118" Type="http://schemas.openxmlformats.org/officeDocument/2006/relationships/hyperlink" Target="https://doi.org/10.1055/s-2005-836476" TargetMode="External"/><Relationship Id="rId325" Type="http://schemas.openxmlformats.org/officeDocument/2006/relationships/hyperlink" Target="https://doi.org/10.3171/2016.9.jns16559" TargetMode="External"/><Relationship Id="rId171" Type="http://schemas.openxmlformats.org/officeDocument/2006/relationships/hyperlink" Target="https://doi.org/10.3171/2015.7.peds15187" TargetMode="External"/><Relationship Id="rId227" Type="http://schemas.openxmlformats.org/officeDocument/2006/relationships/hyperlink" Target="https://doi.org/10.1007/s00701-013-1833-7" TargetMode="External"/><Relationship Id="rId269" Type="http://schemas.openxmlformats.org/officeDocument/2006/relationships/hyperlink" Target="https://doi.org/10.1007/s10096-013-1904-y" TargetMode="External"/><Relationship Id="rId33" Type="http://schemas.openxmlformats.org/officeDocument/2006/relationships/hyperlink" Target="https://doi.org/10.3171/2017.7.peds17155" TargetMode="External"/><Relationship Id="rId129" Type="http://schemas.openxmlformats.org/officeDocument/2006/relationships/hyperlink" Target="https://doi.org/10.3171/2012.1.jns111798" TargetMode="External"/><Relationship Id="rId280" Type="http://schemas.openxmlformats.org/officeDocument/2006/relationships/hyperlink" Target="https://doi.org/10.1016/j.jocn.2022.02.020" TargetMode="External"/><Relationship Id="rId336" Type="http://schemas.openxmlformats.org/officeDocument/2006/relationships/hyperlink" Target="https://doi.org/10.1093/ons/opz163" TargetMode="External"/><Relationship Id="rId75" Type="http://schemas.openxmlformats.org/officeDocument/2006/relationships/hyperlink" Target="https://doi.org/10.1155/2021/4948664" TargetMode="External"/><Relationship Id="rId140" Type="http://schemas.openxmlformats.org/officeDocument/2006/relationships/hyperlink" Target="https://doi.org/10.1016/j.clineuro.2021.106757" TargetMode="External"/><Relationship Id="rId182" Type="http://schemas.openxmlformats.org/officeDocument/2006/relationships/hyperlink" Target="https://doi.org/10.25259/sni_103_2022" TargetMode="External"/><Relationship Id="rId6" Type="http://schemas.openxmlformats.org/officeDocument/2006/relationships/hyperlink" Target="https://doi.org/10.1016/j.inat.2022.101602" TargetMode="External"/><Relationship Id="rId238" Type="http://schemas.openxmlformats.org/officeDocument/2006/relationships/hyperlink" Target="https://doi.org/10.3171/2017.12.jns172013" TargetMode="External"/><Relationship Id="rId291" Type="http://schemas.openxmlformats.org/officeDocument/2006/relationships/hyperlink" Target="https://doi.org/10.3171/2019.2.peds18638" TargetMode="External"/><Relationship Id="rId305" Type="http://schemas.openxmlformats.org/officeDocument/2006/relationships/hyperlink" Target="https://doi.org/10.3390/nu14132620" TargetMode="External"/><Relationship Id="rId347" Type="http://schemas.openxmlformats.org/officeDocument/2006/relationships/hyperlink" Target="https://doi.org/10.1097/mao.0000000000003215" TargetMode="External"/><Relationship Id="rId44" Type="http://schemas.openxmlformats.org/officeDocument/2006/relationships/hyperlink" Target="https://doi.org/10.1007/s007010170057" TargetMode="External"/><Relationship Id="rId86" Type="http://schemas.openxmlformats.org/officeDocument/2006/relationships/hyperlink" Target="https://doi.org/10.1097/scs.0b013e3181cf6103" TargetMode="External"/><Relationship Id="rId151" Type="http://schemas.openxmlformats.org/officeDocument/2006/relationships/hyperlink" Target="https://doi.org/10.1007/s00701-014-2286-3" TargetMode="External"/><Relationship Id="rId193" Type="http://schemas.openxmlformats.org/officeDocument/2006/relationships/hyperlink" Target="https://doi.org/10.1212/wnl.0000000000006818" TargetMode="External"/><Relationship Id="rId207" Type="http://schemas.openxmlformats.org/officeDocument/2006/relationships/hyperlink" Target="https://doi.org/10.5137/1019-5149.jtn.12738-14.0" TargetMode="External"/><Relationship Id="rId249" Type="http://schemas.openxmlformats.org/officeDocument/2006/relationships/hyperlink" Target="https://doi.org/10.3346/jkms.2012.27.12.1563" TargetMode="External"/><Relationship Id="rId13" Type="http://schemas.openxmlformats.org/officeDocument/2006/relationships/hyperlink" Target="https://doi.org/10.1093/neuros/nyx273" TargetMode="External"/><Relationship Id="rId109" Type="http://schemas.openxmlformats.org/officeDocument/2006/relationships/hyperlink" Target="https://doi.org/10.1159/000323372" TargetMode="External"/><Relationship Id="rId260" Type="http://schemas.openxmlformats.org/officeDocument/2006/relationships/hyperlink" Target="https://doi.org/10.1016/j.wneu.2023.10.077" TargetMode="External"/><Relationship Id="rId316" Type="http://schemas.openxmlformats.org/officeDocument/2006/relationships/hyperlink" Target="https://doi.org/10.1016/j.wneu.2018.01.137" TargetMode="External"/><Relationship Id="rId55" Type="http://schemas.openxmlformats.org/officeDocument/2006/relationships/hyperlink" Target="https://doi.org/10.3171/2014.6.peds13682" TargetMode="External"/><Relationship Id="rId97" Type="http://schemas.openxmlformats.org/officeDocument/2006/relationships/hyperlink" Target="https://doi.org/10.1093/neuros/nyw062" TargetMode="External"/><Relationship Id="rId120" Type="http://schemas.openxmlformats.org/officeDocument/2006/relationships/hyperlink" Target="https://doi.org/10.1016/j.clineuro.2015.01.006" TargetMode="External"/><Relationship Id="rId162" Type="http://schemas.openxmlformats.org/officeDocument/2006/relationships/hyperlink" Target="https://doi.org/10.1080/02688697.2019.1645298" TargetMode="External"/><Relationship Id="rId218" Type="http://schemas.openxmlformats.org/officeDocument/2006/relationships/hyperlink" Target="https://doi.org/10.1016/j.wneu.2017.01.065" TargetMode="External"/><Relationship Id="rId271" Type="http://schemas.openxmlformats.org/officeDocument/2006/relationships/hyperlink" Target="https://doi.org/10.1016/j.wneu.2020.10.138" TargetMode="External"/><Relationship Id="rId24" Type="http://schemas.openxmlformats.org/officeDocument/2006/relationships/hyperlink" Target="https://doi.org/10.1016/j.inat.2021.101421" TargetMode="External"/><Relationship Id="rId66" Type="http://schemas.openxmlformats.org/officeDocument/2006/relationships/hyperlink" Target="https://doi.org/10.1016/j.wneu.2019.04.233" TargetMode="External"/><Relationship Id="rId131" Type="http://schemas.openxmlformats.org/officeDocument/2006/relationships/hyperlink" Target="https://doi.org/10.5603/pjnns.a2022.0030" TargetMode="External"/><Relationship Id="rId327" Type="http://schemas.openxmlformats.org/officeDocument/2006/relationships/hyperlink" Target="https://doi.org/10.3389/fonc.2022.860257" TargetMode="External"/><Relationship Id="rId173" Type="http://schemas.openxmlformats.org/officeDocument/2006/relationships/hyperlink" Target="https://doi.org/10.3171/2020.8.jns202404" TargetMode="External"/><Relationship Id="rId229" Type="http://schemas.openxmlformats.org/officeDocument/2006/relationships/hyperlink" Target="https://doi.org/10.1227/neu.0000000000002345" TargetMode="External"/><Relationship Id="rId240" Type="http://schemas.openxmlformats.org/officeDocument/2006/relationships/hyperlink" Target="https://doi.org/10.1227/01.neu.0000316256.44349.b1" TargetMode="External"/><Relationship Id="rId35" Type="http://schemas.openxmlformats.org/officeDocument/2006/relationships/hyperlink" Target="https://doi.org/10.1111/epi.17679" TargetMode="External"/><Relationship Id="rId77" Type="http://schemas.openxmlformats.org/officeDocument/2006/relationships/hyperlink" Target="https://doi.org/10.1016/j.wneu.2018.01.211" TargetMode="External"/><Relationship Id="rId100" Type="http://schemas.openxmlformats.org/officeDocument/2006/relationships/hyperlink" Target="https://doi.org/10.1308/rcsann.2016.0143" TargetMode="External"/><Relationship Id="rId282" Type="http://schemas.openxmlformats.org/officeDocument/2006/relationships/hyperlink" Target="https://doi.org/10.1016/j.wneu.2018.10.023" TargetMode="External"/><Relationship Id="rId338" Type="http://schemas.openxmlformats.org/officeDocument/2006/relationships/hyperlink" Target="https://doi.org/10.2217/3dp-2019-0022" TargetMode="External"/><Relationship Id="rId8" Type="http://schemas.openxmlformats.org/officeDocument/2006/relationships/hyperlink" Target="https://doi.org/10.3171/2016.12.jns161967" TargetMode="External"/><Relationship Id="rId142" Type="http://schemas.openxmlformats.org/officeDocument/2006/relationships/hyperlink" Target="https://doi.org/10.1097/scs.0000000000004654" TargetMode="External"/><Relationship Id="rId184" Type="http://schemas.openxmlformats.org/officeDocument/2006/relationships/hyperlink" Target="https://doi.org/10.1016/j.wneu.2017.01.0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146</Pages>
  <Words>41120</Words>
  <Characters>234385</Characters>
  <Application>Microsoft Office Word</Application>
  <DocSecurity>0</DocSecurity>
  <Lines>1953</Lines>
  <Paragraphs>549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 Siang Lee</dc:creator>
  <cp:keywords/>
  <dc:description/>
  <cp:lastModifiedBy>Keng Siang Lee</cp:lastModifiedBy>
  <cp:revision>10</cp:revision>
  <dcterms:created xsi:type="dcterms:W3CDTF">2024-09-23T20:53:00Z</dcterms:created>
  <dcterms:modified xsi:type="dcterms:W3CDTF">2024-12-09T07:05:00Z</dcterms:modified>
</cp:coreProperties>
</file>