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1D664" w14:textId="4C645108" w:rsidR="0064116C" w:rsidRPr="0064116C" w:rsidRDefault="0064116C" w:rsidP="0064116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7"/>
        <w:gridCol w:w="2128"/>
        <w:gridCol w:w="7994"/>
        <w:gridCol w:w="731"/>
      </w:tblGrid>
      <w:tr w:rsidR="0064116C" w:rsidRPr="00423195" w14:paraId="6071692F" w14:textId="77777777" w:rsidTr="0064116C">
        <w:tc>
          <w:tcPr>
            <w:tcW w:w="0" w:type="auto"/>
            <w:hideMark/>
          </w:tcPr>
          <w:p w14:paraId="03BA815D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423195">
              <w:rPr>
                <w:rFonts w:ascii="Times New Roman" w:hAnsi="Times New Roman" w:cs="Times New Roman"/>
                <w:b/>
                <w:bCs/>
              </w:rPr>
              <w:t>Section</w:t>
            </w:r>
          </w:p>
        </w:tc>
        <w:tc>
          <w:tcPr>
            <w:tcW w:w="0" w:type="auto"/>
            <w:hideMark/>
          </w:tcPr>
          <w:p w14:paraId="250187C1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423195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0" w:type="auto"/>
            <w:hideMark/>
          </w:tcPr>
          <w:p w14:paraId="46C1CF14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423195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14:paraId="1432158C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423195">
              <w:rPr>
                <w:rFonts w:ascii="Times New Roman" w:hAnsi="Times New Roman" w:cs="Times New Roman"/>
                <w:b/>
                <w:bCs/>
              </w:rPr>
              <w:t>Page</w:t>
            </w:r>
          </w:p>
        </w:tc>
      </w:tr>
      <w:tr w:rsidR="0064116C" w:rsidRPr="00423195" w14:paraId="30C9BA58" w14:textId="77777777" w:rsidTr="0064116C">
        <w:tc>
          <w:tcPr>
            <w:tcW w:w="0" w:type="auto"/>
            <w:hideMark/>
          </w:tcPr>
          <w:p w14:paraId="79DD1B4B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  <w:b/>
                <w:bCs/>
              </w:rPr>
              <w:t>Title</w:t>
            </w:r>
          </w:p>
        </w:tc>
        <w:tc>
          <w:tcPr>
            <w:tcW w:w="0" w:type="auto"/>
            <w:hideMark/>
          </w:tcPr>
          <w:p w14:paraId="326D09AD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0" w:type="auto"/>
            <w:hideMark/>
          </w:tcPr>
          <w:p w14:paraId="1C190E3D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The title identifies the report as a systematic review and meta-analysis of rapid ventricular pacing in cerebral aneurysm clipping.</w:t>
            </w:r>
          </w:p>
        </w:tc>
        <w:tc>
          <w:tcPr>
            <w:tcW w:w="0" w:type="auto"/>
            <w:hideMark/>
          </w:tcPr>
          <w:p w14:paraId="0843EC37" w14:textId="59491AA2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4116C" w:rsidRPr="00423195" w14:paraId="62AE6A3A" w14:textId="77777777" w:rsidTr="0064116C">
        <w:tc>
          <w:tcPr>
            <w:tcW w:w="0" w:type="auto"/>
            <w:hideMark/>
          </w:tcPr>
          <w:p w14:paraId="45FE9CEF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  <w:b/>
                <w:bCs/>
              </w:rPr>
              <w:t>Abstract</w:t>
            </w:r>
          </w:p>
        </w:tc>
        <w:tc>
          <w:tcPr>
            <w:tcW w:w="0" w:type="auto"/>
            <w:hideMark/>
          </w:tcPr>
          <w:p w14:paraId="53D743EE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Structured Summary</w:t>
            </w:r>
          </w:p>
        </w:tc>
        <w:tc>
          <w:tcPr>
            <w:tcW w:w="0" w:type="auto"/>
            <w:hideMark/>
          </w:tcPr>
          <w:p w14:paraId="0455E9C4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The abstract provides a summary covering objectives, methods, results, conclusions, and key terms such as “rapid ventricular pacing,” “aneurysm,” and “meta-analysis.”</w:t>
            </w:r>
          </w:p>
        </w:tc>
        <w:tc>
          <w:tcPr>
            <w:tcW w:w="0" w:type="auto"/>
            <w:hideMark/>
          </w:tcPr>
          <w:p w14:paraId="6EF5B1AF" w14:textId="330F8520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4116C" w:rsidRPr="00423195" w14:paraId="45FC2BC0" w14:textId="77777777" w:rsidTr="0064116C">
        <w:tc>
          <w:tcPr>
            <w:tcW w:w="0" w:type="auto"/>
            <w:hideMark/>
          </w:tcPr>
          <w:p w14:paraId="582E233D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  <w:b/>
                <w:bCs/>
              </w:rPr>
              <w:t>Introduction</w:t>
            </w:r>
          </w:p>
        </w:tc>
        <w:tc>
          <w:tcPr>
            <w:tcW w:w="0" w:type="auto"/>
            <w:hideMark/>
          </w:tcPr>
          <w:p w14:paraId="7D0AB1C6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Rationale</w:t>
            </w:r>
          </w:p>
        </w:tc>
        <w:tc>
          <w:tcPr>
            <w:tcW w:w="0" w:type="auto"/>
            <w:hideMark/>
          </w:tcPr>
          <w:p w14:paraId="1E52F83C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Background explains the clinical rationale for RVP, discussing the limited evidence base and potential safety concerns that prompted this systematic review and meta-analysis.</w:t>
            </w:r>
          </w:p>
        </w:tc>
        <w:tc>
          <w:tcPr>
            <w:tcW w:w="0" w:type="auto"/>
            <w:hideMark/>
          </w:tcPr>
          <w:p w14:paraId="7009E0A6" w14:textId="782CE9C5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4116C" w:rsidRPr="00423195" w14:paraId="6AF8C045" w14:textId="77777777" w:rsidTr="0064116C">
        <w:tc>
          <w:tcPr>
            <w:tcW w:w="0" w:type="auto"/>
            <w:hideMark/>
          </w:tcPr>
          <w:p w14:paraId="762750B8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D50993B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Objectives</w:t>
            </w:r>
          </w:p>
        </w:tc>
        <w:tc>
          <w:tcPr>
            <w:tcW w:w="0" w:type="auto"/>
            <w:hideMark/>
          </w:tcPr>
          <w:p w14:paraId="781345F8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Clearly specified objectives focused on assessing the efficacy and safety of RVP in achieving outcomes such as aneurysm obliteration, arrhythmia incidence, and mortality.</w:t>
            </w:r>
          </w:p>
        </w:tc>
        <w:tc>
          <w:tcPr>
            <w:tcW w:w="0" w:type="auto"/>
            <w:hideMark/>
          </w:tcPr>
          <w:p w14:paraId="16703D9F" w14:textId="2CE5018C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</w:p>
        </w:tc>
      </w:tr>
      <w:tr w:rsidR="0064116C" w:rsidRPr="00423195" w14:paraId="52F5D774" w14:textId="77777777" w:rsidTr="0064116C">
        <w:tc>
          <w:tcPr>
            <w:tcW w:w="0" w:type="auto"/>
            <w:hideMark/>
          </w:tcPr>
          <w:p w14:paraId="63F50A28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  <w:b/>
                <w:bCs/>
              </w:rPr>
              <w:t>Methods</w:t>
            </w:r>
          </w:p>
        </w:tc>
        <w:tc>
          <w:tcPr>
            <w:tcW w:w="0" w:type="auto"/>
            <w:hideMark/>
          </w:tcPr>
          <w:p w14:paraId="4A937A5F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Eligibility Criteria</w:t>
            </w:r>
          </w:p>
        </w:tc>
        <w:tc>
          <w:tcPr>
            <w:tcW w:w="0" w:type="auto"/>
            <w:hideMark/>
          </w:tcPr>
          <w:p w14:paraId="16CA6030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Defines eligibility criteria: includes patients undergoing RVP-assisted aneurysm clipping (ruptured or unruptured), only studies with at least five patients, and those published in English.</w:t>
            </w:r>
          </w:p>
        </w:tc>
        <w:tc>
          <w:tcPr>
            <w:tcW w:w="0" w:type="auto"/>
            <w:hideMark/>
          </w:tcPr>
          <w:p w14:paraId="6CD8C476" w14:textId="40049C76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</w:tr>
      <w:tr w:rsidR="0064116C" w:rsidRPr="00423195" w14:paraId="5011EDAC" w14:textId="77777777" w:rsidTr="0064116C">
        <w:tc>
          <w:tcPr>
            <w:tcW w:w="0" w:type="auto"/>
            <w:hideMark/>
          </w:tcPr>
          <w:p w14:paraId="3C576F42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15402F5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Information Sources</w:t>
            </w:r>
          </w:p>
        </w:tc>
        <w:tc>
          <w:tcPr>
            <w:tcW w:w="0" w:type="auto"/>
            <w:hideMark/>
          </w:tcPr>
          <w:p w14:paraId="0F022B87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Databases searched include PubMed, Cochrane Library, and Google Scholar. The search period covers relevant studies from 2010 onward. Key search terms included “rapid ventricular pacing,” “aneurysm,” and related terms.</w:t>
            </w:r>
          </w:p>
        </w:tc>
        <w:tc>
          <w:tcPr>
            <w:tcW w:w="0" w:type="auto"/>
            <w:hideMark/>
          </w:tcPr>
          <w:p w14:paraId="614C8833" w14:textId="7C43B010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</w:tr>
      <w:tr w:rsidR="0064116C" w:rsidRPr="00423195" w14:paraId="2B422918" w14:textId="77777777" w:rsidTr="0064116C">
        <w:tc>
          <w:tcPr>
            <w:tcW w:w="0" w:type="auto"/>
            <w:hideMark/>
          </w:tcPr>
          <w:p w14:paraId="5AD7B93F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0EA96F5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Search Strategy</w:t>
            </w:r>
          </w:p>
        </w:tc>
        <w:tc>
          <w:tcPr>
            <w:tcW w:w="0" w:type="auto"/>
            <w:hideMark/>
          </w:tcPr>
          <w:p w14:paraId="62ADEC26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Details search terms and Boolean combinations, like “aneurysm” AND “cardiac standstill” OR “flow arrest,” targeting studies related to RVP in aneurysm clipping procedures.</w:t>
            </w:r>
          </w:p>
        </w:tc>
        <w:tc>
          <w:tcPr>
            <w:tcW w:w="0" w:type="auto"/>
            <w:hideMark/>
          </w:tcPr>
          <w:p w14:paraId="45496205" w14:textId="6F6F77DF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4116C" w:rsidRPr="00423195" w14:paraId="6B724DBA" w14:textId="77777777" w:rsidTr="0064116C">
        <w:tc>
          <w:tcPr>
            <w:tcW w:w="0" w:type="auto"/>
            <w:hideMark/>
          </w:tcPr>
          <w:p w14:paraId="242F37F1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281D132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Selection Process</w:t>
            </w:r>
          </w:p>
        </w:tc>
        <w:tc>
          <w:tcPr>
            <w:tcW w:w="0" w:type="auto"/>
            <w:hideMark/>
          </w:tcPr>
          <w:p w14:paraId="0943514C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Study selection conducted by two independent reviewers with consensus on final inclusion criteria. A PRISMA flowchart illustrates the process.</w:t>
            </w:r>
          </w:p>
        </w:tc>
        <w:tc>
          <w:tcPr>
            <w:tcW w:w="0" w:type="auto"/>
            <w:hideMark/>
          </w:tcPr>
          <w:p w14:paraId="769273D3" w14:textId="073B591A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4116C" w:rsidRPr="00423195" w14:paraId="28381473" w14:textId="77777777" w:rsidTr="0064116C">
        <w:tc>
          <w:tcPr>
            <w:tcW w:w="0" w:type="auto"/>
            <w:hideMark/>
          </w:tcPr>
          <w:p w14:paraId="1B1CBDF3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8AFE3FA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Data Collection Process</w:t>
            </w:r>
          </w:p>
        </w:tc>
        <w:tc>
          <w:tcPr>
            <w:tcW w:w="0" w:type="auto"/>
            <w:hideMark/>
          </w:tcPr>
          <w:p w14:paraId="4EC9B959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Data extracted includes primary variables like pacing rate, mean arterial pressure (MAP), and postoperative outcomes, using standardized extraction forms. Each study's data consistency was cross-verified.</w:t>
            </w:r>
          </w:p>
        </w:tc>
        <w:tc>
          <w:tcPr>
            <w:tcW w:w="0" w:type="auto"/>
            <w:hideMark/>
          </w:tcPr>
          <w:p w14:paraId="2BD868C5" w14:textId="4D96DF45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4116C" w:rsidRPr="00423195" w14:paraId="79E8B0F4" w14:textId="77777777" w:rsidTr="0064116C">
        <w:tc>
          <w:tcPr>
            <w:tcW w:w="0" w:type="auto"/>
            <w:hideMark/>
          </w:tcPr>
          <w:p w14:paraId="0A75532D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2049F31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Data Items</w:t>
            </w:r>
          </w:p>
        </w:tc>
        <w:tc>
          <w:tcPr>
            <w:tcW w:w="0" w:type="auto"/>
            <w:hideMark/>
          </w:tcPr>
          <w:p w14:paraId="165BFD56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Key data items include pacing cycles, MAP during pacing, aneurysm obliteration rate, postoperative arrhythmia, troponin T levels, and neurological outcomes.</w:t>
            </w:r>
          </w:p>
        </w:tc>
        <w:tc>
          <w:tcPr>
            <w:tcW w:w="0" w:type="auto"/>
            <w:hideMark/>
          </w:tcPr>
          <w:p w14:paraId="62127A3F" w14:textId="12D6FEC0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4116C" w:rsidRPr="00423195" w14:paraId="175A9FD5" w14:textId="77777777" w:rsidTr="0064116C">
        <w:tc>
          <w:tcPr>
            <w:tcW w:w="0" w:type="auto"/>
            <w:hideMark/>
          </w:tcPr>
          <w:p w14:paraId="6ED97A52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8369B65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Study Risk of Bias Assessment</w:t>
            </w:r>
          </w:p>
        </w:tc>
        <w:tc>
          <w:tcPr>
            <w:tcW w:w="0" w:type="auto"/>
            <w:hideMark/>
          </w:tcPr>
          <w:p w14:paraId="51F4320E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Uses the ROBINS-I tool for assessing risk of bias, covering domains such as participant selection, confounding factors, and accuracy in outcome measurement.</w:t>
            </w:r>
          </w:p>
        </w:tc>
        <w:tc>
          <w:tcPr>
            <w:tcW w:w="0" w:type="auto"/>
            <w:hideMark/>
          </w:tcPr>
          <w:p w14:paraId="20311E0D" w14:textId="494F76D8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4116C" w:rsidRPr="00423195" w14:paraId="5177ADB5" w14:textId="77777777" w:rsidTr="0064116C">
        <w:tc>
          <w:tcPr>
            <w:tcW w:w="0" w:type="auto"/>
            <w:hideMark/>
          </w:tcPr>
          <w:p w14:paraId="0AB27052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A8BA744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Effect Measures</w:t>
            </w:r>
          </w:p>
        </w:tc>
        <w:tc>
          <w:tcPr>
            <w:tcW w:w="0" w:type="auto"/>
            <w:hideMark/>
          </w:tcPr>
          <w:p w14:paraId="5A9CE5B8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Effect measures include pooled proportions for outcomes like mortality, arrhythmia, aneurysm obliteration, and confidence intervals (CIs) for each outcome.</w:t>
            </w:r>
          </w:p>
        </w:tc>
        <w:tc>
          <w:tcPr>
            <w:tcW w:w="0" w:type="auto"/>
            <w:hideMark/>
          </w:tcPr>
          <w:p w14:paraId="5025B403" w14:textId="23058B8B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4116C" w:rsidRPr="00423195" w14:paraId="35B04C5D" w14:textId="77777777" w:rsidTr="0064116C">
        <w:tc>
          <w:tcPr>
            <w:tcW w:w="0" w:type="auto"/>
            <w:hideMark/>
          </w:tcPr>
          <w:p w14:paraId="774FD1B1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C2C6471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Synthesis of Results</w:t>
            </w:r>
          </w:p>
        </w:tc>
        <w:tc>
          <w:tcPr>
            <w:tcW w:w="0" w:type="auto"/>
            <w:hideMark/>
          </w:tcPr>
          <w:p w14:paraId="5E162787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Describes synthesis approach, using a common effect model to pool data and I² statistics to assess heterogeneity for each major outcome.</w:t>
            </w:r>
          </w:p>
        </w:tc>
        <w:tc>
          <w:tcPr>
            <w:tcW w:w="0" w:type="auto"/>
            <w:hideMark/>
          </w:tcPr>
          <w:p w14:paraId="12F75624" w14:textId="2364134F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4116C" w:rsidRPr="00423195" w14:paraId="7D5CD330" w14:textId="77777777" w:rsidTr="0064116C">
        <w:tc>
          <w:tcPr>
            <w:tcW w:w="0" w:type="auto"/>
            <w:hideMark/>
          </w:tcPr>
          <w:p w14:paraId="476E68D9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1B9173C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Risk of Bias Across Studies</w:t>
            </w:r>
          </w:p>
        </w:tc>
        <w:tc>
          <w:tcPr>
            <w:tcW w:w="0" w:type="auto"/>
            <w:hideMark/>
          </w:tcPr>
          <w:p w14:paraId="64BD40CC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Overall assessment of bias across studies, indicating low bias in outcome measurement and intervention application, with some moderate risk due to confounding variables.</w:t>
            </w:r>
          </w:p>
        </w:tc>
        <w:tc>
          <w:tcPr>
            <w:tcW w:w="0" w:type="auto"/>
            <w:hideMark/>
          </w:tcPr>
          <w:p w14:paraId="4B6BB072" w14:textId="362C2170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4116C" w:rsidRPr="00423195" w14:paraId="48BB0656" w14:textId="77777777" w:rsidTr="0064116C">
        <w:tc>
          <w:tcPr>
            <w:tcW w:w="0" w:type="auto"/>
            <w:hideMark/>
          </w:tcPr>
          <w:p w14:paraId="6D1EC71B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  <w:b/>
                <w:bCs/>
              </w:rPr>
              <w:t>Results</w:t>
            </w:r>
          </w:p>
        </w:tc>
        <w:tc>
          <w:tcPr>
            <w:tcW w:w="0" w:type="auto"/>
            <w:hideMark/>
          </w:tcPr>
          <w:p w14:paraId="50C93B96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Study Selection</w:t>
            </w:r>
          </w:p>
        </w:tc>
        <w:tc>
          <w:tcPr>
            <w:tcW w:w="0" w:type="auto"/>
            <w:hideMark/>
          </w:tcPr>
          <w:p w14:paraId="52FFCF2B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PRISMA flowchart shows records identified, screened, and included, with exclusions for studies not meeting clinical outcome criteria.</w:t>
            </w:r>
          </w:p>
        </w:tc>
        <w:tc>
          <w:tcPr>
            <w:tcW w:w="0" w:type="auto"/>
            <w:hideMark/>
          </w:tcPr>
          <w:p w14:paraId="3ABB911E" w14:textId="5E92332C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4116C" w:rsidRPr="00423195" w14:paraId="315F283B" w14:textId="77777777" w:rsidTr="0064116C">
        <w:tc>
          <w:tcPr>
            <w:tcW w:w="0" w:type="auto"/>
            <w:hideMark/>
          </w:tcPr>
          <w:p w14:paraId="49EEF44C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F1EE664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Study Characteristics</w:t>
            </w:r>
          </w:p>
        </w:tc>
        <w:tc>
          <w:tcPr>
            <w:tcW w:w="0" w:type="auto"/>
            <w:hideMark/>
          </w:tcPr>
          <w:p w14:paraId="0F7981EB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Summarizes study characteristics, including sample sizes, aneurysm locations, pacing duration, and MAP variations.</w:t>
            </w:r>
          </w:p>
        </w:tc>
        <w:tc>
          <w:tcPr>
            <w:tcW w:w="0" w:type="auto"/>
            <w:hideMark/>
          </w:tcPr>
          <w:p w14:paraId="4379C3F3" w14:textId="1AE48E89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</w:t>
            </w:r>
          </w:p>
        </w:tc>
      </w:tr>
      <w:tr w:rsidR="0064116C" w:rsidRPr="00423195" w14:paraId="749DD467" w14:textId="77777777" w:rsidTr="0064116C">
        <w:tc>
          <w:tcPr>
            <w:tcW w:w="0" w:type="auto"/>
            <w:hideMark/>
          </w:tcPr>
          <w:p w14:paraId="2A9728F1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40A604C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Results of Individual Studies</w:t>
            </w:r>
          </w:p>
        </w:tc>
        <w:tc>
          <w:tcPr>
            <w:tcW w:w="0" w:type="auto"/>
            <w:hideMark/>
          </w:tcPr>
          <w:p w14:paraId="1D1D06AC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Individual study results on RVP outcomes like pacing rate, MAP, aneurysm obliteration rate, arrhythmia, and troponin T levels, illustrated with forest plots and summaries.</w:t>
            </w:r>
          </w:p>
        </w:tc>
        <w:tc>
          <w:tcPr>
            <w:tcW w:w="0" w:type="auto"/>
            <w:hideMark/>
          </w:tcPr>
          <w:p w14:paraId="7D95BDC3" w14:textId="6D9BC159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10-12</w:t>
            </w:r>
          </w:p>
        </w:tc>
      </w:tr>
      <w:tr w:rsidR="0064116C" w:rsidRPr="00423195" w14:paraId="4539E3CA" w14:textId="77777777" w:rsidTr="0064116C">
        <w:tc>
          <w:tcPr>
            <w:tcW w:w="0" w:type="auto"/>
            <w:hideMark/>
          </w:tcPr>
          <w:p w14:paraId="65EA6947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CD5BE5A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Synthesis of Results</w:t>
            </w:r>
          </w:p>
        </w:tc>
        <w:tc>
          <w:tcPr>
            <w:tcW w:w="0" w:type="auto"/>
            <w:hideMark/>
          </w:tcPr>
          <w:p w14:paraId="5EF482AC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Forest plots and pooled data provide a comprehensive view of primary outcomes, including mortality, arrhythmia, troponin T levels, and aneurysm obliteration.</w:t>
            </w:r>
          </w:p>
        </w:tc>
        <w:tc>
          <w:tcPr>
            <w:tcW w:w="0" w:type="auto"/>
            <w:hideMark/>
          </w:tcPr>
          <w:p w14:paraId="6545E39D" w14:textId="3A71FC5A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10-12</w:t>
            </w:r>
          </w:p>
        </w:tc>
      </w:tr>
      <w:tr w:rsidR="0064116C" w:rsidRPr="00423195" w14:paraId="0034DD82" w14:textId="77777777" w:rsidTr="0064116C">
        <w:tc>
          <w:tcPr>
            <w:tcW w:w="0" w:type="auto"/>
            <w:hideMark/>
          </w:tcPr>
          <w:p w14:paraId="58E4897C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27B305D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Risk of Bias in Studies</w:t>
            </w:r>
          </w:p>
        </w:tc>
        <w:tc>
          <w:tcPr>
            <w:tcW w:w="0" w:type="auto"/>
            <w:hideMark/>
          </w:tcPr>
          <w:p w14:paraId="5AFB4337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Summarizes levels of bias, generally low to moderate across studies with attention to potential confounding and outcome measurement quality.</w:t>
            </w:r>
          </w:p>
        </w:tc>
        <w:tc>
          <w:tcPr>
            <w:tcW w:w="0" w:type="auto"/>
            <w:hideMark/>
          </w:tcPr>
          <w:p w14:paraId="744E703E" w14:textId="4A20176D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4116C" w:rsidRPr="00423195" w14:paraId="7CD11EE0" w14:textId="77777777" w:rsidTr="0064116C">
        <w:tc>
          <w:tcPr>
            <w:tcW w:w="0" w:type="auto"/>
            <w:hideMark/>
          </w:tcPr>
          <w:p w14:paraId="072275C2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  <w:b/>
                <w:bCs/>
              </w:rPr>
              <w:t>Discussion</w:t>
            </w:r>
          </w:p>
        </w:tc>
        <w:tc>
          <w:tcPr>
            <w:tcW w:w="0" w:type="auto"/>
            <w:hideMark/>
          </w:tcPr>
          <w:p w14:paraId="500C496D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Summary of Evidence</w:t>
            </w:r>
          </w:p>
        </w:tc>
        <w:tc>
          <w:tcPr>
            <w:tcW w:w="0" w:type="auto"/>
            <w:hideMark/>
          </w:tcPr>
          <w:p w14:paraId="0269BA6D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Summarizes main findings, indicating that RVP supports safe aneurysm obliteration with low risk of cardiac and neurological complications, adding to the safety profile of RVP in aneurysm surgeries.</w:t>
            </w:r>
          </w:p>
        </w:tc>
        <w:tc>
          <w:tcPr>
            <w:tcW w:w="0" w:type="auto"/>
            <w:hideMark/>
          </w:tcPr>
          <w:p w14:paraId="2D219801" w14:textId="3B6AAB10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14-16</w:t>
            </w:r>
          </w:p>
        </w:tc>
      </w:tr>
      <w:tr w:rsidR="0064116C" w:rsidRPr="00423195" w14:paraId="451BD725" w14:textId="77777777" w:rsidTr="0064116C">
        <w:tc>
          <w:tcPr>
            <w:tcW w:w="0" w:type="auto"/>
            <w:hideMark/>
          </w:tcPr>
          <w:p w14:paraId="7D9A7746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9DEBB08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Limitations</w:t>
            </w:r>
          </w:p>
        </w:tc>
        <w:tc>
          <w:tcPr>
            <w:tcW w:w="0" w:type="auto"/>
            <w:hideMark/>
          </w:tcPr>
          <w:p w14:paraId="60B9EC75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Limitations discussed include small sample sizes, variability in institutional protocols, and heterogeneity in study populations, which may affect generalizability.</w:t>
            </w:r>
          </w:p>
        </w:tc>
        <w:tc>
          <w:tcPr>
            <w:tcW w:w="0" w:type="auto"/>
            <w:hideMark/>
          </w:tcPr>
          <w:p w14:paraId="57B13A71" w14:textId="6E6B2B9D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64116C" w:rsidRPr="00423195" w14:paraId="53E3F8C3" w14:textId="77777777" w:rsidTr="0064116C">
        <w:tc>
          <w:tcPr>
            <w:tcW w:w="0" w:type="auto"/>
            <w:hideMark/>
          </w:tcPr>
          <w:p w14:paraId="581974F7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3A90F5B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Conclusions</w:t>
            </w:r>
          </w:p>
        </w:tc>
        <w:tc>
          <w:tcPr>
            <w:tcW w:w="0" w:type="auto"/>
            <w:hideMark/>
          </w:tcPr>
          <w:p w14:paraId="67BEF7EA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Concludes that RVP is safe and effective, emphasizing the need for larger multicenter trials to refine patient selection and protocols.</w:t>
            </w:r>
          </w:p>
        </w:tc>
        <w:tc>
          <w:tcPr>
            <w:tcW w:w="0" w:type="auto"/>
            <w:hideMark/>
          </w:tcPr>
          <w:p w14:paraId="2439AE64" w14:textId="02C424EC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64116C" w:rsidRPr="00423195" w14:paraId="712F1C0B" w14:textId="77777777" w:rsidTr="0064116C">
        <w:tc>
          <w:tcPr>
            <w:tcW w:w="0" w:type="auto"/>
            <w:hideMark/>
          </w:tcPr>
          <w:p w14:paraId="6BCB20C9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  <w:b/>
                <w:bCs/>
              </w:rPr>
              <w:t>Funding</w:t>
            </w:r>
          </w:p>
        </w:tc>
        <w:tc>
          <w:tcPr>
            <w:tcW w:w="0" w:type="auto"/>
            <w:hideMark/>
          </w:tcPr>
          <w:p w14:paraId="6AB5B7F4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Funding</w:t>
            </w:r>
          </w:p>
        </w:tc>
        <w:tc>
          <w:tcPr>
            <w:tcW w:w="0" w:type="auto"/>
            <w:hideMark/>
          </w:tcPr>
          <w:p w14:paraId="585EEBEC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Notes that no external funding was received for the study.</w:t>
            </w:r>
          </w:p>
        </w:tc>
        <w:tc>
          <w:tcPr>
            <w:tcW w:w="0" w:type="auto"/>
            <w:hideMark/>
          </w:tcPr>
          <w:p w14:paraId="4C8DA63C" w14:textId="43E6ABC5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64116C" w:rsidRPr="00423195" w14:paraId="0A4E0CE3" w14:textId="77777777" w:rsidTr="0064116C">
        <w:tc>
          <w:tcPr>
            <w:tcW w:w="0" w:type="auto"/>
            <w:hideMark/>
          </w:tcPr>
          <w:p w14:paraId="3753C071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  <w:b/>
                <w:bCs/>
              </w:rPr>
              <w:t>Acknowledgments</w:t>
            </w:r>
          </w:p>
        </w:tc>
        <w:tc>
          <w:tcPr>
            <w:tcW w:w="0" w:type="auto"/>
            <w:hideMark/>
          </w:tcPr>
          <w:p w14:paraId="230A7EDA" w14:textId="7777777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>Contributions</w:t>
            </w:r>
          </w:p>
        </w:tc>
        <w:tc>
          <w:tcPr>
            <w:tcW w:w="0" w:type="auto"/>
            <w:hideMark/>
          </w:tcPr>
          <w:p w14:paraId="64B135D4" w14:textId="1AF39B07" w:rsidR="0064116C" w:rsidRPr="00423195" w:rsidRDefault="0064116C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423195">
              <w:rPr>
                <w:rFonts w:ascii="Times New Roman" w:hAnsi="Times New Roman" w:cs="Times New Roman"/>
              </w:rPr>
              <w:t xml:space="preserve">Acknowledges technical contribution from </w:t>
            </w:r>
            <w:proofErr w:type="spellStart"/>
            <w:r w:rsidRPr="00423195">
              <w:rPr>
                <w:rFonts w:ascii="Times New Roman" w:hAnsi="Times New Roman" w:cs="Times New Roman"/>
              </w:rPr>
              <w:t>BioRender</w:t>
            </w:r>
            <w:proofErr w:type="spellEnd"/>
          </w:p>
        </w:tc>
        <w:tc>
          <w:tcPr>
            <w:tcW w:w="0" w:type="auto"/>
            <w:hideMark/>
          </w:tcPr>
          <w:p w14:paraId="7D6AEE8A" w14:textId="58291CA5" w:rsidR="0064116C" w:rsidRPr="00423195" w:rsidRDefault="003F69AA" w:rsidP="0064116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bookmarkStart w:id="0" w:name="_GoBack"/>
            <w:bookmarkEnd w:id="0"/>
          </w:p>
        </w:tc>
      </w:tr>
    </w:tbl>
    <w:p w14:paraId="6F511164" w14:textId="5E39043C" w:rsidR="0064116C" w:rsidRPr="0064116C" w:rsidRDefault="0064116C" w:rsidP="0064116C"/>
    <w:p w14:paraId="0826DAC7" w14:textId="77777777" w:rsidR="0064116C" w:rsidRDefault="0064116C"/>
    <w:sectPr w:rsidR="0064116C" w:rsidSect="0064116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16C"/>
    <w:rsid w:val="003F69AA"/>
    <w:rsid w:val="00423195"/>
    <w:rsid w:val="0064116C"/>
    <w:rsid w:val="00675167"/>
    <w:rsid w:val="006A7BBA"/>
    <w:rsid w:val="007E2857"/>
    <w:rsid w:val="00AD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941B2"/>
  <w15:chartTrackingRefBased/>
  <w15:docId w15:val="{B9E8212D-479D-6842-9766-2389D4174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41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41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411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41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411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411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411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411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411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41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41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41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4116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4116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4116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4116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4116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411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41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41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411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41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411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4116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4116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4116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41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4116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4116C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wach</dc:creator>
  <cp:keywords/>
  <dc:description/>
  <cp:lastModifiedBy>Wach, Johannes</cp:lastModifiedBy>
  <cp:revision>3</cp:revision>
  <dcterms:created xsi:type="dcterms:W3CDTF">2025-01-23T19:30:00Z</dcterms:created>
  <dcterms:modified xsi:type="dcterms:W3CDTF">2025-02-21T11:31:00Z</dcterms:modified>
</cp:coreProperties>
</file>