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9C45" w14:textId="5DDFFA96" w:rsidR="0088451D" w:rsidRPr="007A70A4" w:rsidRDefault="00000000" w:rsidP="007A70A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70A4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r w:rsidR="007A70A4" w:rsidRPr="007A7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</w:t>
      </w:r>
      <w:r w:rsidR="00F7354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7A70A4">
        <w:rPr>
          <w:rFonts w:ascii="Times New Roman" w:eastAsia="Times New Roman" w:hAnsi="Times New Roman" w:cs="Times New Roman"/>
          <w:b/>
          <w:bCs/>
          <w:sz w:val="24"/>
          <w:szCs w:val="24"/>
        </w:rPr>
        <w:t>. Detailed search strategy</w:t>
      </w:r>
      <w:r w:rsidR="007A70A4" w:rsidRPr="007A70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study protocol</w:t>
      </w:r>
    </w:p>
    <w:p w14:paraId="51FBB1AC" w14:textId="77777777" w:rsidR="0088451D" w:rsidRDefault="0088451D">
      <w:pPr>
        <w:rPr>
          <w:rFonts w:ascii="Times New Roman" w:eastAsia="Times New Roman" w:hAnsi="Times New Roman" w:cs="Times New Roman"/>
        </w:rPr>
      </w:pPr>
    </w:p>
    <w:p w14:paraId="3FDBEC93" w14:textId="620185ED" w:rsidR="0088451D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following search terms were employed: “os odontoideum”. The search techniques for the databases followed the same general design, taking into account the specific syntactic needs of the search engine. All of the records identified up to </w:t>
      </w:r>
      <w:r w:rsidR="00DE6586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 xml:space="preserve">th of </w:t>
      </w:r>
      <w:r w:rsidR="00DE6586">
        <w:rPr>
          <w:rFonts w:ascii="Times New Roman" w:eastAsia="Times New Roman" w:hAnsi="Times New Roman" w:cs="Times New Roman"/>
        </w:rPr>
        <w:t>July</w:t>
      </w:r>
      <w:r>
        <w:rPr>
          <w:rFonts w:ascii="Times New Roman" w:eastAsia="Times New Roman" w:hAnsi="Times New Roman" w:cs="Times New Roman"/>
        </w:rPr>
        <w:t>, 2025.</w:t>
      </w:r>
    </w:p>
    <w:p w14:paraId="730F9C1D" w14:textId="77777777" w:rsidR="0088451D" w:rsidRDefault="0088451D">
      <w:pPr>
        <w:jc w:val="both"/>
        <w:rPr>
          <w:rFonts w:ascii="Times New Roman" w:eastAsia="Times New Roman" w:hAnsi="Times New Roman" w:cs="Times New Roman"/>
        </w:rPr>
      </w:pPr>
    </w:p>
    <w:p w14:paraId="38E50723" w14:textId="77777777" w:rsidR="0088451D" w:rsidRDefault="0088451D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02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10"/>
        <w:gridCol w:w="3009"/>
        <w:gridCol w:w="3009"/>
      </w:tblGrid>
      <w:tr w:rsidR="0088451D" w14:paraId="3DBC7402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F9445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Database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7EAA5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Search terms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6BAB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Results</w:t>
            </w:r>
          </w:p>
        </w:tc>
      </w:tr>
      <w:tr w:rsidR="0088451D" w14:paraId="5173B4BC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B585B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Pubmed/Medline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568E" w14:textId="77777777" w:rsidR="0088451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"os odontoideum"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A419B" w14:textId="42D5E543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C20374">
              <w:rPr>
                <w:rFonts w:ascii="Times New Roman" w:eastAsia="Times New Roman" w:hAnsi="Times New Roman" w:cs="Times New Roman"/>
              </w:rPr>
              <w:t>23</w:t>
            </w:r>
          </w:p>
        </w:tc>
      </w:tr>
      <w:tr w:rsidR="0088451D" w14:paraId="58AF3E7B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96E4B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Embase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91B3F" w14:textId="77777777" w:rsidR="0088451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'os odontoideum'/exp OR 'os odontoideum'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71E38" w14:textId="0EFF9819" w:rsidR="0088451D" w:rsidRDefault="007E7D9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615</w:t>
            </w:r>
          </w:p>
        </w:tc>
      </w:tr>
      <w:tr w:rsidR="0088451D" w14:paraId="215FACFE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CE380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ScienceDirect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09823" w14:textId="77777777" w:rsidR="0088451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"os odontoideum"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7378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760</w:t>
            </w:r>
          </w:p>
        </w:tc>
      </w:tr>
      <w:tr w:rsidR="0088451D" w14:paraId="3D935A9C" w14:textId="77777777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C636A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Scopus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BCDD" w14:textId="77777777" w:rsidR="0088451D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"os odontoideum"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03EBB" w14:textId="77777777" w:rsidR="0088451D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587</w:t>
            </w:r>
          </w:p>
        </w:tc>
      </w:tr>
    </w:tbl>
    <w:p w14:paraId="5907E1DF" w14:textId="77777777" w:rsidR="0088451D" w:rsidRDefault="0088451D">
      <w:pPr>
        <w:rPr>
          <w:rFonts w:ascii="Times New Roman" w:eastAsia="Times New Roman" w:hAnsi="Times New Roman" w:cs="Times New Roman"/>
        </w:rPr>
      </w:pPr>
    </w:p>
    <w:p w14:paraId="3BC8177C" w14:textId="77777777" w:rsidR="0025502C" w:rsidRDefault="0025502C">
      <w:pPr>
        <w:rPr>
          <w:rFonts w:ascii="Times New Roman" w:eastAsia="Times New Roman" w:hAnsi="Times New Roman" w:cs="Times New Roman"/>
        </w:rPr>
      </w:pPr>
    </w:p>
    <w:p w14:paraId="7242184A" w14:textId="77777777" w:rsidR="0025502C" w:rsidRDefault="0025502C">
      <w:pPr>
        <w:rPr>
          <w:rFonts w:ascii="Times New Roman" w:eastAsia="Times New Roman" w:hAnsi="Times New Roman" w:cs="Times New Roman"/>
        </w:rPr>
      </w:pPr>
    </w:p>
    <w:p w14:paraId="7DDF0D71" w14:textId="0639CB8A" w:rsidR="00455EFB" w:rsidRDefault="007A70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Following the round of peer review, the authors complemented the search with </w:t>
      </w:r>
      <w:bookmarkStart w:id="0" w:name="_Hlk215823579"/>
      <w:r>
        <w:rPr>
          <w:rFonts w:ascii="Times New Roman" w:eastAsia="Times New Roman" w:hAnsi="Times New Roman" w:cs="Times New Roman"/>
        </w:rPr>
        <w:t>the b</w:t>
      </w:r>
      <w:r w:rsidRPr="007A70A4">
        <w:rPr>
          <w:rFonts w:ascii="Times New Roman" w:eastAsia="Times New Roman" w:hAnsi="Times New Roman" w:cs="Times New Roman"/>
        </w:rPr>
        <w:t xml:space="preserve">roader combinations of MeSH and free-text terms </w:t>
      </w:r>
      <w:bookmarkEnd w:id="0"/>
      <w:r w:rsidRPr="007A70A4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„os odontoideum”,</w:t>
      </w:r>
      <w:r w:rsidRPr="007A70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„</w:t>
      </w:r>
      <w:r w:rsidRPr="007A70A4">
        <w:rPr>
          <w:rFonts w:ascii="Times New Roman" w:eastAsia="Times New Roman" w:hAnsi="Times New Roman" w:cs="Times New Roman"/>
        </w:rPr>
        <w:t>odontoid anomaly”</w:t>
      </w:r>
      <w:r>
        <w:rPr>
          <w:rFonts w:ascii="Times New Roman" w:eastAsia="Times New Roman" w:hAnsi="Times New Roman" w:cs="Times New Roman"/>
        </w:rPr>
        <w:t>,</w:t>
      </w:r>
      <w:r w:rsidRPr="007A70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„</w:t>
      </w:r>
      <w:r w:rsidRPr="007A70A4">
        <w:rPr>
          <w:rFonts w:ascii="Times New Roman" w:eastAsia="Times New Roman" w:hAnsi="Times New Roman" w:cs="Times New Roman"/>
        </w:rPr>
        <w:t>dens malformation”</w:t>
      </w:r>
      <w:r>
        <w:rPr>
          <w:rFonts w:ascii="Times New Roman" w:eastAsia="Times New Roman" w:hAnsi="Times New Roman" w:cs="Times New Roman"/>
        </w:rPr>
        <w:t>,</w:t>
      </w:r>
      <w:r w:rsidRPr="007A70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„</w:t>
      </w:r>
      <w:r w:rsidRPr="007A70A4">
        <w:rPr>
          <w:rFonts w:ascii="Times New Roman" w:eastAsia="Times New Roman" w:hAnsi="Times New Roman" w:cs="Times New Roman"/>
        </w:rPr>
        <w:t>atlantoaxial abnormality”</w:t>
      </w:r>
      <w:r>
        <w:rPr>
          <w:rFonts w:ascii="Times New Roman" w:eastAsia="Times New Roman" w:hAnsi="Times New Roman" w:cs="Times New Roman"/>
        </w:rPr>
        <w:t>,</w:t>
      </w:r>
      <w:r w:rsidRPr="007A70A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„</w:t>
      </w:r>
      <w:r w:rsidRPr="007A70A4">
        <w:rPr>
          <w:rFonts w:ascii="Times New Roman" w:eastAsia="Times New Roman" w:hAnsi="Times New Roman" w:cs="Times New Roman"/>
        </w:rPr>
        <w:t>C2 dens ossicle</w:t>
      </w:r>
      <w:r>
        <w:rPr>
          <w:rFonts w:ascii="Times New Roman" w:eastAsia="Times New Roman" w:hAnsi="Times New Roman" w:cs="Times New Roman"/>
        </w:rPr>
        <w:t xml:space="preserve">”) with filtered out reviews and single case reports and the complete Boolean string </w:t>
      </w:r>
      <w:r w:rsidR="00F73540">
        <w:rPr>
          <w:rFonts w:ascii="Times New Roman" w:eastAsia="Times New Roman" w:hAnsi="Times New Roman" w:cs="Times New Roman"/>
        </w:rPr>
        <w:t xml:space="preserve">in PubMed </w:t>
      </w:r>
      <w:r>
        <w:rPr>
          <w:rFonts w:ascii="Times New Roman" w:eastAsia="Times New Roman" w:hAnsi="Times New Roman" w:cs="Times New Roman"/>
        </w:rPr>
        <w:t xml:space="preserve">being as follows: </w:t>
      </w:r>
      <w:r w:rsidRPr="007A70A4">
        <w:rPr>
          <w:rFonts w:ascii="Times New Roman" w:eastAsia="Times New Roman" w:hAnsi="Times New Roman" w:cs="Times New Roman"/>
        </w:rPr>
        <w:t>("os odontoideum"[All Fields] OR (("odontoid"[All Fields] OR "odontoids"[All Fields]) AND ("abnormalities"[MeSH Subheading] OR "abnormalities"[All Fields] OR "anomalies"[All Fields] OR "anomalie"[All Fields] OR "anomaly"[All Fields])) OR "dens malformation"[All Fields] OR ("atlantoaxial"[All Fields] AND ("abnormal"[All Fields] OR "abnormalities"[MeSH Subheading] OR "abnormalities"[All Fields] OR "congenital abnormalities"[MeSH Terms] OR ("congenital"[All Fields] AND "abnormalities"[All Fields]) OR "congenital abnormalities"[All Fields] OR "abnormality"[All Fields] OR "abnormally"[All Fields] OR "abnormals"[All Fields] OR "abnormities"[All Fields] OR "abnormity"[All Fields])) OR ("c2"[All Fields] AND ("dens"[Journal] OR "dens curitiba"[Journal] OR "dens"[All Fields]) AND ("ossicle"[All Fields] OR "ossicles"[All Fields]))) AND (casereports[Filter] OR review[Filter] OR systematicreview[Filter])</w:t>
      </w:r>
      <w:r>
        <w:rPr>
          <w:rFonts w:ascii="Times New Roman" w:eastAsia="Times New Roman" w:hAnsi="Times New Roman" w:cs="Times New Roman"/>
        </w:rPr>
        <w:t xml:space="preserve">. </w:t>
      </w:r>
    </w:p>
    <w:p w14:paraId="04D8D35F" w14:textId="321853C7" w:rsidR="007A70A4" w:rsidRDefault="00455E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complementary </w:t>
      </w:r>
      <w:r w:rsidR="007A70A4">
        <w:rPr>
          <w:rFonts w:ascii="Times New Roman" w:eastAsia="Times New Roman" w:hAnsi="Times New Roman" w:cs="Times New Roman"/>
        </w:rPr>
        <w:t>Pubmed search produced 987 records, Embase</w:t>
      </w:r>
      <w:r w:rsidR="00F73540">
        <w:rPr>
          <w:rFonts w:ascii="Times New Roman" w:eastAsia="Times New Roman" w:hAnsi="Times New Roman" w:cs="Times New Roman"/>
        </w:rPr>
        <w:t xml:space="preserve"> 1657 records, </w:t>
      </w:r>
      <w:r>
        <w:rPr>
          <w:rFonts w:ascii="Times New Roman" w:eastAsia="Times New Roman" w:hAnsi="Times New Roman" w:cs="Times New Roman"/>
        </w:rPr>
        <w:t xml:space="preserve">Scopus </w:t>
      </w:r>
      <w:r w:rsidRPr="00455EFB">
        <w:rPr>
          <w:rFonts w:ascii="Times New Roman" w:eastAsia="Times New Roman" w:hAnsi="Times New Roman" w:cs="Times New Roman"/>
        </w:rPr>
        <w:t>2226</w:t>
      </w:r>
      <w:r>
        <w:rPr>
          <w:rFonts w:ascii="Times New Roman" w:eastAsia="Times New Roman" w:hAnsi="Times New Roman" w:cs="Times New Roman"/>
        </w:rPr>
        <w:t>, with no new articles meeting eligibility criteria.</w:t>
      </w:r>
    </w:p>
    <w:p w14:paraId="05E2F8BF" w14:textId="77777777" w:rsidR="007A70A4" w:rsidRDefault="007A70A4">
      <w:pPr>
        <w:rPr>
          <w:rFonts w:ascii="Times New Roman" w:eastAsia="Times New Roman" w:hAnsi="Times New Roman" w:cs="Times New Roman"/>
        </w:rPr>
      </w:pPr>
    </w:p>
    <w:p w14:paraId="51D2072A" w14:textId="77777777" w:rsidR="007A70A4" w:rsidRDefault="007A70A4">
      <w:pPr>
        <w:rPr>
          <w:rFonts w:ascii="Times New Roman" w:eastAsia="Times New Roman" w:hAnsi="Times New Roman" w:cs="Times New Roman"/>
        </w:rPr>
      </w:pPr>
    </w:p>
    <w:p w14:paraId="3687FEDA" w14:textId="1A48D0E2" w:rsidR="007A70A4" w:rsidRDefault="007A70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C854C7C" w14:textId="2FF2F9B6" w:rsidR="007A70A4" w:rsidRPr="007A70A4" w:rsidRDefault="007A70A4" w:rsidP="007A70A4">
      <w:pPr>
        <w:spacing w:after="160"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7A70A4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lastRenderedPageBreak/>
        <w:t>Supplementary Material</w:t>
      </w:r>
      <w:r w:rsidR="00F73540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2b.</w:t>
      </w:r>
      <w:r w:rsidRPr="007A70A4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 Study Protocol</w:t>
      </w:r>
    </w:p>
    <w:p w14:paraId="20D42A35" w14:textId="77777777" w:rsidR="007A70A4" w:rsidRPr="007A70A4" w:rsidRDefault="007A70A4" w:rsidP="007A70A4">
      <w:pPr>
        <w:spacing w:before="240" w:after="240" w:line="36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</w:pPr>
      <w:bookmarkStart w:id="1" w:name="_Hlk214192144"/>
      <w:r w:rsidRPr="007A70A4">
        <w:rPr>
          <w:rFonts w:ascii="Times New Roman" w:eastAsia="Times New Roman" w:hAnsi="Times New Roman" w:cs="Times New Roman"/>
          <w:b/>
          <w:kern w:val="2"/>
          <w:sz w:val="24"/>
          <w:szCs w:val="24"/>
          <w:lang w:val="en-US"/>
          <w14:ligatures w14:val="standardContextual"/>
        </w:rPr>
        <w:t>Prevalence of os odontoideum: a systematic review, meta-analysis and meta-regression with implications for vertebral artery and osseous anomalies</w:t>
      </w:r>
    </w:p>
    <w:bookmarkEnd w:id="1"/>
    <w:p w14:paraId="3EC2363C" w14:textId="63A36FFA" w:rsidR="004A7443" w:rsidRPr="00524E40" w:rsidRDefault="004A7443" w:rsidP="004A7443">
      <w:pPr>
        <w:spacing w:before="240" w:after="240" w:line="360" w:lineRule="auto"/>
        <w:rPr>
          <w:rFonts w:ascii="Times New Roman" w:eastAsia="Times New Roman" w:hAnsi="Times New Roman" w:cs="Times New Roman"/>
          <w:vertAlign w:val="superscript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Tomasz Klepinowski</w:t>
      </w:r>
      <w:r w:rsidRPr="00750CF9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,</w:t>
      </w:r>
      <w:r w:rsidR="0045168E"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 w:rsidRPr="00524E40">
        <w:rPr>
          <w:rFonts w:ascii="Times New Roman" w:eastAsia="Times New Roman" w:hAnsi="Times New Roman" w:cs="Times New Roman"/>
          <w:lang w:val="en-US"/>
        </w:rPr>
        <w:t>, Aleksander Osiowski</w:t>
      </w:r>
      <w:r w:rsidRPr="00524E40">
        <w:rPr>
          <w:rFonts w:ascii="Times New Roman" w:eastAsia="Times New Roman" w:hAnsi="Times New Roman" w:cs="Times New Roman"/>
          <w:vertAlign w:val="superscript"/>
          <w:lang w:val="en-US"/>
        </w:rPr>
        <w:t>2,3</w:t>
      </w:r>
      <w:r w:rsidRPr="00524E40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524E40">
        <w:rPr>
          <w:rFonts w:ascii="Times New Roman" w:eastAsia="Times New Roman" w:hAnsi="Times New Roman" w:cs="Times New Roman"/>
          <w:lang w:val="en-US"/>
        </w:rPr>
        <w:t>Weronika Grzyb</w:t>
      </w:r>
      <w:r w:rsidRPr="00524E40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>
        <w:rPr>
          <w:rFonts w:ascii="Times New Roman" w:eastAsia="Times New Roman" w:hAnsi="Times New Roman" w:cs="Times New Roman"/>
          <w:lang w:val="en-US"/>
        </w:rPr>
        <w:t>, Giuseppe Esposito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Pr="00524E40">
        <w:rPr>
          <w:rFonts w:ascii="Times New Roman" w:eastAsia="Times New Roman" w:hAnsi="Times New Roman" w:cs="Times New Roman"/>
          <w:lang w:val="en-US"/>
        </w:rPr>
        <w:t>Maksymilian Osiowski</w:t>
      </w:r>
      <w:r w:rsidRPr="00524E40">
        <w:rPr>
          <w:rFonts w:ascii="Times New Roman" w:eastAsia="Times New Roman" w:hAnsi="Times New Roman" w:cs="Times New Roman"/>
          <w:vertAlign w:val="superscript"/>
          <w:lang w:val="en-US"/>
        </w:rPr>
        <w:t>2,3</w:t>
      </w:r>
      <w:r w:rsidRPr="00524E40">
        <w:rPr>
          <w:rFonts w:ascii="Times New Roman" w:eastAsia="Times New Roman" w:hAnsi="Times New Roman" w:cs="Times New Roman"/>
          <w:lang w:val="en-US"/>
        </w:rPr>
        <w:t>,</w:t>
      </w:r>
      <w:r>
        <w:rPr>
          <w:rFonts w:ascii="Times New Roman" w:eastAsia="Times New Roman" w:hAnsi="Times New Roman" w:cs="Times New Roman"/>
          <w:lang w:val="en-US"/>
        </w:rPr>
        <w:t xml:space="preserve"> Marta Klepinowska</w:t>
      </w:r>
      <w:r w:rsidRPr="00037024">
        <w:rPr>
          <w:rFonts w:ascii="Times New Roman" w:eastAsia="Times New Roman" w:hAnsi="Times New Roman" w:cs="Times New Roman"/>
          <w:vertAlign w:val="superscript"/>
          <w:lang w:val="en-US"/>
        </w:rPr>
        <w:t>5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Pr="00524E40">
        <w:rPr>
          <w:rFonts w:ascii="Times New Roman" w:eastAsia="Times New Roman" w:hAnsi="Times New Roman" w:cs="Times New Roman"/>
          <w:lang w:val="en-US"/>
        </w:rPr>
        <w:t>Dominik Taterra</w:t>
      </w:r>
      <w:r w:rsidRPr="00524E40">
        <w:rPr>
          <w:rFonts w:ascii="Times New Roman" w:eastAsia="Times New Roman" w:hAnsi="Times New Roman" w:cs="Times New Roman"/>
          <w:vertAlign w:val="superscript"/>
          <w:lang w:val="en-US"/>
        </w:rPr>
        <w:t>3,</w:t>
      </w:r>
      <w:r>
        <w:rPr>
          <w:rFonts w:ascii="Times New Roman" w:eastAsia="Times New Roman" w:hAnsi="Times New Roman" w:cs="Times New Roman"/>
          <w:vertAlign w:val="superscript"/>
          <w:lang w:val="en-US"/>
        </w:rPr>
        <w:t>6</w:t>
      </w:r>
      <w:r w:rsidRPr="00524E40">
        <w:rPr>
          <w:rFonts w:ascii="Times New Roman" w:eastAsia="Times New Roman" w:hAnsi="Times New Roman" w:cs="Times New Roman"/>
          <w:lang w:val="en-US"/>
        </w:rPr>
        <w:t>, Leszek Sagan</w:t>
      </w:r>
      <w:r w:rsidRPr="00524E40">
        <w:rPr>
          <w:rFonts w:ascii="Times New Roman" w:eastAsia="Times New Roman" w:hAnsi="Times New Roman" w:cs="Times New Roman"/>
          <w:vertAlign w:val="superscript"/>
          <w:lang w:val="en-US"/>
        </w:rPr>
        <w:t>1</w:t>
      </w:r>
      <w:r w:rsidRPr="00524E40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BA7793C" w14:textId="77777777" w:rsidR="004A7443" w:rsidRPr="003A07CC" w:rsidRDefault="004A7443" w:rsidP="004A7443">
      <w:pPr>
        <w:rPr>
          <w:rFonts w:ascii="Times New Roman" w:eastAsia="Times New Roman" w:hAnsi="Times New Roman" w:cs="Times New Roman"/>
        </w:rPr>
      </w:pPr>
      <w:r w:rsidRPr="003A07CC">
        <w:rPr>
          <w:rFonts w:ascii="Times New Roman" w:eastAsia="Times New Roman" w:hAnsi="Times New Roman" w:cs="Times New Roman"/>
          <w:vertAlign w:val="superscript"/>
        </w:rPr>
        <w:t>1</w:t>
      </w:r>
      <w:r w:rsidRPr="003A07CC">
        <w:rPr>
          <w:rFonts w:ascii="Times New Roman" w:eastAsia="Times New Roman" w:hAnsi="Times New Roman" w:cs="Times New Roman"/>
        </w:rPr>
        <w:t>Department of Neurosurgery, Pomeranian Medical University Hospital No 1, Szczecin, Poland</w:t>
      </w:r>
    </w:p>
    <w:p w14:paraId="22E2B9AE" w14:textId="77777777" w:rsidR="004A7443" w:rsidRPr="003A07CC" w:rsidRDefault="004A7443" w:rsidP="004A7443">
      <w:pPr>
        <w:rPr>
          <w:rFonts w:ascii="Times New Roman" w:eastAsia="Times New Roman" w:hAnsi="Times New Roman" w:cs="Times New Roman"/>
        </w:rPr>
      </w:pPr>
      <w:r w:rsidRPr="003A07CC">
        <w:rPr>
          <w:rFonts w:ascii="Times New Roman" w:eastAsia="Times New Roman" w:hAnsi="Times New Roman" w:cs="Times New Roman"/>
          <w:vertAlign w:val="superscript"/>
        </w:rPr>
        <w:t>2</w:t>
      </w:r>
      <w:r w:rsidRPr="003A07CC">
        <w:rPr>
          <w:rFonts w:ascii="Times New Roman" w:eastAsia="Times New Roman" w:hAnsi="Times New Roman" w:cs="Times New Roman"/>
        </w:rPr>
        <w:t>Faculty of Medicine, Jagiellonian University Medical College, Krakow, Poland</w:t>
      </w:r>
    </w:p>
    <w:p w14:paraId="6EFA1B9B" w14:textId="77777777" w:rsidR="004A7443" w:rsidRPr="003A07CC" w:rsidRDefault="004A7443" w:rsidP="004A7443">
      <w:pPr>
        <w:rPr>
          <w:rFonts w:ascii="Times New Roman" w:eastAsia="Times New Roman" w:hAnsi="Times New Roman" w:cs="Times New Roman"/>
        </w:rPr>
      </w:pPr>
      <w:r w:rsidRPr="003A07CC">
        <w:rPr>
          <w:rFonts w:ascii="Times New Roman" w:eastAsia="Times New Roman" w:hAnsi="Times New Roman" w:cs="Times New Roman"/>
          <w:vertAlign w:val="superscript"/>
        </w:rPr>
        <w:t>3</w:t>
      </w:r>
      <w:r w:rsidRPr="003A07CC">
        <w:rPr>
          <w:rFonts w:ascii="Times New Roman" w:eastAsia="Times New Roman" w:hAnsi="Times New Roman" w:cs="Times New Roman"/>
        </w:rPr>
        <w:t>Ortho and Spine Research Group, Zakopane, Poland</w:t>
      </w:r>
    </w:p>
    <w:p w14:paraId="0C01E985" w14:textId="77777777" w:rsidR="004A7443" w:rsidRPr="003A07CC" w:rsidRDefault="004A7443" w:rsidP="004A7443">
      <w:pPr>
        <w:rPr>
          <w:rFonts w:ascii="Times New Roman" w:eastAsia="Times New Roman" w:hAnsi="Times New Roman" w:cs="Times New Roman"/>
        </w:rPr>
      </w:pPr>
      <w:r w:rsidRPr="003A07CC">
        <w:rPr>
          <w:rFonts w:ascii="Times New Roman" w:eastAsia="Times New Roman" w:hAnsi="Times New Roman" w:cs="Times New Roman"/>
          <w:vertAlign w:val="superscript"/>
        </w:rPr>
        <w:t>4</w:t>
      </w:r>
      <w:r w:rsidRPr="003A07CC">
        <w:rPr>
          <w:rFonts w:ascii="Times New Roman" w:eastAsia="Times New Roman" w:hAnsi="Times New Roman" w:cs="Times New Roman"/>
        </w:rPr>
        <w:t>Department of Neurosurgery, University Hospital Zurich, Zurich, Switzerland</w:t>
      </w:r>
    </w:p>
    <w:p w14:paraId="40684F7C" w14:textId="77777777" w:rsidR="004A7443" w:rsidRPr="003A07CC" w:rsidRDefault="004A7443" w:rsidP="004A7443">
      <w:pPr>
        <w:rPr>
          <w:rFonts w:ascii="Times New Roman" w:eastAsia="Times New Roman" w:hAnsi="Times New Roman" w:cs="Times New Roman"/>
        </w:rPr>
      </w:pPr>
      <w:r w:rsidRPr="003A07CC">
        <w:rPr>
          <w:rFonts w:ascii="Times New Roman" w:eastAsia="Times New Roman" w:hAnsi="Times New Roman" w:cs="Times New Roman"/>
          <w:vertAlign w:val="superscript"/>
        </w:rPr>
        <w:t>5</w:t>
      </w:r>
      <w:r w:rsidRPr="003A07CC">
        <w:rPr>
          <w:rFonts w:ascii="Times New Roman" w:eastAsia="Times New Roman" w:hAnsi="Times New Roman" w:cs="Times New Roman"/>
        </w:rPr>
        <w:t>Department of Endocrinology, Metabolic and Internal Diseases, Pomeranian Medical University Hospital No. 1, Szczecin, Poland</w:t>
      </w:r>
    </w:p>
    <w:p w14:paraId="7CBE1C6A" w14:textId="77777777" w:rsidR="004A7443" w:rsidRPr="003A07CC" w:rsidRDefault="004A7443" w:rsidP="004A7443">
      <w:pPr>
        <w:rPr>
          <w:rFonts w:ascii="Times New Roman" w:eastAsia="Times New Roman" w:hAnsi="Times New Roman" w:cs="Times New Roman"/>
        </w:rPr>
      </w:pPr>
      <w:r w:rsidRPr="003A07CC">
        <w:rPr>
          <w:rFonts w:ascii="Times New Roman" w:eastAsia="Times New Roman" w:hAnsi="Times New Roman" w:cs="Times New Roman"/>
          <w:vertAlign w:val="superscript"/>
        </w:rPr>
        <w:t>6</w:t>
      </w:r>
      <w:r w:rsidRPr="003A07CC">
        <w:rPr>
          <w:rFonts w:ascii="Times New Roman" w:eastAsia="Times New Roman" w:hAnsi="Times New Roman" w:cs="Times New Roman"/>
        </w:rPr>
        <w:t>Department of Orthopedics and Rehabilitation, Jagiellonian University Medical College, Zakopane, Poland</w:t>
      </w:r>
    </w:p>
    <w:p w14:paraId="51DE390A" w14:textId="77777777" w:rsidR="007A70A4" w:rsidRPr="007A70A4" w:rsidRDefault="007A70A4" w:rsidP="007A70A4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val="en-US"/>
          <w14:ligatures w14:val="standardContextual"/>
        </w:rPr>
      </w:pPr>
    </w:p>
    <w:p w14:paraId="553F09AD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1. Objectives</w:t>
      </w:r>
    </w:p>
    <w:p w14:paraId="6E6311E7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primary objective of this study is to determine the </w:t>
      </w:r>
      <w:r w:rsidRPr="00152704">
        <w:rPr>
          <w:rFonts w:ascii="Times New Roman" w:eastAsia="Times New Roman" w:hAnsi="Times New Roman" w:cs="Times New Roman"/>
          <w:sz w:val="24"/>
          <w:szCs w:val="24"/>
          <w:lang w:val="en-US"/>
        </w:rPr>
        <w:t>global pooled prevalence of os odontoideum (OO)</w:t>
      </w: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general population.</w:t>
      </w:r>
    </w:p>
    <w:p w14:paraId="69B2C5E0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Secondary objectives include:</w:t>
      </w:r>
    </w:p>
    <w:p w14:paraId="0A5DFF11" w14:textId="77777777" w:rsidR="007A70A4" w:rsidRPr="007A70A4" w:rsidRDefault="007A70A4" w:rsidP="007A70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Estimating the prevalence of OO among clinically relevant subgroups:</w:t>
      </w:r>
    </w:p>
    <w:p w14:paraId="530ED6BD" w14:textId="77777777" w:rsidR="007A70A4" w:rsidRPr="007A70A4" w:rsidRDefault="007A70A4" w:rsidP="007A70A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Individuals with craniofacial malformations</w:t>
      </w:r>
    </w:p>
    <w:p w14:paraId="7B50E6E6" w14:textId="77777777" w:rsidR="007A70A4" w:rsidRPr="007A70A4" w:rsidRDefault="007A70A4" w:rsidP="007A70A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Individuals with trisomy 21</w:t>
      </w:r>
    </w:p>
    <w:p w14:paraId="69B70861" w14:textId="77777777" w:rsidR="007A70A4" w:rsidRPr="007A70A4" w:rsidRDefault="007A70A4" w:rsidP="007A70A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Combined trisomy 21 and craniocervical symptom cohort</w:t>
      </w:r>
    </w:p>
    <w:p w14:paraId="2DC950C6" w14:textId="77777777" w:rsidR="007A70A4" w:rsidRPr="007A70A4" w:rsidRDefault="007A70A4" w:rsidP="007A70A4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Consecutive surgical craniocervical fixation cohorts</w:t>
      </w:r>
    </w:p>
    <w:p w14:paraId="1F2C861C" w14:textId="77777777" w:rsidR="007A70A4" w:rsidRPr="007A70A4" w:rsidRDefault="007A70A4" w:rsidP="007A70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Summarizing anatomical, radiological, and surgical implications of OO, including vertebral artery (VA) variations and congenital osseous anomalies.</w:t>
      </w:r>
    </w:p>
    <w:p w14:paraId="0A21B345" w14:textId="77777777" w:rsidR="007A70A4" w:rsidRPr="007A70A4" w:rsidRDefault="007A70A4" w:rsidP="007A70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Assessing potential sources of heterogeneity and publication bias.</w:t>
      </w:r>
    </w:p>
    <w:p w14:paraId="49E72267" w14:textId="77777777" w:rsidR="007A70A4" w:rsidRPr="007A70A4" w:rsidRDefault="007A70A4" w:rsidP="007A70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Performing </w:t>
      </w:r>
      <w:r w:rsidRPr="007A70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meta-regression</w:t>
      </w: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statistically compare OO prevalence across subgroups.</w:t>
      </w:r>
    </w:p>
    <w:p w14:paraId="431F9612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b/>
          <w:bCs/>
          <w:kern w:val="2"/>
          <w:sz w:val="36"/>
          <w:szCs w:val="36"/>
          <w:lang w:val="en-US"/>
          <w14:ligatures w14:val="standardContextual"/>
        </w:rPr>
      </w:pPr>
      <w:r w:rsidRPr="007A70A4">
        <w:rPr>
          <w:rFonts w:ascii="Times New Roman" w:eastAsia="Aptos" w:hAnsi="Times New Roman" w:cs="Times New Roman"/>
          <w:b/>
          <w:bCs/>
          <w:kern w:val="2"/>
          <w:sz w:val="36"/>
          <w:szCs w:val="36"/>
          <w:lang w:val="en-US"/>
          <w14:ligatures w14:val="standardContextual"/>
        </w:rPr>
        <w:t>2. Eligibility Criteria</w:t>
      </w:r>
    </w:p>
    <w:p w14:paraId="2DCD0369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2D08A8F0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4045D834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528414A3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30189193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</w:p>
    <w:p w14:paraId="39957E82" w14:textId="77777777" w:rsidR="007A70A4" w:rsidRPr="007A70A4" w:rsidRDefault="007A70A4" w:rsidP="007A70A4">
      <w:pPr>
        <w:spacing w:after="160" w:line="278" w:lineRule="auto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7A70A4"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  <w:lastRenderedPageBreak/>
        <w:t>Table 1. Eligibility criteria</w:t>
      </w:r>
    </w:p>
    <w:tbl>
      <w:tblPr>
        <w:tblStyle w:val="Zwykatabela21"/>
        <w:tblW w:w="0" w:type="auto"/>
        <w:tblLook w:val="04A0" w:firstRow="1" w:lastRow="0" w:firstColumn="1" w:lastColumn="0" w:noHBand="0" w:noVBand="1"/>
      </w:tblPr>
      <w:tblGrid>
        <w:gridCol w:w="1777"/>
        <w:gridCol w:w="7252"/>
      </w:tblGrid>
      <w:tr w:rsidR="007A70A4" w:rsidRPr="007A70A4" w14:paraId="3DB9A83B" w14:textId="77777777" w:rsidTr="00DD7A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230D5B" w14:textId="77777777" w:rsidR="007A70A4" w:rsidRPr="007A70A4" w:rsidRDefault="007A70A4" w:rsidP="007A70A4">
            <w:pPr>
              <w:jc w:val="center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Criterion</w:t>
            </w:r>
          </w:p>
        </w:tc>
        <w:tc>
          <w:tcPr>
            <w:tcW w:w="0" w:type="auto"/>
            <w:hideMark/>
          </w:tcPr>
          <w:p w14:paraId="56C42483" w14:textId="77777777" w:rsidR="007A70A4" w:rsidRPr="007A70A4" w:rsidRDefault="007A70A4" w:rsidP="007A70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Specification</w:t>
            </w:r>
          </w:p>
        </w:tc>
      </w:tr>
      <w:tr w:rsidR="007A70A4" w:rsidRPr="007A70A4" w14:paraId="2630ABDE" w14:textId="77777777" w:rsidTr="00DD7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77B5D4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Study types</w:t>
            </w:r>
          </w:p>
        </w:tc>
        <w:tc>
          <w:tcPr>
            <w:tcW w:w="0" w:type="auto"/>
            <w:hideMark/>
          </w:tcPr>
          <w:p w14:paraId="09874A0E" w14:textId="77777777" w:rsidR="007A70A4" w:rsidRPr="007A70A4" w:rsidRDefault="007A70A4" w:rsidP="007A70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Retrospective or prospective observational studies (cohort, cross-sectional).</w:t>
            </w:r>
          </w:p>
        </w:tc>
      </w:tr>
      <w:tr w:rsidR="007A70A4" w:rsidRPr="007A70A4" w14:paraId="4775DD1D" w14:textId="77777777" w:rsidTr="00DD7A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3E20A4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Participants</w:t>
            </w:r>
          </w:p>
        </w:tc>
        <w:tc>
          <w:tcPr>
            <w:tcW w:w="0" w:type="auto"/>
            <w:hideMark/>
          </w:tcPr>
          <w:p w14:paraId="4E7707DF" w14:textId="77777777" w:rsidR="007A70A4" w:rsidRPr="007A70A4" w:rsidRDefault="007A70A4" w:rsidP="007A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Human subjects of any age undergoing cervical imaging for any indication.</w:t>
            </w:r>
          </w:p>
        </w:tc>
      </w:tr>
      <w:tr w:rsidR="007A70A4" w:rsidRPr="007A70A4" w14:paraId="164E0EC0" w14:textId="77777777" w:rsidTr="00DD7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B078FB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Exposure / Definition</w:t>
            </w:r>
          </w:p>
        </w:tc>
        <w:tc>
          <w:tcPr>
            <w:tcW w:w="0" w:type="auto"/>
            <w:hideMark/>
          </w:tcPr>
          <w:p w14:paraId="001DE7B1" w14:textId="77777777" w:rsidR="007A70A4" w:rsidRPr="007A70A4" w:rsidRDefault="007A70A4" w:rsidP="007A70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OO diagnosed radiologically (radiograph, CT, MRI, CTA), defined as a well-corticated ossicle separated from the C2 body.</w:t>
            </w:r>
          </w:p>
        </w:tc>
      </w:tr>
      <w:tr w:rsidR="007A70A4" w:rsidRPr="007A70A4" w14:paraId="2EF77F18" w14:textId="77777777" w:rsidTr="00DD7A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989DFD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Outcomes</w:t>
            </w:r>
          </w:p>
        </w:tc>
        <w:tc>
          <w:tcPr>
            <w:tcW w:w="0" w:type="auto"/>
            <w:hideMark/>
          </w:tcPr>
          <w:p w14:paraId="38F1CAA2" w14:textId="77777777" w:rsidR="007A70A4" w:rsidRPr="007A70A4" w:rsidRDefault="007A70A4" w:rsidP="007A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(1) Prevalence of OO; (2) prevalence of associated vascular or osseous anomalies if available.</w:t>
            </w:r>
          </w:p>
        </w:tc>
      </w:tr>
      <w:tr w:rsidR="007A70A4" w:rsidRPr="007A70A4" w14:paraId="04B10754" w14:textId="77777777" w:rsidTr="00DD7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D3982E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Language</w:t>
            </w:r>
          </w:p>
        </w:tc>
        <w:tc>
          <w:tcPr>
            <w:tcW w:w="0" w:type="auto"/>
            <w:hideMark/>
          </w:tcPr>
          <w:p w14:paraId="3B81FC18" w14:textId="77777777" w:rsidR="007A70A4" w:rsidRPr="007A70A4" w:rsidRDefault="007A70A4" w:rsidP="007A70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No language restrictions; translations obtained when necessary.</w:t>
            </w:r>
          </w:p>
        </w:tc>
      </w:tr>
      <w:tr w:rsidR="007A70A4" w:rsidRPr="007A70A4" w14:paraId="3A3F941E" w14:textId="77777777" w:rsidTr="00DD7A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72D67E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Minimum size</w:t>
            </w:r>
          </w:p>
        </w:tc>
        <w:tc>
          <w:tcPr>
            <w:tcW w:w="0" w:type="auto"/>
            <w:hideMark/>
          </w:tcPr>
          <w:p w14:paraId="4E9B635C" w14:textId="77777777" w:rsidR="007A70A4" w:rsidRPr="007A70A4" w:rsidRDefault="007A70A4" w:rsidP="007A70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N &gt; 5 to reduce small-study bias and align with anatomical evidence-based methodology.</w:t>
            </w:r>
          </w:p>
        </w:tc>
      </w:tr>
      <w:tr w:rsidR="007A70A4" w:rsidRPr="007A70A4" w14:paraId="64B6E648" w14:textId="77777777" w:rsidTr="00DD7A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22189E" w14:textId="77777777" w:rsidR="007A70A4" w:rsidRPr="007A70A4" w:rsidRDefault="007A70A4" w:rsidP="007A70A4">
            <w:pPr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Exclusion criteria</w:t>
            </w:r>
          </w:p>
        </w:tc>
        <w:tc>
          <w:tcPr>
            <w:tcW w:w="0" w:type="auto"/>
            <w:hideMark/>
          </w:tcPr>
          <w:p w14:paraId="1B173773" w14:textId="77777777" w:rsidR="007A70A4" w:rsidRPr="007A70A4" w:rsidRDefault="007A70A4" w:rsidP="007A70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7A70A4">
              <w:rPr>
                <w:rFonts w:ascii="Times New Roman" w:eastAsia="Times New Roman" w:hAnsi="Times New Roman"/>
              </w:rPr>
              <w:t>Case reports or series with N &lt; 5, conference abstracts, reviews, animal/cadaveric studies, mixed cohorts where OO could not be separated from ossiculum terminale or odontoid fractures.</w:t>
            </w:r>
          </w:p>
        </w:tc>
      </w:tr>
    </w:tbl>
    <w:p w14:paraId="57AD3823" w14:textId="77777777" w:rsidR="007A70A4" w:rsidRPr="007A70A4" w:rsidRDefault="007A70A4" w:rsidP="007A70A4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val="en-US"/>
          <w14:ligatures w14:val="standardContextual"/>
        </w:rPr>
      </w:pPr>
    </w:p>
    <w:p w14:paraId="2B4F8AB5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3. Search Strategy</w:t>
      </w:r>
    </w:p>
    <w:p w14:paraId="2588FC20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Following PRISMA 2020 guidelines, a comprehensive search was performed in:</w:t>
      </w:r>
    </w:p>
    <w:p w14:paraId="133D1E36" w14:textId="77777777" w:rsidR="007A70A4" w:rsidRPr="007A70A4" w:rsidRDefault="007A70A4" w:rsidP="00F73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PubMed/MEDLINE</w:t>
      </w:r>
    </w:p>
    <w:p w14:paraId="2ABCB524" w14:textId="77777777" w:rsidR="007A70A4" w:rsidRPr="007A70A4" w:rsidRDefault="007A70A4" w:rsidP="00F73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Embase</w:t>
      </w:r>
    </w:p>
    <w:p w14:paraId="247DF069" w14:textId="77777777" w:rsidR="007A70A4" w:rsidRPr="007A70A4" w:rsidRDefault="007A70A4" w:rsidP="00F73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Scopus</w:t>
      </w:r>
    </w:p>
    <w:p w14:paraId="0E7CA6D1" w14:textId="77777777" w:rsidR="007A70A4" w:rsidRPr="007A70A4" w:rsidRDefault="007A70A4" w:rsidP="00F735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ScienceDirect</w:t>
      </w:r>
    </w:p>
    <w:p w14:paraId="5F185C04" w14:textId="77777777" w:rsid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Date last searched:</w:t>
      </w: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July 18th, 2025.</w:t>
      </w:r>
    </w:p>
    <w:p w14:paraId="2F1A0B0C" w14:textId="4913AA3A" w:rsidR="00152704" w:rsidRPr="007A70A4" w:rsidRDefault="0015270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Search string – as in Supplementary Material 2a.</w:t>
      </w:r>
    </w:p>
    <w:p w14:paraId="3BFBA52C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4. Study Selection Process</w:t>
      </w:r>
    </w:p>
    <w:p w14:paraId="3FFC5BEE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Two independent reviewers (W.G. and T.K.) screened:</w:t>
      </w:r>
    </w:p>
    <w:p w14:paraId="4F5F9639" w14:textId="77777777" w:rsidR="007A70A4" w:rsidRPr="007A70A4" w:rsidRDefault="007A70A4" w:rsidP="007A70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Titles &amp; abstracts → inclusion or exclusion</w:t>
      </w:r>
    </w:p>
    <w:p w14:paraId="2112DD9A" w14:textId="77777777" w:rsidR="007A70A4" w:rsidRPr="007A70A4" w:rsidRDefault="007A70A4" w:rsidP="007A70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Full texts for eligibility</w:t>
      </w:r>
    </w:p>
    <w:p w14:paraId="6BCC2F10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Disagreements were resolved by consensus or by consulting a third senior author (L.S.).</w:t>
      </w:r>
    </w:p>
    <w:p w14:paraId="13367C04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 cases of suspected overlapping cohorts, studies were cross-compared based on:</w:t>
      </w:r>
    </w:p>
    <w:p w14:paraId="2C405B07" w14:textId="77777777" w:rsidR="007A70A4" w:rsidRPr="007A70A4" w:rsidRDefault="007A70A4" w:rsidP="007A70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Institution and study period</w:t>
      </w:r>
    </w:p>
    <w:p w14:paraId="3BF0F083" w14:textId="77777777" w:rsidR="007A70A4" w:rsidRPr="007A70A4" w:rsidRDefault="007A70A4" w:rsidP="007A70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Age ranges</w:t>
      </w:r>
    </w:p>
    <w:p w14:paraId="2547AAAE" w14:textId="77777777" w:rsidR="007A70A4" w:rsidRPr="007A70A4" w:rsidRDefault="007A70A4" w:rsidP="007A70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Imaging modality</w:t>
      </w:r>
    </w:p>
    <w:p w14:paraId="496BADED" w14:textId="77777777" w:rsidR="007A70A4" w:rsidRPr="007A70A4" w:rsidRDefault="007A70A4" w:rsidP="007A70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Inclusion criteria</w:t>
      </w:r>
    </w:p>
    <w:p w14:paraId="42FC3956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Only the largest non-overlapping dataset was retained.</w:t>
      </w:r>
    </w:p>
    <w:p w14:paraId="613062B8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A PRISMA flow diagram is presented in </w:t>
      </w:r>
      <w:r w:rsidRPr="007A70A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Supplementary Material 1</w:t>
      </w: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8481BD1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5. Data Extraction</w:t>
      </w:r>
    </w:p>
    <w:p w14:paraId="215FD4C7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Data were extracted independently by two reviewers into a structured Excel sheet and included:</w:t>
      </w:r>
    </w:p>
    <w:p w14:paraId="7472A471" w14:textId="77777777" w:rsidR="007A70A4" w:rsidRPr="007A70A4" w:rsidRDefault="007A70A4" w:rsidP="007A70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Study metadata (author, year, region)</w:t>
      </w:r>
    </w:p>
    <w:p w14:paraId="6D1B6E32" w14:textId="77777777" w:rsidR="007A70A4" w:rsidRPr="007A70A4" w:rsidRDefault="007A70A4" w:rsidP="007A70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Sample size and subgroup classification</w:t>
      </w:r>
    </w:p>
    <w:p w14:paraId="505F6AC6" w14:textId="77777777" w:rsidR="007A70A4" w:rsidRPr="007A70A4" w:rsidRDefault="007A70A4" w:rsidP="007A70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Age distribution</w:t>
      </w:r>
    </w:p>
    <w:p w14:paraId="77901C72" w14:textId="77777777" w:rsidR="007A70A4" w:rsidRPr="007A70A4" w:rsidRDefault="007A70A4" w:rsidP="007A70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Number of OO cases</w:t>
      </w:r>
    </w:p>
    <w:p w14:paraId="6EA03E8B" w14:textId="77777777" w:rsidR="007A70A4" w:rsidRPr="007A70A4" w:rsidRDefault="007A70A4" w:rsidP="007A70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Imaging modality</w:t>
      </w:r>
    </w:p>
    <w:p w14:paraId="148C4187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Listwise deletion was used for missing data; authors were contacted when required.</w:t>
      </w:r>
    </w:p>
    <w:p w14:paraId="63BA823A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6. Risk of Bias Assessment</w:t>
      </w:r>
    </w:p>
    <w:p w14:paraId="0522CF07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Risk of bias was evaluated using the Anatomical Quality Assessment (AQUA) tool, assessing five domains:</w:t>
      </w:r>
    </w:p>
    <w:p w14:paraId="236CFEDC" w14:textId="77777777" w:rsidR="007A70A4" w:rsidRPr="007A70A4" w:rsidRDefault="007A70A4" w:rsidP="007A70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Objectives and subject characterization</w:t>
      </w:r>
    </w:p>
    <w:p w14:paraId="277A040E" w14:textId="77777777" w:rsidR="007A70A4" w:rsidRPr="007A70A4" w:rsidRDefault="007A70A4" w:rsidP="007A70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Study design</w:t>
      </w:r>
    </w:p>
    <w:p w14:paraId="0EFA6787" w14:textId="77777777" w:rsidR="007A70A4" w:rsidRPr="007A70A4" w:rsidRDefault="007A70A4" w:rsidP="007A70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Methodology characterization</w:t>
      </w:r>
    </w:p>
    <w:p w14:paraId="376262BC" w14:textId="77777777" w:rsidR="007A70A4" w:rsidRPr="007A70A4" w:rsidRDefault="007A70A4" w:rsidP="007A70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Descriptive anatomy</w:t>
      </w:r>
    </w:p>
    <w:p w14:paraId="5472A515" w14:textId="77777777" w:rsidR="007A70A4" w:rsidRPr="007A70A4" w:rsidRDefault="007A70A4" w:rsidP="007A70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Reporting of results</w:t>
      </w:r>
    </w:p>
    <w:p w14:paraId="4D33E7DA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Two reviewers (T.K. and W.G.) scored studies independently; discrepancies were resolved with a senior author (L.S.).</w:t>
      </w:r>
    </w:p>
    <w:p w14:paraId="5B526C23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Publication bias was assessed using:</w:t>
      </w:r>
    </w:p>
    <w:p w14:paraId="040B61AC" w14:textId="77777777" w:rsidR="007A70A4" w:rsidRPr="007A70A4" w:rsidRDefault="007A70A4" w:rsidP="007A70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Doi plots</w:t>
      </w:r>
    </w:p>
    <w:p w14:paraId="43AEA6A0" w14:textId="77777777" w:rsidR="007A70A4" w:rsidRPr="007A70A4" w:rsidRDefault="007A70A4" w:rsidP="007A70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Luis Furuya-Kanamori (LFK) index</w:t>
      </w:r>
    </w:p>
    <w:p w14:paraId="1E3B293C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7. Statistical Analysis</w:t>
      </w:r>
    </w:p>
    <w:p w14:paraId="5EA9A5DB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All statistical analyses followed the plan described in the manuscript’s Methods section</w:t>
      </w:r>
    </w:p>
    <w:p w14:paraId="2D4CB234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7.1 Primary outcome</w:t>
      </w:r>
    </w:p>
    <w:p w14:paraId="725D4117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Pooled prevalence estimates (PPEs) of OO across subgroups.</w:t>
      </w:r>
    </w:p>
    <w:p w14:paraId="7E970524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7.2 Meta-analytic model</w:t>
      </w:r>
    </w:p>
    <w:p w14:paraId="02AD249A" w14:textId="77777777" w:rsidR="007A70A4" w:rsidRPr="007A70A4" w:rsidRDefault="007A70A4" w:rsidP="007A70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Random-effects model (DerSimonian–Laird).</w:t>
      </w:r>
    </w:p>
    <w:p w14:paraId="4761D86C" w14:textId="77777777" w:rsidR="007A70A4" w:rsidRPr="007A70A4" w:rsidRDefault="007A70A4" w:rsidP="007A70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Variance stabilization using Freeman–Tukey double–arcsine transformation.</w:t>
      </w:r>
    </w:p>
    <w:p w14:paraId="0FB89516" w14:textId="77777777" w:rsidR="007A70A4" w:rsidRPr="007A70A4" w:rsidRDefault="007A70A4" w:rsidP="007A70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Back-transformation to obtain interpretable prevalence.</w:t>
      </w:r>
    </w:p>
    <w:p w14:paraId="373C1C0C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lastRenderedPageBreak/>
        <w:t>7.3 Assessment of heterogeneity</w:t>
      </w:r>
    </w:p>
    <w:p w14:paraId="180CD4E6" w14:textId="77777777" w:rsidR="007A70A4" w:rsidRPr="007A70A4" w:rsidRDefault="007A70A4" w:rsidP="007A70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Heterogeneity quantified with I² and Cochran’s Q.</w:t>
      </w:r>
    </w:p>
    <w:p w14:paraId="3F503B8B" w14:textId="77777777" w:rsidR="007A70A4" w:rsidRPr="007A70A4" w:rsidRDefault="007A70A4" w:rsidP="007A70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Thresholds:</w:t>
      </w:r>
    </w:p>
    <w:p w14:paraId="040921FC" w14:textId="77777777" w:rsidR="007A70A4" w:rsidRPr="007A70A4" w:rsidRDefault="007A70A4" w:rsidP="007A70A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0–40%: low; 30–60%: moderate; 50–90%: substantial; 75–100%: considerable.</w:t>
      </w:r>
    </w:p>
    <w:p w14:paraId="6D6975E5" w14:textId="77777777" w:rsidR="007A70A4" w:rsidRPr="007A70A4" w:rsidRDefault="007A70A4" w:rsidP="007A70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p &lt; 0.10 for Q-test significance.</w:t>
      </w:r>
    </w:p>
    <w:p w14:paraId="01DCB89F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7.4 Subgroup comparisons</w:t>
      </w:r>
    </w:p>
    <w:p w14:paraId="0BA36AEE" w14:textId="77777777" w:rsidR="007A70A4" w:rsidRPr="007A70A4" w:rsidRDefault="007A70A4" w:rsidP="007A70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χ² tests of homogeneity.</w:t>
      </w:r>
    </w:p>
    <w:p w14:paraId="1749E4AA" w14:textId="77777777" w:rsidR="007A70A4" w:rsidRPr="007A70A4" w:rsidRDefault="007A70A4" w:rsidP="007A70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Subgroups analyzed only if ≥ 2 independent studies available.</w:t>
      </w:r>
    </w:p>
    <w:p w14:paraId="08D5FAB6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7.5 Publication bias</w:t>
      </w:r>
    </w:p>
    <w:p w14:paraId="13FFBBC0" w14:textId="77777777" w:rsidR="007A70A4" w:rsidRPr="007A70A4" w:rsidRDefault="007A70A4" w:rsidP="007A70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Doi plots &amp; LFK index.</w:t>
      </w:r>
    </w:p>
    <w:p w14:paraId="54D2633E" w14:textId="77777777" w:rsidR="007A70A4" w:rsidRPr="007A70A4" w:rsidRDefault="007A70A4" w:rsidP="007A70A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Interpretation:</w:t>
      </w:r>
    </w:p>
    <w:p w14:paraId="26362358" w14:textId="77777777" w:rsidR="007A70A4" w:rsidRPr="007A70A4" w:rsidRDefault="007A70A4" w:rsidP="007A70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0 to ±1 = no asymmetry</w:t>
      </w:r>
    </w:p>
    <w:p w14:paraId="05F6B2A6" w14:textId="77777777" w:rsidR="007A70A4" w:rsidRPr="007A70A4" w:rsidRDefault="007A70A4" w:rsidP="007A70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±1 to ±2 = minor asymmetry</w:t>
      </w:r>
    </w:p>
    <w:p w14:paraId="64304F50" w14:textId="77777777" w:rsidR="007A70A4" w:rsidRPr="007A70A4" w:rsidRDefault="007A70A4" w:rsidP="007A70A4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±2 = major asymmetry</w:t>
      </w:r>
    </w:p>
    <w:p w14:paraId="2C5F9511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7.6 Sensitivity analysis</w:t>
      </w:r>
    </w:p>
    <w:p w14:paraId="69E68151" w14:textId="77777777" w:rsidR="007A70A4" w:rsidRPr="007A70A4" w:rsidRDefault="007A70A4" w:rsidP="007A70A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Leave-one-out method.</w:t>
      </w:r>
    </w:p>
    <w:p w14:paraId="4AFBFFF4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7.7 Meta-regression</w:t>
      </w:r>
    </w:p>
    <w:p w14:paraId="40971353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To explore sources of heterogeneity and assess whether OO prevalence differs significantly between general populations and surgical cohorts, we performed:</w:t>
      </w:r>
    </w:p>
    <w:p w14:paraId="7ECD2F44" w14:textId="77777777" w:rsidR="007A70A4" w:rsidRPr="007A70A4" w:rsidRDefault="007A70A4" w:rsidP="007A70A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Random-effects meta-regression</w:t>
      </w:r>
    </w:p>
    <w:p w14:paraId="209B34EC" w14:textId="77777777" w:rsidR="007A70A4" w:rsidRPr="007A70A4" w:rsidRDefault="007A70A4" w:rsidP="007A70A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Logit event-rate model</w:t>
      </w:r>
    </w:p>
    <w:p w14:paraId="7D4A06E4" w14:textId="77777777" w:rsidR="007A70A4" w:rsidRPr="007A70A4" w:rsidRDefault="007A70A4" w:rsidP="007A70A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Knapp–Hartung adjustment</w:t>
      </w:r>
    </w:p>
    <w:p w14:paraId="1BF74BC5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Moderators:</w:t>
      </w:r>
    </w:p>
    <w:p w14:paraId="7922909E" w14:textId="77777777" w:rsidR="007A70A4" w:rsidRPr="007A70A4" w:rsidRDefault="007A70A4" w:rsidP="007A70A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Subgroup (general population vs. surgical)</w:t>
      </w:r>
    </w:p>
    <w:p w14:paraId="3E12E540" w14:textId="77777777" w:rsidR="007A70A4" w:rsidRPr="007A70A4" w:rsidRDefault="007A70A4" w:rsidP="007A70A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Geographic region</w:t>
      </w:r>
    </w:p>
    <w:p w14:paraId="75F198CC" w14:textId="77777777" w:rsidR="007A70A4" w:rsidRPr="007A70A4" w:rsidRDefault="007A70A4" w:rsidP="007A70A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Imaging modality</w:t>
      </w:r>
    </w:p>
    <w:p w14:paraId="507FAE10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8. Ethics and Registration</w:t>
      </w:r>
    </w:p>
    <w:p w14:paraId="4D4581A4" w14:textId="77777777" w:rsidR="007A70A4" w:rsidRPr="007A70A4" w:rsidRDefault="007A70A4" w:rsidP="007A70A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Ethical approval not required as only previously published data were analyzed.</w:t>
      </w:r>
    </w:p>
    <w:p w14:paraId="7E8B44A5" w14:textId="77777777" w:rsidR="007A70A4" w:rsidRPr="007A70A4" w:rsidRDefault="007A70A4" w:rsidP="007A70A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No protocol registration on PROSPERO due to PROSPERO’s restrictions on prevalence reviews.</w:t>
      </w:r>
    </w:p>
    <w:p w14:paraId="3FD56680" w14:textId="77777777" w:rsidR="007A70A4" w:rsidRPr="007A70A4" w:rsidRDefault="007A70A4" w:rsidP="007A70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7A70A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9. Expected Impact</w:t>
      </w:r>
    </w:p>
    <w:p w14:paraId="78CA2060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This systematic review and quantitative synthesis will:</w:t>
      </w:r>
    </w:p>
    <w:p w14:paraId="7D4907F2" w14:textId="77777777" w:rsidR="007A70A4" w:rsidRPr="007A70A4" w:rsidRDefault="007A70A4" w:rsidP="007A70A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Establish the most comprehensive epidemiological estimates of OO to date</w:t>
      </w:r>
    </w:p>
    <w:p w14:paraId="75C2BF87" w14:textId="77777777" w:rsidR="007A70A4" w:rsidRPr="007A70A4" w:rsidRDefault="007A70A4" w:rsidP="007A70A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Inform neurosurgeons and radiologists about high-risk populations</w:t>
      </w:r>
    </w:p>
    <w:p w14:paraId="4B3A9E8B" w14:textId="77777777" w:rsidR="007A70A4" w:rsidRPr="007A70A4" w:rsidRDefault="007A70A4" w:rsidP="007A70A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Highlight anatomical and vertebral artery variants relevant to surgical planning</w:t>
      </w:r>
    </w:p>
    <w:p w14:paraId="22E1281E" w14:textId="77777777" w:rsidR="007A70A4" w:rsidRPr="007A70A4" w:rsidRDefault="007A70A4" w:rsidP="007A70A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A70A4">
        <w:rPr>
          <w:rFonts w:ascii="Times New Roman" w:eastAsia="Times New Roman" w:hAnsi="Times New Roman" w:cs="Times New Roman"/>
          <w:sz w:val="24"/>
          <w:szCs w:val="24"/>
          <w:lang w:val="en-US"/>
        </w:rPr>
        <w:t>Identify gaps in the current evidence base for future research, including the need for prospective population studies and uniform diagnostic criteria</w:t>
      </w:r>
    </w:p>
    <w:p w14:paraId="32CCD6C6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583587" w14:textId="77777777" w:rsidR="007A70A4" w:rsidRPr="007A70A4" w:rsidRDefault="007A70A4" w:rsidP="007A70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0A86D0" w14:textId="77777777" w:rsidR="007A70A4" w:rsidRPr="007A70A4" w:rsidRDefault="007A70A4" w:rsidP="007A70A4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:lang w:val="en-US"/>
          <w14:ligatures w14:val="standardContextual"/>
        </w:rPr>
      </w:pPr>
    </w:p>
    <w:p w14:paraId="76821FDA" w14:textId="77777777" w:rsidR="007A70A4" w:rsidRDefault="007A70A4">
      <w:pPr>
        <w:rPr>
          <w:rFonts w:ascii="Times New Roman" w:eastAsia="Times New Roman" w:hAnsi="Times New Roman" w:cs="Times New Roman"/>
        </w:rPr>
      </w:pPr>
    </w:p>
    <w:sectPr w:rsidR="007A70A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E85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E3709"/>
    <w:multiLevelType w:val="multilevel"/>
    <w:tmpl w:val="20860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535CD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7234A"/>
    <w:multiLevelType w:val="multilevel"/>
    <w:tmpl w:val="7EA2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81357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F5F5F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AE4142"/>
    <w:multiLevelType w:val="multilevel"/>
    <w:tmpl w:val="6428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3879C9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36F70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D6333"/>
    <w:multiLevelType w:val="multilevel"/>
    <w:tmpl w:val="B85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D7D62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656FE2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48023D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14191B"/>
    <w:multiLevelType w:val="multilevel"/>
    <w:tmpl w:val="CD18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3628EF"/>
    <w:multiLevelType w:val="multilevel"/>
    <w:tmpl w:val="33A0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723DDE"/>
    <w:multiLevelType w:val="multilevel"/>
    <w:tmpl w:val="82B49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7453198">
    <w:abstractNumId w:val="6"/>
  </w:num>
  <w:num w:numId="2" w16cid:durableId="1948199236">
    <w:abstractNumId w:val="3"/>
  </w:num>
  <w:num w:numId="3" w16cid:durableId="2043550192">
    <w:abstractNumId w:val="13"/>
  </w:num>
  <w:num w:numId="4" w16cid:durableId="361635137">
    <w:abstractNumId w:val="9"/>
  </w:num>
  <w:num w:numId="5" w16cid:durableId="562571478">
    <w:abstractNumId w:val="12"/>
  </w:num>
  <w:num w:numId="6" w16cid:durableId="291591904">
    <w:abstractNumId w:val="1"/>
  </w:num>
  <w:num w:numId="7" w16cid:durableId="1598320598">
    <w:abstractNumId w:val="0"/>
  </w:num>
  <w:num w:numId="8" w16cid:durableId="667246677">
    <w:abstractNumId w:val="2"/>
  </w:num>
  <w:num w:numId="9" w16cid:durableId="1738162574">
    <w:abstractNumId w:val="15"/>
  </w:num>
  <w:num w:numId="10" w16cid:durableId="1952470376">
    <w:abstractNumId w:val="4"/>
  </w:num>
  <w:num w:numId="11" w16cid:durableId="285893843">
    <w:abstractNumId w:val="7"/>
  </w:num>
  <w:num w:numId="12" w16cid:durableId="1038159806">
    <w:abstractNumId w:val="10"/>
  </w:num>
  <w:num w:numId="13" w16cid:durableId="1695570110">
    <w:abstractNumId w:val="5"/>
  </w:num>
  <w:num w:numId="14" w16cid:durableId="403526729">
    <w:abstractNumId w:val="14"/>
  </w:num>
  <w:num w:numId="15" w16cid:durableId="1000235797">
    <w:abstractNumId w:val="8"/>
  </w:num>
  <w:num w:numId="16" w16cid:durableId="1754086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51D"/>
    <w:rsid w:val="0014597E"/>
    <w:rsid w:val="00152704"/>
    <w:rsid w:val="001F0DC2"/>
    <w:rsid w:val="0025502C"/>
    <w:rsid w:val="003E7191"/>
    <w:rsid w:val="0045168E"/>
    <w:rsid w:val="00455EFB"/>
    <w:rsid w:val="00472664"/>
    <w:rsid w:val="004A7443"/>
    <w:rsid w:val="007A70A4"/>
    <w:rsid w:val="007E7D92"/>
    <w:rsid w:val="0088451D"/>
    <w:rsid w:val="00A817C2"/>
    <w:rsid w:val="00B95D31"/>
    <w:rsid w:val="00C20374"/>
    <w:rsid w:val="00DE6586"/>
    <w:rsid w:val="00F7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A466"/>
  <w15:docId w15:val="{66077B94-3519-4246-9E0B-A285FFAD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Zwykatabela21">
    <w:name w:val="Zwykła tabela 21"/>
    <w:basedOn w:val="Standardowy"/>
    <w:next w:val="Zwykatabela2"/>
    <w:uiPriority w:val="42"/>
    <w:rsid w:val="007A70A4"/>
    <w:pPr>
      <w:spacing w:line="240" w:lineRule="auto"/>
    </w:pPr>
    <w:rPr>
      <w:rFonts w:ascii="Aptos" w:eastAsia="Aptos" w:hAnsi="Aptos" w:cs="Times New Roman"/>
      <w:kern w:val="2"/>
      <w:sz w:val="24"/>
      <w:szCs w:val="24"/>
      <w:lang w:val="en-US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42"/>
    <w:rsid w:val="007A70A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1058</Words>
  <Characters>6744</Characters>
  <Application>Microsoft Office Word</Application>
  <DocSecurity>0</DocSecurity>
  <Lines>112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Tomasz Klepinowski</cp:lastModifiedBy>
  <cp:revision>15</cp:revision>
  <dcterms:created xsi:type="dcterms:W3CDTF">2025-07-08T13:04:00Z</dcterms:created>
  <dcterms:modified xsi:type="dcterms:W3CDTF">2025-12-06T20:08:00Z</dcterms:modified>
</cp:coreProperties>
</file>