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1"/>
        <w:tblpPr w:leftFromText="180" w:rightFromText="180" w:horzAnchor="margin" w:tblpY="761"/>
        <w:tblW w:w="0" w:type="auto"/>
        <w:tblLook w:val="04A0" w:firstRow="1" w:lastRow="0" w:firstColumn="1" w:lastColumn="0" w:noHBand="0" w:noVBand="1"/>
      </w:tblPr>
      <w:tblGrid>
        <w:gridCol w:w="1639"/>
        <w:gridCol w:w="1615"/>
        <w:gridCol w:w="1524"/>
        <w:gridCol w:w="1524"/>
        <w:gridCol w:w="1524"/>
        <w:gridCol w:w="1524"/>
      </w:tblGrid>
      <w:tr w:rsidR="00C040D4" w:rsidRPr="00C040D4" w14:paraId="4868A7A0" w14:textId="77777777" w:rsidTr="00C040D4">
        <w:tc>
          <w:tcPr>
            <w:tcW w:w="1639" w:type="dxa"/>
            <w:vMerge w:val="restart"/>
            <w:shd w:val="clear" w:color="auto" w:fill="EEECE1"/>
            <w:vAlign w:val="center"/>
          </w:tcPr>
          <w:p w14:paraId="78E33A6E" w14:textId="77777777" w:rsidR="00C040D4" w:rsidRPr="00C040D4" w:rsidRDefault="00C040D4" w:rsidP="00C040D4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C040D4">
              <w:rPr>
                <w:rFonts w:ascii="Times New Roman" w:eastAsia="Cambria" w:hAnsi="Times New Roman" w:cs="Times New Roman"/>
                <w:b/>
                <w:bCs/>
              </w:rPr>
              <w:t>Study</w:t>
            </w:r>
          </w:p>
        </w:tc>
        <w:tc>
          <w:tcPr>
            <w:tcW w:w="7711" w:type="dxa"/>
            <w:gridSpan w:val="5"/>
            <w:shd w:val="clear" w:color="auto" w:fill="EEECE1"/>
            <w:vAlign w:val="center"/>
          </w:tcPr>
          <w:p w14:paraId="404594C2" w14:textId="77777777" w:rsidR="00C040D4" w:rsidRPr="00C040D4" w:rsidRDefault="00C040D4" w:rsidP="00C040D4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C040D4">
              <w:rPr>
                <w:rFonts w:ascii="Times New Roman" w:eastAsia="Cambria" w:hAnsi="Times New Roman" w:cs="Times New Roman"/>
                <w:b/>
                <w:bCs/>
              </w:rPr>
              <w:t>Risk of bias</w:t>
            </w:r>
          </w:p>
        </w:tc>
      </w:tr>
      <w:tr w:rsidR="00C040D4" w:rsidRPr="00C040D4" w14:paraId="3DF61F57" w14:textId="77777777" w:rsidTr="00C040D4">
        <w:tc>
          <w:tcPr>
            <w:tcW w:w="1639" w:type="dxa"/>
            <w:vMerge/>
            <w:shd w:val="clear" w:color="auto" w:fill="EEECE1"/>
          </w:tcPr>
          <w:p w14:paraId="71F37419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b/>
                <w:bCs/>
              </w:rPr>
            </w:pPr>
          </w:p>
        </w:tc>
        <w:tc>
          <w:tcPr>
            <w:tcW w:w="1615" w:type="dxa"/>
            <w:shd w:val="clear" w:color="auto" w:fill="EEECE1"/>
            <w:vAlign w:val="center"/>
          </w:tcPr>
          <w:p w14:paraId="23B9CE28" w14:textId="77777777" w:rsidR="00C040D4" w:rsidRPr="00C040D4" w:rsidRDefault="00C040D4" w:rsidP="00C040D4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C040D4">
              <w:rPr>
                <w:rFonts w:ascii="Times New Roman" w:eastAsia="Cambria" w:hAnsi="Times New Roman" w:cs="Times New Roman"/>
                <w:b/>
                <w:bCs/>
              </w:rPr>
              <w:t>Objective</w:t>
            </w:r>
          </w:p>
        </w:tc>
        <w:tc>
          <w:tcPr>
            <w:tcW w:w="1524" w:type="dxa"/>
            <w:shd w:val="clear" w:color="auto" w:fill="EEECE1"/>
            <w:vAlign w:val="center"/>
          </w:tcPr>
          <w:p w14:paraId="2A269DBD" w14:textId="77777777" w:rsidR="00C040D4" w:rsidRPr="00C040D4" w:rsidRDefault="00C040D4" w:rsidP="00C040D4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C040D4">
              <w:rPr>
                <w:rFonts w:ascii="Times New Roman" w:eastAsia="Cambria" w:hAnsi="Times New Roman" w:cs="Times New Roman"/>
                <w:b/>
                <w:bCs/>
              </w:rPr>
              <w:t>Design</w:t>
            </w:r>
          </w:p>
        </w:tc>
        <w:tc>
          <w:tcPr>
            <w:tcW w:w="1524" w:type="dxa"/>
            <w:shd w:val="clear" w:color="auto" w:fill="EEECE1"/>
            <w:vAlign w:val="center"/>
          </w:tcPr>
          <w:p w14:paraId="267E20E5" w14:textId="77777777" w:rsidR="00C040D4" w:rsidRPr="00C040D4" w:rsidRDefault="00C040D4" w:rsidP="00C040D4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C040D4">
              <w:rPr>
                <w:rFonts w:ascii="Times New Roman" w:eastAsia="Cambria" w:hAnsi="Times New Roman" w:cs="Times New Roman"/>
                <w:b/>
                <w:bCs/>
              </w:rPr>
              <w:t>Methods</w:t>
            </w:r>
          </w:p>
        </w:tc>
        <w:tc>
          <w:tcPr>
            <w:tcW w:w="1524" w:type="dxa"/>
            <w:shd w:val="clear" w:color="auto" w:fill="EEECE1"/>
            <w:vAlign w:val="center"/>
          </w:tcPr>
          <w:p w14:paraId="4FC0C4BC" w14:textId="77777777" w:rsidR="00C040D4" w:rsidRPr="00C040D4" w:rsidRDefault="00C040D4" w:rsidP="00C040D4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C040D4">
              <w:rPr>
                <w:rFonts w:ascii="Times New Roman" w:eastAsia="Cambria" w:hAnsi="Times New Roman" w:cs="Times New Roman"/>
                <w:b/>
                <w:bCs/>
              </w:rPr>
              <w:t>Descriptive anatomy</w:t>
            </w:r>
          </w:p>
        </w:tc>
        <w:tc>
          <w:tcPr>
            <w:tcW w:w="1524" w:type="dxa"/>
            <w:shd w:val="clear" w:color="auto" w:fill="EEECE1"/>
            <w:vAlign w:val="center"/>
          </w:tcPr>
          <w:p w14:paraId="31484E71" w14:textId="77777777" w:rsidR="00C040D4" w:rsidRPr="00C040D4" w:rsidRDefault="00C040D4" w:rsidP="00C040D4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C040D4">
              <w:rPr>
                <w:rFonts w:ascii="Times New Roman" w:eastAsia="Cambria" w:hAnsi="Times New Roman" w:cs="Times New Roman"/>
                <w:b/>
                <w:bCs/>
              </w:rPr>
              <w:t>Reporting of results</w:t>
            </w:r>
          </w:p>
        </w:tc>
      </w:tr>
      <w:tr w:rsidR="00C040D4" w:rsidRPr="00C040D4" w14:paraId="1B071FA6" w14:textId="77777777" w:rsidTr="00C040D4">
        <w:tc>
          <w:tcPr>
            <w:tcW w:w="1639" w:type="dxa"/>
          </w:tcPr>
          <w:p w14:paraId="261D21BA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Bauer 2021</w:t>
            </w:r>
          </w:p>
        </w:tc>
        <w:tc>
          <w:tcPr>
            <w:tcW w:w="1615" w:type="dxa"/>
          </w:tcPr>
          <w:p w14:paraId="46A39D3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0DD3D746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12F64F0E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0E438F86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50E5CD70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45E23F40" w14:textId="77777777" w:rsidTr="00C040D4">
        <w:tc>
          <w:tcPr>
            <w:tcW w:w="1639" w:type="dxa"/>
          </w:tcPr>
          <w:p w14:paraId="7B55F499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Cohen 2020</w:t>
            </w:r>
          </w:p>
        </w:tc>
        <w:tc>
          <w:tcPr>
            <w:tcW w:w="1615" w:type="dxa"/>
          </w:tcPr>
          <w:p w14:paraId="2B9594D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247C7864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56235E35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25E1F4D7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687AB0E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49D3A70E" w14:textId="77777777" w:rsidTr="00C040D4">
        <w:tc>
          <w:tcPr>
            <w:tcW w:w="1639" w:type="dxa"/>
          </w:tcPr>
          <w:p w14:paraId="13A15B36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Coyne 1996</w:t>
            </w:r>
          </w:p>
        </w:tc>
        <w:tc>
          <w:tcPr>
            <w:tcW w:w="1615" w:type="dxa"/>
          </w:tcPr>
          <w:p w14:paraId="3034DBBE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76DED98B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5E4C9B50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3BEF229B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600F6647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38ACC3B8" w14:textId="77777777" w:rsidTr="00C040D4">
        <w:tc>
          <w:tcPr>
            <w:tcW w:w="1639" w:type="dxa"/>
          </w:tcPr>
          <w:p w14:paraId="57BCA830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Crostelli 2009</w:t>
            </w:r>
          </w:p>
        </w:tc>
        <w:tc>
          <w:tcPr>
            <w:tcW w:w="1615" w:type="dxa"/>
          </w:tcPr>
          <w:p w14:paraId="7B8D2D0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72062FF9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726B6528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1D14998F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3A53B753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736EF6A4" w14:textId="77777777" w:rsidTr="00C040D4">
        <w:tc>
          <w:tcPr>
            <w:tcW w:w="1639" w:type="dxa"/>
          </w:tcPr>
          <w:p w14:paraId="56DD3825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Gluf 2005</w:t>
            </w:r>
          </w:p>
        </w:tc>
        <w:tc>
          <w:tcPr>
            <w:tcW w:w="1615" w:type="dxa"/>
          </w:tcPr>
          <w:p w14:paraId="7FBFB629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78BC311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66B506DD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49D54AB0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169F2C30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74B9C87E" w14:textId="77777777" w:rsidTr="00C040D4">
        <w:tc>
          <w:tcPr>
            <w:tcW w:w="1639" w:type="dxa"/>
          </w:tcPr>
          <w:p w14:paraId="02F8DD2E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Gluf 2005 [2]</w:t>
            </w:r>
          </w:p>
        </w:tc>
        <w:tc>
          <w:tcPr>
            <w:tcW w:w="1615" w:type="dxa"/>
          </w:tcPr>
          <w:p w14:paraId="2049DAE5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4C5F4AFA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7ECC23BF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788448CD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05E9C867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11216578" w14:textId="77777777" w:rsidTr="00C040D4">
        <w:tc>
          <w:tcPr>
            <w:tcW w:w="1639" w:type="dxa"/>
          </w:tcPr>
          <w:p w14:paraId="164D8901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Karsten 2019</w:t>
            </w:r>
          </w:p>
        </w:tc>
        <w:tc>
          <w:tcPr>
            <w:tcW w:w="1615" w:type="dxa"/>
          </w:tcPr>
          <w:p w14:paraId="378DAF53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518BD353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7C36FEA0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64D33A68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16749268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008AD457" w14:textId="77777777" w:rsidTr="00C040D4">
        <w:tc>
          <w:tcPr>
            <w:tcW w:w="1639" w:type="dxa"/>
          </w:tcPr>
          <w:p w14:paraId="493E5D39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Menezes 1992</w:t>
            </w:r>
          </w:p>
        </w:tc>
        <w:tc>
          <w:tcPr>
            <w:tcW w:w="1615" w:type="dxa"/>
          </w:tcPr>
          <w:p w14:paraId="788B291F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0DB58D2A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08F54453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444AE33E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07FC991E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7891C9CE" w14:textId="77777777" w:rsidTr="00C040D4">
        <w:tc>
          <w:tcPr>
            <w:tcW w:w="1639" w:type="dxa"/>
          </w:tcPr>
          <w:p w14:paraId="6900C92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Montrisaet 2020</w:t>
            </w:r>
          </w:p>
        </w:tc>
        <w:tc>
          <w:tcPr>
            <w:tcW w:w="1615" w:type="dxa"/>
          </w:tcPr>
          <w:p w14:paraId="5E328655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53585F04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00420B20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00B188F8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35E04A5E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</w:tr>
      <w:tr w:rsidR="00C040D4" w:rsidRPr="00C040D4" w14:paraId="031A17BA" w14:textId="77777777" w:rsidTr="00C040D4">
        <w:tc>
          <w:tcPr>
            <w:tcW w:w="1639" w:type="dxa"/>
          </w:tcPr>
          <w:p w14:paraId="0BF7D834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Öğüt 2020</w:t>
            </w:r>
          </w:p>
        </w:tc>
        <w:tc>
          <w:tcPr>
            <w:tcW w:w="1615" w:type="dxa"/>
          </w:tcPr>
          <w:p w14:paraId="3E2DF9D0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04D57FE0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0D9769A7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04BCE4C4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5DA0F66A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</w:tr>
      <w:tr w:rsidR="00C040D4" w:rsidRPr="00C040D4" w14:paraId="46736FAE" w14:textId="77777777" w:rsidTr="00C040D4">
        <w:tc>
          <w:tcPr>
            <w:tcW w:w="1639" w:type="dxa"/>
          </w:tcPr>
          <w:p w14:paraId="1B0CFE88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Oh 2022</w:t>
            </w:r>
          </w:p>
        </w:tc>
        <w:tc>
          <w:tcPr>
            <w:tcW w:w="1615" w:type="dxa"/>
          </w:tcPr>
          <w:p w14:paraId="5C8D7795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3A31673F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1452A6BE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41D38C1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6BB2D3C7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7161D8E5" w14:textId="77777777" w:rsidTr="00C040D4">
        <w:tc>
          <w:tcPr>
            <w:tcW w:w="1639" w:type="dxa"/>
          </w:tcPr>
          <w:p w14:paraId="55903FC0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Park 2017</w:t>
            </w:r>
          </w:p>
        </w:tc>
        <w:tc>
          <w:tcPr>
            <w:tcW w:w="1615" w:type="dxa"/>
          </w:tcPr>
          <w:p w14:paraId="19EA84EA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54F9C884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0D8E630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2A7A76D6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372DC16A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042B6B2C" w14:textId="77777777" w:rsidTr="00C040D4">
        <w:tc>
          <w:tcPr>
            <w:tcW w:w="1639" w:type="dxa"/>
          </w:tcPr>
          <w:p w14:paraId="51CABDC7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Perdikakis 2014</w:t>
            </w:r>
          </w:p>
        </w:tc>
        <w:tc>
          <w:tcPr>
            <w:tcW w:w="1615" w:type="dxa"/>
          </w:tcPr>
          <w:p w14:paraId="69DF6D68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3B75211F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17848326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51A7F6F6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33BA1103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</w:tr>
      <w:tr w:rsidR="00C040D4" w:rsidRPr="00C040D4" w14:paraId="5FA7280A" w14:textId="77777777" w:rsidTr="00C040D4">
        <w:tc>
          <w:tcPr>
            <w:tcW w:w="1639" w:type="dxa"/>
          </w:tcPr>
          <w:p w14:paraId="10BB2A9D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Sankar 2006</w:t>
            </w:r>
          </w:p>
        </w:tc>
        <w:tc>
          <w:tcPr>
            <w:tcW w:w="1615" w:type="dxa"/>
          </w:tcPr>
          <w:p w14:paraId="775E8247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7FB8D54D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70DBE062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3E3C01B8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1F1ABBE6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55B3D2C6" w14:textId="77777777" w:rsidTr="00C040D4">
        <w:tc>
          <w:tcPr>
            <w:tcW w:w="1639" w:type="dxa"/>
          </w:tcPr>
          <w:p w14:paraId="2AB7FE65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Singh 2003</w:t>
            </w:r>
          </w:p>
        </w:tc>
        <w:tc>
          <w:tcPr>
            <w:tcW w:w="1615" w:type="dxa"/>
          </w:tcPr>
          <w:p w14:paraId="6FA73EB5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7E1D93A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4FB7194E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3E52ADDD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04E4B9AD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63912A32" w14:textId="77777777" w:rsidTr="00C040D4">
        <w:tc>
          <w:tcPr>
            <w:tcW w:w="1639" w:type="dxa"/>
          </w:tcPr>
          <w:p w14:paraId="6EA9E738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Suchomel 2004</w:t>
            </w:r>
          </w:p>
        </w:tc>
        <w:tc>
          <w:tcPr>
            <w:tcW w:w="1615" w:type="dxa"/>
          </w:tcPr>
          <w:p w14:paraId="071841C3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489F9767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2D8021C9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279CEDEB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4A60184D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502E56B4" w14:textId="77777777" w:rsidTr="00C040D4">
        <w:tc>
          <w:tcPr>
            <w:tcW w:w="1639" w:type="dxa"/>
          </w:tcPr>
          <w:p w14:paraId="530CB367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Taggard 2000</w:t>
            </w:r>
          </w:p>
        </w:tc>
        <w:tc>
          <w:tcPr>
            <w:tcW w:w="1615" w:type="dxa"/>
          </w:tcPr>
          <w:p w14:paraId="294B5E32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4B696D98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269E3A5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1F31A29B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4E37DD37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</w:tr>
      <w:tr w:rsidR="00C040D4" w:rsidRPr="00C040D4" w14:paraId="335D9BE3" w14:textId="77777777" w:rsidTr="00C040D4">
        <w:tc>
          <w:tcPr>
            <w:tcW w:w="1639" w:type="dxa"/>
          </w:tcPr>
          <w:p w14:paraId="1CC11B6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Yamazaki 2008</w:t>
            </w:r>
          </w:p>
        </w:tc>
        <w:tc>
          <w:tcPr>
            <w:tcW w:w="1615" w:type="dxa"/>
          </w:tcPr>
          <w:p w14:paraId="3745C485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0A90E455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73944553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1A34870D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6C2DC7F9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</w:tr>
      <w:tr w:rsidR="00C040D4" w:rsidRPr="00C040D4" w14:paraId="4FBC6E5F" w14:textId="77777777" w:rsidTr="00C040D4">
        <w:tc>
          <w:tcPr>
            <w:tcW w:w="1639" w:type="dxa"/>
          </w:tcPr>
          <w:p w14:paraId="293213D4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color w:val="000000"/>
              </w:rPr>
            </w:pPr>
            <w:r w:rsidRPr="00C040D4">
              <w:rPr>
                <w:rFonts w:ascii="Times New Roman" w:eastAsia="Times New Roman" w:hAnsi="Times New Roman" w:cs="Times New Roman"/>
              </w:rPr>
              <w:t>Yang 2018</w:t>
            </w:r>
          </w:p>
        </w:tc>
        <w:tc>
          <w:tcPr>
            <w:tcW w:w="1615" w:type="dxa"/>
          </w:tcPr>
          <w:p w14:paraId="012F86F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175A124B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757C892E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  <w:tc>
          <w:tcPr>
            <w:tcW w:w="1524" w:type="dxa"/>
          </w:tcPr>
          <w:p w14:paraId="45A7AF6C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High</w:t>
            </w:r>
          </w:p>
        </w:tc>
        <w:tc>
          <w:tcPr>
            <w:tcW w:w="1524" w:type="dxa"/>
          </w:tcPr>
          <w:p w14:paraId="4D018E49" w14:textId="77777777" w:rsidR="00C040D4" w:rsidRPr="00C040D4" w:rsidRDefault="00C040D4" w:rsidP="00C040D4">
            <w:pPr>
              <w:spacing w:line="360" w:lineRule="auto"/>
              <w:jc w:val="both"/>
              <w:rPr>
                <w:rFonts w:ascii="Times New Roman" w:eastAsia="Cambria" w:hAnsi="Times New Roman" w:cs="Times New Roman"/>
              </w:rPr>
            </w:pPr>
            <w:r w:rsidRPr="00C040D4">
              <w:rPr>
                <w:rFonts w:ascii="Times New Roman" w:eastAsia="Cambria" w:hAnsi="Times New Roman" w:cs="Times New Roman"/>
              </w:rPr>
              <w:t>Low</w:t>
            </w:r>
          </w:p>
        </w:tc>
      </w:tr>
    </w:tbl>
    <w:p w14:paraId="6E92D9DB" w14:textId="2579B4B8" w:rsidR="00C040D4" w:rsidRDefault="00C040D4">
      <w:r w:rsidRPr="00655F50">
        <w:rPr>
          <w:b/>
          <w:bCs/>
        </w:rPr>
        <w:t>Supplementary Material</w:t>
      </w:r>
      <w:r w:rsidR="00655F50" w:rsidRPr="00655F50">
        <w:rPr>
          <w:b/>
          <w:bCs/>
        </w:rPr>
        <w:t xml:space="preserve"> 3</w:t>
      </w:r>
      <w:r w:rsidRPr="00655F50">
        <w:rPr>
          <w:b/>
          <w:bCs/>
        </w:rPr>
        <w:t>.</w:t>
      </w:r>
      <w:r>
        <w:t xml:space="preserve"> Risk of bias assessment using Anatomical Quality Assessment (AQUA) tool.</w:t>
      </w:r>
    </w:p>
    <w:sectPr w:rsidR="00C040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D4"/>
    <w:rsid w:val="00655F50"/>
    <w:rsid w:val="007A0975"/>
    <w:rsid w:val="00C0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9BA6"/>
  <w15:chartTrackingRefBased/>
  <w15:docId w15:val="{B85D1449-1E77-4C57-A269-439EB4B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4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4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40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4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40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4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4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4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4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4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4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4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40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40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40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40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40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40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4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4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4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4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4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40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40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40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4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40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40D4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C04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04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Klepinowski</dc:creator>
  <cp:keywords/>
  <dc:description/>
  <cp:lastModifiedBy>Tomasz Klepinowski</cp:lastModifiedBy>
  <cp:revision>1</cp:revision>
  <dcterms:created xsi:type="dcterms:W3CDTF">2025-08-03T09:18:00Z</dcterms:created>
  <dcterms:modified xsi:type="dcterms:W3CDTF">2025-08-03T18:00:00Z</dcterms:modified>
</cp:coreProperties>
</file>