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60EE1" w14:textId="2F7C2073" w:rsidR="002C65C5" w:rsidRDefault="002C65C5" w:rsidP="002C65C5">
      <w:pPr>
        <w:spacing w:line="360" w:lineRule="auto"/>
        <w:jc w:val="both"/>
        <w:rPr>
          <w:rFonts w:ascii="Times New Roman" w:hAnsi="Times New Roman" w:cs="Times New Roman"/>
          <w:b/>
          <w:bCs/>
        </w:rPr>
      </w:pPr>
      <w:r w:rsidRPr="002C65C5">
        <w:rPr>
          <w:rFonts w:ascii="Times New Roman" w:hAnsi="Times New Roman" w:cs="Times New Roman"/>
          <w:b/>
          <w:bCs/>
        </w:rPr>
        <w:t>Supplementary Appendix: Detailed Methodological Protocol</w:t>
      </w:r>
    </w:p>
    <w:p w14:paraId="30B896EC" w14:textId="77777777" w:rsidR="002C65C5" w:rsidRPr="002C65C5" w:rsidRDefault="002C65C5" w:rsidP="002C65C5">
      <w:pPr>
        <w:spacing w:line="360" w:lineRule="auto"/>
        <w:jc w:val="both"/>
        <w:rPr>
          <w:rFonts w:ascii="Times New Roman" w:hAnsi="Times New Roman" w:cs="Times New Roman"/>
          <w:b/>
          <w:bCs/>
        </w:rPr>
      </w:pPr>
    </w:p>
    <w:p w14:paraId="7C5C6D74" w14:textId="77777777" w:rsidR="00417EA5" w:rsidRDefault="00417EA5" w:rsidP="002C65C5">
      <w:pPr>
        <w:spacing w:line="360" w:lineRule="auto"/>
        <w:jc w:val="both"/>
        <w:rPr>
          <w:rFonts w:ascii="Times New Roman" w:hAnsi="Times New Roman" w:cs="Times New Roman"/>
          <w:b/>
          <w:bCs/>
        </w:rPr>
      </w:pPr>
      <w:r w:rsidRPr="00417EA5">
        <w:rPr>
          <w:rFonts w:ascii="Times New Roman" w:hAnsi="Times New Roman" w:cs="Times New Roman"/>
          <w:b/>
          <w:bCs/>
        </w:rPr>
        <w:t>Supplementary Data 1</w:t>
      </w:r>
    </w:p>
    <w:p w14:paraId="16798EB2" w14:textId="00E007DC" w:rsidR="002C65C5" w:rsidRPr="002C65C5" w:rsidRDefault="002C65C5" w:rsidP="002C65C5">
      <w:pPr>
        <w:spacing w:line="360" w:lineRule="auto"/>
        <w:jc w:val="both"/>
        <w:rPr>
          <w:rFonts w:ascii="Times New Roman" w:hAnsi="Times New Roman" w:cs="Times New Roman"/>
          <w:b/>
          <w:bCs/>
        </w:rPr>
      </w:pPr>
      <w:r w:rsidRPr="002C65C5">
        <w:rPr>
          <w:rFonts w:ascii="Times New Roman" w:hAnsi="Times New Roman" w:cs="Times New Roman"/>
          <w:b/>
          <w:bCs/>
        </w:rPr>
        <w:t>Ethics Statement</w:t>
      </w:r>
    </w:p>
    <w:p w14:paraId="039A63FA" w14:textId="77777777" w:rsidR="002C65C5" w:rsidRPr="002C65C5" w:rsidRDefault="002C65C5" w:rsidP="002C65C5">
      <w:pPr>
        <w:spacing w:line="360" w:lineRule="auto"/>
        <w:jc w:val="both"/>
        <w:rPr>
          <w:rFonts w:ascii="Times New Roman" w:hAnsi="Times New Roman" w:cs="Times New Roman"/>
        </w:rPr>
      </w:pPr>
      <w:r w:rsidRPr="002C65C5">
        <w:rPr>
          <w:rFonts w:ascii="Times New Roman" w:hAnsi="Times New Roman" w:cs="Times New Roman"/>
        </w:rPr>
        <w:t>This study was reviewed and approved by the university ethics committee (project number TU-2021-9497; meeting number B.30.2.ATA.0.01.00/293) and conducted in accordance with the ethical principles of the Declaration of Helsinki and institutional research guidelines.</w:t>
      </w:r>
    </w:p>
    <w:p w14:paraId="54FA129C" w14:textId="77777777" w:rsidR="002C65C5" w:rsidRPr="002C65C5" w:rsidRDefault="002C65C5" w:rsidP="002C65C5">
      <w:pPr>
        <w:spacing w:line="360" w:lineRule="auto"/>
        <w:jc w:val="both"/>
        <w:rPr>
          <w:rFonts w:ascii="Times New Roman" w:hAnsi="Times New Roman" w:cs="Times New Roman"/>
        </w:rPr>
      </w:pPr>
      <w:r w:rsidRPr="002C65C5">
        <w:rPr>
          <w:rFonts w:ascii="Times New Roman" w:hAnsi="Times New Roman" w:cs="Times New Roman"/>
        </w:rPr>
        <w:t>Cadaveric specimens were obtained from an accredited tissue bank in the United States operating under established legal and ethical frameworks governing anatomical donation. All specimens were acquired through formal body donation programs with documented donor consent for research and educational use. Handling, storage, and dissection procedures complied with accepted biosafety and ethical standards for anatomical research.</w:t>
      </w:r>
    </w:p>
    <w:p w14:paraId="437825D7" w14:textId="18A8CBA2" w:rsidR="001A7FE9" w:rsidRDefault="002C65C5" w:rsidP="002C65C5">
      <w:pPr>
        <w:spacing w:line="360" w:lineRule="auto"/>
        <w:jc w:val="both"/>
        <w:rPr>
          <w:rFonts w:ascii="Times New Roman" w:hAnsi="Times New Roman" w:cs="Times New Roman"/>
        </w:rPr>
      </w:pPr>
      <w:r w:rsidRPr="002C65C5">
        <w:rPr>
          <w:rFonts w:ascii="Times New Roman" w:hAnsi="Times New Roman" w:cs="Times New Roman"/>
        </w:rPr>
        <w:t xml:space="preserve">For the retrospective clinical imaging cohort, all patient </w:t>
      </w:r>
      <w:proofErr w:type="gramStart"/>
      <w:r w:rsidRPr="002C65C5">
        <w:rPr>
          <w:rFonts w:ascii="Times New Roman" w:hAnsi="Times New Roman" w:cs="Times New Roman"/>
        </w:rPr>
        <w:t>data</w:t>
      </w:r>
      <w:proofErr w:type="gramEnd"/>
      <w:r w:rsidRPr="002C65C5">
        <w:rPr>
          <w:rFonts w:ascii="Times New Roman" w:hAnsi="Times New Roman" w:cs="Times New Roman"/>
        </w:rPr>
        <w:t xml:space="preserve"> were fully anonymized prior to analysis. The ethics committee waived the requirement for individual informed consent due to the retrospective design of the study and the absence of identifiable patient information. </w:t>
      </w:r>
      <w:proofErr w:type="gramStart"/>
      <w:r w:rsidRPr="002C65C5">
        <w:rPr>
          <w:rFonts w:ascii="Times New Roman" w:hAnsi="Times New Roman" w:cs="Times New Roman"/>
        </w:rPr>
        <w:t>Data</w:t>
      </w:r>
      <w:proofErr w:type="gramEnd"/>
      <w:r w:rsidRPr="002C65C5">
        <w:rPr>
          <w:rFonts w:ascii="Times New Roman" w:hAnsi="Times New Roman" w:cs="Times New Roman"/>
        </w:rPr>
        <w:t xml:space="preserve"> handling adhered to institutional policies for confidentiality and research </w:t>
      </w:r>
      <w:proofErr w:type="gramStart"/>
      <w:r w:rsidRPr="002C65C5">
        <w:rPr>
          <w:rFonts w:ascii="Times New Roman" w:hAnsi="Times New Roman" w:cs="Times New Roman"/>
        </w:rPr>
        <w:t>data</w:t>
      </w:r>
      <w:proofErr w:type="gramEnd"/>
      <w:r w:rsidRPr="002C65C5">
        <w:rPr>
          <w:rFonts w:ascii="Times New Roman" w:hAnsi="Times New Roman" w:cs="Times New Roman"/>
        </w:rPr>
        <w:t xml:space="preserve"> protection.</w:t>
      </w:r>
    </w:p>
    <w:p w14:paraId="3003E5D3" w14:textId="77777777" w:rsidR="00790756" w:rsidRDefault="00790756" w:rsidP="002C65C5">
      <w:pPr>
        <w:spacing w:line="360" w:lineRule="auto"/>
        <w:jc w:val="both"/>
        <w:rPr>
          <w:rFonts w:ascii="Times New Roman" w:hAnsi="Times New Roman" w:cs="Times New Roman"/>
        </w:rPr>
      </w:pPr>
    </w:p>
    <w:p w14:paraId="473A41AF" w14:textId="09BD2CC7" w:rsidR="00417EA5" w:rsidRPr="00417EA5" w:rsidRDefault="00417EA5" w:rsidP="00790756">
      <w:pPr>
        <w:spacing w:line="360" w:lineRule="auto"/>
        <w:jc w:val="both"/>
        <w:rPr>
          <w:rFonts w:ascii="Times New Roman" w:hAnsi="Times New Roman" w:cs="Times New Roman"/>
          <w:b/>
          <w:bCs/>
        </w:rPr>
      </w:pPr>
      <w:r w:rsidRPr="00417EA5">
        <w:rPr>
          <w:rFonts w:ascii="Times New Roman" w:hAnsi="Times New Roman" w:cs="Times New Roman"/>
          <w:b/>
          <w:bCs/>
        </w:rPr>
        <w:t>Supplementary Data 2</w:t>
      </w:r>
    </w:p>
    <w:p w14:paraId="7668C70E" w14:textId="10D7F0B6" w:rsidR="00790756" w:rsidRPr="00406408" w:rsidRDefault="00790756" w:rsidP="00790756">
      <w:pPr>
        <w:spacing w:line="360" w:lineRule="auto"/>
        <w:jc w:val="both"/>
        <w:rPr>
          <w:rFonts w:ascii="Times New Roman" w:hAnsi="Times New Roman" w:cs="Times New Roman"/>
          <w:b/>
          <w:bCs/>
        </w:rPr>
      </w:pPr>
      <w:r w:rsidRPr="00790756">
        <w:rPr>
          <w:rFonts w:ascii="Times New Roman" w:hAnsi="Times New Roman" w:cs="Times New Roman"/>
          <w:b/>
          <w:bCs/>
        </w:rPr>
        <w:t>Cadaveric Preparation</w:t>
      </w:r>
    </w:p>
    <w:p w14:paraId="7D910DFC" w14:textId="39C0A005" w:rsidR="00790756" w:rsidRDefault="00790756" w:rsidP="00790756">
      <w:pPr>
        <w:spacing w:line="360" w:lineRule="auto"/>
        <w:jc w:val="both"/>
        <w:rPr>
          <w:rFonts w:ascii="Times New Roman" w:hAnsi="Times New Roman" w:cs="Times New Roman"/>
        </w:rPr>
      </w:pPr>
      <w:r w:rsidRPr="00790756">
        <w:rPr>
          <w:rFonts w:ascii="Times New Roman" w:hAnsi="Times New Roman" w:cs="Times New Roman"/>
        </w:rPr>
        <w:t>Six cadaveric heads were obtained from the American Tissue Bank and fixed with 10% formalin. Specimens were prepared according to the Klinger method</w:t>
      </w:r>
      <w:r w:rsidR="009131E4">
        <w:rPr>
          <w:rFonts w:ascii="Times New Roman" w:hAnsi="Times New Roman" w:cs="Times New Roman"/>
        </w:rPr>
        <w:fldChar w:fldCharType="begin"/>
      </w:r>
      <w:r w:rsidR="009131E4">
        <w:rPr>
          <w:rFonts w:ascii="Times New Roman" w:hAnsi="Times New Roman" w:cs="Times New Roman"/>
        </w:rPr>
        <w:instrText xml:space="preserve"> ADDIN EN.CITE &lt;EndNote&gt;&lt;Cite&gt;&lt;Author&gt;Ludwig&lt;/Author&gt;&lt;Year&gt;1956&lt;/Year&gt;&lt;RecNum&gt;1&lt;/RecNum&gt;&lt;DisplayText&gt;&lt;style face="superscript"&gt;1&lt;/style&gt;&lt;/DisplayText&gt;&lt;record&gt;&lt;rec-number&gt;1&lt;/rec-number&gt;&lt;foreign-keys&gt;&lt;key app="EN" db-id="r5v95xdsbxrs9new0t7xtpf3zdas2sw2z2zs" timestamp="1729622332"&gt;1&lt;/key&gt;&lt;/foreign-keys&gt;&lt;ref-type name="Book"&gt;6&lt;/ref-type&gt;&lt;contributors&gt;&lt;authors&gt;&lt;author&gt;Ludwig, E.&lt;/author&gt;&lt;author&gt;Klingler, J.&lt;/author&gt;&lt;/authors&gt;&lt;/contributors&gt;&lt;titles&gt;&lt;title&gt;Atlas cerebri humani. Der innere Bau des Gehirns dargestellt auf Grund makroskopischer Präparate. The inner structure of the brain demonstrated on the basis of macroscopical preparations&lt;/title&gt;&lt;/titles&gt;&lt;pages&gt;36 p.&lt;/pages&gt;&lt;keywords&gt;&lt;keyword&gt;Brain Atlases.&lt;/keyword&gt;&lt;/keywords&gt;&lt;dates&gt;&lt;year&gt;1956&lt;/year&gt;&lt;/dates&gt;&lt;pub-location&gt;Boston,&lt;/pub-location&gt;&lt;publisher&gt;Little, Brown&lt;/publisher&gt;&lt;accession-num&gt;1693113&lt;/accession-num&gt;&lt;call-num&gt;QM455 .L85&lt;/call-num&gt;&lt;urls&gt;&lt;/urls&gt;&lt;/record&gt;&lt;/Cite&gt;&lt;/EndNote&gt;</w:instrText>
      </w:r>
      <w:r w:rsidR="009131E4">
        <w:rPr>
          <w:rFonts w:ascii="Times New Roman" w:hAnsi="Times New Roman" w:cs="Times New Roman"/>
        </w:rPr>
        <w:fldChar w:fldCharType="separate"/>
      </w:r>
      <w:r w:rsidR="009131E4" w:rsidRPr="009131E4">
        <w:rPr>
          <w:rFonts w:ascii="Times New Roman" w:hAnsi="Times New Roman" w:cs="Times New Roman"/>
          <w:noProof/>
          <w:vertAlign w:val="superscript"/>
        </w:rPr>
        <w:t>1</w:t>
      </w:r>
      <w:r w:rsidR="009131E4">
        <w:rPr>
          <w:rFonts w:ascii="Times New Roman" w:hAnsi="Times New Roman" w:cs="Times New Roman"/>
        </w:rPr>
        <w:fldChar w:fldCharType="end"/>
      </w:r>
      <w:r w:rsidRPr="00790756">
        <w:rPr>
          <w:rFonts w:ascii="Times New Roman" w:hAnsi="Times New Roman" w:cs="Times New Roman"/>
        </w:rPr>
        <w:t>. The heads were stored at −16°C for two weeks to facilitate white matter fiber separation. After freezing, the specimens were thawed under running water and preserved in 70% alcohol throughout all anatomical dissections. Donors had no history of cranial trauma or intracranial pathology that could alter ventricular anatomy.</w:t>
      </w:r>
    </w:p>
    <w:p w14:paraId="28FA3151" w14:textId="77777777" w:rsidR="002C65C5" w:rsidRPr="001A7FE9" w:rsidRDefault="002C65C5" w:rsidP="002C65C5">
      <w:pPr>
        <w:spacing w:line="360" w:lineRule="auto"/>
        <w:jc w:val="both"/>
        <w:rPr>
          <w:rFonts w:ascii="Times New Roman" w:hAnsi="Times New Roman" w:cs="Times New Roman"/>
        </w:rPr>
      </w:pPr>
    </w:p>
    <w:p w14:paraId="4D25298E" w14:textId="77777777" w:rsidR="00417EA5" w:rsidRDefault="00417EA5" w:rsidP="00270AD6">
      <w:pPr>
        <w:spacing w:line="360" w:lineRule="auto"/>
        <w:jc w:val="both"/>
        <w:rPr>
          <w:rFonts w:ascii="Times New Roman" w:hAnsi="Times New Roman" w:cs="Times New Roman"/>
          <w:b/>
          <w:bCs/>
        </w:rPr>
      </w:pPr>
      <w:r w:rsidRPr="00417EA5">
        <w:rPr>
          <w:rFonts w:ascii="Times New Roman" w:hAnsi="Times New Roman" w:cs="Times New Roman"/>
          <w:b/>
          <w:bCs/>
        </w:rPr>
        <w:t>Supplementary Data 3</w:t>
      </w:r>
      <w:r w:rsidR="001A7FE9" w:rsidRPr="001A7FE9">
        <w:rPr>
          <w:rFonts w:ascii="Times New Roman" w:hAnsi="Times New Roman" w:cs="Times New Roman"/>
          <w:b/>
          <w:bCs/>
        </w:rPr>
        <w:t xml:space="preserve"> </w:t>
      </w:r>
    </w:p>
    <w:p w14:paraId="48065DF5" w14:textId="36B8085A" w:rsidR="00790756" w:rsidRPr="001A7FE9" w:rsidRDefault="001A7FE9" w:rsidP="00270AD6">
      <w:pPr>
        <w:spacing w:line="360" w:lineRule="auto"/>
        <w:jc w:val="both"/>
        <w:rPr>
          <w:rFonts w:ascii="Times New Roman" w:hAnsi="Times New Roman" w:cs="Times New Roman"/>
          <w:b/>
          <w:bCs/>
        </w:rPr>
      </w:pPr>
      <w:r w:rsidRPr="001A7FE9">
        <w:rPr>
          <w:rFonts w:ascii="Times New Roman" w:hAnsi="Times New Roman" w:cs="Times New Roman"/>
          <w:b/>
          <w:bCs/>
        </w:rPr>
        <w:t>Imaging and Neuronavigation Workflow</w:t>
      </w:r>
    </w:p>
    <w:p w14:paraId="2D314ECF" w14:textId="77777777" w:rsidR="00563FCB" w:rsidRPr="00563FCB" w:rsidRDefault="00563FCB" w:rsidP="00563FCB">
      <w:pPr>
        <w:spacing w:line="360" w:lineRule="auto"/>
        <w:jc w:val="both"/>
        <w:rPr>
          <w:rFonts w:ascii="Times New Roman" w:hAnsi="Times New Roman" w:cs="Times New Roman"/>
        </w:rPr>
      </w:pPr>
      <w:r w:rsidRPr="00563FCB">
        <w:rPr>
          <w:rFonts w:ascii="Times New Roman" w:hAnsi="Times New Roman" w:cs="Times New Roman"/>
        </w:rPr>
        <w:t>Prior to catheter placement, all cadaveric specimens underwent magnetic resonance imaging using a 3.0T system (MAGNETOM Skyra, Siemens Healthcare, Erlangen, Germany). Imaging was acquired in axial, coronal, and sagittal planes with 1-mm slice intervals to evaluate bone and parenchymal structures and to identify obstacles along planned ventricular trajectories. Imaging datasets were reviewed to confirm suitability for lateral ventricular catheterization.</w:t>
      </w:r>
    </w:p>
    <w:p w14:paraId="57A938A2" w14:textId="30431A8C" w:rsidR="00563FCB" w:rsidRPr="00563FCB" w:rsidRDefault="00563FCB" w:rsidP="00563FCB">
      <w:pPr>
        <w:spacing w:line="360" w:lineRule="auto"/>
        <w:jc w:val="both"/>
        <w:rPr>
          <w:rFonts w:ascii="Times New Roman" w:hAnsi="Times New Roman" w:cs="Times New Roman"/>
        </w:rPr>
      </w:pPr>
      <w:r w:rsidRPr="00563FCB">
        <w:rPr>
          <w:rFonts w:ascii="Times New Roman" w:hAnsi="Times New Roman" w:cs="Times New Roman"/>
        </w:rPr>
        <w:lastRenderedPageBreak/>
        <w:t>The specimens were secured using Mayfield skull clamps, and MRI and CT datasets were registered to a neuronavigation platform (Kick System, Brainlab AG, Feldkirchen, Germany). Ventricular catheterization was planned using five standard access points: Kocher’s, Paine’s, Keen’s, Frazier’s, and Dandy’s points</w:t>
      </w:r>
      <w:r w:rsidR="00B45FC0">
        <w:rPr>
          <w:rFonts w:ascii="Times New Roman" w:hAnsi="Times New Roman" w:cs="Times New Roman"/>
        </w:rPr>
        <w:fldChar w:fldCharType="begin"/>
      </w:r>
      <w:r w:rsidR="00B45FC0">
        <w:rPr>
          <w:rFonts w:ascii="Times New Roman" w:hAnsi="Times New Roman" w:cs="Times New Roman"/>
        </w:rPr>
        <w:instrText xml:space="preserve"> ADDIN EN.CITE &lt;EndNote&gt;&lt;Cite&gt;&lt;Author&gt;Burke&lt;/Author&gt;&lt;Year&gt;2020&lt;/Year&gt;&lt;RecNum&gt;19&lt;/RecNum&gt;&lt;DisplayText&gt;&lt;style face="superscript"&gt;2&lt;/style&gt;&lt;/DisplayText&gt;&lt;record&gt;&lt;rec-number&gt;19&lt;/rec-number&gt;&lt;foreign-keys&gt;&lt;key app="EN" db-id="r5v95xdsbxrs9new0t7xtpf3zdas2sw2z2zs" timestamp="1731523400"&gt;19&lt;/key&gt;&lt;/foreign-keys&gt;&lt;ref-type name="Journal Article"&gt;17&lt;/ref-type&gt;&lt;contributors&gt;&lt;authors&gt;&lt;author&gt;Burke, John F&lt;/author&gt;&lt;author&gt;Magill, Stephen T&lt;/author&gt;&lt;/authors&gt;&lt;/contributors&gt;&lt;titles&gt;&lt;title&gt;Craniometrics and Ventricular Access: A Review of Kocher&amp;apos;s, Kaufman&amp;apos;s, Paine&amp;apos;s, Menovksy&amp;apos;s, Tubbs’, Keen&amp;apos;s, Frazier&amp;apos;s, Dandy&amp;apos;s, and Sanchez&amp;apos;s Points&lt;/title&gt;&lt;secondary-title&gt;Operative Neurosurgery&lt;/secondary-title&gt;&lt;/titles&gt;&lt;periodical&gt;&lt;full-title&gt;Operative Neurosurgery&lt;/full-title&gt;&lt;/periodical&gt;&lt;pages&gt;E550-E551&lt;/pages&gt;&lt;volume&gt;19&lt;/volume&gt;&lt;number&gt;5&lt;/number&gt;&lt;dates&gt;&lt;year&gt;2020&lt;/year&gt;&lt;/dates&gt;&lt;isbn&gt;2332-4252&lt;/isbn&gt;&lt;urls&gt;&lt;/urls&gt;&lt;/record&gt;&lt;/Cite&gt;&lt;/EndNote&gt;</w:instrText>
      </w:r>
      <w:r w:rsidR="00B45FC0">
        <w:rPr>
          <w:rFonts w:ascii="Times New Roman" w:hAnsi="Times New Roman" w:cs="Times New Roman"/>
        </w:rPr>
        <w:fldChar w:fldCharType="separate"/>
      </w:r>
      <w:r w:rsidR="00B45FC0" w:rsidRPr="00B45FC0">
        <w:rPr>
          <w:rFonts w:ascii="Times New Roman" w:hAnsi="Times New Roman" w:cs="Times New Roman"/>
          <w:noProof/>
          <w:vertAlign w:val="superscript"/>
        </w:rPr>
        <w:t>2</w:t>
      </w:r>
      <w:r w:rsidR="00B45FC0">
        <w:rPr>
          <w:rFonts w:ascii="Times New Roman" w:hAnsi="Times New Roman" w:cs="Times New Roman"/>
        </w:rPr>
        <w:fldChar w:fldCharType="end"/>
      </w:r>
      <w:r w:rsidRPr="00563FCB">
        <w:rPr>
          <w:rFonts w:ascii="Times New Roman" w:hAnsi="Times New Roman" w:cs="Times New Roman"/>
        </w:rPr>
        <w:t>. These entry sites were localized using surface anatomical landmarks and verified with neuronavigation to optimize trajectory orientation.</w:t>
      </w:r>
    </w:p>
    <w:p w14:paraId="11EE8C1A" w14:textId="77777777" w:rsidR="00563FCB" w:rsidRPr="00563FCB" w:rsidRDefault="00563FCB" w:rsidP="00563FCB">
      <w:pPr>
        <w:spacing w:line="360" w:lineRule="auto"/>
        <w:jc w:val="both"/>
        <w:rPr>
          <w:rFonts w:ascii="Times New Roman" w:hAnsi="Times New Roman" w:cs="Times New Roman"/>
        </w:rPr>
      </w:pPr>
      <w:r w:rsidRPr="00563FCB">
        <w:rPr>
          <w:rFonts w:ascii="Times New Roman" w:hAnsi="Times New Roman" w:cs="Times New Roman"/>
        </w:rPr>
        <w:t>After 2-cm vertical skin incisions, 1-cm burrholes were created at each access point. Ventricular catheters (D-SVCK; Desu Medical™, Ankara, Turkey) were inserted under neuronavigation guidance. Catheter trajectories and burrhole margins were preserved throughout subsequent dissections to allow anatomical analysis of their relationships with bone, dura, cortical vasculature, cortex, and subcortical white matter structures.</w:t>
      </w:r>
    </w:p>
    <w:p w14:paraId="2676A81F" w14:textId="07816E7B" w:rsidR="001A7FE9" w:rsidRDefault="00563FCB" w:rsidP="00563FCB">
      <w:pPr>
        <w:spacing w:line="360" w:lineRule="auto"/>
        <w:jc w:val="both"/>
        <w:rPr>
          <w:rFonts w:ascii="Times New Roman" w:hAnsi="Times New Roman" w:cs="Times New Roman"/>
        </w:rPr>
      </w:pPr>
      <w:r w:rsidRPr="00563FCB">
        <w:rPr>
          <w:rFonts w:ascii="Times New Roman" w:hAnsi="Times New Roman" w:cs="Times New Roman"/>
        </w:rPr>
        <w:t>Anatomical reference planes used for angle measurements included the midline sagittal plane, Frankfurt horizontal plane, and auricular coronal plane.</w:t>
      </w:r>
    </w:p>
    <w:p w14:paraId="16A19886" w14:textId="77777777" w:rsidR="001A7FE9" w:rsidRPr="001A7FE9" w:rsidRDefault="001A7FE9" w:rsidP="00270AD6">
      <w:pPr>
        <w:spacing w:line="360" w:lineRule="auto"/>
        <w:jc w:val="both"/>
        <w:rPr>
          <w:rFonts w:ascii="Times New Roman" w:hAnsi="Times New Roman" w:cs="Times New Roman"/>
        </w:rPr>
      </w:pPr>
    </w:p>
    <w:p w14:paraId="0A68B236" w14:textId="6D8983DA" w:rsidR="00993D07" w:rsidRPr="00993D07" w:rsidRDefault="00993D07" w:rsidP="00270AD6">
      <w:pPr>
        <w:spacing w:line="360" w:lineRule="auto"/>
        <w:jc w:val="both"/>
        <w:rPr>
          <w:rFonts w:ascii="Times New Roman" w:hAnsi="Times New Roman" w:cs="Times New Roman"/>
          <w:b/>
          <w:bCs/>
        </w:rPr>
      </w:pPr>
      <w:r w:rsidRPr="00993D07">
        <w:rPr>
          <w:rFonts w:ascii="Times New Roman" w:hAnsi="Times New Roman" w:cs="Times New Roman"/>
          <w:b/>
          <w:bCs/>
        </w:rPr>
        <w:t>Supplementary Data 4</w:t>
      </w:r>
    </w:p>
    <w:p w14:paraId="311C7AF7" w14:textId="52B5B4E0" w:rsidR="001A7FE9" w:rsidRPr="001A7FE9" w:rsidRDefault="001A7FE9" w:rsidP="00270AD6">
      <w:pPr>
        <w:spacing w:line="360" w:lineRule="auto"/>
        <w:jc w:val="both"/>
        <w:rPr>
          <w:rFonts w:ascii="Times New Roman" w:hAnsi="Times New Roman" w:cs="Times New Roman"/>
          <w:b/>
          <w:bCs/>
        </w:rPr>
      </w:pPr>
      <w:r w:rsidRPr="001A7FE9">
        <w:rPr>
          <w:rFonts w:ascii="Times New Roman" w:hAnsi="Times New Roman" w:cs="Times New Roman"/>
          <w:b/>
          <w:bCs/>
        </w:rPr>
        <w:t>Microsurgical Dissection Protocol</w:t>
      </w:r>
    </w:p>
    <w:p w14:paraId="2AAD8AAD" w14:textId="77777777" w:rsidR="004F701C" w:rsidRPr="004F701C" w:rsidRDefault="004F701C" w:rsidP="004F701C">
      <w:pPr>
        <w:spacing w:line="360" w:lineRule="auto"/>
        <w:jc w:val="both"/>
        <w:rPr>
          <w:rFonts w:ascii="Times New Roman" w:hAnsi="Times New Roman" w:cs="Times New Roman"/>
        </w:rPr>
      </w:pPr>
      <w:r w:rsidRPr="004F701C">
        <w:rPr>
          <w:rFonts w:ascii="Times New Roman" w:hAnsi="Times New Roman" w:cs="Times New Roman"/>
        </w:rPr>
        <w:t>Specimens were secured to the operating table using a Mayfield® three-pin fixation system (Integra LifeSciences, Plainsboro, NJ, USA). For topographic orientation, ocular and auricular landmarks were preserved. The skin and subcutaneous tissues were removed while maintaining catheter position and exposing the entire cerebral hemisphere. The bone surrounding each burrhole was circumferentially reinforced using a high-speed surgical drill (Midas Rex® Legend, Minneapolis, USA), followed by removal of the bone flap.</w:t>
      </w:r>
    </w:p>
    <w:p w14:paraId="5EADE9E2" w14:textId="77777777" w:rsidR="004F701C" w:rsidRPr="004F701C" w:rsidRDefault="004F701C" w:rsidP="004F701C">
      <w:pPr>
        <w:spacing w:line="360" w:lineRule="auto"/>
        <w:jc w:val="both"/>
        <w:rPr>
          <w:rFonts w:ascii="Times New Roman" w:hAnsi="Times New Roman" w:cs="Times New Roman"/>
        </w:rPr>
      </w:pPr>
      <w:r w:rsidRPr="004F701C">
        <w:rPr>
          <w:rFonts w:ascii="Times New Roman" w:hAnsi="Times New Roman" w:cs="Times New Roman"/>
        </w:rPr>
        <w:t>The dura mater, arachnoid membranes, vascular structures, cortical gray matter, and subcortical white matter were dissected under operative microscopy (OPMI-1, Carl Zeiss, Oberkochen, Germany) using standard microsurgical instruments including a microdissector, wooden spatula, microhook, and microscissors. Gradual white matter fiber dissection was performed in all hemispheres from lateral to medial axes while preserving ventricular catheter trajectories.</w:t>
      </w:r>
    </w:p>
    <w:p w14:paraId="50F2778A" w14:textId="77777777" w:rsidR="004F701C" w:rsidRPr="004F701C" w:rsidRDefault="004F701C" w:rsidP="004F701C">
      <w:pPr>
        <w:spacing w:line="360" w:lineRule="auto"/>
        <w:jc w:val="both"/>
        <w:rPr>
          <w:rFonts w:ascii="Times New Roman" w:hAnsi="Times New Roman" w:cs="Times New Roman"/>
        </w:rPr>
      </w:pPr>
      <w:r w:rsidRPr="004F701C">
        <w:rPr>
          <w:rFonts w:ascii="Times New Roman" w:hAnsi="Times New Roman" w:cs="Times New Roman"/>
        </w:rPr>
        <w:t>During the final stage of dissection, burrhole thickness was measured for each catheter. Catheter lengths were recorded both within the brain parenchyma and between the external scalp surface and the inner ventricular wall. To evaluate catheter insertion angles, trajectories were analyzed relative to three anatomical reference planes: the midline sagittal plane, Frankfurt horizontal plane, and auricular coronal plane. While the specimens remained fixed in the Mayfield system, angle measurements were obtained using a smartphone-based digital inclinometer application (Angle Meter 360®, Alexey Kozlov). Measurements were repeated bilaterally when applicable to ensure consistency.</w:t>
      </w:r>
    </w:p>
    <w:p w14:paraId="0F795E54" w14:textId="00E0CD51" w:rsidR="00270AD6" w:rsidRDefault="004F701C" w:rsidP="004F701C">
      <w:pPr>
        <w:spacing w:line="360" w:lineRule="auto"/>
        <w:jc w:val="both"/>
        <w:rPr>
          <w:rFonts w:ascii="Times New Roman" w:hAnsi="Times New Roman" w:cs="Times New Roman"/>
        </w:rPr>
      </w:pPr>
      <w:r w:rsidRPr="004F701C">
        <w:rPr>
          <w:rFonts w:ascii="Times New Roman" w:hAnsi="Times New Roman" w:cs="Times New Roman"/>
        </w:rPr>
        <w:lastRenderedPageBreak/>
        <w:t>All stages of microsurgical dissection were photographically documented using a Canon® EOS 200D digital camera (Canon Inc., Tokyo, Japan) equipped with an EF-S 18–55 mm f/3.5–5.6 lens and an EF 100 mm f/2.8 macro lens, with standardized illumination provided by a ring light source to ensure reproducible visual documentation.</w:t>
      </w:r>
    </w:p>
    <w:p w14:paraId="560A637A" w14:textId="77777777" w:rsidR="001A7FE9" w:rsidRPr="001A7FE9" w:rsidRDefault="001A7FE9" w:rsidP="00270AD6">
      <w:pPr>
        <w:spacing w:line="360" w:lineRule="auto"/>
        <w:jc w:val="both"/>
        <w:rPr>
          <w:rFonts w:ascii="Times New Roman" w:hAnsi="Times New Roman" w:cs="Times New Roman"/>
        </w:rPr>
      </w:pPr>
    </w:p>
    <w:p w14:paraId="1025C54B" w14:textId="08194106" w:rsidR="00993D07" w:rsidRPr="00993D07" w:rsidRDefault="00993D07" w:rsidP="00270AD6">
      <w:pPr>
        <w:spacing w:line="360" w:lineRule="auto"/>
        <w:jc w:val="both"/>
        <w:rPr>
          <w:rFonts w:ascii="Times New Roman" w:hAnsi="Times New Roman" w:cs="Times New Roman"/>
          <w:b/>
          <w:bCs/>
        </w:rPr>
      </w:pPr>
      <w:r w:rsidRPr="00993D07">
        <w:rPr>
          <w:rFonts w:ascii="Times New Roman" w:hAnsi="Times New Roman" w:cs="Times New Roman"/>
          <w:b/>
          <w:bCs/>
        </w:rPr>
        <w:t>Supplementary Data 5</w:t>
      </w:r>
    </w:p>
    <w:p w14:paraId="6171C725" w14:textId="63821328" w:rsidR="001A7FE9" w:rsidRPr="001A7FE9" w:rsidRDefault="001A7FE9" w:rsidP="00270AD6">
      <w:pPr>
        <w:spacing w:line="360" w:lineRule="auto"/>
        <w:jc w:val="both"/>
        <w:rPr>
          <w:rFonts w:ascii="Times New Roman" w:hAnsi="Times New Roman" w:cs="Times New Roman"/>
          <w:b/>
          <w:bCs/>
        </w:rPr>
      </w:pPr>
      <w:r w:rsidRPr="001A7FE9">
        <w:rPr>
          <w:rFonts w:ascii="Times New Roman" w:hAnsi="Times New Roman" w:cs="Times New Roman"/>
          <w:b/>
          <w:bCs/>
        </w:rPr>
        <w:t>Tractography and 3D Reconstruction Pipeline</w:t>
      </w:r>
    </w:p>
    <w:p w14:paraId="64E5A0FA" w14:textId="6AE3CCA2" w:rsidR="00902EDF" w:rsidRPr="00902EDF" w:rsidRDefault="00902EDF" w:rsidP="00902EDF">
      <w:pPr>
        <w:spacing w:line="360" w:lineRule="auto"/>
        <w:jc w:val="both"/>
        <w:rPr>
          <w:rFonts w:ascii="Times New Roman" w:hAnsi="Times New Roman" w:cs="Times New Roman"/>
        </w:rPr>
      </w:pPr>
      <w:r w:rsidRPr="00902EDF">
        <w:rPr>
          <w:rFonts w:ascii="Times New Roman" w:hAnsi="Times New Roman" w:cs="Times New Roman"/>
        </w:rPr>
        <w:t>To ensure topographical integrity, a diffusion imaging dataset from the Human Connectome Project–Multi-Modal Parcellation dataset, already normalized to Montreal Neurological Institute (MNI) space, was utilized</w:t>
      </w:r>
      <w:r w:rsidR="00B75CF5">
        <w:rPr>
          <w:rFonts w:ascii="Times New Roman" w:hAnsi="Times New Roman" w:cs="Times New Roman"/>
        </w:rPr>
        <w:fldChar w:fldCharType="begin"/>
      </w:r>
      <w:r w:rsidR="00B75CF5">
        <w:rPr>
          <w:rFonts w:ascii="Times New Roman" w:hAnsi="Times New Roman" w:cs="Times New Roman"/>
        </w:rPr>
        <w:instrText xml:space="preserve"> ADDIN EN.CITE &lt;EndNote&gt;&lt;Cite&gt;&lt;Author&gt;Glasser&lt;/Author&gt;&lt;Year&gt;2016&lt;/Year&gt;&lt;RecNum&gt;50&lt;/RecNum&gt;&lt;DisplayText&gt;&lt;style face="superscript"&gt;3&lt;/style&gt;&lt;/DisplayText&gt;&lt;record&gt;&lt;rec-number&gt;50&lt;/rec-number&gt;&lt;foreign-keys&gt;&lt;key app="EN" db-id="r5v95xdsbxrs9new0t7xtpf3zdas2sw2z2zs" timestamp="1764845924"&gt;50&lt;/key&gt;&lt;/foreign-keys&gt;&lt;ref-type name="Journal Article"&gt;17&lt;/ref-type&gt;&lt;contributors&gt;&lt;authors&gt;&lt;author&gt;Glasser, Matthew F&lt;/author&gt;&lt;author&gt;Coalson, Timothy S&lt;/author&gt;&lt;author&gt;Robinson, Emma C&lt;/author&gt;&lt;author&gt;Hacker, Carl D&lt;/author&gt;&lt;author&gt;Harwell, John&lt;/author&gt;&lt;author&gt;Yacoub, Essa&lt;/author&gt;&lt;author&gt;Ugurbil, Kamil&lt;/author&gt;&lt;author&gt;Andersson, Jesper&lt;/author&gt;&lt;author&gt;Beckmann, Christian F&lt;/author&gt;&lt;author&gt;Jenkinson, Mark&lt;/author&gt;&lt;/authors&gt;&lt;/contributors&gt;&lt;titles&gt;&lt;title&gt;A multi-modal parcellation of human cerebral cortex&lt;/title&gt;&lt;secondary-title&gt;Nature&lt;/secondary-title&gt;&lt;/titles&gt;&lt;periodical&gt;&lt;full-title&gt;Nature&lt;/full-title&gt;&lt;/periodical&gt;&lt;pages&gt;171-178&lt;/pages&gt;&lt;volume&gt;536&lt;/volume&gt;&lt;number&gt;7615&lt;/number&gt;&lt;dates&gt;&lt;year&gt;2016&lt;/year&gt;&lt;/dates&gt;&lt;isbn&gt;1476-4687&lt;/isbn&gt;&lt;urls&gt;&lt;/urls&gt;&lt;/record&gt;&lt;/Cite&gt;&lt;/EndNote&gt;</w:instrText>
      </w:r>
      <w:r w:rsidR="00B75CF5">
        <w:rPr>
          <w:rFonts w:ascii="Times New Roman" w:hAnsi="Times New Roman" w:cs="Times New Roman"/>
        </w:rPr>
        <w:fldChar w:fldCharType="separate"/>
      </w:r>
      <w:r w:rsidR="00B75CF5" w:rsidRPr="00B75CF5">
        <w:rPr>
          <w:rFonts w:ascii="Times New Roman" w:hAnsi="Times New Roman" w:cs="Times New Roman"/>
          <w:noProof/>
          <w:vertAlign w:val="superscript"/>
        </w:rPr>
        <w:t>3</w:t>
      </w:r>
      <w:r w:rsidR="00B75CF5">
        <w:rPr>
          <w:rFonts w:ascii="Times New Roman" w:hAnsi="Times New Roman" w:cs="Times New Roman"/>
        </w:rPr>
        <w:fldChar w:fldCharType="end"/>
      </w:r>
      <w:r w:rsidRPr="00902EDF">
        <w:rPr>
          <w:rFonts w:ascii="Times New Roman" w:hAnsi="Times New Roman" w:cs="Times New Roman"/>
        </w:rPr>
        <w:t>. The data were processed in DSI Studio (https://dsi-studio.labsolver.org/) using the generalized q-sampling imaging method to reconstruct the orientational distribution of fractional anisotropies</w:t>
      </w:r>
      <w:r w:rsidR="00EB127E">
        <w:rPr>
          <w:rFonts w:ascii="Times New Roman" w:hAnsi="Times New Roman" w:cs="Times New Roman"/>
        </w:rPr>
        <w:fldChar w:fldCharType="begin"/>
      </w:r>
      <w:r w:rsidR="00EB127E">
        <w:rPr>
          <w:rFonts w:ascii="Times New Roman" w:hAnsi="Times New Roman" w:cs="Times New Roman"/>
        </w:rPr>
        <w:instrText xml:space="preserve"> ADDIN EN.CITE &lt;EndNote&gt;&lt;Cite&gt;&lt;Author&gt;Yeh&lt;/Author&gt;&lt;Year&gt;2010&lt;/Year&gt;&lt;RecNum&gt;51&lt;/RecNum&gt;&lt;DisplayText&gt;&lt;style face="superscript"&gt;4&lt;/style&gt;&lt;/DisplayText&gt;&lt;record&gt;&lt;rec-number&gt;51&lt;/rec-number&gt;&lt;foreign-keys&gt;&lt;key app="EN" db-id="r5v95xdsbxrs9new0t7xtpf3zdas2sw2z2zs" timestamp="1764846071"&gt;51&lt;/key&gt;&lt;/foreign-keys&gt;&lt;ref-type name="Journal Article"&gt;17&lt;/ref-type&gt;&lt;contributors&gt;&lt;authors&gt;&lt;author&gt;Yeh, Fang-Cheng&lt;/author&gt;&lt;author&gt;Wedeen, Van Jay&lt;/author&gt;&lt;author&gt;Tseng, Wen-Yih Isaac&lt;/author&gt;&lt;/authors&gt;&lt;/contributors&gt;&lt;titles&gt;&lt;title&gt;Generalized ${q} $-sampling imaging&lt;/title&gt;&lt;secondary-title&gt;IEEE transactions on medical imaging&lt;/secondary-title&gt;&lt;/titles&gt;&lt;periodical&gt;&lt;full-title&gt;IEEE transactions on medical imaging&lt;/full-title&gt;&lt;/periodical&gt;&lt;pages&gt;1626-1635&lt;/pages&gt;&lt;volume&gt;29&lt;/volume&gt;&lt;number&gt;9&lt;/number&gt;&lt;dates&gt;&lt;year&gt;2010&lt;/year&gt;&lt;/dates&gt;&lt;isbn&gt;0278-0062&lt;/isbn&gt;&lt;urls&gt;&lt;/urls&gt;&lt;/record&gt;&lt;/Cite&gt;&lt;/EndNote&gt;</w:instrText>
      </w:r>
      <w:r w:rsidR="00EB127E">
        <w:rPr>
          <w:rFonts w:ascii="Times New Roman" w:hAnsi="Times New Roman" w:cs="Times New Roman"/>
        </w:rPr>
        <w:fldChar w:fldCharType="separate"/>
      </w:r>
      <w:r w:rsidR="00EB127E" w:rsidRPr="00EB127E">
        <w:rPr>
          <w:rFonts w:ascii="Times New Roman" w:hAnsi="Times New Roman" w:cs="Times New Roman"/>
          <w:noProof/>
          <w:vertAlign w:val="superscript"/>
        </w:rPr>
        <w:t>4</w:t>
      </w:r>
      <w:r w:rsidR="00EB127E">
        <w:rPr>
          <w:rFonts w:ascii="Times New Roman" w:hAnsi="Times New Roman" w:cs="Times New Roman"/>
        </w:rPr>
        <w:fldChar w:fldCharType="end"/>
      </w:r>
      <w:r w:rsidRPr="00902EDF">
        <w:rPr>
          <w:rFonts w:ascii="Times New Roman" w:hAnsi="Times New Roman" w:cs="Times New Roman"/>
        </w:rPr>
        <w:t>.</w:t>
      </w:r>
    </w:p>
    <w:p w14:paraId="585D8351" w14:textId="77777777" w:rsidR="00902EDF" w:rsidRPr="00902EDF" w:rsidRDefault="00902EDF" w:rsidP="00902EDF">
      <w:pPr>
        <w:spacing w:line="360" w:lineRule="auto"/>
        <w:jc w:val="both"/>
        <w:rPr>
          <w:rFonts w:ascii="Times New Roman" w:hAnsi="Times New Roman" w:cs="Times New Roman"/>
        </w:rPr>
      </w:pPr>
      <w:r w:rsidRPr="00902EDF">
        <w:rPr>
          <w:rFonts w:ascii="Times New Roman" w:hAnsi="Times New Roman" w:cs="Times New Roman"/>
        </w:rPr>
        <w:t>For high-precision tract generation, anatomically accurate regions of interest (ROIs) were strategically defined based on known white matter anatomy and cadaveric dissection findings. Tractographies generated from segmented ROIs were manually refined using the DSI Studio dissection tool to remove anatomically implausible streamlines, thereby improving anatomical fidelity.</w:t>
      </w:r>
    </w:p>
    <w:p w14:paraId="168394DE" w14:textId="77777777" w:rsidR="00902EDF" w:rsidRPr="00902EDF" w:rsidRDefault="00902EDF" w:rsidP="00902EDF">
      <w:pPr>
        <w:spacing w:line="360" w:lineRule="auto"/>
        <w:jc w:val="both"/>
        <w:rPr>
          <w:rFonts w:ascii="Times New Roman" w:hAnsi="Times New Roman" w:cs="Times New Roman"/>
        </w:rPr>
      </w:pPr>
      <w:r w:rsidRPr="00902EDF">
        <w:rPr>
          <w:rFonts w:ascii="Times New Roman" w:hAnsi="Times New Roman" w:cs="Times New Roman"/>
        </w:rPr>
        <w:t xml:space="preserve">Exported tractography models were integrated with ventricular anatomy within a three-dimensional visualization workflow. Fiber tracts were visualized together with the lateral ventricle and caudate nucleus using the Blender® </w:t>
      </w:r>
      <w:proofErr w:type="gramStart"/>
      <w:r w:rsidRPr="00902EDF">
        <w:rPr>
          <w:rFonts w:ascii="Times New Roman" w:hAnsi="Times New Roman" w:cs="Times New Roman"/>
        </w:rPr>
        <w:t>software</w:t>
      </w:r>
      <w:proofErr w:type="gramEnd"/>
      <w:r w:rsidRPr="00902EDF">
        <w:rPr>
          <w:rFonts w:ascii="Times New Roman" w:hAnsi="Times New Roman" w:cs="Times New Roman"/>
        </w:rPr>
        <w:t xml:space="preserve"> suite (https://www.blender.org/). A geometrically accurate three-dimensional ventricular shunt model was created in the Shapr3D® application (Shapr3D Zrt., Budapest, Hungary) on an iPad platform. The model was generated from direct one-to-one measurements of a standard ventricular catheter to ensure accurate geometric scaling.</w:t>
      </w:r>
    </w:p>
    <w:p w14:paraId="39E1653B" w14:textId="77777777" w:rsidR="00902EDF" w:rsidRDefault="00902EDF" w:rsidP="00902EDF">
      <w:pPr>
        <w:spacing w:line="360" w:lineRule="auto"/>
        <w:jc w:val="both"/>
        <w:rPr>
          <w:rFonts w:ascii="Times New Roman" w:hAnsi="Times New Roman" w:cs="Times New Roman"/>
        </w:rPr>
      </w:pPr>
      <w:r w:rsidRPr="00902EDF">
        <w:rPr>
          <w:rFonts w:ascii="Times New Roman" w:hAnsi="Times New Roman" w:cs="Times New Roman"/>
        </w:rPr>
        <w:t>The shunt model was exported and positioned within the Blender® environment using insertion angles previously recorded from cadaveric dissections. These angles were applied relative to three anatomical reference planes: the midline sagittal plane, Frankfurt horizontal plane, and auricular coronal plane, allowing anatomically faithful reconstruction of the five principal ventricular insertion trajectories. Final composite reconstructions illustrating spatial relationships between catheter trajectories and white matter structures were rendered in Blender®, and high-resolution images and videos were captured for visualization.</w:t>
      </w:r>
    </w:p>
    <w:p w14:paraId="72D465C1" w14:textId="77777777" w:rsidR="00993D07" w:rsidRDefault="00993D07" w:rsidP="00902EDF">
      <w:pPr>
        <w:spacing w:line="360" w:lineRule="auto"/>
        <w:jc w:val="both"/>
        <w:rPr>
          <w:rFonts w:ascii="Times New Roman" w:hAnsi="Times New Roman" w:cs="Times New Roman"/>
        </w:rPr>
      </w:pPr>
    </w:p>
    <w:p w14:paraId="01DB9EC4" w14:textId="77777777" w:rsidR="00993D07" w:rsidRDefault="00993D07" w:rsidP="00902EDF">
      <w:pPr>
        <w:spacing w:line="360" w:lineRule="auto"/>
        <w:jc w:val="both"/>
        <w:rPr>
          <w:rFonts w:ascii="Times New Roman" w:hAnsi="Times New Roman" w:cs="Times New Roman"/>
        </w:rPr>
      </w:pPr>
    </w:p>
    <w:p w14:paraId="6E2DFEF4" w14:textId="77777777" w:rsidR="00D11A01" w:rsidRDefault="00D11A01" w:rsidP="00902EDF">
      <w:pPr>
        <w:spacing w:line="360" w:lineRule="auto"/>
        <w:jc w:val="both"/>
        <w:rPr>
          <w:rFonts w:ascii="Times New Roman" w:hAnsi="Times New Roman" w:cs="Times New Roman"/>
        </w:rPr>
      </w:pPr>
    </w:p>
    <w:p w14:paraId="260383EC" w14:textId="77777777" w:rsidR="00FC0A03" w:rsidRDefault="00FC0A03" w:rsidP="00D11A01">
      <w:pPr>
        <w:spacing w:line="360" w:lineRule="auto"/>
        <w:jc w:val="both"/>
        <w:rPr>
          <w:rFonts w:ascii="Times New Roman" w:hAnsi="Times New Roman" w:cs="Times New Roman"/>
          <w:b/>
          <w:bCs/>
        </w:rPr>
      </w:pPr>
      <w:r w:rsidRPr="00FC0A03">
        <w:rPr>
          <w:rFonts w:ascii="Times New Roman" w:hAnsi="Times New Roman" w:cs="Times New Roman"/>
          <w:b/>
          <w:bCs/>
        </w:rPr>
        <w:lastRenderedPageBreak/>
        <w:t>Supplementary Data 6</w:t>
      </w:r>
    </w:p>
    <w:p w14:paraId="0E4CA04B" w14:textId="5676C8D5" w:rsidR="00D11A01" w:rsidRPr="00D11A01" w:rsidRDefault="00D11A01" w:rsidP="00D11A01">
      <w:pPr>
        <w:spacing w:line="360" w:lineRule="auto"/>
        <w:jc w:val="both"/>
        <w:rPr>
          <w:rFonts w:ascii="Times New Roman" w:hAnsi="Times New Roman" w:cs="Times New Roman"/>
          <w:b/>
          <w:bCs/>
        </w:rPr>
      </w:pPr>
      <w:r w:rsidRPr="00D11A01">
        <w:rPr>
          <w:rFonts w:ascii="Times New Roman" w:hAnsi="Times New Roman" w:cs="Times New Roman"/>
          <w:b/>
          <w:bCs/>
        </w:rPr>
        <w:t>Clinical Cohort and Radiological Measurement Protocol</w:t>
      </w:r>
    </w:p>
    <w:p w14:paraId="27079176" w14:textId="77777777" w:rsidR="00D11A01" w:rsidRPr="00D11A01" w:rsidRDefault="00D11A01" w:rsidP="00D11A01">
      <w:pPr>
        <w:spacing w:line="360" w:lineRule="auto"/>
        <w:jc w:val="both"/>
        <w:rPr>
          <w:rFonts w:ascii="Times New Roman" w:hAnsi="Times New Roman" w:cs="Times New Roman"/>
        </w:rPr>
      </w:pPr>
      <w:r w:rsidRPr="00D11A01">
        <w:rPr>
          <w:rFonts w:ascii="Times New Roman" w:hAnsi="Times New Roman" w:cs="Times New Roman"/>
        </w:rPr>
        <w:t>For the second phase of the study, 50 adult patients diagnosed with communicating hydrocephalus between 2015 and 2020 were randomly selected and retrospectively analyzed. Only patients demonstrating enlargement of the entire ventricular system were included. Exclusion criteria comprised: (1) prior surgical intervention for hydrocephalus; (2) intra- or extraventricular pathology altering ventricular anatomy; (3) cerebral atrophy; (4) macrocephaly or microcephaly; and (5) absence of a pathological condition capable of producing enlargement or structural disruption of the scalp, skull, or dura.</w:t>
      </w:r>
    </w:p>
    <w:p w14:paraId="686431E2" w14:textId="56754E5B" w:rsidR="00D11A01" w:rsidRPr="00D11A01" w:rsidRDefault="00D11A01" w:rsidP="00D11A01">
      <w:pPr>
        <w:spacing w:line="360" w:lineRule="auto"/>
        <w:jc w:val="both"/>
        <w:rPr>
          <w:rFonts w:ascii="Times New Roman" w:hAnsi="Times New Roman" w:cs="Times New Roman"/>
        </w:rPr>
      </w:pPr>
      <w:r w:rsidRPr="00D11A01">
        <w:rPr>
          <w:rFonts w:ascii="Times New Roman" w:hAnsi="Times New Roman" w:cs="Times New Roman"/>
        </w:rPr>
        <w:t>The Evans index was calculated from diagnostic MRI scans obtained at initial presentation</w:t>
      </w:r>
      <w:r w:rsidR="00AE7327">
        <w:rPr>
          <w:rFonts w:ascii="Times New Roman" w:hAnsi="Times New Roman" w:cs="Times New Roman"/>
        </w:rPr>
        <w:fldChar w:fldCharType="begin"/>
      </w:r>
      <w:r w:rsidR="00AE7327">
        <w:rPr>
          <w:rFonts w:ascii="Times New Roman" w:hAnsi="Times New Roman" w:cs="Times New Roman"/>
        </w:rPr>
        <w:instrText xml:space="preserve"> ADDIN EN.CITE &lt;EndNote&gt;&lt;Cite&gt;&lt;Author&gt;Evans&lt;/Author&gt;&lt;Year&gt;1942&lt;/Year&gt;&lt;RecNum&gt;6&lt;/RecNum&gt;&lt;DisplayText&gt;&lt;style face="superscript"&gt;5&lt;/style&gt;&lt;/DisplayText&gt;&lt;record&gt;&lt;rec-number&gt;6&lt;/rec-number&gt;&lt;foreign-keys&gt;&lt;key app="EN" db-id="r5v95xdsbxrs9new0t7xtpf3zdas2sw2z2zs" timestamp="1730387691"&gt;6&lt;/key&gt;&lt;/foreign-keys&gt;&lt;ref-type name="Journal Article"&gt;17&lt;/ref-type&gt;&lt;contributors&gt;&lt;authors&gt;&lt;author&gt;Evans, William A&lt;/author&gt;&lt;/authors&gt;&lt;/contributors&gt;&lt;titles&gt;&lt;title&gt;An encephalographic ratio for estimating ventricular enlargement and cerebral atrophy&lt;/title&gt;&lt;secondary-title&gt;Archives of Neurology &amp;amp; Psychiatry&lt;/secondary-title&gt;&lt;/titles&gt;&lt;periodical&gt;&lt;full-title&gt;Archives of Neurology &amp;amp; Psychiatry&lt;/full-title&gt;&lt;/periodical&gt;&lt;pages&gt;931-937&lt;/pages&gt;&lt;volume&gt;47&lt;/volume&gt;&lt;number&gt;6&lt;/number&gt;&lt;dates&gt;&lt;year&gt;1942&lt;/year&gt;&lt;/dates&gt;&lt;isbn&gt;0096-6754&lt;/isbn&gt;&lt;urls&gt;&lt;/urls&gt;&lt;/record&gt;&lt;/Cite&gt;&lt;/EndNote&gt;</w:instrText>
      </w:r>
      <w:r w:rsidR="00AE7327">
        <w:rPr>
          <w:rFonts w:ascii="Times New Roman" w:hAnsi="Times New Roman" w:cs="Times New Roman"/>
        </w:rPr>
        <w:fldChar w:fldCharType="separate"/>
      </w:r>
      <w:r w:rsidR="00AE7327" w:rsidRPr="00AE7327">
        <w:rPr>
          <w:rFonts w:ascii="Times New Roman" w:hAnsi="Times New Roman" w:cs="Times New Roman"/>
          <w:noProof/>
          <w:vertAlign w:val="superscript"/>
        </w:rPr>
        <w:t>5</w:t>
      </w:r>
      <w:r w:rsidR="00AE7327">
        <w:rPr>
          <w:rFonts w:ascii="Times New Roman" w:hAnsi="Times New Roman" w:cs="Times New Roman"/>
        </w:rPr>
        <w:fldChar w:fldCharType="end"/>
      </w:r>
      <w:r w:rsidRPr="00D11A01">
        <w:rPr>
          <w:rFonts w:ascii="Times New Roman" w:hAnsi="Times New Roman" w:cs="Times New Roman"/>
        </w:rPr>
        <w:t>. Based on Evans index measurements, patients were stratified into three severity groups: Grade 1 (30%–40%), Grade 2 (41%–50%), and Grade 3 (&gt;50%).</w:t>
      </w:r>
    </w:p>
    <w:p w14:paraId="66DA9905" w14:textId="77777777" w:rsidR="00D11A01" w:rsidRPr="00D11A01" w:rsidRDefault="00D11A01" w:rsidP="00D11A01">
      <w:pPr>
        <w:spacing w:line="360" w:lineRule="auto"/>
        <w:jc w:val="both"/>
        <w:rPr>
          <w:rFonts w:ascii="Times New Roman" w:hAnsi="Times New Roman" w:cs="Times New Roman"/>
        </w:rPr>
      </w:pPr>
      <w:r w:rsidRPr="00D11A01">
        <w:rPr>
          <w:rFonts w:ascii="Times New Roman" w:hAnsi="Times New Roman" w:cs="Times New Roman"/>
        </w:rPr>
        <w:t>Anatomical ventricular access points defined in the cadaveric study were projected onto MRI scans acquired in three orthogonal planes. For each intervention site, two measurements were recorded: (1) the shortest intraparenchymal distance from the cortical entry point to the inner ventricular wall, and (2) the distance from the external scalp surface to the inner ventricular wall.</w:t>
      </w:r>
    </w:p>
    <w:p w14:paraId="4FCF329D" w14:textId="6B2D4090" w:rsidR="00D11A01" w:rsidRDefault="00D11A01" w:rsidP="00D11A01">
      <w:pPr>
        <w:spacing w:line="360" w:lineRule="auto"/>
        <w:jc w:val="both"/>
        <w:rPr>
          <w:rFonts w:ascii="Times New Roman" w:hAnsi="Times New Roman" w:cs="Times New Roman"/>
        </w:rPr>
      </w:pPr>
      <w:r w:rsidRPr="00D11A01">
        <w:rPr>
          <w:rFonts w:ascii="Times New Roman" w:hAnsi="Times New Roman" w:cs="Times New Roman"/>
        </w:rPr>
        <w:t>Statistical analysis was performed using SPSS version 26.0 (IBM Corp., Armonk, NY, USA). Numerical variables are presented as mean ± standard deviation. Homogeneity of variance was assessed using Levene’s test. Because parametric assumptions were not satisfied, nonparametric methods were applied: the Mann–Whitney U test for comparisons between two independent groups and the Kruskal–Wallis H test for comparisons among more than two groups. A p value &lt; 0.05 was considered statistically significant.</w:t>
      </w:r>
    </w:p>
    <w:p w14:paraId="5BDF6A98" w14:textId="77777777" w:rsidR="00902EDF" w:rsidRDefault="00902EDF" w:rsidP="00902EDF">
      <w:pPr>
        <w:spacing w:line="360" w:lineRule="auto"/>
        <w:jc w:val="both"/>
        <w:rPr>
          <w:rFonts w:ascii="Times New Roman" w:hAnsi="Times New Roman" w:cs="Times New Roman"/>
        </w:rPr>
      </w:pPr>
    </w:p>
    <w:p w14:paraId="6383242F" w14:textId="77777777" w:rsidR="009131E4" w:rsidRDefault="009131E4" w:rsidP="00270AD6">
      <w:pPr>
        <w:spacing w:line="360" w:lineRule="auto"/>
        <w:jc w:val="both"/>
        <w:rPr>
          <w:rFonts w:ascii="Times New Roman" w:hAnsi="Times New Roman" w:cs="Times New Roman"/>
        </w:rPr>
      </w:pPr>
    </w:p>
    <w:p w14:paraId="355CB437" w14:textId="77777777" w:rsidR="009131E4" w:rsidRDefault="009131E4" w:rsidP="00270AD6">
      <w:pPr>
        <w:spacing w:line="360" w:lineRule="auto"/>
        <w:jc w:val="both"/>
        <w:rPr>
          <w:rFonts w:ascii="Times New Roman" w:hAnsi="Times New Roman" w:cs="Times New Roman"/>
        </w:rPr>
      </w:pPr>
    </w:p>
    <w:p w14:paraId="14B5D4B1" w14:textId="77777777" w:rsidR="00AE7327" w:rsidRPr="00AE7327" w:rsidRDefault="009131E4" w:rsidP="00AE7327">
      <w:pPr>
        <w:pStyle w:val="EndNoteBibliography"/>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AE7327" w:rsidRPr="00AE7327">
        <w:rPr>
          <w:noProof/>
        </w:rPr>
        <w:t>1.</w:t>
      </w:r>
      <w:r w:rsidR="00AE7327" w:rsidRPr="00AE7327">
        <w:rPr>
          <w:noProof/>
        </w:rPr>
        <w:tab/>
        <w:t xml:space="preserve">Ludwig E, Klingler J. </w:t>
      </w:r>
      <w:r w:rsidR="00AE7327" w:rsidRPr="00AE7327">
        <w:rPr>
          <w:i/>
          <w:noProof/>
        </w:rPr>
        <w:t>Atlas cerebri humani. Der innere Bau des Gehirns dargestellt auf Grund makroskopischer Präparate. The inner structure of the brain demonstrated on the basis of macroscopical preparations</w:t>
      </w:r>
      <w:r w:rsidR="00AE7327" w:rsidRPr="00AE7327">
        <w:rPr>
          <w:noProof/>
        </w:rPr>
        <w:t>. Little, Brown; 1956:36 p.</w:t>
      </w:r>
    </w:p>
    <w:p w14:paraId="3EA5D3D1" w14:textId="77777777" w:rsidR="00AE7327" w:rsidRPr="00AE7327" w:rsidRDefault="00AE7327" w:rsidP="00AE7327">
      <w:pPr>
        <w:pStyle w:val="EndNoteBibliography"/>
        <w:rPr>
          <w:noProof/>
        </w:rPr>
      </w:pPr>
      <w:r w:rsidRPr="00AE7327">
        <w:rPr>
          <w:noProof/>
        </w:rPr>
        <w:t>2.</w:t>
      </w:r>
      <w:r w:rsidRPr="00AE7327">
        <w:rPr>
          <w:noProof/>
        </w:rPr>
        <w:tab/>
        <w:t xml:space="preserve">Burke JF, Magill ST. Craniometrics and Ventricular Access: A Review of Kocher's, Kaufman's, Paine's, Menovksy's, Tubbs’, Keen's, Frazier's, Dandy's, and Sanchez's Points. </w:t>
      </w:r>
      <w:r w:rsidRPr="00AE7327">
        <w:rPr>
          <w:i/>
          <w:noProof/>
        </w:rPr>
        <w:t>Operative Neurosurgery</w:t>
      </w:r>
      <w:r w:rsidRPr="00AE7327">
        <w:rPr>
          <w:noProof/>
        </w:rPr>
        <w:t xml:space="preserve">. 2020;19(5):E550–E551. </w:t>
      </w:r>
    </w:p>
    <w:p w14:paraId="3AB2BF0D" w14:textId="77777777" w:rsidR="00AE7327" w:rsidRPr="00AE7327" w:rsidRDefault="00AE7327" w:rsidP="00AE7327">
      <w:pPr>
        <w:pStyle w:val="EndNoteBibliography"/>
        <w:rPr>
          <w:noProof/>
        </w:rPr>
      </w:pPr>
      <w:r w:rsidRPr="00AE7327">
        <w:rPr>
          <w:noProof/>
        </w:rPr>
        <w:t>3.</w:t>
      </w:r>
      <w:r w:rsidRPr="00AE7327">
        <w:rPr>
          <w:noProof/>
        </w:rPr>
        <w:tab/>
        <w:t xml:space="preserve">Glasser MF, Coalson TS, Robinson EC, et al. A multi-modal parcellation of human cerebral cortex. </w:t>
      </w:r>
      <w:r w:rsidRPr="00AE7327">
        <w:rPr>
          <w:i/>
          <w:noProof/>
        </w:rPr>
        <w:t>Nature</w:t>
      </w:r>
      <w:r w:rsidRPr="00AE7327">
        <w:rPr>
          <w:noProof/>
        </w:rPr>
        <w:t xml:space="preserve">. 2016;536(7615):171–178. </w:t>
      </w:r>
    </w:p>
    <w:p w14:paraId="31C0867E" w14:textId="77777777" w:rsidR="00AE7327" w:rsidRPr="00AE7327" w:rsidRDefault="00AE7327" w:rsidP="00AE7327">
      <w:pPr>
        <w:pStyle w:val="EndNoteBibliography"/>
        <w:rPr>
          <w:noProof/>
        </w:rPr>
      </w:pPr>
      <w:r w:rsidRPr="00AE7327">
        <w:rPr>
          <w:noProof/>
        </w:rPr>
        <w:t>4.</w:t>
      </w:r>
      <w:r w:rsidRPr="00AE7327">
        <w:rPr>
          <w:noProof/>
        </w:rPr>
        <w:tab/>
        <w:t xml:space="preserve">Yeh F-C, Wedeen VJ, Tseng W-YI. Generalized ${q} $-sampling imaging. </w:t>
      </w:r>
      <w:r w:rsidRPr="00AE7327">
        <w:rPr>
          <w:i/>
          <w:noProof/>
        </w:rPr>
        <w:t>IEEE transactions on medical imaging</w:t>
      </w:r>
      <w:r w:rsidRPr="00AE7327">
        <w:rPr>
          <w:noProof/>
        </w:rPr>
        <w:t xml:space="preserve">. 2010;29(9):1626–1635. </w:t>
      </w:r>
    </w:p>
    <w:p w14:paraId="1594CAEC" w14:textId="77777777" w:rsidR="00AE7327" w:rsidRPr="00AE7327" w:rsidRDefault="00AE7327" w:rsidP="00AE7327">
      <w:pPr>
        <w:pStyle w:val="EndNoteBibliography"/>
        <w:rPr>
          <w:noProof/>
        </w:rPr>
      </w:pPr>
      <w:r w:rsidRPr="00AE7327">
        <w:rPr>
          <w:noProof/>
        </w:rPr>
        <w:lastRenderedPageBreak/>
        <w:t>5.</w:t>
      </w:r>
      <w:r w:rsidRPr="00AE7327">
        <w:rPr>
          <w:noProof/>
        </w:rPr>
        <w:tab/>
        <w:t xml:space="preserve">Evans WA. An encephalographic ratio for estimating ventricular enlargement and cerebral atrophy. </w:t>
      </w:r>
      <w:r w:rsidRPr="00AE7327">
        <w:rPr>
          <w:i/>
          <w:noProof/>
        </w:rPr>
        <w:t>Archives of Neurology &amp; Psychiatry</w:t>
      </w:r>
      <w:r w:rsidRPr="00AE7327">
        <w:rPr>
          <w:noProof/>
        </w:rPr>
        <w:t xml:space="preserve">. 1942;47(6):931–937. </w:t>
      </w:r>
    </w:p>
    <w:p w14:paraId="6F1F9CFA" w14:textId="56625647" w:rsidR="009E52C0" w:rsidRPr="001A7FE9" w:rsidRDefault="009131E4" w:rsidP="00270AD6">
      <w:pPr>
        <w:spacing w:line="360" w:lineRule="auto"/>
        <w:jc w:val="both"/>
        <w:rPr>
          <w:rFonts w:ascii="Times New Roman" w:hAnsi="Times New Roman" w:cs="Times New Roman"/>
        </w:rPr>
      </w:pPr>
      <w:r>
        <w:rPr>
          <w:rFonts w:ascii="Times New Roman" w:hAnsi="Times New Roman" w:cs="Times New Roman"/>
        </w:rPr>
        <w:fldChar w:fldCharType="end"/>
      </w:r>
    </w:p>
    <w:sectPr w:rsidR="009E52C0" w:rsidRPr="001A7FE9" w:rsidSect="007C70E2">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93606"/>
    <w:multiLevelType w:val="hybridMultilevel"/>
    <w:tmpl w:val="A95CCC68"/>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8310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surger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v95xdsbxrs9new0t7xtpf3zdas2sw2z2zs&quot;&gt;caner&lt;record-ids&gt;&lt;item&gt;1&lt;/item&gt;&lt;item&gt;6&lt;/item&gt;&lt;item&gt;19&lt;/item&gt;&lt;item&gt;50&lt;/item&gt;&lt;item&gt;51&lt;/item&gt;&lt;/record-ids&gt;&lt;/item&gt;&lt;/Libraries&gt;"/>
  </w:docVars>
  <w:rsids>
    <w:rsidRoot w:val="00E141B7"/>
    <w:rsid w:val="0002473E"/>
    <w:rsid w:val="00030046"/>
    <w:rsid w:val="000437E2"/>
    <w:rsid w:val="00055E05"/>
    <w:rsid w:val="00072616"/>
    <w:rsid w:val="00090B80"/>
    <w:rsid w:val="000D0342"/>
    <w:rsid w:val="000E00AD"/>
    <w:rsid w:val="001028AB"/>
    <w:rsid w:val="001164C0"/>
    <w:rsid w:val="00127F65"/>
    <w:rsid w:val="001310EC"/>
    <w:rsid w:val="00134309"/>
    <w:rsid w:val="00141C7A"/>
    <w:rsid w:val="00170003"/>
    <w:rsid w:val="00175C39"/>
    <w:rsid w:val="0017619D"/>
    <w:rsid w:val="00180561"/>
    <w:rsid w:val="00184140"/>
    <w:rsid w:val="00195948"/>
    <w:rsid w:val="001A0125"/>
    <w:rsid w:val="001A7FE9"/>
    <w:rsid w:val="001B02C9"/>
    <w:rsid w:val="001B5495"/>
    <w:rsid w:val="001D1014"/>
    <w:rsid w:val="001E2D07"/>
    <w:rsid w:val="001E68DD"/>
    <w:rsid w:val="001F02A9"/>
    <w:rsid w:val="001F6B73"/>
    <w:rsid w:val="00201056"/>
    <w:rsid w:val="00212E47"/>
    <w:rsid w:val="002479E2"/>
    <w:rsid w:val="002517B4"/>
    <w:rsid w:val="00255E52"/>
    <w:rsid w:val="0026098B"/>
    <w:rsid w:val="00270AD6"/>
    <w:rsid w:val="00285983"/>
    <w:rsid w:val="00292DE5"/>
    <w:rsid w:val="00293C2E"/>
    <w:rsid w:val="002947DC"/>
    <w:rsid w:val="002A47F8"/>
    <w:rsid w:val="002B2B9A"/>
    <w:rsid w:val="002B4D1C"/>
    <w:rsid w:val="002B5956"/>
    <w:rsid w:val="002C2A72"/>
    <w:rsid w:val="002C2F64"/>
    <w:rsid w:val="002C65C5"/>
    <w:rsid w:val="002D6688"/>
    <w:rsid w:val="002F59DE"/>
    <w:rsid w:val="002F5E74"/>
    <w:rsid w:val="00307CD2"/>
    <w:rsid w:val="00310551"/>
    <w:rsid w:val="00346587"/>
    <w:rsid w:val="003555DD"/>
    <w:rsid w:val="003736E8"/>
    <w:rsid w:val="003766C6"/>
    <w:rsid w:val="00383BFA"/>
    <w:rsid w:val="00393B4C"/>
    <w:rsid w:val="003B29EE"/>
    <w:rsid w:val="003D15BB"/>
    <w:rsid w:val="003D643A"/>
    <w:rsid w:val="003E1EA4"/>
    <w:rsid w:val="003F4B1E"/>
    <w:rsid w:val="00403E23"/>
    <w:rsid w:val="0040470A"/>
    <w:rsid w:val="00406408"/>
    <w:rsid w:val="00417EA5"/>
    <w:rsid w:val="00423372"/>
    <w:rsid w:val="00441138"/>
    <w:rsid w:val="004703C9"/>
    <w:rsid w:val="0048529F"/>
    <w:rsid w:val="004927FA"/>
    <w:rsid w:val="00497AD0"/>
    <w:rsid w:val="004A31BD"/>
    <w:rsid w:val="004C5CD1"/>
    <w:rsid w:val="004D1275"/>
    <w:rsid w:val="004E15C0"/>
    <w:rsid w:val="004F701C"/>
    <w:rsid w:val="0051675F"/>
    <w:rsid w:val="00520154"/>
    <w:rsid w:val="00533C62"/>
    <w:rsid w:val="00551EF6"/>
    <w:rsid w:val="00563FCB"/>
    <w:rsid w:val="00584726"/>
    <w:rsid w:val="0058595D"/>
    <w:rsid w:val="00586213"/>
    <w:rsid w:val="0058754B"/>
    <w:rsid w:val="005A0FEF"/>
    <w:rsid w:val="005D5643"/>
    <w:rsid w:val="005E1482"/>
    <w:rsid w:val="005E7F67"/>
    <w:rsid w:val="005F01D6"/>
    <w:rsid w:val="0060082A"/>
    <w:rsid w:val="00624A51"/>
    <w:rsid w:val="006667B2"/>
    <w:rsid w:val="0067201E"/>
    <w:rsid w:val="00684963"/>
    <w:rsid w:val="00696111"/>
    <w:rsid w:val="006A372B"/>
    <w:rsid w:val="006C08F6"/>
    <w:rsid w:val="006C6579"/>
    <w:rsid w:val="006E2508"/>
    <w:rsid w:val="006F7DAA"/>
    <w:rsid w:val="007037D5"/>
    <w:rsid w:val="00717522"/>
    <w:rsid w:val="00731B4F"/>
    <w:rsid w:val="007340C7"/>
    <w:rsid w:val="00752E9A"/>
    <w:rsid w:val="007703C2"/>
    <w:rsid w:val="00774144"/>
    <w:rsid w:val="00790756"/>
    <w:rsid w:val="007C089E"/>
    <w:rsid w:val="007C70E2"/>
    <w:rsid w:val="007F79FD"/>
    <w:rsid w:val="00801415"/>
    <w:rsid w:val="0081435A"/>
    <w:rsid w:val="008274FB"/>
    <w:rsid w:val="00830A77"/>
    <w:rsid w:val="00845E88"/>
    <w:rsid w:val="00866377"/>
    <w:rsid w:val="00891C66"/>
    <w:rsid w:val="0089527C"/>
    <w:rsid w:val="00897E9E"/>
    <w:rsid w:val="008A3957"/>
    <w:rsid w:val="008B0B08"/>
    <w:rsid w:val="008B513A"/>
    <w:rsid w:val="008C3C57"/>
    <w:rsid w:val="008D0099"/>
    <w:rsid w:val="008D188E"/>
    <w:rsid w:val="008E4980"/>
    <w:rsid w:val="008F6DA5"/>
    <w:rsid w:val="00902EDF"/>
    <w:rsid w:val="009131E4"/>
    <w:rsid w:val="00921018"/>
    <w:rsid w:val="00921CDA"/>
    <w:rsid w:val="00924431"/>
    <w:rsid w:val="00975138"/>
    <w:rsid w:val="009777C1"/>
    <w:rsid w:val="009802FF"/>
    <w:rsid w:val="00980569"/>
    <w:rsid w:val="00985B25"/>
    <w:rsid w:val="00993D07"/>
    <w:rsid w:val="009E040F"/>
    <w:rsid w:val="009E52C0"/>
    <w:rsid w:val="00A03431"/>
    <w:rsid w:val="00A11098"/>
    <w:rsid w:val="00A273B8"/>
    <w:rsid w:val="00A34F88"/>
    <w:rsid w:val="00A365E5"/>
    <w:rsid w:val="00A42729"/>
    <w:rsid w:val="00A54AA3"/>
    <w:rsid w:val="00A75755"/>
    <w:rsid w:val="00A94DB4"/>
    <w:rsid w:val="00AA7E4D"/>
    <w:rsid w:val="00AD7A0E"/>
    <w:rsid w:val="00AE13C2"/>
    <w:rsid w:val="00AE463C"/>
    <w:rsid w:val="00AE7327"/>
    <w:rsid w:val="00B23CA0"/>
    <w:rsid w:val="00B25809"/>
    <w:rsid w:val="00B45B95"/>
    <w:rsid w:val="00B45FC0"/>
    <w:rsid w:val="00B52511"/>
    <w:rsid w:val="00B75CF5"/>
    <w:rsid w:val="00B85CDD"/>
    <w:rsid w:val="00BC0ECA"/>
    <w:rsid w:val="00BD0A96"/>
    <w:rsid w:val="00C02333"/>
    <w:rsid w:val="00C06453"/>
    <w:rsid w:val="00C14F61"/>
    <w:rsid w:val="00C16188"/>
    <w:rsid w:val="00C2317B"/>
    <w:rsid w:val="00C25563"/>
    <w:rsid w:val="00C34F82"/>
    <w:rsid w:val="00C535D8"/>
    <w:rsid w:val="00C61C11"/>
    <w:rsid w:val="00C87515"/>
    <w:rsid w:val="00CB0339"/>
    <w:rsid w:val="00CE1F1A"/>
    <w:rsid w:val="00CE4ACB"/>
    <w:rsid w:val="00CE740C"/>
    <w:rsid w:val="00CF41E5"/>
    <w:rsid w:val="00CF6927"/>
    <w:rsid w:val="00D0029F"/>
    <w:rsid w:val="00D01815"/>
    <w:rsid w:val="00D042F5"/>
    <w:rsid w:val="00D11A01"/>
    <w:rsid w:val="00D13002"/>
    <w:rsid w:val="00D2350B"/>
    <w:rsid w:val="00D239C9"/>
    <w:rsid w:val="00D3113E"/>
    <w:rsid w:val="00D46421"/>
    <w:rsid w:val="00D5499C"/>
    <w:rsid w:val="00D6425B"/>
    <w:rsid w:val="00D67B09"/>
    <w:rsid w:val="00D8385F"/>
    <w:rsid w:val="00DA03E6"/>
    <w:rsid w:val="00DB2645"/>
    <w:rsid w:val="00DB2AB0"/>
    <w:rsid w:val="00DD43B8"/>
    <w:rsid w:val="00DE082F"/>
    <w:rsid w:val="00DE436D"/>
    <w:rsid w:val="00DE5688"/>
    <w:rsid w:val="00E141B7"/>
    <w:rsid w:val="00E24E37"/>
    <w:rsid w:val="00E4209F"/>
    <w:rsid w:val="00E42BFA"/>
    <w:rsid w:val="00E524FD"/>
    <w:rsid w:val="00E53F11"/>
    <w:rsid w:val="00E72C9B"/>
    <w:rsid w:val="00E74C5A"/>
    <w:rsid w:val="00E85066"/>
    <w:rsid w:val="00E86C74"/>
    <w:rsid w:val="00E91FCE"/>
    <w:rsid w:val="00E96F03"/>
    <w:rsid w:val="00EA6A43"/>
    <w:rsid w:val="00EB127E"/>
    <w:rsid w:val="00EC16BA"/>
    <w:rsid w:val="00EE251E"/>
    <w:rsid w:val="00EE2537"/>
    <w:rsid w:val="00F0162C"/>
    <w:rsid w:val="00F15517"/>
    <w:rsid w:val="00F321C3"/>
    <w:rsid w:val="00F61A25"/>
    <w:rsid w:val="00F66F81"/>
    <w:rsid w:val="00F70FB4"/>
    <w:rsid w:val="00F96464"/>
    <w:rsid w:val="00FA38B7"/>
    <w:rsid w:val="00FA4B13"/>
    <w:rsid w:val="00FA71EE"/>
    <w:rsid w:val="00FA7A2F"/>
    <w:rsid w:val="00FC0A03"/>
    <w:rsid w:val="00FD6858"/>
    <w:rsid w:val="00FF44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C3E8"/>
  <w15:chartTrackingRefBased/>
  <w15:docId w15:val="{D65B2A2B-9DAB-5C48-806B-C7CE96B2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14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14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141B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141B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141B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141B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41B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41B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41B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41B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141B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141B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141B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141B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141B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141B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141B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141B7"/>
    <w:rPr>
      <w:rFonts w:eastAsiaTheme="majorEastAsia" w:cstheme="majorBidi"/>
      <w:color w:val="272727" w:themeColor="text1" w:themeTint="D8"/>
    </w:rPr>
  </w:style>
  <w:style w:type="paragraph" w:styleId="KonuBal">
    <w:name w:val="Title"/>
    <w:basedOn w:val="Normal"/>
    <w:next w:val="Normal"/>
    <w:link w:val="KonuBalChar"/>
    <w:uiPriority w:val="10"/>
    <w:qFormat/>
    <w:rsid w:val="00E141B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41B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141B7"/>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141B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41B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E141B7"/>
    <w:rPr>
      <w:i/>
      <w:iCs/>
      <w:color w:val="404040" w:themeColor="text1" w:themeTint="BF"/>
    </w:rPr>
  </w:style>
  <w:style w:type="paragraph" w:styleId="ListeParagraf">
    <w:name w:val="List Paragraph"/>
    <w:basedOn w:val="Normal"/>
    <w:uiPriority w:val="34"/>
    <w:qFormat/>
    <w:rsid w:val="00E141B7"/>
    <w:pPr>
      <w:ind w:left="720"/>
      <w:contextualSpacing/>
    </w:pPr>
  </w:style>
  <w:style w:type="character" w:styleId="GlVurgulama">
    <w:name w:val="Intense Emphasis"/>
    <w:basedOn w:val="VarsaylanParagrafYazTipi"/>
    <w:uiPriority w:val="21"/>
    <w:qFormat/>
    <w:rsid w:val="00E141B7"/>
    <w:rPr>
      <w:i/>
      <w:iCs/>
      <w:color w:val="0F4761" w:themeColor="accent1" w:themeShade="BF"/>
    </w:rPr>
  </w:style>
  <w:style w:type="paragraph" w:styleId="GlAlnt">
    <w:name w:val="Intense Quote"/>
    <w:basedOn w:val="Normal"/>
    <w:next w:val="Normal"/>
    <w:link w:val="GlAlntChar"/>
    <w:uiPriority w:val="30"/>
    <w:qFormat/>
    <w:rsid w:val="00E14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141B7"/>
    <w:rPr>
      <w:i/>
      <w:iCs/>
      <w:color w:val="0F4761" w:themeColor="accent1" w:themeShade="BF"/>
    </w:rPr>
  </w:style>
  <w:style w:type="character" w:styleId="GlBavuru">
    <w:name w:val="Intense Reference"/>
    <w:basedOn w:val="VarsaylanParagrafYazTipi"/>
    <w:uiPriority w:val="32"/>
    <w:qFormat/>
    <w:rsid w:val="00E141B7"/>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9131E4"/>
    <w:pPr>
      <w:jc w:val="center"/>
    </w:pPr>
    <w:rPr>
      <w:rFonts w:ascii="Aptos" w:hAnsi="Aptos"/>
      <w:lang w:val="en-US"/>
    </w:rPr>
  </w:style>
  <w:style w:type="character" w:customStyle="1" w:styleId="EndNoteBibliographyTitleChar">
    <w:name w:val="EndNote Bibliography Title Char"/>
    <w:basedOn w:val="VarsaylanParagrafYazTipi"/>
    <w:link w:val="EndNoteBibliographyTitle"/>
    <w:rsid w:val="009131E4"/>
    <w:rPr>
      <w:rFonts w:ascii="Aptos" w:hAnsi="Aptos"/>
      <w:lang w:val="en-US"/>
    </w:rPr>
  </w:style>
  <w:style w:type="paragraph" w:customStyle="1" w:styleId="EndNoteBibliography">
    <w:name w:val="EndNote Bibliography"/>
    <w:basedOn w:val="Normal"/>
    <w:link w:val="EndNoteBibliographyChar"/>
    <w:rsid w:val="009131E4"/>
    <w:pPr>
      <w:jc w:val="both"/>
    </w:pPr>
    <w:rPr>
      <w:rFonts w:ascii="Aptos" w:hAnsi="Aptos"/>
      <w:lang w:val="en-US"/>
    </w:rPr>
  </w:style>
  <w:style w:type="character" w:customStyle="1" w:styleId="EndNoteBibliographyChar">
    <w:name w:val="EndNote Bibliography Char"/>
    <w:basedOn w:val="VarsaylanParagrafYazTipi"/>
    <w:link w:val="EndNoteBibliography"/>
    <w:rsid w:val="009131E4"/>
    <w:rPr>
      <w:rFonts w:ascii="Aptos" w:hAnsi="Aptos"/>
      <w:lang w:val="en-US"/>
    </w:rPr>
  </w:style>
  <w:style w:type="table" w:styleId="TabloKlavuzu">
    <w:name w:val="Table Grid"/>
    <w:basedOn w:val="NormalTablo"/>
    <w:uiPriority w:val="39"/>
    <w:rsid w:val="00703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7037D5"/>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10148">
      <w:bodyDiv w:val="1"/>
      <w:marLeft w:val="0"/>
      <w:marRight w:val="0"/>
      <w:marTop w:val="0"/>
      <w:marBottom w:val="0"/>
      <w:divBdr>
        <w:top w:val="none" w:sz="0" w:space="0" w:color="auto"/>
        <w:left w:val="none" w:sz="0" w:space="0" w:color="auto"/>
        <w:bottom w:val="none" w:sz="0" w:space="0" w:color="auto"/>
        <w:right w:val="none" w:sz="0" w:space="0" w:color="auto"/>
      </w:divBdr>
    </w:div>
    <w:div w:id="209342217">
      <w:bodyDiv w:val="1"/>
      <w:marLeft w:val="0"/>
      <w:marRight w:val="0"/>
      <w:marTop w:val="0"/>
      <w:marBottom w:val="0"/>
      <w:divBdr>
        <w:top w:val="none" w:sz="0" w:space="0" w:color="auto"/>
        <w:left w:val="none" w:sz="0" w:space="0" w:color="auto"/>
        <w:bottom w:val="none" w:sz="0" w:space="0" w:color="auto"/>
        <w:right w:val="none" w:sz="0" w:space="0" w:color="auto"/>
      </w:divBdr>
    </w:div>
    <w:div w:id="277495296">
      <w:bodyDiv w:val="1"/>
      <w:marLeft w:val="0"/>
      <w:marRight w:val="0"/>
      <w:marTop w:val="0"/>
      <w:marBottom w:val="0"/>
      <w:divBdr>
        <w:top w:val="none" w:sz="0" w:space="0" w:color="auto"/>
        <w:left w:val="none" w:sz="0" w:space="0" w:color="auto"/>
        <w:bottom w:val="none" w:sz="0" w:space="0" w:color="auto"/>
        <w:right w:val="none" w:sz="0" w:space="0" w:color="auto"/>
      </w:divBdr>
    </w:div>
    <w:div w:id="571695072">
      <w:bodyDiv w:val="1"/>
      <w:marLeft w:val="0"/>
      <w:marRight w:val="0"/>
      <w:marTop w:val="0"/>
      <w:marBottom w:val="0"/>
      <w:divBdr>
        <w:top w:val="none" w:sz="0" w:space="0" w:color="auto"/>
        <w:left w:val="none" w:sz="0" w:space="0" w:color="auto"/>
        <w:bottom w:val="none" w:sz="0" w:space="0" w:color="auto"/>
        <w:right w:val="none" w:sz="0" w:space="0" w:color="auto"/>
      </w:divBdr>
    </w:div>
    <w:div w:id="807938945">
      <w:bodyDiv w:val="1"/>
      <w:marLeft w:val="0"/>
      <w:marRight w:val="0"/>
      <w:marTop w:val="0"/>
      <w:marBottom w:val="0"/>
      <w:divBdr>
        <w:top w:val="none" w:sz="0" w:space="0" w:color="auto"/>
        <w:left w:val="none" w:sz="0" w:space="0" w:color="auto"/>
        <w:bottom w:val="none" w:sz="0" w:space="0" w:color="auto"/>
        <w:right w:val="none" w:sz="0" w:space="0" w:color="auto"/>
      </w:divBdr>
    </w:div>
    <w:div w:id="855073092">
      <w:bodyDiv w:val="1"/>
      <w:marLeft w:val="0"/>
      <w:marRight w:val="0"/>
      <w:marTop w:val="0"/>
      <w:marBottom w:val="0"/>
      <w:divBdr>
        <w:top w:val="none" w:sz="0" w:space="0" w:color="auto"/>
        <w:left w:val="none" w:sz="0" w:space="0" w:color="auto"/>
        <w:bottom w:val="none" w:sz="0" w:space="0" w:color="auto"/>
        <w:right w:val="none" w:sz="0" w:space="0" w:color="auto"/>
      </w:divBdr>
    </w:div>
    <w:div w:id="1512061094">
      <w:bodyDiv w:val="1"/>
      <w:marLeft w:val="0"/>
      <w:marRight w:val="0"/>
      <w:marTop w:val="0"/>
      <w:marBottom w:val="0"/>
      <w:divBdr>
        <w:top w:val="none" w:sz="0" w:space="0" w:color="auto"/>
        <w:left w:val="none" w:sz="0" w:space="0" w:color="auto"/>
        <w:bottom w:val="none" w:sz="0" w:space="0" w:color="auto"/>
        <w:right w:val="none" w:sz="0" w:space="0" w:color="auto"/>
      </w:divBdr>
    </w:div>
    <w:div w:id="1592354615">
      <w:bodyDiv w:val="1"/>
      <w:marLeft w:val="0"/>
      <w:marRight w:val="0"/>
      <w:marTop w:val="0"/>
      <w:marBottom w:val="0"/>
      <w:divBdr>
        <w:top w:val="none" w:sz="0" w:space="0" w:color="auto"/>
        <w:left w:val="none" w:sz="0" w:space="0" w:color="auto"/>
        <w:bottom w:val="none" w:sz="0" w:space="0" w:color="auto"/>
        <w:right w:val="none" w:sz="0" w:space="0" w:color="auto"/>
      </w:divBdr>
    </w:div>
    <w:div w:id="1796172266">
      <w:bodyDiv w:val="1"/>
      <w:marLeft w:val="0"/>
      <w:marRight w:val="0"/>
      <w:marTop w:val="0"/>
      <w:marBottom w:val="0"/>
      <w:divBdr>
        <w:top w:val="none" w:sz="0" w:space="0" w:color="auto"/>
        <w:left w:val="none" w:sz="0" w:space="0" w:color="auto"/>
        <w:bottom w:val="none" w:sz="0" w:space="0" w:color="auto"/>
        <w:right w:val="none" w:sz="0" w:space="0" w:color="auto"/>
      </w:divBdr>
    </w:div>
    <w:div w:id="208591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8684</Characters>
  <Application>Microsoft Office Word</Application>
  <DocSecurity>0</DocSecurity>
  <Lines>140</Lines>
  <Paragraphs>38</Paragraphs>
  <ScaleCrop>false</ScaleCrop>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Sahin, Mehmet H</dc:creator>
  <cp:keywords/>
  <dc:description/>
  <cp:lastModifiedBy>Sahin, Mehmet H</cp:lastModifiedBy>
  <cp:revision>9</cp:revision>
  <dcterms:created xsi:type="dcterms:W3CDTF">2026-02-07T16:34:00Z</dcterms:created>
  <dcterms:modified xsi:type="dcterms:W3CDTF">2026-06-02T05:32:00Z</dcterms:modified>
</cp:coreProperties>
</file>