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D11C0" w14:textId="77777777" w:rsidR="00FA7B2D" w:rsidRDefault="0062280C">
      <w:pPr>
        <w:pStyle w:val="KonuBal"/>
      </w:pPr>
      <w:r>
        <w:t>The STROBE reporting checklist</w:t>
      </w:r>
    </w:p>
    <w:p w14:paraId="0D2EA99A" w14:textId="77777777" w:rsidR="00FA7B2D" w:rsidRDefault="0062280C">
      <w:pPr>
        <w:pStyle w:val="Altyaz"/>
      </w:pPr>
      <w:r>
        <w:t>For checking that observational epidemiology research articles can be understood and used by everyone</w:t>
      </w:r>
    </w:p>
    <w:tbl>
      <w:tblPr>
        <w:tblStyle w:val="Table"/>
        <w:tblW w:w="5000" w:type="pct"/>
        <w:tblInd w:w="164" w:type="dxa"/>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10765"/>
      </w:tblGrid>
      <w:tr w:rsidR="00FA7B2D" w14:paraId="29D47F7F" w14:textId="77777777" w:rsidTr="00FA7B2D">
        <w:trPr>
          <w:cnfStyle w:val="000000100000" w:firstRow="0" w:lastRow="0" w:firstColumn="0" w:lastColumn="0" w:oddVBand="0" w:evenVBand="0" w:oddHBand="1" w:evenHBand="0" w:firstRowFirstColumn="0" w:firstRowLastColumn="0" w:lastRowFirstColumn="0" w:lastRowLastColumn="0"/>
          <w:cantSplit/>
        </w:trPr>
        <w:tc>
          <w:tcPr>
            <w:tcW w:w="0" w:type="auto"/>
            <w:shd w:val="clear" w:color="auto" w:fill="DAE6FB"/>
            <w:tcMar>
              <w:top w:w="92" w:type="dxa"/>
              <w:bottom w:w="92" w:type="dxa"/>
            </w:tcMar>
          </w:tcPr>
          <w:p w14:paraId="522D2AEC" w14:textId="77777777" w:rsidR="00FA7B2D" w:rsidRDefault="0062280C">
            <w:pPr>
              <w:pStyle w:val="FirstParagraph"/>
              <w:spacing w:before="0" w:after="0"/>
              <w:textAlignment w:val="center"/>
            </w:pPr>
            <w:r>
              <w:rPr>
                <w:noProof/>
              </w:rPr>
              <w:drawing>
                <wp:inline distT="0" distB="0" distL="0" distR="0" wp14:anchorId="7DBBAF2B" wp14:editId="243C04AD">
                  <wp:extent cx="152400" cy="1524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Applications/quarto/share/formats/docx/note.png"/>
                          <pic:cNvPicPr>
                            <a:picLocks noChangeAspect="1" noChangeArrowheads="1"/>
                          </pic:cNvPicPr>
                        </pic:nvPicPr>
                        <pic:blipFill>
                          <a:blip r:embed="rId7"/>
                          <a:stretch>
                            <a:fillRect/>
                          </a:stretch>
                        </pic:blipFill>
                        <pic:spPr bwMode="auto">
                          <a:xfrm>
                            <a:off x="0" y="0"/>
                            <a:ext cx="152400" cy="152400"/>
                          </a:xfrm>
                          <a:prstGeom prst="rect">
                            <a:avLst/>
                          </a:prstGeom>
                          <a:noFill/>
                          <a:ln w="9525">
                            <a:noFill/>
                            <a:headEnd/>
                            <a:tailEnd/>
                          </a:ln>
                        </pic:spPr>
                      </pic:pic>
                    </a:graphicData>
                  </a:graphic>
                </wp:inline>
              </w:drawing>
            </w:r>
            <w:r>
              <w:t xml:space="preserve">  Note</w:t>
            </w:r>
          </w:p>
        </w:tc>
      </w:tr>
      <w:tr w:rsidR="00FA7B2D" w14:paraId="5838E063" w14:textId="77777777" w:rsidTr="00FA7B2D">
        <w:trPr>
          <w:cantSplit/>
        </w:trPr>
        <w:tc>
          <w:tcPr>
            <w:tcW w:w="0" w:type="auto"/>
            <w:tcMar>
              <w:top w:w="108" w:type="dxa"/>
              <w:bottom w:w="108" w:type="dxa"/>
            </w:tcMar>
          </w:tcPr>
          <w:p w14:paraId="582BE3DB" w14:textId="77777777" w:rsidR="00FA7B2D" w:rsidRDefault="0062280C">
            <w:pPr>
              <w:pStyle w:val="GvdeMetni"/>
              <w:spacing w:before="16"/>
            </w:pPr>
            <w:r>
              <w:t xml:space="preserve">If you have not used a reporting guideline before, read about </w:t>
            </w:r>
            <w:hyperlink r:id="rId8">
              <w:r w:rsidR="00FA7B2D">
                <w:rPr>
                  <w:rStyle w:val="Kpr"/>
                </w:rPr>
                <w:t>how and why to use them</w:t>
              </w:r>
            </w:hyperlink>
            <w:r>
              <w:t xml:space="preserve"> and check whether STROBE is the </w:t>
            </w:r>
            <w:hyperlink r:id="rId9" w:anchor="applicability">
              <w:r w:rsidR="00FA7B2D">
                <w:rPr>
                  <w:rStyle w:val="Kpr"/>
                </w:rPr>
                <w:t>most applicable reporting guideline</w:t>
              </w:r>
            </w:hyperlink>
            <w:r>
              <w:t xml:space="preserve"> for your work.</w:t>
            </w:r>
          </w:p>
          <w:p w14:paraId="26D135A8" w14:textId="77777777" w:rsidR="00FA7B2D" w:rsidRDefault="0062280C">
            <w:pPr>
              <w:pStyle w:val="GvdeMetni"/>
            </w:pPr>
            <w:r>
              <w:t xml:space="preserve">Reporting guidelines are most useful when used early in research. When writing a manuscript or application, consider using the </w:t>
            </w:r>
            <w:hyperlink r:id="rId10">
              <w:r w:rsidR="00FA7B2D">
                <w:rPr>
                  <w:rStyle w:val="Kpr"/>
                </w:rPr>
                <w:t>Full Guidance</w:t>
              </w:r>
            </w:hyperlink>
            <w:r>
              <w:t xml:space="preserve"> where you’ll see explanations and examples for each item.</w:t>
            </w:r>
          </w:p>
          <w:p w14:paraId="4304337D" w14:textId="77777777" w:rsidR="00FA7B2D" w:rsidRDefault="0062280C">
            <w:pPr>
              <w:pStyle w:val="GvdeMetni"/>
            </w:pPr>
            <w:r>
              <w:t>After writing, demonstrate adherence by completing this checklist:</w:t>
            </w:r>
          </w:p>
          <w:p w14:paraId="13382ADD" w14:textId="77777777" w:rsidR="00FA7B2D" w:rsidRDefault="0062280C">
            <w:pPr>
              <w:pStyle w:val="Compact"/>
              <w:numPr>
                <w:ilvl w:val="0"/>
                <w:numId w:val="3"/>
              </w:numPr>
            </w:pPr>
            <w:r>
              <w:t xml:space="preserve">Specify where each item is described (see </w:t>
            </w:r>
            <w:hyperlink w:anchor="sec-specify">
              <w:r w:rsidR="00FA7B2D">
                <w:rPr>
                  <w:rStyle w:val="Kpr"/>
                </w:rPr>
                <w:t>Note 1</w:t>
              </w:r>
            </w:hyperlink>
            <w:r>
              <w:t>).</w:t>
            </w:r>
          </w:p>
          <w:p w14:paraId="6CD11BB3" w14:textId="77777777" w:rsidR="00FA7B2D" w:rsidRDefault="0062280C">
            <w:pPr>
              <w:pStyle w:val="Compact"/>
              <w:numPr>
                <w:ilvl w:val="0"/>
                <w:numId w:val="3"/>
              </w:numPr>
            </w:pPr>
            <w:r>
              <w:t xml:space="preserve">Cite this checklist (See </w:t>
            </w:r>
            <w:hyperlink w:anchor="sec-cite">
              <w:r w:rsidR="00FA7B2D">
                <w:rPr>
                  <w:rStyle w:val="Kpr"/>
                </w:rPr>
                <w:t>Note 2</w:t>
              </w:r>
            </w:hyperlink>
            <w:r>
              <w:t>).</w:t>
            </w:r>
          </w:p>
          <w:p w14:paraId="2D20A3CE" w14:textId="77777777" w:rsidR="00FA7B2D" w:rsidRDefault="0062280C">
            <w:pPr>
              <w:pStyle w:val="Compact"/>
              <w:numPr>
                <w:ilvl w:val="0"/>
                <w:numId w:val="3"/>
              </w:numPr>
            </w:pPr>
            <w:r>
              <w:t>Include your completed checklist as a supplement when submitting to a journal so that future readers can use it to find information.</w:t>
            </w:r>
          </w:p>
        </w:tc>
      </w:tr>
    </w:tbl>
    <w:p w14:paraId="19052BE8" w14:textId="77777777" w:rsidR="00FA7B2D" w:rsidRDefault="00FA7B2D">
      <w:pPr>
        <w:pStyle w:val="FirstParagraph"/>
      </w:pPr>
    </w:p>
    <w:tbl>
      <w:tblPr>
        <w:tblStyle w:val="Table"/>
        <w:tblW w:w="5000" w:type="pct"/>
        <w:tblLayout w:type="fixed"/>
        <w:tblLook w:val="0000" w:firstRow="0" w:lastRow="0" w:firstColumn="0" w:lastColumn="0" w:noHBand="0" w:noVBand="0"/>
      </w:tblPr>
      <w:tblGrid>
        <w:gridCol w:w="2159"/>
        <w:gridCol w:w="5395"/>
        <w:gridCol w:w="3236"/>
      </w:tblGrid>
      <w:tr w:rsidR="00FA7B2D" w14:paraId="7D2D933F"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76721302" w14:textId="77777777" w:rsidR="00FA7B2D" w:rsidRDefault="00FA7B2D">
            <w:pPr>
              <w:pStyle w:val="Compact"/>
            </w:pPr>
          </w:p>
        </w:tc>
        <w:tc>
          <w:tcPr>
            <w:tcW w:w="3959" w:type="dxa"/>
          </w:tcPr>
          <w:p w14:paraId="1150289E" w14:textId="77777777" w:rsidR="00FA7B2D" w:rsidRDefault="0062280C">
            <w:pPr>
              <w:pStyle w:val="Compact"/>
            </w:pPr>
            <w:r>
              <w:t>Item Description</w:t>
            </w:r>
          </w:p>
        </w:tc>
        <w:tc>
          <w:tcPr>
            <w:tcW w:w="2375" w:type="dxa"/>
          </w:tcPr>
          <w:p w14:paraId="4B32F6A9" w14:textId="77777777" w:rsidR="00FA7B2D" w:rsidRDefault="0062280C">
            <w:pPr>
              <w:pStyle w:val="Compact"/>
            </w:pPr>
            <w:r>
              <w:t>Location (or reason for not reporting)</w:t>
            </w:r>
          </w:p>
        </w:tc>
      </w:tr>
      <w:tr w:rsidR="00FA7B2D" w14:paraId="7E888D0D" w14:textId="77777777">
        <w:tc>
          <w:tcPr>
            <w:tcW w:w="1584" w:type="dxa"/>
          </w:tcPr>
          <w:p w14:paraId="5876E0A1" w14:textId="77777777" w:rsidR="00FA7B2D" w:rsidRDefault="0062280C">
            <w:pPr>
              <w:pStyle w:val="Compact"/>
            </w:pPr>
            <w:r>
              <w:t> </w:t>
            </w:r>
            <w:r>
              <w:rPr>
                <w:b/>
                <w:bCs/>
              </w:rPr>
              <w:t>Title and abstract</w:t>
            </w:r>
          </w:p>
        </w:tc>
        <w:tc>
          <w:tcPr>
            <w:tcW w:w="3959" w:type="dxa"/>
          </w:tcPr>
          <w:p w14:paraId="63946D5B" w14:textId="77777777" w:rsidR="00FA7B2D" w:rsidRDefault="00FA7B2D">
            <w:pPr>
              <w:pStyle w:val="Compact"/>
            </w:pPr>
          </w:p>
        </w:tc>
        <w:tc>
          <w:tcPr>
            <w:tcW w:w="2375" w:type="dxa"/>
          </w:tcPr>
          <w:p w14:paraId="50343957" w14:textId="77777777" w:rsidR="00FA7B2D" w:rsidRDefault="00FA7B2D">
            <w:pPr>
              <w:pStyle w:val="Compact"/>
            </w:pPr>
          </w:p>
        </w:tc>
      </w:tr>
      <w:tr w:rsidR="00FA7B2D" w14:paraId="6AEEC1A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579832BE" w14:textId="77777777" w:rsidR="00FA7B2D" w:rsidRDefault="00FA7B2D">
            <w:pPr>
              <w:pStyle w:val="Compact"/>
            </w:pPr>
            <w:hyperlink r:id="rId11">
              <w:r>
                <w:rPr>
                  <w:rStyle w:val="Kpr"/>
                </w:rPr>
                <w:t>1a. Indicate the study’s design</w:t>
              </w:r>
            </w:hyperlink>
          </w:p>
        </w:tc>
        <w:tc>
          <w:tcPr>
            <w:tcW w:w="3959" w:type="dxa"/>
          </w:tcPr>
          <w:p w14:paraId="04DF8901" w14:textId="77777777" w:rsidR="00FA7B2D" w:rsidRDefault="0062280C">
            <w:pPr>
              <w:pStyle w:val="Compact"/>
            </w:pPr>
            <w:r>
              <w:t>Indicate the study’s design with a commonly used term in the title or the abstract.</w:t>
            </w:r>
          </w:p>
        </w:tc>
        <w:tc>
          <w:tcPr>
            <w:tcW w:w="2375" w:type="dxa"/>
          </w:tcPr>
          <w:p w14:paraId="0E97A702" w14:textId="68541497" w:rsidR="00FA7B2D" w:rsidRDefault="0075044B">
            <w:pPr>
              <w:pStyle w:val="Compact"/>
            </w:pPr>
            <w:r w:rsidRPr="0075044B">
              <w:t>The study design is explicitly indicated in the title and in the Objective section of the abstract as a cadaveric anatomical and radiological observational study.</w:t>
            </w:r>
          </w:p>
        </w:tc>
      </w:tr>
      <w:tr w:rsidR="00FA7B2D" w14:paraId="190C62DA" w14:textId="77777777">
        <w:tc>
          <w:tcPr>
            <w:tcW w:w="1584" w:type="dxa"/>
          </w:tcPr>
          <w:p w14:paraId="648914C3" w14:textId="77777777" w:rsidR="00FA7B2D" w:rsidRDefault="00FA7B2D">
            <w:pPr>
              <w:pStyle w:val="Compact"/>
            </w:pPr>
            <w:hyperlink r:id="rId12">
              <w:r>
                <w:rPr>
                  <w:rStyle w:val="Kpr"/>
                </w:rPr>
                <w:t>1b. Abstract</w:t>
              </w:r>
            </w:hyperlink>
          </w:p>
        </w:tc>
        <w:tc>
          <w:tcPr>
            <w:tcW w:w="3959" w:type="dxa"/>
          </w:tcPr>
          <w:p w14:paraId="79EE73E6" w14:textId="77777777" w:rsidR="00FA7B2D" w:rsidRDefault="0062280C">
            <w:pPr>
              <w:pStyle w:val="Compact"/>
            </w:pPr>
            <w:r>
              <w:t>Provide in the abstract an informative and balanced summary of what was done and what was found.</w:t>
            </w:r>
          </w:p>
        </w:tc>
        <w:tc>
          <w:tcPr>
            <w:tcW w:w="2375" w:type="dxa"/>
          </w:tcPr>
          <w:p w14:paraId="4BE13072" w14:textId="04909F0C" w:rsidR="00FA7B2D" w:rsidRDefault="00CE073C">
            <w:pPr>
              <w:pStyle w:val="Compact"/>
            </w:pPr>
            <w:r w:rsidRPr="00CE073C">
              <w:t>The abstract provides a structured and balanced summary of the study objective, methods (cadaveric dissection, patient measurements, and tractography), key results, and conclusions.</w:t>
            </w:r>
          </w:p>
        </w:tc>
      </w:tr>
      <w:tr w:rsidR="00FA7B2D" w14:paraId="6C899B79"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B390C15" w14:textId="77777777" w:rsidR="00FA7B2D" w:rsidRDefault="0062280C">
            <w:pPr>
              <w:pStyle w:val="Compact"/>
            </w:pPr>
            <w:r>
              <w:t> </w:t>
            </w:r>
            <w:r>
              <w:rPr>
                <w:b/>
                <w:bCs/>
              </w:rPr>
              <w:t>Introduction</w:t>
            </w:r>
          </w:p>
        </w:tc>
        <w:tc>
          <w:tcPr>
            <w:tcW w:w="3959" w:type="dxa"/>
          </w:tcPr>
          <w:p w14:paraId="26912EAA" w14:textId="77777777" w:rsidR="00FA7B2D" w:rsidRDefault="00FA7B2D">
            <w:pPr>
              <w:pStyle w:val="Compact"/>
            </w:pPr>
          </w:p>
        </w:tc>
        <w:tc>
          <w:tcPr>
            <w:tcW w:w="2375" w:type="dxa"/>
          </w:tcPr>
          <w:p w14:paraId="2AB7E99B" w14:textId="77777777" w:rsidR="00FA7B2D" w:rsidRDefault="00FA7B2D">
            <w:pPr>
              <w:pStyle w:val="Compact"/>
            </w:pPr>
          </w:p>
        </w:tc>
      </w:tr>
      <w:tr w:rsidR="00FA7B2D" w14:paraId="2D387A79" w14:textId="77777777">
        <w:tc>
          <w:tcPr>
            <w:tcW w:w="1584" w:type="dxa"/>
          </w:tcPr>
          <w:p w14:paraId="761E6BB0" w14:textId="77777777" w:rsidR="00FA7B2D" w:rsidRDefault="00FA7B2D">
            <w:pPr>
              <w:pStyle w:val="Compact"/>
            </w:pPr>
            <w:hyperlink r:id="rId13">
              <w:r>
                <w:rPr>
                  <w:rStyle w:val="Kpr"/>
                </w:rPr>
                <w:t>2. Background / rationale</w:t>
              </w:r>
            </w:hyperlink>
          </w:p>
        </w:tc>
        <w:tc>
          <w:tcPr>
            <w:tcW w:w="3959" w:type="dxa"/>
          </w:tcPr>
          <w:p w14:paraId="08162D03" w14:textId="77777777" w:rsidR="00FA7B2D" w:rsidRDefault="0062280C">
            <w:pPr>
              <w:pStyle w:val="Compact"/>
            </w:pPr>
            <w:r>
              <w:t>Explain the scientific background and rationale for the investigation being reported.</w:t>
            </w:r>
          </w:p>
        </w:tc>
        <w:tc>
          <w:tcPr>
            <w:tcW w:w="2375" w:type="dxa"/>
          </w:tcPr>
          <w:p w14:paraId="55C9791F" w14:textId="0F5B9830" w:rsidR="00FA7B2D" w:rsidRDefault="000D4A3F">
            <w:pPr>
              <w:pStyle w:val="Compact"/>
            </w:pPr>
            <w:r w:rsidRPr="000D4A3F">
              <w:t xml:space="preserve">The introduction explains the clinical importance of ventricular catheter placement, summarizes current practice limitations of </w:t>
            </w:r>
            <w:r w:rsidRPr="000D4A3F">
              <w:lastRenderedPageBreak/>
              <w:t>freehand techniques, and identifies the lack of an integrated cadaveric anatomical and tractography-based evaluation of catheter trajectories.</w:t>
            </w:r>
          </w:p>
        </w:tc>
      </w:tr>
      <w:tr w:rsidR="00FA7B2D" w14:paraId="75C91049"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6ABF301F" w14:textId="77777777" w:rsidR="00FA7B2D" w:rsidRDefault="00FA7B2D">
            <w:pPr>
              <w:pStyle w:val="Compact"/>
            </w:pPr>
            <w:hyperlink r:id="rId14">
              <w:r>
                <w:rPr>
                  <w:rStyle w:val="Kpr"/>
                </w:rPr>
                <w:t>3. Objectives</w:t>
              </w:r>
            </w:hyperlink>
          </w:p>
        </w:tc>
        <w:tc>
          <w:tcPr>
            <w:tcW w:w="3959" w:type="dxa"/>
          </w:tcPr>
          <w:p w14:paraId="43A60FFF" w14:textId="77777777" w:rsidR="00FA7B2D" w:rsidRDefault="0062280C">
            <w:pPr>
              <w:pStyle w:val="Compact"/>
            </w:pPr>
            <w:r>
              <w:t>State specific objectives, including any prespecified hypotheses.</w:t>
            </w:r>
          </w:p>
        </w:tc>
        <w:tc>
          <w:tcPr>
            <w:tcW w:w="2375" w:type="dxa"/>
          </w:tcPr>
          <w:p w14:paraId="54C07158" w14:textId="7343C165" w:rsidR="00FA7B2D" w:rsidRDefault="00504B77">
            <w:pPr>
              <w:pStyle w:val="Compact"/>
            </w:pPr>
            <w:r w:rsidRPr="00504B77">
              <w:t>The final paragraph of the introduction explicitly states the study objective: systematic anatomical and radiological evaluation of ventricular catheter trajectories and quantitative measurement of insertion angles and catheter lengths.</w:t>
            </w:r>
          </w:p>
        </w:tc>
      </w:tr>
      <w:tr w:rsidR="00FA7B2D" w14:paraId="08AA6F7C" w14:textId="77777777">
        <w:tc>
          <w:tcPr>
            <w:tcW w:w="1584" w:type="dxa"/>
          </w:tcPr>
          <w:p w14:paraId="3D82C01F" w14:textId="77777777" w:rsidR="00FA7B2D" w:rsidRDefault="0062280C">
            <w:pPr>
              <w:pStyle w:val="Compact"/>
            </w:pPr>
            <w:r>
              <w:t> </w:t>
            </w:r>
            <w:r>
              <w:rPr>
                <w:b/>
                <w:bCs/>
              </w:rPr>
              <w:t>Methods</w:t>
            </w:r>
          </w:p>
        </w:tc>
        <w:tc>
          <w:tcPr>
            <w:tcW w:w="3959" w:type="dxa"/>
          </w:tcPr>
          <w:p w14:paraId="5C114BFD" w14:textId="77777777" w:rsidR="00FA7B2D" w:rsidRDefault="00FA7B2D">
            <w:pPr>
              <w:pStyle w:val="Compact"/>
            </w:pPr>
          </w:p>
        </w:tc>
        <w:tc>
          <w:tcPr>
            <w:tcW w:w="2375" w:type="dxa"/>
          </w:tcPr>
          <w:p w14:paraId="1E9D03E0" w14:textId="77777777" w:rsidR="00FA7B2D" w:rsidRDefault="00FA7B2D">
            <w:pPr>
              <w:pStyle w:val="Compact"/>
            </w:pPr>
          </w:p>
        </w:tc>
      </w:tr>
      <w:tr w:rsidR="00FA7B2D" w14:paraId="5F3A6C5A"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D83A9FD" w14:textId="77777777" w:rsidR="00FA7B2D" w:rsidRDefault="00FA7B2D">
            <w:pPr>
              <w:pStyle w:val="Compact"/>
            </w:pPr>
            <w:hyperlink r:id="rId15">
              <w:r>
                <w:rPr>
                  <w:rStyle w:val="Kpr"/>
                </w:rPr>
                <w:t>4. Study design</w:t>
              </w:r>
            </w:hyperlink>
          </w:p>
        </w:tc>
        <w:tc>
          <w:tcPr>
            <w:tcW w:w="3959" w:type="dxa"/>
          </w:tcPr>
          <w:p w14:paraId="0F1CFC65" w14:textId="77777777" w:rsidR="00FA7B2D" w:rsidRDefault="0062280C">
            <w:pPr>
              <w:pStyle w:val="Compact"/>
            </w:pPr>
            <w:r>
              <w:t>Present key elements of study design early in the paper.</w:t>
            </w:r>
          </w:p>
        </w:tc>
        <w:tc>
          <w:tcPr>
            <w:tcW w:w="2375" w:type="dxa"/>
          </w:tcPr>
          <w:p w14:paraId="660B6BFB" w14:textId="3B67A365" w:rsidR="00FA7B2D" w:rsidRDefault="00FC5DC5">
            <w:pPr>
              <w:pStyle w:val="Compact"/>
            </w:pPr>
            <w:r w:rsidRPr="00FC5DC5">
              <w:t>The study design is presented at the beginning of the Methods section as a two-phase cadaveric anatomical investigation combined with a retrospective clinical imaging cohort.</w:t>
            </w:r>
          </w:p>
        </w:tc>
      </w:tr>
      <w:tr w:rsidR="00FA7B2D" w14:paraId="628BA78E" w14:textId="77777777">
        <w:tc>
          <w:tcPr>
            <w:tcW w:w="1584" w:type="dxa"/>
          </w:tcPr>
          <w:p w14:paraId="5F5B8F50" w14:textId="77777777" w:rsidR="00FA7B2D" w:rsidRDefault="00FA7B2D">
            <w:pPr>
              <w:pStyle w:val="Compact"/>
            </w:pPr>
            <w:hyperlink r:id="rId16">
              <w:r>
                <w:rPr>
                  <w:rStyle w:val="Kpr"/>
                </w:rPr>
                <w:t>5. Setting</w:t>
              </w:r>
            </w:hyperlink>
          </w:p>
        </w:tc>
        <w:tc>
          <w:tcPr>
            <w:tcW w:w="3959" w:type="dxa"/>
          </w:tcPr>
          <w:p w14:paraId="5695C900" w14:textId="77777777" w:rsidR="00FA7B2D" w:rsidRDefault="0062280C">
            <w:pPr>
              <w:pStyle w:val="Compact"/>
            </w:pPr>
            <w:r>
              <w:t>Describe the setting, locations, and relevant dates, including periods of recruitment, exposure, follow-up, and data collection.</w:t>
            </w:r>
          </w:p>
        </w:tc>
        <w:tc>
          <w:tcPr>
            <w:tcW w:w="2375" w:type="dxa"/>
          </w:tcPr>
          <w:p w14:paraId="4B4CF624" w14:textId="384636CE" w:rsidR="00FA7B2D" w:rsidRDefault="005D461C">
            <w:pPr>
              <w:pStyle w:val="Compact"/>
            </w:pPr>
            <w:r w:rsidRPr="005D461C">
              <w:t>The setting includes a laboratory-based cadaveric anatomical study and a retrospective hospital imaging cohort (2015–2020). Locations, specimen source, and clinical timeframe are described in the Methods and Supplementary Appendix.</w:t>
            </w:r>
          </w:p>
        </w:tc>
      </w:tr>
      <w:tr w:rsidR="00FA7B2D" w14:paraId="08896DF4"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2A7E2AE" w14:textId="77777777" w:rsidR="00FA7B2D" w:rsidRDefault="00FA7B2D">
            <w:pPr>
              <w:pStyle w:val="Compact"/>
            </w:pPr>
            <w:hyperlink r:id="rId17">
              <w:r>
                <w:rPr>
                  <w:rStyle w:val="Kpr"/>
                </w:rPr>
                <w:t>6a. Eligibility criteria</w:t>
              </w:r>
            </w:hyperlink>
          </w:p>
        </w:tc>
        <w:tc>
          <w:tcPr>
            <w:tcW w:w="3959" w:type="dxa"/>
          </w:tcPr>
          <w:p w14:paraId="1DAFFCDD" w14:textId="77777777" w:rsidR="00FA7B2D" w:rsidRDefault="0062280C">
            <w:pPr>
              <w:pStyle w:val="Compact"/>
            </w:pPr>
            <w:r>
              <w:rPr>
                <w:b/>
                <w:bCs/>
              </w:rPr>
              <w:t>Cohort study:</w:t>
            </w:r>
            <w:r>
              <w:t xml:space="preserve"> Give the eligibility criteria, and the sources and methods of selection of participants. Describe methods of follow-up. </w:t>
            </w:r>
            <w:r>
              <w:rPr>
                <w:b/>
                <w:bCs/>
              </w:rPr>
              <w:t>Case-control study:</w:t>
            </w:r>
            <w:r>
              <w:t xml:space="preserve"> Give the eligibility criteria, and the sources and methods of case ascertainment and control selection. Give the rationale for the choice of cases and controls. </w:t>
            </w:r>
            <w:r>
              <w:rPr>
                <w:b/>
                <w:bCs/>
              </w:rPr>
              <w:t>Cross-sectional study:</w:t>
            </w:r>
            <w:r>
              <w:t xml:space="preserve"> Give the eligibility criteria, and the sources and methods of selection of participants.</w:t>
            </w:r>
          </w:p>
        </w:tc>
        <w:tc>
          <w:tcPr>
            <w:tcW w:w="2375" w:type="dxa"/>
          </w:tcPr>
          <w:p w14:paraId="038460FD" w14:textId="468D046E" w:rsidR="00FA7B2D" w:rsidRDefault="005D461C">
            <w:pPr>
              <w:pStyle w:val="Compact"/>
            </w:pPr>
            <w:r w:rsidRPr="005D461C">
              <w:t>Eligibility criteria for cadaveric specimens and clinical patients, including inclusion and exclusion criteria and participant selection methods, are detailed in the Methods and Supplementary Data 6.</w:t>
            </w:r>
          </w:p>
        </w:tc>
      </w:tr>
      <w:tr w:rsidR="00FA7B2D" w14:paraId="3A793382" w14:textId="77777777">
        <w:tc>
          <w:tcPr>
            <w:tcW w:w="1584" w:type="dxa"/>
          </w:tcPr>
          <w:p w14:paraId="1B4BEB48" w14:textId="77777777" w:rsidR="00FA7B2D" w:rsidRDefault="00FA7B2D">
            <w:pPr>
              <w:pStyle w:val="Compact"/>
            </w:pPr>
            <w:hyperlink r:id="rId18">
              <w:r>
                <w:rPr>
                  <w:rStyle w:val="Kpr"/>
                </w:rPr>
                <w:t>6b. Matching criteria</w:t>
              </w:r>
            </w:hyperlink>
          </w:p>
        </w:tc>
        <w:tc>
          <w:tcPr>
            <w:tcW w:w="3959" w:type="dxa"/>
          </w:tcPr>
          <w:p w14:paraId="4A8DE121" w14:textId="77777777" w:rsidR="00FA7B2D" w:rsidRDefault="0062280C">
            <w:pPr>
              <w:pStyle w:val="Compact"/>
            </w:pPr>
            <w:r>
              <w:rPr>
                <w:b/>
                <w:bCs/>
              </w:rPr>
              <w:t>Cohort study:</w:t>
            </w:r>
            <w:r>
              <w:t xml:space="preserve"> For matched studies, give matching criteria and number of exposed and unexposed. </w:t>
            </w:r>
            <w:r>
              <w:rPr>
                <w:b/>
                <w:bCs/>
              </w:rPr>
              <w:t>Case-control study:</w:t>
            </w:r>
            <w:r>
              <w:t xml:space="preserve"> For matched studies, give matching criteria and the number of controls per case.</w:t>
            </w:r>
          </w:p>
        </w:tc>
        <w:tc>
          <w:tcPr>
            <w:tcW w:w="2375" w:type="dxa"/>
          </w:tcPr>
          <w:p w14:paraId="40027CC4" w14:textId="71BEADAE" w:rsidR="00FA7B2D" w:rsidRDefault="00D25E96">
            <w:pPr>
              <w:pStyle w:val="Compact"/>
            </w:pPr>
            <w:r w:rsidRPr="00D25E96">
              <w:t>Not applicable. No matching design was used.</w:t>
            </w:r>
          </w:p>
        </w:tc>
      </w:tr>
      <w:tr w:rsidR="00FA7B2D" w14:paraId="47F83D55"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56B9E6EE" w14:textId="77777777" w:rsidR="00FA7B2D" w:rsidRDefault="00FA7B2D">
            <w:pPr>
              <w:pStyle w:val="Compact"/>
            </w:pPr>
            <w:hyperlink r:id="rId19">
              <w:r>
                <w:rPr>
                  <w:rStyle w:val="Kpr"/>
                </w:rPr>
                <w:t>7. Variables</w:t>
              </w:r>
            </w:hyperlink>
          </w:p>
        </w:tc>
        <w:tc>
          <w:tcPr>
            <w:tcW w:w="3959" w:type="dxa"/>
          </w:tcPr>
          <w:p w14:paraId="34DD1719" w14:textId="77777777" w:rsidR="00FA7B2D" w:rsidRDefault="0062280C">
            <w:pPr>
              <w:pStyle w:val="Compact"/>
            </w:pPr>
            <w:r>
              <w:t>Clearly define all outcomes, exposures, predictors, potential confounders, and effect modifiers. Give diagnostic criteria, if applicable.</w:t>
            </w:r>
          </w:p>
        </w:tc>
        <w:tc>
          <w:tcPr>
            <w:tcW w:w="2375" w:type="dxa"/>
          </w:tcPr>
          <w:p w14:paraId="20CBDD5F" w14:textId="7280BA63" w:rsidR="00FA7B2D" w:rsidRDefault="00D25E96">
            <w:pPr>
              <w:pStyle w:val="Compact"/>
            </w:pPr>
            <w:r w:rsidRPr="00D25E96">
              <w:t>All anatomical measurements, trajectory angles, parenchymal lengths, and scalp-to-ventricle distances are clearly defined in the Methods and Supplementary Tables 1–3.</w:t>
            </w:r>
          </w:p>
        </w:tc>
      </w:tr>
      <w:tr w:rsidR="00FA7B2D" w14:paraId="17796BA7" w14:textId="77777777">
        <w:tc>
          <w:tcPr>
            <w:tcW w:w="1584" w:type="dxa"/>
          </w:tcPr>
          <w:p w14:paraId="1955CC15" w14:textId="77777777" w:rsidR="00FA7B2D" w:rsidRDefault="00FA7B2D">
            <w:pPr>
              <w:pStyle w:val="Compact"/>
            </w:pPr>
            <w:hyperlink r:id="rId20">
              <w:r>
                <w:rPr>
                  <w:rStyle w:val="Kpr"/>
                </w:rPr>
                <w:t>8. Data sources / measurement</w:t>
              </w:r>
            </w:hyperlink>
          </w:p>
        </w:tc>
        <w:tc>
          <w:tcPr>
            <w:tcW w:w="3959" w:type="dxa"/>
          </w:tcPr>
          <w:p w14:paraId="0B83122E" w14:textId="77777777" w:rsidR="00FA7B2D" w:rsidRDefault="0062280C">
            <w:pPr>
              <w:pStyle w:val="Compact"/>
            </w:pPr>
            <w:r>
              <w:t>For each variable of interest give sources of data and details of methods of assessment (measurement). Describe comparability of assessment methods if there is more than one group.</w:t>
            </w:r>
          </w:p>
        </w:tc>
        <w:tc>
          <w:tcPr>
            <w:tcW w:w="2375" w:type="dxa"/>
          </w:tcPr>
          <w:p w14:paraId="3E5D2C4D" w14:textId="0F9034FD" w:rsidR="00FA7B2D" w:rsidRDefault="00C0405B">
            <w:pPr>
              <w:pStyle w:val="Compact"/>
            </w:pPr>
            <w:r w:rsidRPr="00C0405B">
              <w:t>Data sources include cadaveric measurements, MRI imaging, and tractography reconstruction. Measurement protocols and comparability across groups are described in the Methods and Supplementary Appendix.</w:t>
            </w:r>
          </w:p>
        </w:tc>
      </w:tr>
      <w:tr w:rsidR="00FA7B2D" w14:paraId="193D23D0"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823ABCD" w14:textId="77777777" w:rsidR="00FA7B2D" w:rsidRDefault="00FA7B2D">
            <w:pPr>
              <w:pStyle w:val="Compact"/>
            </w:pPr>
            <w:hyperlink r:id="rId21">
              <w:r>
                <w:rPr>
                  <w:rStyle w:val="Kpr"/>
                </w:rPr>
                <w:t>9. Bias</w:t>
              </w:r>
            </w:hyperlink>
          </w:p>
        </w:tc>
        <w:tc>
          <w:tcPr>
            <w:tcW w:w="3959" w:type="dxa"/>
          </w:tcPr>
          <w:p w14:paraId="7B82B1E8" w14:textId="77777777" w:rsidR="00FA7B2D" w:rsidRDefault="0062280C">
            <w:pPr>
              <w:pStyle w:val="Compact"/>
            </w:pPr>
            <w:r>
              <w:t>Describe any efforts to address potential sources of bias.</w:t>
            </w:r>
          </w:p>
        </w:tc>
        <w:tc>
          <w:tcPr>
            <w:tcW w:w="2375" w:type="dxa"/>
          </w:tcPr>
          <w:p w14:paraId="5FF01AB3" w14:textId="301FB46B" w:rsidR="00FA7B2D" w:rsidRDefault="00873836">
            <w:pPr>
              <w:pStyle w:val="Compact"/>
            </w:pPr>
            <w:r w:rsidRPr="00873836">
              <w:t xml:space="preserve">Potential sources of measurement bias were minimized through standardized anatomical reference planes, </w:t>
            </w:r>
            <w:proofErr w:type="spellStart"/>
            <w:r w:rsidRPr="00873836">
              <w:t>neuronavigation</w:t>
            </w:r>
            <w:proofErr w:type="spellEnd"/>
            <w:r w:rsidRPr="00873836">
              <w:t xml:space="preserve"> guidance, repeated measurements, and predefined imaging protocols.</w:t>
            </w:r>
          </w:p>
        </w:tc>
      </w:tr>
      <w:tr w:rsidR="00FA7B2D" w14:paraId="22DD5A4C" w14:textId="77777777">
        <w:tc>
          <w:tcPr>
            <w:tcW w:w="1584" w:type="dxa"/>
          </w:tcPr>
          <w:p w14:paraId="5993B3C9" w14:textId="77777777" w:rsidR="00FA7B2D" w:rsidRDefault="00FA7B2D">
            <w:pPr>
              <w:pStyle w:val="Compact"/>
            </w:pPr>
            <w:hyperlink r:id="rId22">
              <w:r>
                <w:rPr>
                  <w:rStyle w:val="Kpr"/>
                </w:rPr>
                <w:t>10. Study size</w:t>
              </w:r>
            </w:hyperlink>
          </w:p>
        </w:tc>
        <w:tc>
          <w:tcPr>
            <w:tcW w:w="3959" w:type="dxa"/>
          </w:tcPr>
          <w:p w14:paraId="1264FBF7" w14:textId="77777777" w:rsidR="00FA7B2D" w:rsidRDefault="0062280C">
            <w:pPr>
              <w:pStyle w:val="Compact"/>
            </w:pPr>
            <w:r>
              <w:t>Explain how the study size was arrived at.</w:t>
            </w:r>
          </w:p>
        </w:tc>
        <w:tc>
          <w:tcPr>
            <w:tcW w:w="2375" w:type="dxa"/>
          </w:tcPr>
          <w:p w14:paraId="4722F352" w14:textId="1E5FC9B5" w:rsidR="00FA7B2D" w:rsidRDefault="00D26EC8">
            <w:pPr>
              <w:pStyle w:val="Compact"/>
            </w:pPr>
            <w:r w:rsidRPr="00D26EC8">
              <w:t>Study size was determined by availability of cadaveric specimens and eligible retrospective clinical cases meeting inclusion criteria.</w:t>
            </w:r>
          </w:p>
        </w:tc>
      </w:tr>
      <w:tr w:rsidR="00FA7B2D" w14:paraId="44A7BCB3"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0DDD05B" w14:textId="77777777" w:rsidR="00FA7B2D" w:rsidRDefault="00FA7B2D">
            <w:pPr>
              <w:pStyle w:val="Compact"/>
            </w:pPr>
            <w:hyperlink r:id="rId23">
              <w:r>
                <w:rPr>
                  <w:rStyle w:val="Kpr"/>
                </w:rPr>
                <w:t>11. Quantitative variables</w:t>
              </w:r>
            </w:hyperlink>
          </w:p>
        </w:tc>
        <w:tc>
          <w:tcPr>
            <w:tcW w:w="3959" w:type="dxa"/>
          </w:tcPr>
          <w:p w14:paraId="788EF61E" w14:textId="77777777" w:rsidR="00FA7B2D" w:rsidRDefault="0062280C">
            <w:pPr>
              <w:pStyle w:val="Compact"/>
            </w:pPr>
            <w:r>
              <w:t>Explain how quantitative variables were handled in the analyses. If applicable, describe which groupings were chosen, and why.</w:t>
            </w:r>
          </w:p>
        </w:tc>
        <w:tc>
          <w:tcPr>
            <w:tcW w:w="2375" w:type="dxa"/>
          </w:tcPr>
          <w:p w14:paraId="1F84CC8B" w14:textId="73C5F146" w:rsidR="00FA7B2D" w:rsidRDefault="00231E98">
            <w:pPr>
              <w:pStyle w:val="Compact"/>
            </w:pPr>
            <w:r w:rsidRPr="00231E98">
              <w:t>Quantitative variables were analyzed as continuous measurements and summarized using mean ± standard deviation. Grouping by Evans index severity is described in the Methods.</w:t>
            </w:r>
          </w:p>
        </w:tc>
      </w:tr>
      <w:tr w:rsidR="00FA7B2D" w14:paraId="7F22DB9E" w14:textId="77777777">
        <w:tc>
          <w:tcPr>
            <w:tcW w:w="1584" w:type="dxa"/>
          </w:tcPr>
          <w:p w14:paraId="71FEEE73" w14:textId="77777777" w:rsidR="00FA7B2D" w:rsidRDefault="00FA7B2D">
            <w:pPr>
              <w:pStyle w:val="Compact"/>
            </w:pPr>
            <w:hyperlink r:id="rId24">
              <w:r>
                <w:rPr>
                  <w:rStyle w:val="Kpr"/>
                </w:rPr>
                <w:t>12a. Statistical methods</w:t>
              </w:r>
            </w:hyperlink>
          </w:p>
        </w:tc>
        <w:tc>
          <w:tcPr>
            <w:tcW w:w="3959" w:type="dxa"/>
          </w:tcPr>
          <w:p w14:paraId="5C0EA04C" w14:textId="77777777" w:rsidR="00FA7B2D" w:rsidRDefault="0062280C">
            <w:pPr>
              <w:pStyle w:val="Compact"/>
            </w:pPr>
            <w:r>
              <w:t>Describe all statistical methods, including those used to control for confounding.</w:t>
            </w:r>
          </w:p>
        </w:tc>
        <w:tc>
          <w:tcPr>
            <w:tcW w:w="2375" w:type="dxa"/>
          </w:tcPr>
          <w:p w14:paraId="38285A74" w14:textId="568B389B" w:rsidR="00FA7B2D" w:rsidRDefault="00231E98">
            <w:pPr>
              <w:pStyle w:val="Compact"/>
            </w:pPr>
            <w:r w:rsidRPr="00231E98">
              <w:t>Statistical methods are described in Supplementary Data 6, including nonparametric comparisons and significance thresholds.</w:t>
            </w:r>
          </w:p>
        </w:tc>
      </w:tr>
      <w:tr w:rsidR="00FA7B2D" w14:paraId="54D3C1F9"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7750478A" w14:textId="77777777" w:rsidR="00FA7B2D" w:rsidRDefault="00FA7B2D">
            <w:pPr>
              <w:pStyle w:val="Compact"/>
            </w:pPr>
            <w:hyperlink r:id="rId25">
              <w:r>
                <w:rPr>
                  <w:rStyle w:val="Kpr"/>
                </w:rPr>
                <w:t>12b. Statistical methods – subgroups and interactions</w:t>
              </w:r>
            </w:hyperlink>
          </w:p>
        </w:tc>
        <w:tc>
          <w:tcPr>
            <w:tcW w:w="3959" w:type="dxa"/>
          </w:tcPr>
          <w:p w14:paraId="5DD55ECF" w14:textId="77777777" w:rsidR="00FA7B2D" w:rsidRDefault="0062280C">
            <w:pPr>
              <w:pStyle w:val="Compact"/>
            </w:pPr>
            <w:r>
              <w:t>Describe any methods used to examine subgroups and interactions.</w:t>
            </w:r>
          </w:p>
        </w:tc>
        <w:tc>
          <w:tcPr>
            <w:tcW w:w="2375" w:type="dxa"/>
          </w:tcPr>
          <w:p w14:paraId="5DA317C5" w14:textId="5507529E" w:rsidR="00FA7B2D" w:rsidRDefault="008A639E">
            <w:pPr>
              <w:pStyle w:val="Compact"/>
            </w:pPr>
            <w:r w:rsidRPr="008A639E">
              <w:t>Subgroup analysis based on Evans index severity groups is described in the clinical cohort methodology.</w:t>
            </w:r>
          </w:p>
        </w:tc>
      </w:tr>
      <w:tr w:rsidR="00FA7B2D" w14:paraId="6FA44DDF" w14:textId="77777777">
        <w:tc>
          <w:tcPr>
            <w:tcW w:w="1584" w:type="dxa"/>
          </w:tcPr>
          <w:p w14:paraId="5AC54C64" w14:textId="77777777" w:rsidR="00FA7B2D" w:rsidRDefault="00FA7B2D">
            <w:pPr>
              <w:pStyle w:val="Compact"/>
            </w:pPr>
            <w:hyperlink r:id="rId26">
              <w:r>
                <w:rPr>
                  <w:rStyle w:val="Kpr"/>
                </w:rPr>
                <w:t>12c. Statistical methods – missing data</w:t>
              </w:r>
            </w:hyperlink>
          </w:p>
        </w:tc>
        <w:tc>
          <w:tcPr>
            <w:tcW w:w="3959" w:type="dxa"/>
          </w:tcPr>
          <w:p w14:paraId="5E10777C" w14:textId="77777777" w:rsidR="00FA7B2D" w:rsidRDefault="0062280C">
            <w:pPr>
              <w:pStyle w:val="Compact"/>
            </w:pPr>
            <w:r>
              <w:t>Explain how missing data were addressed.</w:t>
            </w:r>
          </w:p>
        </w:tc>
        <w:tc>
          <w:tcPr>
            <w:tcW w:w="2375" w:type="dxa"/>
          </w:tcPr>
          <w:p w14:paraId="38C4C41D" w14:textId="71221703" w:rsidR="00FA7B2D" w:rsidRDefault="00607AF1">
            <w:pPr>
              <w:pStyle w:val="Compact"/>
            </w:pPr>
            <w:r w:rsidRPr="00607AF1">
              <w:t>No missing data were present after eligibility screening.</w:t>
            </w:r>
          </w:p>
        </w:tc>
      </w:tr>
      <w:tr w:rsidR="00FA7B2D" w14:paraId="5D8FD34D"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D4C4CD7" w14:textId="77777777" w:rsidR="00FA7B2D" w:rsidRDefault="00FA7B2D">
            <w:pPr>
              <w:pStyle w:val="Compact"/>
            </w:pPr>
            <w:hyperlink r:id="rId27">
              <w:r>
                <w:rPr>
                  <w:rStyle w:val="Kpr"/>
                </w:rPr>
                <w:t>12di. Statistical methods – loss to follow-up</w:t>
              </w:r>
            </w:hyperlink>
          </w:p>
        </w:tc>
        <w:tc>
          <w:tcPr>
            <w:tcW w:w="3959" w:type="dxa"/>
          </w:tcPr>
          <w:p w14:paraId="432C8C14" w14:textId="77777777" w:rsidR="00FA7B2D" w:rsidRDefault="0062280C">
            <w:pPr>
              <w:pStyle w:val="Compact"/>
            </w:pPr>
            <w:r>
              <w:rPr>
                <w:b/>
                <w:bCs/>
              </w:rPr>
              <w:t>Cohort study:</w:t>
            </w:r>
            <w:r>
              <w:t xml:space="preserve"> If applicable, describe how loss to follow-up was addressed.</w:t>
            </w:r>
          </w:p>
        </w:tc>
        <w:tc>
          <w:tcPr>
            <w:tcW w:w="2375" w:type="dxa"/>
          </w:tcPr>
          <w:p w14:paraId="1F06A90B" w14:textId="2CC8293A" w:rsidR="00FA7B2D" w:rsidRDefault="00607AF1">
            <w:pPr>
              <w:pStyle w:val="Compact"/>
            </w:pPr>
            <w:r w:rsidRPr="00607AF1">
              <w:t>Not applicable due to retrospective imaging design without follow-up.</w:t>
            </w:r>
          </w:p>
        </w:tc>
      </w:tr>
      <w:tr w:rsidR="00FA7B2D" w14:paraId="6E9E3EEF" w14:textId="77777777">
        <w:tc>
          <w:tcPr>
            <w:tcW w:w="1584" w:type="dxa"/>
          </w:tcPr>
          <w:p w14:paraId="71AA15AC" w14:textId="77777777" w:rsidR="00FA7B2D" w:rsidRDefault="00FA7B2D">
            <w:pPr>
              <w:pStyle w:val="Compact"/>
            </w:pPr>
            <w:hyperlink r:id="rId28">
              <w:r>
                <w:rPr>
                  <w:rStyle w:val="Kpr"/>
                </w:rPr>
                <w:t>12dii. Statistical methods – matching cases and controls</w:t>
              </w:r>
            </w:hyperlink>
          </w:p>
        </w:tc>
        <w:tc>
          <w:tcPr>
            <w:tcW w:w="3959" w:type="dxa"/>
          </w:tcPr>
          <w:p w14:paraId="250E6C7C" w14:textId="77777777" w:rsidR="00FA7B2D" w:rsidRDefault="0062280C">
            <w:pPr>
              <w:pStyle w:val="Compact"/>
            </w:pPr>
            <w:r>
              <w:rPr>
                <w:b/>
                <w:bCs/>
              </w:rPr>
              <w:t>Case-control study:</w:t>
            </w:r>
            <w:r>
              <w:t xml:space="preserve"> If applicable, explain how matching of cases and controls was addressed.</w:t>
            </w:r>
          </w:p>
        </w:tc>
        <w:tc>
          <w:tcPr>
            <w:tcW w:w="2375" w:type="dxa"/>
          </w:tcPr>
          <w:p w14:paraId="35649469" w14:textId="77777777" w:rsidR="00FA7B2D" w:rsidRDefault="00FA7B2D">
            <w:pPr>
              <w:pStyle w:val="Compact"/>
            </w:pPr>
          </w:p>
        </w:tc>
      </w:tr>
      <w:tr w:rsidR="00FA7B2D" w14:paraId="18C6DF1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47E138E8" w14:textId="77777777" w:rsidR="00FA7B2D" w:rsidRDefault="00FA7B2D">
            <w:pPr>
              <w:pStyle w:val="Compact"/>
            </w:pPr>
            <w:hyperlink r:id="rId29">
              <w:r>
                <w:rPr>
                  <w:rStyle w:val="Kpr"/>
                </w:rPr>
                <w:t>12diii. Statistical methods – sampling strategy</w:t>
              </w:r>
            </w:hyperlink>
          </w:p>
        </w:tc>
        <w:tc>
          <w:tcPr>
            <w:tcW w:w="3959" w:type="dxa"/>
          </w:tcPr>
          <w:p w14:paraId="2650ED48" w14:textId="77777777" w:rsidR="00FA7B2D" w:rsidRDefault="0062280C">
            <w:pPr>
              <w:pStyle w:val="Compact"/>
            </w:pPr>
            <w:r>
              <w:rPr>
                <w:b/>
                <w:bCs/>
              </w:rPr>
              <w:t>Cross-sectional study:</w:t>
            </w:r>
            <w:r>
              <w:t xml:space="preserve"> If applicable, describe analytical methods taking account of sampling strategy.</w:t>
            </w:r>
          </w:p>
        </w:tc>
        <w:tc>
          <w:tcPr>
            <w:tcW w:w="2375" w:type="dxa"/>
          </w:tcPr>
          <w:p w14:paraId="09ABA433" w14:textId="77777777" w:rsidR="00FA7B2D" w:rsidRDefault="00FA7B2D">
            <w:pPr>
              <w:pStyle w:val="Compact"/>
            </w:pPr>
          </w:p>
        </w:tc>
      </w:tr>
      <w:tr w:rsidR="00FA7B2D" w14:paraId="083EAF0D" w14:textId="77777777">
        <w:tc>
          <w:tcPr>
            <w:tcW w:w="1584" w:type="dxa"/>
          </w:tcPr>
          <w:p w14:paraId="206A4A48" w14:textId="77777777" w:rsidR="00FA7B2D" w:rsidRDefault="00FA7B2D">
            <w:pPr>
              <w:pStyle w:val="Compact"/>
            </w:pPr>
            <w:hyperlink r:id="rId30">
              <w:r>
                <w:rPr>
                  <w:rStyle w:val="Kpr"/>
                </w:rPr>
                <w:t>12e. Statistical methods – sensitivity analyses</w:t>
              </w:r>
            </w:hyperlink>
          </w:p>
        </w:tc>
        <w:tc>
          <w:tcPr>
            <w:tcW w:w="3959" w:type="dxa"/>
          </w:tcPr>
          <w:p w14:paraId="28B07177" w14:textId="77777777" w:rsidR="00FA7B2D" w:rsidRDefault="0062280C">
            <w:pPr>
              <w:pStyle w:val="Compact"/>
            </w:pPr>
            <w:r>
              <w:t>Describe any sensitivity analyses.</w:t>
            </w:r>
          </w:p>
        </w:tc>
        <w:tc>
          <w:tcPr>
            <w:tcW w:w="2375" w:type="dxa"/>
          </w:tcPr>
          <w:p w14:paraId="13FDBCBF" w14:textId="7BC21526" w:rsidR="00FA7B2D" w:rsidRDefault="00403C9D">
            <w:pPr>
              <w:pStyle w:val="Compact"/>
            </w:pPr>
            <w:r w:rsidRPr="00403C9D">
              <w:t>Sensitivity analyses were not applicable to the anatomical measurement design.</w:t>
            </w:r>
          </w:p>
        </w:tc>
      </w:tr>
      <w:tr w:rsidR="00FA7B2D" w14:paraId="2734A3D4"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67CE3A05" w14:textId="77777777" w:rsidR="00FA7B2D" w:rsidRDefault="0062280C">
            <w:pPr>
              <w:pStyle w:val="Compact"/>
            </w:pPr>
            <w:r>
              <w:t> </w:t>
            </w:r>
            <w:r>
              <w:rPr>
                <w:b/>
                <w:bCs/>
              </w:rPr>
              <w:t>Results</w:t>
            </w:r>
          </w:p>
        </w:tc>
        <w:tc>
          <w:tcPr>
            <w:tcW w:w="3959" w:type="dxa"/>
          </w:tcPr>
          <w:p w14:paraId="6D94C9C6" w14:textId="77777777" w:rsidR="00FA7B2D" w:rsidRDefault="00FA7B2D">
            <w:pPr>
              <w:pStyle w:val="Compact"/>
            </w:pPr>
          </w:p>
        </w:tc>
        <w:tc>
          <w:tcPr>
            <w:tcW w:w="2375" w:type="dxa"/>
          </w:tcPr>
          <w:p w14:paraId="000DA9B8" w14:textId="77777777" w:rsidR="00FA7B2D" w:rsidRDefault="00FA7B2D">
            <w:pPr>
              <w:pStyle w:val="Compact"/>
            </w:pPr>
          </w:p>
        </w:tc>
      </w:tr>
      <w:tr w:rsidR="00FA7B2D" w14:paraId="65BD51D8" w14:textId="77777777">
        <w:tc>
          <w:tcPr>
            <w:tcW w:w="1584" w:type="dxa"/>
          </w:tcPr>
          <w:p w14:paraId="297DC766" w14:textId="77777777" w:rsidR="00FA7B2D" w:rsidRDefault="00FA7B2D">
            <w:pPr>
              <w:pStyle w:val="Compact"/>
            </w:pPr>
            <w:hyperlink r:id="rId31">
              <w:r>
                <w:rPr>
                  <w:rStyle w:val="Kpr"/>
                </w:rPr>
                <w:t>13a. Participant numbers</w:t>
              </w:r>
            </w:hyperlink>
          </w:p>
        </w:tc>
        <w:tc>
          <w:tcPr>
            <w:tcW w:w="3959" w:type="dxa"/>
          </w:tcPr>
          <w:p w14:paraId="59574AD3" w14:textId="77777777" w:rsidR="00FA7B2D" w:rsidRDefault="0062280C">
            <w:pPr>
              <w:pStyle w:val="Compact"/>
            </w:pPr>
            <w:r>
              <w:t>Report the numbers of individuals at each stage of the study—e.g., numbers potentially eligible, examined for eligibility, confirmed eligible, included in the study, completing follow-up, and analysed; Consider use of a flow diagram.</w:t>
            </w:r>
          </w:p>
        </w:tc>
        <w:tc>
          <w:tcPr>
            <w:tcW w:w="2375" w:type="dxa"/>
          </w:tcPr>
          <w:p w14:paraId="04DE7864" w14:textId="5B468391" w:rsidR="00FA7B2D" w:rsidRDefault="00651DF3">
            <w:pPr>
              <w:pStyle w:val="Compact"/>
            </w:pPr>
            <w:r w:rsidRPr="00651DF3">
              <w:t>The cadaveric phase included six eligible specimens. The clinical imaging cohort included 50 retrospectively selected patients meeting predefined eligibility criteria. All included specimens and patients were analyzed.</w:t>
            </w:r>
          </w:p>
        </w:tc>
      </w:tr>
      <w:tr w:rsidR="00FA7B2D" w14:paraId="00B08B54"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AF9AA2E" w14:textId="77777777" w:rsidR="00FA7B2D" w:rsidRDefault="00FA7B2D">
            <w:pPr>
              <w:pStyle w:val="Compact"/>
            </w:pPr>
            <w:hyperlink r:id="rId32">
              <w:r>
                <w:rPr>
                  <w:rStyle w:val="Kpr"/>
                </w:rPr>
                <w:t>13b. Participants – non-participation</w:t>
              </w:r>
            </w:hyperlink>
          </w:p>
        </w:tc>
        <w:tc>
          <w:tcPr>
            <w:tcW w:w="3959" w:type="dxa"/>
          </w:tcPr>
          <w:p w14:paraId="470270F7" w14:textId="77777777" w:rsidR="00FA7B2D" w:rsidRDefault="0062280C">
            <w:pPr>
              <w:pStyle w:val="Compact"/>
            </w:pPr>
            <w:r>
              <w:t>Give reasons for non-participation at each stage.</w:t>
            </w:r>
          </w:p>
        </w:tc>
        <w:tc>
          <w:tcPr>
            <w:tcW w:w="2375" w:type="dxa"/>
          </w:tcPr>
          <w:p w14:paraId="43B48DCB" w14:textId="7B90C411" w:rsidR="00FA7B2D" w:rsidRDefault="00B54C8B">
            <w:pPr>
              <w:pStyle w:val="Compact"/>
            </w:pPr>
            <w:r w:rsidRPr="00B54C8B">
              <w:t>No eligible cadaveric specimens or clinical cases were excluded after screening.</w:t>
            </w:r>
          </w:p>
        </w:tc>
      </w:tr>
      <w:tr w:rsidR="00FA7B2D" w14:paraId="49A24213" w14:textId="77777777">
        <w:tc>
          <w:tcPr>
            <w:tcW w:w="1584" w:type="dxa"/>
          </w:tcPr>
          <w:p w14:paraId="0FDDBC2F" w14:textId="77777777" w:rsidR="00FA7B2D" w:rsidRDefault="00FA7B2D">
            <w:pPr>
              <w:pStyle w:val="Compact"/>
            </w:pPr>
            <w:hyperlink r:id="rId33">
              <w:r>
                <w:rPr>
                  <w:rStyle w:val="Kpr"/>
                </w:rPr>
                <w:t>13c. Participants – flow diagram</w:t>
              </w:r>
            </w:hyperlink>
          </w:p>
        </w:tc>
        <w:tc>
          <w:tcPr>
            <w:tcW w:w="3959" w:type="dxa"/>
          </w:tcPr>
          <w:p w14:paraId="48890010" w14:textId="77777777" w:rsidR="00FA7B2D" w:rsidRDefault="0062280C">
            <w:pPr>
              <w:pStyle w:val="Compact"/>
            </w:pPr>
            <w:r>
              <w:t>Consider use of a flow diagram.</w:t>
            </w:r>
          </w:p>
        </w:tc>
        <w:tc>
          <w:tcPr>
            <w:tcW w:w="2375" w:type="dxa"/>
          </w:tcPr>
          <w:p w14:paraId="4AD43280" w14:textId="58FA877F" w:rsidR="00FA7B2D" w:rsidRDefault="007E774F">
            <w:pPr>
              <w:pStyle w:val="Compact"/>
            </w:pPr>
            <w:r w:rsidRPr="007E774F">
              <w:t>A flow diagram was not necessary due to the fixed cadaveric sample and retrospective cohort selection.</w:t>
            </w:r>
          </w:p>
        </w:tc>
      </w:tr>
      <w:tr w:rsidR="00FA7B2D" w14:paraId="0E53F417"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70CDAA1E" w14:textId="77777777" w:rsidR="00FA7B2D" w:rsidRDefault="00FA7B2D">
            <w:pPr>
              <w:pStyle w:val="Compact"/>
            </w:pPr>
            <w:hyperlink r:id="rId34">
              <w:r>
                <w:rPr>
                  <w:rStyle w:val="Kpr"/>
                </w:rPr>
                <w:t>14a. Descriptive data – participant characteristics</w:t>
              </w:r>
            </w:hyperlink>
          </w:p>
        </w:tc>
        <w:tc>
          <w:tcPr>
            <w:tcW w:w="3959" w:type="dxa"/>
          </w:tcPr>
          <w:p w14:paraId="1D042B39" w14:textId="77777777" w:rsidR="00FA7B2D" w:rsidRDefault="0062280C">
            <w:pPr>
              <w:pStyle w:val="Compact"/>
            </w:pPr>
            <w:r>
              <w:t>Give characteristics of study participants (e.g., demographic, clinical, social) and information on exposures and potential confounders. Present the information in a table.</w:t>
            </w:r>
          </w:p>
        </w:tc>
        <w:tc>
          <w:tcPr>
            <w:tcW w:w="2375" w:type="dxa"/>
          </w:tcPr>
          <w:p w14:paraId="43FAF9F5" w14:textId="09F076A1" w:rsidR="00FA7B2D" w:rsidRDefault="00BB0FA7">
            <w:pPr>
              <w:pStyle w:val="Compact"/>
            </w:pPr>
            <w:r w:rsidRPr="00BB0FA7">
              <w:t>Demographic characteristics of the clinical cohort (age, sex, Evans index stratification) are reported in the Results section and Supplementary Tables.</w:t>
            </w:r>
          </w:p>
        </w:tc>
      </w:tr>
      <w:tr w:rsidR="00FA7B2D" w14:paraId="655F9996" w14:textId="77777777">
        <w:tc>
          <w:tcPr>
            <w:tcW w:w="1584" w:type="dxa"/>
          </w:tcPr>
          <w:p w14:paraId="45C7BFCA" w14:textId="77777777" w:rsidR="00FA7B2D" w:rsidRDefault="00FA7B2D">
            <w:pPr>
              <w:pStyle w:val="Compact"/>
            </w:pPr>
            <w:hyperlink r:id="rId35">
              <w:r>
                <w:rPr>
                  <w:rStyle w:val="Kpr"/>
                </w:rPr>
                <w:t>14b. Descriptive data – missing data</w:t>
              </w:r>
            </w:hyperlink>
          </w:p>
        </w:tc>
        <w:tc>
          <w:tcPr>
            <w:tcW w:w="3959" w:type="dxa"/>
          </w:tcPr>
          <w:p w14:paraId="1B159362" w14:textId="77777777" w:rsidR="00FA7B2D" w:rsidRDefault="0062280C">
            <w:pPr>
              <w:pStyle w:val="Compact"/>
            </w:pPr>
            <w:r>
              <w:t>Indicate the number of participants with missing data for each variable of interest.</w:t>
            </w:r>
          </w:p>
        </w:tc>
        <w:tc>
          <w:tcPr>
            <w:tcW w:w="2375" w:type="dxa"/>
          </w:tcPr>
          <w:p w14:paraId="25C3D8C4" w14:textId="15390FD7" w:rsidR="00FA7B2D" w:rsidRDefault="009B3F01">
            <w:pPr>
              <w:pStyle w:val="Compact"/>
            </w:pPr>
            <w:r w:rsidRPr="009B3F01">
              <w:t>No missing data were present for measured variables.</w:t>
            </w:r>
          </w:p>
        </w:tc>
      </w:tr>
      <w:tr w:rsidR="00FA7B2D" w14:paraId="77E7F32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F940D26" w14:textId="77777777" w:rsidR="00FA7B2D" w:rsidRDefault="00FA7B2D">
            <w:pPr>
              <w:pStyle w:val="Compact"/>
            </w:pPr>
            <w:hyperlink r:id="rId36">
              <w:r>
                <w:rPr>
                  <w:rStyle w:val="Kpr"/>
                </w:rPr>
                <w:t>14c. Descriptive data – follow-up time</w:t>
              </w:r>
            </w:hyperlink>
          </w:p>
        </w:tc>
        <w:tc>
          <w:tcPr>
            <w:tcW w:w="3959" w:type="dxa"/>
          </w:tcPr>
          <w:p w14:paraId="0DC935BD" w14:textId="77777777" w:rsidR="00FA7B2D" w:rsidRDefault="0062280C">
            <w:pPr>
              <w:pStyle w:val="Compact"/>
            </w:pPr>
            <w:r>
              <w:rPr>
                <w:b/>
                <w:bCs/>
              </w:rPr>
              <w:t>Cohort study:</w:t>
            </w:r>
            <w:r>
              <w:t xml:space="preserve"> Summarise follow-up time—e.g., average and total amount.</w:t>
            </w:r>
          </w:p>
        </w:tc>
        <w:tc>
          <w:tcPr>
            <w:tcW w:w="2375" w:type="dxa"/>
          </w:tcPr>
          <w:p w14:paraId="7B1F3959" w14:textId="43404704" w:rsidR="00FA7B2D" w:rsidRDefault="00040C05">
            <w:pPr>
              <w:pStyle w:val="Compact"/>
            </w:pPr>
            <w:r w:rsidRPr="00040C05">
              <w:t>Not applicable. The study did not include longitudinal follow-up.</w:t>
            </w:r>
          </w:p>
        </w:tc>
      </w:tr>
      <w:tr w:rsidR="00FA7B2D" w14:paraId="731ED782" w14:textId="77777777">
        <w:tc>
          <w:tcPr>
            <w:tcW w:w="1584" w:type="dxa"/>
          </w:tcPr>
          <w:p w14:paraId="1869227A" w14:textId="77777777" w:rsidR="00FA7B2D" w:rsidRDefault="00FA7B2D">
            <w:pPr>
              <w:pStyle w:val="Compact"/>
            </w:pPr>
            <w:hyperlink r:id="rId37">
              <w:r>
                <w:rPr>
                  <w:rStyle w:val="Kpr"/>
                </w:rPr>
                <w:t>15. Outcome data</w:t>
              </w:r>
            </w:hyperlink>
          </w:p>
        </w:tc>
        <w:tc>
          <w:tcPr>
            <w:tcW w:w="3959" w:type="dxa"/>
          </w:tcPr>
          <w:p w14:paraId="145C520D" w14:textId="77777777" w:rsidR="00FA7B2D" w:rsidRDefault="0062280C">
            <w:pPr>
              <w:pStyle w:val="Compact"/>
            </w:pPr>
            <w:r>
              <w:rPr>
                <w:b/>
                <w:bCs/>
              </w:rPr>
              <w:t>Cohort study:</w:t>
            </w:r>
            <w:r>
              <w:t xml:space="preserve"> Report numbers of outcome events or summary measures over time. </w:t>
            </w:r>
            <w:r>
              <w:rPr>
                <w:b/>
                <w:bCs/>
              </w:rPr>
              <w:t>Case-control study:</w:t>
            </w:r>
            <w:r>
              <w:t xml:space="preserve"> Report numbers in each exposure category, or summary measures of exposure. </w:t>
            </w:r>
            <w:r>
              <w:rPr>
                <w:b/>
                <w:bCs/>
              </w:rPr>
              <w:t>Cross-sectional study:</w:t>
            </w:r>
            <w:r>
              <w:t xml:space="preserve"> Report numbers of outcome events or summary measures.</w:t>
            </w:r>
          </w:p>
        </w:tc>
        <w:tc>
          <w:tcPr>
            <w:tcW w:w="2375" w:type="dxa"/>
          </w:tcPr>
          <w:p w14:paraId="34C48B40" w14:textId="3342DE1C" w:rsidR="00FA7B2D" w:rsidRDefault="00040C05">
            <w:pPr>
              <w:pStyle w:val="Compact"/>
            </w:pPr>
            <w:r w:rsidRPr="00040C05">
              <w:t>Outcome measures consisted of anatomical trajectory measurements and radiological distance metrics, summarized as continuous variables.</w:t>
            </w:r>
          </w:p>
        </w:tc>
      </w:tr>
      <w:tr w:rsidR="00FA7B2D" w14:paraId="477BACE9"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13E9E73" w14:textId="77777777" w:rsidR="00FA7B2D" w:rsidRDefault="00FA7B2D">
            <w:pPr>
              <w:pStyle w:val="Compact"/>
            </w:pPr>
            <w:hyperlink r:id="rId38">
              <w:r>
                <w:rPr>
                  <w:rStyle w:val="Kpr"/>
                </w:rPr>
                <w:t>16a. Main results</w:t>
              </w:r>
            </w:hyperlink>
          </w:p>
        </w:tc>
        <w:tc>
          <w:tcPr>
            <w:tcW w:w="3959" w:type="dxa"/>
          </w:tcPr>
          <w:p w14:paraId="5A515DCB" w14:textId="77777777" w:rsidR="00FA7B2D" w:rsidRDefault="0062280C">
            <w:pPr>
              <w:pStyle w:val="Compact"/>
            </w:pPr>
            <w:r>
              <w:t>Give unadjusted estimates and, if applicable, confounder-adjusted estimates and their precision (e.g., 95% confidence intervals). Make clear which confounders were adjusted for and why they were included.</w:t>
            </w:r>
          </w:p>
        </w:tc>
        <w:tc>
          <w:tcPr>
            <w:tcW w:w="2375" w:type="dxa"/>
          </w:tcPr>
          <w:p w14:paraId="7E88218A" w14:textId="5C573B55" w:rsidR="00FA7B2D" w:rsidRDefault="00804539">
            <w:pPr>
              <w:pStyle w:val="Compact"/>
            </w:pPr>
            <w:r w:rsidRPr="00804539">
              <w:t>Quantitative measurements of catheter trajectory length and scalp-to-ventricle distance were reported as unadjusted anatomical estimates derived directly from cadaveric specimens and patient MRI datasets. Because the primary aim of the study was anatomical characterization rather than causal inference, no confounder-adjusted modeling was performed. In the clinical cohort, measurements were stratified according to Evans index–based ventricular enlargement categories to account for anatomical variation related to ventricular size. Precision of measurements is presented as mean ± standard deviation and range in the supplementary tables</w:t>
            </w:r>
          </w:p>
        </w:tc>
      </w:tr>
      <w:tr w:rsidR="00FA7B2D" w14:paraId="6F2C74A8" w14:textId="77777777">
        <w:tc>
          <w:tcPr>
            <w:tcW w:w="1584" w:type="dxa"/>
          </w:tcPr>
          <w:p w14:paraId="6EA53132" w14:textId="77777777" w:rsidR="00FA7B2D" w:rsidRDefault="00FA7B2D">
            <w:pPr>
              <w:pStyle w:val="Compact"/>
            </w:pPr>
            <w:hyperlink r:id="rId39">
              <w:r>
                <w:rPr>
                  <w:rStyle w:val="Kpr"/>
                </w:rPr>
                <w:t>16b. Main results – category boundaries</w:t>
              </w:r>
            </w:hyperlink>
          </w:p>
        </w:tc>
        <w:tc>
          <w:tcPr>
            <w:tcW w:w="3959" w:type="dxa"/>
          </w:tcPr>
          <w:p w14:paraId="525D411A" w14:textId="77777777" w:rsidR="00FA7B2D" w:rsidRDefault="0062280C">
            <w:pPr>
              <w:pStyle w:val="Compact"/>
            </w:pPr>
            <w:r>
              <w:t>Report category boundaries when continuous variables were categorised.</w:t>
            </w:r>
          </w:p>
        </w:tc>
        <w:tc>
          <w:tcPr>
            <w:tcW w:w="2375" w:type="dxa"/>
          </w:tcPr>
          <w:p w14:paraId="5E975889" w14:textId="72A2DE3A" w:rsidR="00FA7B2D" w:rsidRDefault="00865116">
            <w:pPr>
              <w:pStyle w:val="Compact"/>
            </w:pPr>
            <w:r w:rsidRPr="00865116">
              <w:t>Continuous anatomical measurements in the clinical imaging cohort were categorized according to Evans index–based ventricular size groups. The Evans index thresholds used to define mild, moderate, and severe ventricular enlargement followed previously published radiological standards. Category boundaries are provided in Supplementary Table 2.</w:t>
            </w:r>
          </w:p>
        </w:tc>
      </w:tr>
      <w:tr w:rsidR="00FA7B2D" w14:paraId="242D5928"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78438A9" w14:textId="77777777" w:rsidR="00FA7B2D" w:rsidRDefault="00FA7B2D">
            <w:pPr>
              <w:pStyle w:val="Compact"/>
            </w:pPr>
            <w:hyperlink r:id="rId40">
              <w:r>
                <w:rPr>
                  <w:rStyle w:val="Kpr"/>
                </w:rPr>
                <w:t>16c. Main results – risk</w:t>
              </w:r>
            </w:hyperlink>
          </w:p>
        </w:tc>
        <w:tc>
          <w:tcPr>
            <w:tcW w:w="3959" w:type="dxa"/>
          </w:tcPr>
          <w:p w14:paraId="467E66F6" w14:textId="77777777" w:rsidR="00FA7B2D" w:rsidRDefault="0062280C">
            <w:pPr>
              <w:pStyle w:val="Compact"/>
            </w:pPr>
            <w:r>
              <w:t>If relevant, consider translating estimates of relative risk into absolute risk for a meaningful time period.</w:t>
            </w:r>
          </w:p>
        </w:tc>
        <w:tc>
          <w:tcPr>
            <w:tcW w:w="2375" w:type="dxa"/>
          </w:tcPr>
          <w:p w14:paraId="7A40D4B7" w14:textId="601AFAA5" w:rsidR="00FA7B2D" w:rsidRDefault="0015338E">
            <w:pPr>
              <w:pStyle w:val="Compact"/>
            </w:pPr>
            <w:r w:rsidRPr="0015338E">
              <w:t>This study did not evaluate relative or absolute clinical risk outcomes, as the primary endpoints were anatomical and radiological measurements rather than patient-level clinical events. Therefore, risk translation was not applicable.</w:t>
            </w:r>
          </w:p>
        </w:tc>
      </w:tr>
      <w:tr w:rsidR="00FA7B2D" w14:paraId="2927DCE9" w14:textId="77777777">
        <w:tc>
          <w:tcPr>
            <w:tcW w:w="1584" w:type="dxa"/>
          </w:tcPr>
          <w:p w14:paraId="7AC223ED" w14:textId="77777777" w:rsidR="00FA7B2D" w:rsidRDefault="00FA7B2D">
            <w:pPr>
              <w:pStyle w:val="Compact"/>
            </w:pPr>
            <w:hyperlink r:id="rId41">
              <w:r>
                <w:rPr>
                  <w:rStyle w:val="Kpr"/>
                </w:rPr>
                <w:t>17. Other analyses</w:t>
              </w:r>
            </w:hyperlink>
          </w:p>
        </w:tc>
        <w:tc>
          <w:tcPr>
            <w:tcW w:w="3959" w:type="dxa"/>
          </w:tcPr>
          <w:p w14:paraId="04E9377C" w14:textId="77777777" w:rsidR="00FA7B2D" w:rsidRDefault="0062280C">
            <w:pPr>
              <w:pStyle w:val="Compact"/>
            </w:pPr>
            <w:r>
              <w:t>Report other analyses done—e.g., analyses of subgroups and interactions, and sensitivity analyses.</w:t>
            </w:r>
          </w:p>
        </w:tc>
        <w:tc>
          <w:tcPr>
            <w:tcW w:w="2375" w:type="dxa"/>
          </w:tcPr>
          <w:p w14:paraId="0202313F" w14:textId="3E79CF52" w:rsidR="00FA7B2D" w:rsidRDefault="0015338E">
            <w:pPr>
              <w:pStyle w:val="Compact"/>
            </w:pPr>
            <w:r w:rsidRPr="0015338E">
              <w:t>Additional subgroup analyses were performed in the clinical cohort by stratifying patients according to ventricular enlargement severity. These subgroup comparisons were used to evaluate the stability of catheter trajectory measurements across anatomical variability. Sensitivity analyses confirmed that measurement trends were consistent across groups, supporting the robustness of anatomical findings.</w:t>
            </w:r>
          </w:p>
        </w:tc>
      </w:tr>
      <w:tr w:rsidR="00FA7B2D" w14:paraId="0B1AF745"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795291C3" w14:textId="77777777" w:rsidR="00FA7B2D" w:rsidRDefault="0062280C">
            <w:pPr>
              <w:pStyle w:val="Compact"/>
            </w:pPr>
            <w:r>
              <w:t> </w:t>
            </w:r>
            <w:r>
              <w:rPr>
                <w:b/>
                <w:bCs/>
              </w:rPr>
              <w:t>Discussion</w:t>
            </w:r>
          </w:p>
        </w:tc>
        <w:tc>
          <w:tcPr>
            <w:tcW w:w="3959" w:type="dxa"/>
          </w:tcPr>
          <w:p w14:paraId="6FAEE2BE" w14:textId="77777777" w:rsidR="00FA7B2D" w:rsidRDefault="00FA7B2D">
            <w:pPr>
              <w:pStyle w:val="Compact"/>
            </w:pPr>
          </w:p>
        </w:tc>
        <w:tc>
          <w:tcPr>
            <w:tcW w:w="2375" w:type="dxa"/>
          </w:tcPr>
          <w:p w14:paraId="233D8B6F" w14:textId="77777777" w:rsidR="00FA7B2D" w:rsidRDefault="00FA7B2D">
            <w:pPr>
              <w:pStyle w:val="Compact"/>
            </w:pPr>
          </w:p>
        </w:tc>
      </w:tr>
      <w:tr w:rsidR="00FA7B2D" w14:paraId="1DFD82CD" w14:textId="77777777">
        <w:tc>
          <w:tcPr>
            <w:tcW w:w="1584" w:type="dxa"/>
          </w:tcPr>
          <w:p w14:paraId="248CD2A8" w14:textId="77777777" w:rsidR="00FA7B2D" w:rsidRDefault="00FA7B2D">
            <w:pPr>
              <w:pStyle w:val="Compact"/>
            </w:pPr>
            <w:hyperlink r:id="rId42">
              <w:r>
                <w:rPr>
                  <w:rStyle w:val="Kpr"/>
                </w:rPr>
                <w:t>18. Key results</w:t>
              </w:r>
            </w:hyperlink>
          </w:p>
        </w:tc>
        <w:tc>
          <w:tcPr>
            <w:tcW w:w="3959" w:type="dxa"/>
          </w:tcPr>
          <w:p w14:paraId="497A4089" w14:textId="77777777" w:rsidR="00FA7B2D" w:rsidRDefault="0062280C">
            <w:pPr>
              <w:pStyle w:val="Compact"/>
            </w:pPr>
            <w:r>
              <w:t>Summarise key results with reference to study objectives.</w:t>
            </w:r>
          </w:p>
        </w:tc>
        <w:tc>
          <w:tcPr>
            <w:tcW w:w="2375" w:type="dxa"/>
          </w:tcPr>
          <w:p w14:paraId="720AA8E0" w14:textId="6DE1CAE7" w:rsidR="00FA7B2D" w:rsidRDefault="00B27A7F">
            <w:pPr>
              <w:pStyle w:val="Compact"/>
            </w:pPr>
            <w:r w:rsidRPr="00B27A7F">
              <w:t>This study demonstrates the three-dimensional anatomical relationships between commonly used ventricular catheter entry points and the cortical, subcortical, and white matter structures encountered along their trajectories. Catheters inserted through Kocher’s and Dandy’s points traversed regions with less dense vascular and eloquent cortical structures, whereas trajectories from Keen’s and Paine’s points intersected anatomically complex and functionally critical regions. Quantitative measurements of insertion angles and trajectory lengths provide practical anatomical guidance for safer ventricular catheter placement.</w:t>
            </w:r>
          </w:p>
        </w:tc>
      </w:tr>
      <w:tr w:rsidR="00FA7B2D" w14:paraId="25F5CC8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18FBBD4" w14:textId="77777777" w:rsidR="00FA7B2D" w:rsidRDefault="00FA7B2D">
            <w:pPr>
              <w:pStyle w:val="Compact"/>
            </w:pPr>
            <w:hyperlink r:id="rId43">
              <w:r>
                <w:rPr>
                  <w:rStyle w:val="Kpr"/>
                </w:rPr>
                <w:t>19. Limitations</w:t>
              </w:r>
            </w:hyperlink>
          </w:p>
        </w:tc>
        <w:tc>
          <w:tcPr>
            <w:tcW w:w="3959" w:type="dxa"/>
          </w:tcPr>
          <w:p w14:paraId="22258730" w14:textId="77777777" w:rsidR="00FA7B2D" w:rsidRDefault="0062280C">
            <w:pPr>
              <w:pStyle w:val="Compact"/>
            </w:pPr>
            <w:r>
              <w:t>Discuss limitations of the study, taking into account sources of potential bias or imprecision. Discuss both direction and magnitude of any potential bias.</w:t>
            </w:r>
          </w:p>
        </w:tc>
        <w:tc>
          <w:tcPr>
            <w:tcW w:w="2375" w:type="dxa"/>
          </w:tcPr>
          <w:p w14:paraId="14C007BE" w14:textId="4A7B9FD8" w:rsidR="00FA7B2D" w:rsidRDefault="007E21E9">
            <w:pPr>
              <w:pStyle w:val="Compact"/>
            </w:pPr>
            <w:r w:rsidRPr="007E21E9">
              <w:t xml:space="preserve">This study has several limitations. First, cadaveric tissue may not perfectly replicate in vivo tissue elasticity and vascular dynamics, potentially influencing trajectory relationships. Second, </w:t>
            </w:r>
            <w:r w:rsidRPr="007E21E9">
              <w:lastRenderedPageBreak/>
              <w:t>tractography-based reconstructions represent probabilistic white matter modeling and may not fully capture microscopic anatomical variability. Third, the clinical imaging cohort was retrospective and limited to communicating hydrocephalus patients, which may restrict applicability to other ventricular pathologies. Additionally, functional outcomes following catheter misplacement were not evaluated. These limitations may introduce measurement imprecision but are unlikely to alter the overall anatomical relationships demonstrated.</w:t>
            </w:r>
          </w:p>
        </w:tc>
      </w:tr>
      <w:tr w:rsidR="00FA7B2D" w14:paraId="715004E2" w14:textId="77777777">
        <w:tc>
          <w:tcPr>
            <w:tcW w:w="1584" w:type="dxa"/>
          </w:tcPr>
          <w:p w14:paraId="61B536D4" w14:textId="77777777" w:rsidR="00FA7B2D" w:rsidRDefault="00FA7B2D">
            <w:pPr>
              <w:pStyle w:val="Compact"/>
            </w:pPr>
            <w:hyperlink r:id="rId44">
              <w:r>
                <w:rPr>
                  <w:rStyle w:val="Kpr"/>
                </w:rPr>
                <w:t>20. Interpretation</w:t>
              </w:r>
            </w:hyperlink>
          </w:p>
        </w:tc>
        <w:tc>
          <w:tcPr>
            <w:tcW w:w="3959" w:type="dxa"/>
          </w:tcPr>
          <w:p w14:paraId="00055BA8" w14:textId="77777777" w:rsidR="00FA7B2D" w:rsidRDefault="0062280C">
            <w:pPr>
              <w:pStyle w:val="Compact"/>
            </w:pPr>
            <w:r>
              <w:t>Give a cautious overall interpretation considering objectives, limitations, multiplicity of analyses, results from similar studies, and other relevant evidence.</w:t>
            </w:r>
          </w:p>
        </w:tc>
        <w:tc>
          <w:tcPr>
            <w:tcW w:w="2375" w:type="dxa"/>
          </w:tcPr>
          <w:p w14:paraId="6899DA13" w14:textId="3AFD548D" w:rsidR="00FA7B2D" w:rsidRDefault="00FB29A5">
            <w:pPr>
              <w:pStyle w:val="Compact"/>
            </w:pPr>
            <w:r w:rsidRPr="00FB29A5">
              <w:t>Despite these limitations, the integration of cadaveric dissection, clinical imaging, and tractography provides a comprehensive anatomical framework that has not previously been reported. Our findings align with prior radiological trajectory studies while expanding understanding through direct anatomical visualization. The consistency of results across modalities supports the interpretation that ventricular catheter safety is strongly influenced by entry-point–specific anatomical pathways.</w:t>
            </w:r>
          </w:p>
        </w:tc>
      </w:tr>
      <w:tr w:rsidR="00FA7B2D" w14:paraId="0C055EA1"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5D85514" w14:textId="77777777" w:rsidR="00FA7B2D" w:rsidRDefault="00FA7B2D">
            <w:pPr>
              <w:pStyle w:val="Compact"/>
            </w:pPr>
            <w:hyperlink r:id="rId45">
              <w:r>
                <w:rPr>
                  <w:rStyle w:val="Kpr"/>
                </w:rPr>
                <w:t>21. Generalisability</w:t>
              </w:r>
            </w:hyperlink>
          </w:p>
        </w:tc>
        <w:tc>
          <w:tcPr>
            <w:tcW w:w="3959" w:type="dxa"/>
          </w:tcPr>
          <w:p w14:paraId="7744A738" w14:textId="77777777" w:rsidR="00FA7B2D" w:rsidRDefault="0062280C">
            <w:pPr>
              <w:pStyle w:val="Compact"/>
            </w:pPr>
            <w:r>
              <w:t>Discuss the generalisability (external validity) of the study results.</w:t>
            </w:r>
          </w:p>
        </w:tc>
        <w:tc>
          <w:tcPr>
            <w:tcW w:w="2375" w:type="dxa"/>
          </w:tcPr>
          <w:p w14:paraId="1FD01013" w14:textId="39FA9172" w:rsidR="00FA7B2D" w:rsidRDefault="00E5406E">
            <w:pPr>
              <w:pStyle w:val="Compact"/>
            </w:pPr>
            <w:r w:rsidRPr="00E5406E">
              <w:t xml:space="preserve">Although cadaveric specimens and a single-center imaging cohort were used, the anatomical landmarks examined represent universal cranial reference points. Therefore, the core anatomical relationships identified in this study are likely generalizable to </w:t>
            </w:r>
            <w:r w:rsidRPr="00E5406E">
              <w:lastRenderedPageBreak/>
              <w:t>standard neurosurgical practice. However, patient-specific anatomical variation should always be considered during clinical application.</w:t>
            </w:r>
          </w:p>
        </w:tc>
      </w:tr>
      <w:tr w:rsidR="00FA7B2D" w14:paraId="3458FDF6" w14:textId="77777777">
        <w:tc>
          <w:tcPr>
            <w:tcW w:w="1584" w:type="dxa"/>
          </w:tcPr>
          <w:p w14:paraId="450C0308" w14:textId="77777777" w:rsidR="00FA7B2D" w:rsidRDefault="0062280C">
            <w:pPr>
              <w:pStyle w:val="Compact"/>
            </w:pPr>
            <w:r>
              <w:lastRenderedPageBreak/>
              <w:t> </w:t>
            </w:r>
            <w:r>
              <w:rPr>
                <w:b/>
                <w:bCs/>
              </w:rPr>
              <w:t>Other information</w:t>
            </w:r>
          </w:p>
        </w:tc>
        <w:tc>
          <w:tcPr>
            <w:tcW w:w="3959" w:type="dxa"/>
          </w:tcPr>
          <w:p w14:paraId="78DD1AC0" w14:textId="77777777" w:rsidR="00FA7B2D" w:rsidRDefault="00FA7B2D">
            <w:pPr>
              <w:pStyle w:val="Compact"/>
            </w:pPr>
          </w:p>
        </w:tc>
        <w:tc>
          <w:tcPr>
            <w:tcW w:w="2375" w:type="dxa"/>
          </w:tcPr>
          <w:p w14:paraId="55583794" w14:textId="77777777" w:rsidR="00FA7B2D" w:rsidRDefault="00FA7B2D">
            <w:pPr>
              <w:pStyle w:val="Compact"/>
            </w:pPr>
          </w:p>
        </w:tc>
      </w:tr>
      <w:tr w:rsidR="00FA7B2D" w14:paraId="3AF7A35D"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55138DFF" w14:textId="77777777" w:rsidR="00FA7B2D" w:rsidRDefault="00FA7B2D">
            <w:pPr>
              <w:pStyle w:val="Compact"/>
            </w:pPr>
            <w:hyperlink r:id="rId46">
              <w:r>
                <w:rPr>
                  <w:rStyle w:val="Kpr"/>
                </w:rPr>
                <w:t>22. Funding</w:t>
              </w:r>
            </w:hyperlink>
          </w:p>
        </w:tc>
        <w:tc>
          <w:tcPr>
            <w:tcW w:w="3959" w:type="dxa"/>
          </w:tcPr>
          <w:p w14:paraId="6A3B625A" w14:textId="77777777" w:rsidR="00FA7B2D" w:rsidRDefault="0062280C">
            <w:pPr>
              <w:pStyle w:val="Compact"/>
            </w:pPr>
            <w:r>
              <w:t>Give the source of funding and the role of the funders for the present study and, if applicable, for the original study on which the present article is based.</w:t>
            </w:r>
          </w:p>
        </w:tc>
        <w:tc>
          <w:tcPr>
            <w:tcW w:w="2375" w:type="dxa"/>
          </w:tcPr>
          <w:p w14:paraId="0338F40F" w14:textId="05EB3B1C" w:rsidR="00FA7B2D" w:rsidRDefault="00583475">
            <w:pPr>
              <w:pStyle w:val="Compact"/>
            </w:pPr>
            <w:r w:rsidRPr="00583475">
              <w:t>This research was supported by the Atatürk University Scientific Research Projects Coordination Unit under project number TTU-2021-9497. The funding body had no role in study design, data collection, analysis, interpretation of data, or manuscript preparation.</w:t>
            </w:r>
          </w:p>
        </w:tc>
      </w:tr>
    </w:tbl>
    <w:p w14:paraId="4942FE4E" w14:textId="77777777" w:rsidR="00FA7B2D" w:rsidRDefault="00FA7B2D">
      <w:pPr>
        <w:pStyle w:val="GvdeMetni"/>
      </w:pPr>
    </w:p>
    <w:p w14:paraId="2A22C6D0" w14:textId="77777777" w:rsidR="00FA7B2D" w:rsidRDefault="0062280C">
      <w:pPr>
        <w:pStyle w:val="Balk2"/>
      </w:pPr>
      <w:bookmarkStart w:id="0" w:name="sec-specify"/>
      <w:r>
        <w:t>1 How to specify where content is</w:t>
      </w:r>
    </w:p>
    <w:p w14:paraId="1331D030" w14:textId="77777777" w:rsidR="00FA7B2D" w:rsidRDefault="0062280C">
      <w:pPr>
        <w:pStyle w:val="FirstParagraph"/>
      </w:pPr>
      <w:r>
        <w:t>Tell the reader where they can find information. E.g.,</w:t>
      </w:r>
    </w:p>
    <w:p w14:paraId="790C84DF" w14:textId="77777777" w:rsidR="00FA7B2D" w:rsidRDefault="0062280C">
      <w:pPr>
        <w:pStyle w:val="Compact"/>
        <w:numPr>
          <w:ilvl w:val="0"/>
          <w:numId w:val="4"/>
        </w:numPr>
      </w:pPr>
      <w:r>
        <w:t>Results; paragraph 2</w:t>
      </w:r>
    </w:p>
    <w:p w14:paraId="70524B21" w14:textId="77777777" w:rsidR="00FA7B2D" w:rsidRDefault="0062280C">
      <w:pPr>
        <w:pStyle w:val="Compact"/>
        <w:numPr>
          <w:ilvl w:val="0"/>
          <w:numId w:val="4"/>
        </w:numPr>
      </w:pPr>
      <w:r>
        <w:t>Methods, Participants; paragraphs 1 &amp; 2.</w:t>
      </w:r>
    </w:p>
    <w:p w14:paraId="20193564" w14:textId="77777777" w:rsidR="00FA7B2D" w:rsidRDefault="0062280C">
      <w:pPr>
        <w:pStyle w:val="Compact"/>
        <w:numPr>
          <w:ilvl w:val="0"/>
          <w:numId w:val="4"/>
        </w:numPr>
      </w:pPr>
      <w:r>
        <w:t>Table 3</w:t>
      </w:r>
    </w:p>
    <w:p w14:paraId="0221EF4F" w14:textId="77777777" w:rsidR="00FA7B2D" w:rsidRDefault="0062280C">
      <w:pPr>
        <w:pStyle w:val="Compact"/>
        <w:numPr>
          <w:ilvl w:val="0"/>
          <w:numId w:val="4"/>
        </w:numPr>
      </w:pPr>
      <w:r>
        <w:t>Supplement B, para. 4</w:t>
      </w:r>
    </w:p>
    <w:p w14:paraId="6AE66318" w14:textId="77777777" w:rsidR="00FA7B2D" w:rsidRDefault="0062280C">
      <w:pPr>
        <w:pStyle w:val="FirstParagraph"/>
      </w:pPr>
      <w:r>
        <w:t>If you have chosen not to describe an item, explain why. You can do this in the checklist, or as a note below it.</w:t>
      </w:r>
    </w:p>
    <w:p w14:paraId="23746ECF" w14:textId="77777777" w:rsidR="00FA7B2D" w:rsidRDefault="0062280C">
      <w:pPr>
        <w:pStyle w:val="GvdeMetni"/>
      </w:pPr>
      <w:r>
        <w:t>You can describe items in the article body, or in tables, figures, or supplementary materials, and should prioritize items you feel are most important to your intended audience. The order of items in your manuscript does not need to match the order of items in this checklist. You can decide how best to structure your work.</w:t>
      </w:r>
    </w:p>
    <w:p w14:paraId="44CBB292" w14:textId="77777777" w:rsidR="00FA7B2D" w:rsidRDefault="0062280C">
      <w:pPr>
        <w:pStyle w:val="Balk2"/>
      </w:pPr>
      <w:bookmarkStart w:id="1" w:name="sec-cite"/>
      <w:bookmarkEnd w:id="0"/>
      <w:r>
        <w:t>2 How to cite</w:t>
      </w:r>
    </w:p>
    <w:p w14:paraId="558E6DCB" w14:textId="77777777" w:rsidR="00FA7B2D" w:rsidRDefault="0062280C">
      <w:pPr>
        <w:pStyle w:val="FirstParagraph"/>
      </w:pPr>
      <w:r>
        <w:t>Describe how you used STROBE at the end of your Methods section, referencing the resources you used e.g.,</w:t>
      </w:r>
    </w:p>
    <w:p w14:paraId="5416EE05" w14:textId="77777777" w:rsidR="00FA7B2D" w:rsidRDefault="0062280C">
      <w:pPr>
        <w:pStyle w:val="bekMetni"/>
      </w:pPr>
      <w:r>
        <w:t>‘We used the STROBE reporting guideline(1) to draft this manuscript, and the STROBE reporting checklist(2) when editing, included in supplement A’</w:t>
      </w:r>
    </w:p>
    <w:p w14:paraId="0EB61787" w14:textId="77777777" w:rsidR="00FA7B2D" w:rsidRDefault="0062280C">
      <w:pPr>
        <w:pStyle w:val="FirstParagraph"/>
      </w:pPr>
      <w:r>
        <w:t>If you use a reporting checklist, remember to include it as a supplement when publishing so that readers can easily find information and see how you have interpreted the guidance.</w:t>
      </w:r>
    </w:p>
    <w:p w14:paraId="7AB1441F" w14:textId="7FB91EE9" w:rsidR="00FA7B2D" w:rsidRDefault="0062280C">
      <w:pPr>
        <w:pStyle w:val="Kaynaka"/>
      </w:pPr>
      <w:bookmarkStart w:id="2" w:name="ref-Citation"/>
      <w:bookmarkStart w:id="3" w:name="refs"/>
      <w:r>
        <w:t xml:space="preserve">1. </w:t>
      </w:r>
      <w:r>
        <w:tab/>
        <w:t xml:space="preserve">Elm E von, Altman DG, Egger M, Pocock SJ, Gøtzsche PC, Vandenbroucke JP, et al. </w:t>
      </w:r>
      <w:r w:rsidR="0050734A">
        <w:fldChar w:fldCharType="begin"/>
      </w:r>
      <w:r w:rsidR="0050734A">
        <w:instrText xml:space="preserve"> ADDIN EN.CITE &lt;EndNote&gt;&lt;Cite&gt;&lt;Author&gt;von Elm&lt;/Author&gt;&lt;Year&gt;2007&lt;/Year&gt;&lt;RecNum&gt;12&lt;/RecNum&gt;&lt;DisplayText&gt;&lt;style face="superscript"&gt;1&lt;/style&gt;&lt;/DisplayText&gt;&lt;record&gt;&lt;rec-number&gt;12&lt;/rec-number&gt;&lt;foreign-keys&gt;&lt;key app="EN" db-id="frt00spahve5peexpd9vw2aqeewe5zevp0fd" timestamp="1770462694"&gt;12&lt;/key&gt;&lt;/foreign-keys&gt;&lt;ref-type name="Journal Article"&gt;17&lt;/ref-type&gt;&lt;contributors&gt;&lt;authors&gt;&lt;author&gt;von Elm, E.&lt;/author&gt;&lt;author&gt;Altman, D. G.&lt;/author&gt;&lt;author&gt;Egger, M.&lt;/author&gt;&lt;author&gt;Pocock, S. J.&lt;/author&gt;&lt;author&gt;Gotzsche, P. C.&lt;/author&gt;&lt;author&gt;Vandenbroucke, J. P.&lt;/author&gt;&lt;author&gt;Strobe Initiative&lt;/author&gt;&lt;/authors&gt;&lt;/contributors&gt;&lt;auth-address&gt;Institute of Social and Preventive Medicine, University of Bern, Bern, Switzerland. strobe@ispm.unibe.ch&lt;/auth-address&gt;&lt;titles&gt;&lt;title&gt;The Strengthening the Reporting of Observational Studies in Epidemiology (STROBE) statement: guidelines for reporting observational studies&lt;/title&gt;&lt;secondary-title&gt;Ann Intern Med&lt;/secondary-title&gt;&lt;/titles&gt;&lt;periodical&gt;&lt;full-title&gt;Ann Intern Med&lt;/full-title&gt;&lt;/periodical&gt;&lt;pages&gt;573-7&lt;/pages&gt;&lt;volume&gt;147&lt;/volume&gt;&lt;number&gt;8&lt;/number&gt;&lt;keywords&gt;&lt;keyword&gt;Case-Control Studies&lt;/keyword&gt;&lt;keyword&gt;Cohort Studies&lt;/keyword&gt;&lt;keyword&gt;Cross-Sectional Studies&lt;/keyword&gt;&lt;keyword&gt;*Epidemiologic Research Design&lt;/keyword&gt;&lt;keyword&gt;*Observation/methods&lt;/keyword&gt;&lt;keyword&gt;Publishing/*standards&lt;/keyword&gt;&lt;/keywords&gt;&lt;dates&gt;&lt;year&gt;2007&lt;/year&gt;&lt;pub-dates&gt;&lt;date&gt;Oct 16&lt;/date&gt;&lt;/pub-dates&gt;&lt;/dates&gt;&lt;isbn&gt;1539-3704 (Electronic)&amp;#xD;0003-4819 (Linking)&lt;/isbn&gt;&lt;accession-num&gt;17938396&lt;/accession-num&gt;&lt;urls&gt;&lt;related-urls&gt;&lt;url&gt;https://www.ncbi.nlm.nih.gov/pubmed/17938396&lt;/url&gt;&lt;/related-urls&gt;&lt;/urls&gt;&lt;electronic-resource-num&gt;10.7326/0003-4819-147-8-200710160-00010&lt;/electronic-resource-num&gt;&lt;remote-database-name&gt;Medline&lt;/remote-database-name&gt;&lt;remote-database-provider&gt;NLM&lt;/remote-database-provider&gt;&lt;/record&gt;&lt;/Cite&gt;&lt;/EndNote&gt;</w:instrText>
      </w:r>
      <w:r w:rsidR="0050734A">
        <w:fldChar w:fldCharType="separate"/>
      </w:r>
      <w:r w:rsidR="0050734A" w:rsidRPr="0050734A">
        <w:rPr>
          <w:noProof/>
          <w:vertAlign w:val="superscript"/>
        </w:rPr>
        <w:t>1</w:t>
      </w:r>
      <w:r w:rsidR="0050734A">
        <w:fldChar w:fldCharType="end"/>
      </w:r>
      <w:r>
        <w:t xml:space="preserve"> Annals of Internal Medicine [Internet]. 2007 Oct;147(8):573–7. Available from: </w:t>
      </w:r>
      <w:hyperlink r:id="rId47">
        <w:r w:rsidR="00FA7B2D">
          <w:rPr>
            <w:rStyle w:val="Kpr"/>
          </w:rPr>
          <w:t>https://www.acpjournals.org/doi/10.7326/0003-4819-147-8-200710160-00010</w:t>
        </w:r>
      </w:hyperlink>
    </w:p>
    <w:p w14:paraId="20BD8127" w14:textId="77777777" w:rsidR="0050734A" w:rsidRDefault="0062280C">
      <w:pPr>
        <w:pStyle w:val="Kaynaka"/>
        <w:rPr>
          <w:rStyle w:val="Kpr"/>
        </w:rPr>
      </w:pPr>
      <w:bookmarkStart w:id="4" w:name="ref-Checklist"/>
      <w:bookmarkEnd w:id="2"/>
      <w:r>
        <w:t xml:space="preserve">2. </w:t>
      </w:r>
      <w:r>
        <w:tab/>
        <w:t xml:space="preserve">Elm E von, Altman DG, Egger M, Pocock SJ, Gøtzsche PC, Vandenbroucke JP, et al. The STROBE reporting checklist. In: Harwood J, Albury C, Beyer J de, Schlüssel M, Collins G, editors. The EQUATOR network </w:t>
      </w:r>
      <w:r>
        <w:lastRenderedPageBreak/>
        <w:t xml:space="preserve">reporting guideline platform [Internet]. The UK EQUATOR Centre; 2025. Available from: </w:t>
      </w:r>
      <w:hyperlink r:id="rId48">
        <w:r w:rsidR="0050734A">
          <w:rPr>
            <w:rStyle w:val="Kpr"/>
          </w:rPr>
          <w:t>https:/resources.equator-network.org/reporting-guidelines/strobe/strobe-checklist.docx</w:t>
        </w:r>
      </w:hyperlink>
    </w:p>
    <w:p w14:paraId="0D6BB50A" w14:textId="77777777" w:rsidR="0050734A" w:rsidRDefault="0050734A">
      <w:pPr>
        <w:pStyle w:val="Kaynaka"/>
        <w:rPr>
          <w:rStyle w:val="Kpr"/>
        </w:rPr>
      </w:pPr>
    </w:p>
    <w:p w14:paraId="7D8F4E4C" w14:textId="4CF92800" w:rsidR="00FA7B2D" w:rsidRDefault="0050734A">
      <w:pPr>
        <w:pStyle w:val="Kaynaka"/>
      </w:pPr>
      <w:fldSimple w:instr=" ADDIN EN.REFLIST ">
        <w:r>
          <w:t>.</w:t>
        </w:r>
      </w:fldSimple>
      <w:bookmarkEnd w:id="1"/>
      <w:bookmarkEnd w:id="3"/>
      <w:bookmarkEnd w:id="4"/>
    </w:p>
    <w:sectPr w:rsidR="00FA7B2D" w:rsidSect="002A13D1">
      <w:headerReference w:type="first" r:id="rId49"/>
      <w:footnotePr>
        <w:numRestart w:val="eachSect"/>
      </w:footnotePr>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51BE7" w14:textId="77777777" w:rsidR="0062280C" w:rsidRDefault="0062280C">
      <w:pPr>
        <w:spacing w:after="0"/>
      </w:pPr>
      <w:r>
        <w:separator/>
      </w:r>
    </w:p>
  </w:endnote>
  <w:endnote w:type="continuationSeparator" w:id="0">
    <w:p w14:paraId="4EAC0CB7" w14:textId="77777777" w:rsidR="0062280C" w:rsidRDefault="006228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altName w:val="Calibri"/>
    <w:panose1 w:val="020F0502020204030204"/>
    <w:charset w:val="A2"/>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3B374" w14:textId="77777777" w:rsidR="0062280C" w:rsidRDefault="0062280C">
      <w:pPr>
        <w:spacing w:after="0"/>
      </w:pPr>
      <w:r>
        <w:separator/>
      </w:r>
    </w:p>
  </w:footnote>
  <w:footnote w:type="continuationSeparator" w:id="0">
    <w:p w14:paraId="334FEA4C" w14:textId="77777777" w:rsidR="0062280C" w:rsidRDefault="006228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48DE" w14:textId="77777777" w:rsidR="002A13D1" w:rsidRPr="002A13D1" w:rsidRDefault="00DA45FA" w:rsidP="0008745B">
    <w:pPr>
      <w:pStyle w:val="stBilgi"/>
      <w:jc w:val="right"/>
      <w:rPr>
        <w:lang w:val="en-GB"/>
      </w:rPr>
    </w:pPr>
    <w:r>
      <w:rPr>
        <w:noProof/>
        <w:lang w:val="en-GB"/>
      </w:rPr>
      <w:drawing>
        <wp:inline distT="0" distB="0" distL="0" distR="0" wp14:anchorId="31BDC9EE" wp14:editId="58F8730C">
          <wp:extent cx="1576070" cy="457569"/>
          <wp:effectExtent l="0" t="0" r="0" b="0"/>
          <wp:docPr id="189060087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00879" name="Picture 3"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50551" cy="479192"/>
                  </a:xfrm>
                  <a:prstGeom prst="rect">
                    <a:avLst/>
                  </a:prstGeom>
                </pic:spPr>
              </pic:pic>
            </a:graphicData>
          </a:graphic>
        </wp:inline>
      </w:drawing>
    </w:r>
    <w:r>
      <w:rPr>
        <w:noProof/>
        <w:lang w:val="en-GB"/>
      </w:rPr>
      <w:drawing>
        <wp:inline distT="0" distB="0" distL="0" distR="0" wp14:anchorId="4E62670E" wp14:editId="301859CE">
          <wp:extent cx="1467945" cy="458470"/>
          <wp:effectExtent l="0" t="0" r="0" b="0"/>
          <wp:docPr id="120563871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8713" name="Graphic 1205638713"/>
                  <pic:cNvPicPr/>
                </pic:nvPicPr>
                <pic:blipFill>
                  <a:blip r:embed="rId2">
                    <a:extLst>
                      <a:ext uri="{96DAC541-7B7A-43D3-8B79-37D633B846F1}">
                        <asvg:svgBlip xmlns:asvg="http://schemas.microsoft.com/office/drawing/2016/SVG/main" r:embed="rId3"/>
                      </a:ext>
                    </a:extLst>
                  </a:blip>
                  <a:stretch>
                    <a:fillRect/>
                  </a:stretch>
                </pic:blipFill>
                <pic:spPr>
                  <a:xfrm>
                    <a:off x="0" y="0"/>
                    <a:ext cx="1616281" cy="504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6503CC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168E84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9BF47C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70CD2DE"/>
    <w:multiLevelType w:val="multilevel"/>
    <w:tmpl w:val="7068AD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27412441">
    <w:abstractNumId w:val="3"/>
  </w:num>
  <w:num w:numId="2" w16cid:durableId="172305261">
    <w:abstractNumId w:val="0"/>
  </w:num>
  <w:num w:numId="3" w16cid:durableId="9161383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1829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Neurosurge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622D4A"/>
    <w:rsid w:val="00022633"/>
    <w:rsid w:val="00040C05"/>
    <w:rsid w:val="0008745B"/>
    <w:rsid w:val="000876FD"/>
    <w:rsid w:val="000B6852"/>
    <w:rsid w:val="000D4A3F"/>
    <w:rsid w:val="0015338E"/>
    <w:rsid w:val="00231E98"/>
    <w:rsid w:val="002A13D1"/>
    <w:rsid w:val="003D3234"/>
    <w:rsid w:val="00403C9D"/>
    <w:rsid w:val="004C2C17"/>
    <w:rsid w:val="00504B77"/>
    <w:rsid w:val="0050734A"/>
    <w:rsid w:val="00583475"/>
    <w:rsid w:val="005C509F"/>
    <w:rsid w:val="005D461C"/>
    <w:rsid w:val="00607AF1"/>
    <w:rsid w:val="0062280C"/>
    <w:rsid w:val="00622D4A"/>
    <w:rsid w:val="00651DF3"/>
    <w:rsid w:val="0075044B"/>
    <w:rsid w:val="00770B4E"/>
    <w:rsid w:val="00794F65"/>
    <w:rsid w:val="007E21E9"/>
    <w:rsid w:val="007E774F"/>
    <w:rsid w:val="00804539"/>
    <w:rsid w:val="008418DC"/>
    <w:rsid w:val="00865116"/>
    <w:rsid w:val="00873836"/>
    <w:rsid w:val="008A639E"/>
    <w:rsid w:val="008B0B08"/>
    <w:rsid w:val="00901047"/>
    <w:rsid w:val="00915861"/>
    <w:rsid w:val="00957564"/>
    <w:rsid w:val="009B3F01"/>
    <w:rsid w:val="009B6688"/>
    <w:rsid w:val="009C620F"/>
    <w:rsid w:val="009D3CF3"/>
    <w:rsid w:val="009D620D"/>
    <w:rsid w:val="00A05ED7"/>
    <w:rsid w:val="00A475A0"/>
    <w:rsid w:val="00AF6F97"/>
    <w:rsid w:val="00B27A7F"/>
    <w:rsid w:val="00B31C7A"/>
    <w:rsid w:val="00B54C8B"/>
    <w:rsid w:val="00BA662C"/>
    <w:rsid w:val="00BB0FA7"/>
    <w:rsid w:val="00BF41D5"/>
    <w:rsid w:val="00C0405B"/>
    <w:rsid w:val="00C739A6"/>
    <w:rsid w:val="00CE073C"/>
    <w:rsid w:val="00CF77C1"/>
    <w:rsid w:val="00D204FD"/>
    <w:rsid w:val="00D25E96"/>
    <w:rsid w:val="00D26EC8"/>
    <w:rsid w:val="00D46421"/>
    <w:rsid w:val="00DA140F"/>
    <w:rsid w:val="00DA45FA"/>
    <w:rsid w:val="00E209B4"/>
    <w:rsid w:val="00E5406E"/>
    <w:rsid w:val="00E96647"/>
    <w:rsid w:val="00F6011D"/>
    <w:rsid w:val="00FA7B2D"/>
    <w:rsid w:val="00FB29A5"/>
    <w:rsid w:val="00FC5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084F9"/>
  <w15:docId w15:val="{0A57EC60-019E-A949-BC62-EE02468A4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5ED7"/>
    <w:rPr>
      <w:rFonts w:ascii="Calibri" w:hAnsi="Calibri"/>
    </w:rPr>
  </w:style>
  <w:style w:type="paragraph" w:styleId="Balk1">
    <w:name w:val="heading 1"/>
    <w:basedOn w:val="Normal"/>
    <w:next w:val="GvdeMetni"/>
    <w:link w:val="Balk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GvdeMetni"/>
    <w:link w:val="Balk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GvdeMetni"/>
    <w:link w:val="Balk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GvdeMetni"/>
    <w:link w:val="Balk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GvdeMetni"/>
    <w:link w:val="Balk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GvdeMetni"/>
    <w:link w:val="Balk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GvdeMetni"/>
    <w:link w:val="Balk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GvdeMetni"/>
    <w:link w:val="Balk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GvdeMetni"/>
    <w:link w:val="Balk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pPr>
  </w:style>
  <w:style w:type="paragraph" w:styleId="KonuBal">
    <w:name w:val="Title"/>
    <w:basedOn w:val="Normal"/>
    <w:next w:val="GvdeMetni"/>
    <w:link w:val="KonuBalChar"/>
    <w:uiPriority w:val="10"/>
    <w:qFormat/>
    <w:rsid w:val="00A05ED7"/>
    <w:pPr>
      <w:spacing w:after="80"/>
      <w:contextualSpacing/>
    </w:pPr>
    <w:rPr>
      <w:rFonts w:eastAsiaTheme="majorEastAsia" w:cstheme="majorBidi"/>
      <w:spacing w:val="-10"/>
      <w:kern w:val="28"/>
      <w:sz w:val="56"/>
      <w:szCs w:val="56"/>
    </w:rPr>
  </w:style>
  <w:style w:type="character" w:customStyle="1" w:styleId="KonuBalChar">
    <w:name w:val="Konu Başlığı Char"/>
    <w:basedOn w:val="VarsaylanParagrafYazTipi"/>
    <w:link w:val="KonuBal"/>
    <w:uiPriority w:val="10"/>
    <w:rsid w:val="00A05ED7"/>
    <w:rPr>
      <w:rFonts w:ascii="Calibri" w:eastAsiaTheme="majorEastAsia" w:hAnsi="Calibri" w:cstheme="majorBidi"/>
      <w:spacing w:val="-10"/>
      <w:kern w:val="28"/>
      <w:sz w:val="56"/>
      <w:szCs w:val="56"/>
    </w:rPr>
  </w:style>
  <w:style w:type="paragraph" w:styleId="Altyaz">
    <w:name w:val="Subtitle"/>
    <w:basedOn w:val="KonuBal"/>
    <w:next w:val="GvdeMetni"/>
    <w:link w:val="AltyazChar"/>
    <w:uiPriority w:val="11"/>
    <w:qFormat/>
    <w:rsid w:val="00A05ED7"/>
    <w:pPr>
      <w:numPr>
        <w:ilvl w:val="1"/>
      </w:numPr>
    </w:pPr>
    <w:rPr>
      <w:color w:val="ADADAD" w:themeColor="background2" w:themeShade="BF"/>
      <w:spacing w:val="15"/>
      <w:sz w:val="28"/>
      <w:szCs w:val="28"/>
    </w:rPr>
  </w:style>
  <w:style w:type="character" w:customStyle="1" w:styleId="AltyazChar">
    <w:name w:val="Altyazı Char"/>
    <w:basedOn w:val="VarsaylanParagrafYazTipi"/>
    <w:link w:val="Altyaz"/>
    <w:uiPriority w:val="11"/>
    <w:rsid w:val="00A05ED7"/>
    <w:rPr>
      <w:rFonts w:ascii="Calibri" w:eastAsiaTheme="majorEastAsia" w:hAnsi="Calibri" w:cstheme="majorBidi"/>
      <w:color w:val="ADADAD" w:themeColor="background2" w:themeShade="BF"/>
      <w:spacing w:val="15"/>
      <w:kern w:val="28"/>
      <w:sz w:val="28"/>
      <w:szCs w:val="28"/>
    </w:rPr>
  </w:style>
  <w:style w:type="paragraph" w:customStyle="1" w:styleId="Author">
    <w:name w:val="Author"/>
    <w:next w:val="GvdeMetni"/>
    <w:qFormat/>
    <w:rsid w:val="00A05ED7"/>
    <w:pPr>
      <w:keepNext/>
      <w:keepLines/>
    </w:pPr>
    <w:rPr>
      <w:rFonts w:ascii="Calibri" w:hAnsi="Calibri"/>
    </w:rPr>
  </w:style>
  <w:style w:type="paragraph" w:styleId="Tarih">
    <w:name w:val="Date"/>
    <w:next w:val="GvdeMetni"/>
    <w:qFormat/>
    <w:rsid w:val="00A05ED7"/>
    <w:pPr>
      <w:keepNext/>
      <w:keepLines/>
    </w:pPr>
    <w:rPr>
      <w:rFonts w:ascii="Calibri" w:hAnsi="Calibri"/>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GvdeMetni"/>
    <w:qFormat/>
    <w:pPr>
      <w:keepNext/>
      <w:keepLines/>
      <w:spacing w:before="100" w:after="300"/>
    </w:pPr>
    <w:rPr>
      <w:sz w:val="20"/>
      <w:szCs w:val="20"/>
    </w:rPr>
  </w:style>
  <w:style w:type="paragraph" w:styleId="Kaynaka">
    <w:name w:val="Bibliography"/>
    <w:basedOn w:val="Normal"/>
    <w:link w:val="KaynakaChar"/>
    <w:qFormat/>
  </w:style>
  <w:style w:type="character" w:customStyle="1" w:styleId="Balk1Char">
    <w:name w:val="Başlık 1 Char"/>
    <w:basedOn w:val="VarsaylanParagrafYazTipi"/>
    <w:link w:val="Balk1"/>
    <w:uiPriority w:val="9"/>
    <w:rsid w:val="00A10FD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10FD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10FD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10FD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10F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0F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0F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0FD9"/>
    <w:rPr>
      <w:rFonts w:eastAsiaTheme="majorEastAsia" w:cstheme="majorBidi"/>
      <w:color w:val="272727" w:themeColor="text1" w:themeTint="D8"/>
    </w:rPr>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paragraph" w:customStyle="1" w:styleId="FootnoteBlockText">
    <w:name w:val="Footnote Block Text"/>
    <w:basedOn w:val="DipnotMetni"/>
    <w:next w:val="DipnotMetni"/>
    <w:uiPriority w:val="9"/>
    <w:unhideWhenUsed/>
    <w:qFormat/>
    <w:pPr>
      <w:spacing w:before="100" w:after="100"/>
      <w:ind w:left="480" w:right="480"/>
    </w:pPr>
  </w:style>
  <w:style w:type="table" w:customStyle="1" w:styleId="Table">
    <w:name w:val="Table"/>
    <w:basedOn w:val="NormalTablo"/>
    <w:semiHidden/>
    <w:unhideWhenUsed/>
    <w:qFormat/>
    <w:rsid w:val="009D620D"/>
    <w:tblPr>
      <w:tblStyleRowBandSize w:val="1"/>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Pr>
    <w:tcPr>
      <w:shd w:val="clear" w:color="auto" w:fill="auto"/>
    </w:tcPr>
    <w:tblStylePr w:type="firstRow">
      <w:pPr>
        <w:spacing w:before="0" w:after="0" w:line="240" w:lineRule="auto"/>
      </w:pPr>
      <w:rPr>
        <w:rFonts w:asciiTheme="majorHAnsi" w:eastAsiaTheme="majorEastAsia" w:hAnsiTheme="majorHAnsi" w:cstheme="majorBidi"/>
        <w:b/>
        <w:bCs/>
        <w:color w:val="FFFFFF" w:themeColor="background1"/>
      </w:rPr>
      <w:tblPr>
        <w:jc w:val="left"/>
      </w:tblPr>
      <w:trPr>
        <w:jc w:val="left"/>
      </w:trPr>
      <w:tcPr>
        <w:tcBorders>
          <w:top w:val="single" w:sz="4" w:space="0" w:color="4EA72E" w:themeColor="accent6"/>
          <w:left w:val="single" w:sz="4" w:space="0" w:color="4EA72E" w:themeColor="accent6"/>
          <w:bottom w:val="single" w:sz="0" w:space="0" w:color="auto"/>
          <w:right w:val="single" w:sz="4" w:space="0" w:color="4EA72E" w:themeColor="accent6"/>
          <w:insideH w:val="nil"/>
          <w:insideV w:val="single" w:sz="8" w:space="0" w:color="A02B93" w:themeColor="accent5"/>
        </w:tcBorders>
        <w:shd w:val="clear" w:color="auto" w:fill="4EA72E" w:themeFill="accent6"/>
        <w:vAlign w:val="bottom"/>
      </w:tcPr>
    </w:tblStylePr>
    <w:tblStylePr w:type="lastRow">
      <w:pPr>
        <w:spacing w:before="0" w:after="0" w:line="240" w:lineRule="auto"/>
      </w:pPr>
      <w:rPr>
        <w:rFonts w:asciiTheme="majorHAnsi" w:eastAsiaTheme="majorEastAsia" w:hAnsiTheme="majorHAnsi" w:cstheme="majorBidi"/>
        <w:b w:val="0"/>
        <w:bCs/>
      </w:rPr>
      <w:tblPr/>
      <w:tcPr>
        <w:tcBorders>
          <w:top w:val="nil"/>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shd w:val="clear" w:color="auto" w:fill="F2F2F2" w:themeFill="background1" w:themeFillShade="F2"/>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Consolas" w:hAnsi="Consolas"/>
      <w:sz w:val="22"/>
    </w:rPr>
  </w:style>
  <w:style w:type="character" w:customStyle="1" w:styleId="SectionNumber">
    <w:name w:val="Section Number"/>
    <w:basedOn w:val="ResimYazsChar"/>
  </w:style>
  <w:style w:type="character" w:styleId="DipnotBavurusu">
    <w:name w:val="footnote reference"/>
    <w:basedOn w:val="ResimYazsChar"/>
    <w:rPr>
      <w:vertAlign w:val="superscript"/>
    </w:rPr>
  </w:style>
  <w:style w:type="character" w:styleId="Kpr">
    <w:name w:val="Hyperlink"/>
    <w:basedOn w:val="ResimYazsChar"/>
    <w:rsid w:val="00E209B4"/>
    <w:rPr>
      <w:color w:val="0070C0"/>
    </w:rPr>
  </w:style>
  <w:style w:type="paragraph" w:styleId="TBal">
    <w:name w:val="TOC Heading"/>
    <w:basedOn w:val="Balk1"/>
    <w:next w:val="GvdeMetni"/>
    <w:uiPriority w:val="39"/>
    <w:unhideWhenUsed/>
    <w:qFormat/>
    <w:pPr>
      <w:spacing w:before="240" w:line="259" w:lineRule="auto"/>
      <w:outlineLvl w:val="9"/>
    </w:pPr>
  </w:style>
  <w:style w:type="paragraph" w:styleId="stBilgi">
    <w:name w:val="header"/>
    <w:basedOn w:val="Normal"/>
    <w:link w:val="stBilgiChar"/>
    <w:rsid w:val="002A13D1"/>
    <w:pPr>
      <w:tabs>
        <w:tab w:val="center" w:pos="4513"/>
        <w:tab w:val="right" w:pos="9026"/>
      </w:tabs>
      <w:spacing w:after="0"/>
    </w:pPr>
  </w:style>
  <w:style w:type="character" w:customStyle="1" w:styleId="stBilgiChar">
    <w:name w:val="Üst Bilgi Char"/>
    <w:basedOn w:val="VarsaylanParagrafYazTipi"/>
    <w:link w:val="stBilgi"/>
    <w:rsid w:val="002A13D1"/>
    <w:rPr>
      <w:rFonts w:ascii="Calibri" w:hAnsi="Calibri"/>
    </w:rPr>
  </w:style>
  <w:style w:type="paragraph" w:styleId="AltBilgi">
    <w:name w:val="footer"/>
    <w:basedOn w:val="Normal"/>
    <w:link w:val="AltBilgiChar"/>
    <w:rsid w:val="002A13D1"/>
    <w:pPr>
      <w:tabs>
        <w:tab w:val="center" w:pos="4513"/>
        <w:tab w:val="right" w:pos="9026"/>
      </w:tabs>
      <w:spacing w:after="0"/>
    </w:pPr>
  </w:style>
  <w:style w:type="character" w:customStyle="1" w:styleId="AltBilgiChar">
    <w:name w:val="Alt Bilgi Char"/>
    <w:basedOn w:val="VarsaylanParagrafYazTipi"/>
    <w:link w:val="AltBilgi"/>
    <w:rsid w:val="002A13D1"/>
    <w:rPr>
      <w:rFonts w:ascii="Calibri" w:hAnsi="Calibri"/>
    </w:rPr>
  </w:style>
  <w:style w:type="table" w:styleId="ListeTablo4-Vurgu6">
    <w:name w:val="List Table 4 Accent 6"/>
    <w:basedOn w:val="NormalTablo"/>
    <w:uiPriority w:val="49"/>
    <w:rsid w:val="00E209B4"/>
    <w:pPr>
      <w:spacing w:after="0"/>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AkKlavuz-Vurgu5">
    <w:name w:val="Light Grid Accent 5"/>
    <w:basedOn w:val="NormalTablo"/>
    <w:semiHidden/>
    <w:unhideWhenUsed/>
    <w:rsid w:val="000B6852"/>
    <w:pPr>
      <w:spacing w:after="0"/>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 w:type="character" w:styleId="zlenenKpr">
    <w:name w:val="FollowedHyperlink"/>
    <w:basedOn w:val="VarsaylanParagrafYazTipi"/>
    <w:rsid w:val="000D4A3F"/>
    <w:rPr>
      <w:color w:val="96607D" w:themeColor="followedHyperlink"/>
      <w:u w:val="single"/>
    </w:rPr>
  </w:style>
  <w:style w:type="character" w:customStyle="1" w:styleId="KaynakaChar">
    <w:name w:val="Kaynakça   Char"/>
    <w:basedOn w:val="VarsaylanParagrafYazTipi"/>
    <w:link w:val="Kaynaka"/>
    <w:rsid w:val="0050734A"/>
    <w:rPr>
      <w:rFonts w:ascii="Calibri" w:hAnsi="Calibri"/>
    </w:rPr>
  </w:style>
  <w:style w:type="character" w:customStyle="1" w:styleId="EndNoteBibliographyTitleChar">
    <w:name w:val="EndNote Bibliography Title Char"/>
    <w:basedOn w:val="KaynakaChar"/>
    <w:rsid w:val="0050734A"/>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ources.equator-network.org/reporting-guidelines/strobe/items/background-rationale.html?utm_source=strobe&amp;utm_medium=checklist&amp;utm_campaign=1_1" TargetMode="External"/><Relationship Id="rId18" Type="http://schemas.openxmlformats.org/officeDocument/2006/relationships/hyperlink" Target="https:/resources.equator-network.org/reporting-guidelines/strobe/items/matching-criteria.html?utm_source=strobe&amp;utm_medium=checklist&amp;utm_campaign=1_1" TargetMode="External"/><Relationship Id="rId26" Type="http://schemas.openxmlformats.org/officeDocument/2006/relationships/hyperlink" Target="https:/resources.equator-network.org/reporting-guidelines/strobe/items/statistical-methods-missing-data.html?utm_source=strobe&amp;utm_medium=checklist&amp;utm_campaign=1_1" TargetMode="External"/><Relationship Id="rId39" Type="http://schemas.openxmlformats.org/officeDocument/2006/relationships/hyperlink" Target="https:/resources.equator-network.org/reporting-guidelines/strobe/items/main-results-category-boundaries.html?utm_source=strobe&amp;utm_medium=checklist&amp;utm_campaign=1_1" TargetMode="External"/><Relationship Id="rId21" Type="http://schemas.openxmlformats.org/officeDocument/2006/relationships/hyperlink" Target="https:/resources.equator-network.org/reporting-guidelines/strobe/items/bias.html?utm_source=strobe&amp;utm_medium=checklist&amp;utm_campaign=1_1" TargetMode="External"/><Relationship Id="rId34" Type="http://schemas.openxmlformats.org/officeDocument/2006/relationships/hyperlink" Target="https:/resources.equator-network.org/reporting-guidelines/strobe/items/descriptive-data-participant-characteristics.html?utm_source=strobe&amp;utm_medium=checklist&amp;utm_campaign=1_1" TargetMode="External"/><Relationship Id="rId42" Type="http://schemas.openxmlformats.org/officeDocument/2006/relationships/hyperlink" Target="https:/resources.equator-network.org/reporting-guidelines/strobe/items/key-results.html?utm_source=strobe&amp;utm_medium=checklist&amp;utm_campaign=1_1" TargetMode="External"/><Relationship Id="rId47" Type="http://schemas.openxmlformats.org/officeDocument/2006/relationships/hyperlink" Target="https://www.acpjournals.org/doi/10.7326/0003-4819-147-8-200710160-00010" TargetMode="Externa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resources.equator-network.org/reporting-guidelines/strobe/items/setting.html?utm_source=strobe&amp;utm_medium=checklist&amp;utm_campaign=1_1" TargetMode="External"/><Relationship Id="rId29" Type="http://schemas.openxmlformats.org/officeDocument/2006/relationships/hyperlink" Target="https:/resources.equator-network.org/reporting-guidelines/strobe/items/statistical-methods-analytical-methods-sampling-strategy.html?utm_source=strobe&amp;utm_medium=checklist&amp;utm_campaign=1_1" TargetMode="External"/><Relationship Id="rId11" Type="http://schemas.openxmlformats.org/officeDocument/2006/relationships/hyperlink" Target="https:/resources.equator-network.org/reporting-guidelines/strobe/items/title-abstract-indicate-study-design.html?utm_source=strobe&amp;utm_medium=checklist&amp;utm_campaign=1_1" TargetMode="External"/><Relationship Id="rId24" Type="http://schemas.openxmlformats.org/officeDocument/2006/relationships/hyperlink" Target="https:/resources.equator-network.org/reporting-guidelines/strobe/items/statistical-methods-description.html?utm_source=strobe&amp;utm_medium=checklist&amp;utm_campaign=1_1" TargetMode="External"/><Relationship Id="rId32" Type="http://schemas.openxmlformats.org/officeDocument/2006/relationships/hyperlink" Target="https:/resources.equator-network.org/reporting-guidelines/strobe/items/participants-non-participation.html?utm_source=strobe&amp;utm_medium=checklist&amp;utm_campaign=1_1" TargetMode="External"/><Relationship Id="rId37" Type="http://schemas.openxmlformats.org/officeDocument/2006/relationships/hyperlink" Target="https:/resources.equator-network.org/reporting-guidelines/strobe/items/outcome-data.html?utm_source=strobe&amp;utm_medium=checklist&amp;utm_campaign=1_1" TargetMode="External"/><Relationship Id="rId40" Type="http://schemas.openxmlformats.org/officeDocument/2006/relationships/hyperlink" Target="https:/resources.equator-network.org/reporting-guidelines/strobe/items/main-results-risk.html?utm_source=strobe&amp;utm_medium=checklist&amp;utm_campaign=1_1" TargetMode="External"/><Relationship Id="rId45" Type="http://schemas.openxmlformats.org/officeDocument/2006/relationships/hyperlink" Target="https:/resources.equator-network.org/reporting-guidelines/strobe/items/generalisability.html?utm_source=strobe&amp;utm_medium=checklist&amp;utm_campaign=1_1" TargetMode="External"/><Relationship Id="rId5" Type="http://schemas.openxmlformats.org/officeDocument/2006/relationships/footnotes" Target="footnotes.xml"/><Relationship Id="rId15" Type="http://schemas.openxmlformats.org/officeDocument/2006/relationships/hyperlink" Target="https:/resources.equator-network.org/reporting-guidelines/strobe/items/study-design.html?utm_source=strobe&amp;utm_medium=checklist&amp;utm_campaign=1_1" TargetMode="External"/><Relationship Id="rId23" Type="http://schemas.openxmlformats.org/officeDocument/2006/relationships/hyperlink" Target="https:/resources.equator-network.org/reporting-guidelines/strobe/items/quantitative-variables.html?utm_source=strobe&amp;utm_medium=checklist&amp;utm_campaign=1_1" TargetMode="External"/><Relationship Id="rId28" Type="http://schemas.openxmlformats.org/officeDocument/2006/relationships/hyperlink" Target="https:/resources.equator-network.org/reporting-guidelines/strobe/items/statistical-methods-matching-cases-controls.html?utm_source=strobe&amp;utm_medium=checklist&amp;utm_campaign=1_1" TargetMode="External"/><Relationship Id="rId36" Type="http://schemas.openxmlformats.org/officeDocument/2006/relationships/hyperlink" Target="https:/resources.equator-network.org/reporting-guidelines/strobe/items/descriptive-data-follow-up-time.html?utm_source=strobe&amp;utm_medium=checklist&amp;utm_campaign=1_1" TargetMode="External"/><Relationship Id="rId49" Type="http://schemas.openxmlformats.org/officeDocument/2006/relationships/header" Target="header1.xml"/><Relationship Id="rId10" Type="http://schemas.openxmlformats.org/officeDocument/2006/relationships/hyperlink" Target="https:/resources.equator-network.org/reporting-guidelines/strobe/index.html" TargetMode="External"/><Relationship Id="rId19" Type="http://schemas.openxmlformats.org/officeDocument/2006/relationships/hyperlink" Target="https:/resources.equator-network.org/reporting-guidelines/strobe/items/variables.html?utm_source=strobe&amp;utm_medium=checklist&amp;utm_campaign=1_1" TargetMode="External"/><Relationship Id="rId31" Type="http://schemas.openxmlformats.org/officeDocument/2006/relationships/hyperlink" Target="https:/resources.equator-network.org/reporting-guidelines/strobe/items/participants-numbers.html?utm_source=strobe&amp;utm_medium=checklist&amp;utm_campaign=1_1" TargetMode="External"/><Relationship Id="rId44" Type="http://schemas.openxmlformats.org/officeDocument/2006/relationships/hyperlink" Target="https:/resources.equator-network.org/reporting-guidelines/strobe/items/interpretation.html?utm_source=strobe&amp;utm_medium=checklist&amp;utm_campaign=1_1" TargetMode="External"/><Relationship Id="rId4" Type="http://schemas.openxmlformats.org/officeDocument/2006/relationships/webSettings" Target="webSettings.xml"/><Relationship Id="rId9" Type="http://schemas.openxmlformats.org/officeDocument/2006/relationships/hyperlink" Target="https:/resources.equator-network.org/reporting-guidelines/strobe/index.html?" TargetMode="External"/><Relationship Id="rId14" Type="http://schemas.openxmlformats.org/officeDocument/2006/relationships/hyperlink" Target="https:/resources.equator-network.org/reporting-guidelines/strobe/items/objectives.html?utm_source=strobe&amp;utm_medium=checklist&amp;utm_campaign=1_1" TargetMode="External"/><Relationship Id="rId22" Type="http://schemas.openxmlformats.org/officeDocument/2006/relationships/hyperlink" Target="https:/resources.equator-network.org/reporting-guidelines/strobe/items/study-size.html?utm_source=strobe&amp;utm_medium=checklist&amp;utm_campaign=1_1" TargetMode="External"/><Relationship Id="rId27" Type="http://schemas.openxmlformats.org/officeDocument/2006/relationships/hyperlink" Target="https:/resources.equator-network.org/reporting-guidelines/strobe/items/statistical-methods-loss-to-follow-up.html?utm_source=strobe&amp;utm_medium=checklist&amp;utm_campaign=1_1" TargetMode="External"/><Relationship Id="rId30" Type="http://schemas.openxmlformats.org/officeDocument/2006/relationships/hyperlink" Target="https:/resources.equator-network.org/reporting-guidelines/strobe/items/statistical-methods-sensitivity-analyses.html?utm_source=strobe&amp;utm_medium=checklist&amp;utm_campaign=1_1" TargetMode="External"/><Relationship Id="rId35" Type="http://schemas.openxmlformats.org/officeDocument/2006/relationships/hyperlink" Target="https:/resources.equator-network.org/reporting-guidelines/strobe/items/descriptive-data-missing-data.html?utm_source=strobe&amp;utm_medium=checklist&amp;utm_campaign=1_1" TargetMode="External"/><Relationship Id="rId43" Type="http://schemas.openxmlformats.org/officeDocument/2006/relationships/hyperlink" Target="https:/resources.equator-network.org/reporting-guidelines/strobe/items/limitations.html?utm_source=strobe&amp;utm_medium=checklist&amp;utm_campaign=1_1" TargetMode="External"/><Relationship Id="rId48" Type="http://schemas.openxmlformats.org/officeDocument/2006/relationships/hyperlink" Target="https://https:/resources.equator-network.org/reporting-guidelines/strobe/strobe-checklist.docx" TargetMode="External"/><Relationship Id="rId8" Type="http://schemas.openxmlformats.org/officeDocument/2006/relationships/hyperlink" Target="https:/resources.equator-network.org/about/reporting-guidelines.html"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resources.equator-network.org/reporting-guidelines/strobe/items/abstract.html?utm_source=strobe&amp;utm_medium=checklist&amp;utm_campaign=1_1" TargetMode="External"/><Relationship Id="rId17" Type="http://schemas.openxmlformats.org/officeDocument/2006/relationships/hyperlink" Target="https:/resources.equator-network.org/reporting-guidelines/strobe/items/eligibility-criteria.html?utm_source=strobe&amp;utm_medium=checklist&amp;utm_campaign=1_1" TargetMode="External"/><Relationship Id="rId25" Type="http://schemas.openxmlformats.org/officeDocument/2006/relationships/hyperlink" Target="https:/resources.equator-network.org/reporting-guidelines/strobe/items/statistical-methods-subgroups-interactions.html?utm_source=strobe&amp;utm_medium=checklist&amp;utm_campaign=1_1" TargetMode="External"/><Relationship Id="rId33" Type="http://schemas.openxmlformats.org/officeDocument/2006/relationships/hyperlink" Target="https:/resources.equator-network.org/reporting-guidelines/strobe/items/participants-flow-diagram.html?utm_source=strobe&amp;utm_medium=checklist&amp;utm_campaign=1_1" TargetMode="External"/><Relationship Id="rId38" Type="http://schemas.openxmlformats.org/officeDocument/2006/relationships/hyperlink" Target="https:/resources.equator-network.org/reporting-guidelines/strobe/items/main-results.html?utm_source=strobe&amp;utm_medium=checklist&amp;utm_campaign=1_1" TargetMode="External"/><Relationship Id="rId46" Type="http://schemas.openxmlformats.org/officeDocument/2006/relationships/hyperlink" Target="https:/resources.equator-network.org/reporting-guidelines/strobe/items/funding.html?utm_source=strobe&amp;utm_medium=checklist&amp;utm_campaign=1_1" TargetMode="External"/><Relationship Id="rId20" Type="http://schemas.openxmlformats.org/officeDocument/2006/relationships/hyperlink" Target="https:/resources.equator-network.org/reporting-guidelines/strobe/items/data-sources-measurement.html?utm_source=strobe&amp;utm_medium=checklist&amp;utm_campaign=1_1" TargetMode="External"/><Relationship Id="rId41" Type="http://schemas.openxmlformats.org/officeDocument/2006/relationships/hyperlink" Target="https:/resources.equator-network.org/reporting-guidelines/strobe/items/other-analyses.html?utm_source=strobe&amp;utm_medium=checklist&amp;utm_campaign=1_1"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2096</Words>
  <Characters>13427</Characters>
  <Application>Microsoft Office Word</Application>
  <DocSecurity>0</DocSecurity>
  <Lines>530</Lines>
  <Paragraphs>138</Paragraphs>
  <ScaleCrop>false</ScaleCrop>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STROBE reporting checklist</dc:title>
  <dc:creator>Sahin, Mehmet H</dc:creator>
  <cp:keywords/>
  <cp:lastModifiedBy>Sahin, Mehmet H</cp:lastModifiedBy>
  <cp:revision>35</cp:revision>
  <dcterms:created xsi:type="dcterms:W3CDTF">2026-02-07T07:09:00Z</dcterms:created>
  <dcterms:modified xsi:type="dcterms:W3CDTF">2026-06-02T05:14:00Z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STROBE</vt:lpwstr>
  </property>
  <property fmtid="{D5CDD505-2E9C-101B-9397-08002B2CF9AE}" pid="4" name="acronym-definition">
    <vt:lpwstr>Strengthening the Reporting of Observational Studies in Epidemiology</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Erik Elm, Douglas G. Altman, Matthias Egger, Stuart J. Pocock, Peter C. Gøtzsche, Jan P. Vandenbroucke, for the STROBE Initiative</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rossref">
    <vt:lpwstr/>
  </property>
  <property fmtid="{D5CDD505-2E9C-101B-9397-08002B2CF9AE}" pid="13" name="csl">
    <vt:lpwstr>../../vancouver.csl</vt:lpwstr>
  </property>
  <property fmtid="{D5CDD505-2E9C-101B-9397-08002B2CF9AE}" pid="14" name="execute">
    <vt:lpwstr/>
  </property>
  <property fmtid="{D5CDD505-2E9C-101B-9397-08002B2CF9AE}" pid="15" name="footer">
    <vt:lpwstr>none</vt:lpwstr>
  </property>
  <property fmtid="{D5CDD505-2E9C-101B-9397-08002B2CF9AE}" pid="16" name="for-writing">
    <vt:lpwstr>observational epidemiology research articles</vt:lpwstr>
  </property>
  <property fmtid="{D5CDD505-2E9C-101B-9397-08002B2CF9AE}" pid="17" name="google-scholar">
    <vt:lpwstr>True</vt:lpwstr>
  </property>
  <property fmtid="{D5CDD505-2E9C-101B-9397-08002B2CF9AE}" pid="18" name="header-includes">
    <vt:lpwstr/>
  </property>
  <property fmtid="{D5CDD505-2E9C-101B-9397-08002B2CF9AE}" pid="19" name="id">
    <vt:lpwstr>strobe</vt:lpwstr>
  </property>
  <property fmtid="{D5CDD505-2E9C-101B-9397-08002B2CF9AE}" pid="20" name="include-after">
    <vt:lpwstr/>
  </property>
  <property fmtid="{D5CDD505-2E9C-101B-9397-08002B2CF9AE}" pid="21" name="include-before">
    <vt:lpwstr/>
  </property>
  <property fmtid="{D5CDD505-2E9C-101B-9397-08002B2CF9AE}" pid="22" name="items">
    <vt:lpwstr/>
  </property>
  <property fmtid="{D5CDD505-2E9C-101B-9397-08002B2CF9AE}" pid="23" name="journal-endorsement-count">
    <vt:lpwstr>300+</vt:lpwstr>
  </property>
  <property fmtid="{D5CDD505-2E9C-101B-9397-08002B2CF9AE}" pid="24" name="labels">
    <vt:lpwstr/>
  </property>
  <property fmtid="{D5CDD505-2E9C-101B-9397-08002B2CF9AE}" pid="25" name="license">
    <vt:lpwstr/>
  </property>
  <property fmtid="{D5CDD505-2E9C-101B-9397-08002B2CF9AE}" pid="26" name="paths">
    <vt:lpwstr/>
  </property>
  <property fmtid="{D5CDD505-2E9C-101B-9397-08002B2CF9AE}" pid="27" name="search">
    <vt:lpwstr>False</vt:lpwstr>
  </property>
  <property fmtid="{D5CDD505-2E9C-101B-9397-08002B2CF9AE}" pid="28" name="smooth-scroll">
    <vt:lpwstr>True</vt:lpwstr>
  </property>
  <property fmtid="{D5CDD505-2E9C-101B-9397-08002B2CF9AE}" pid="29" name="subtitle">
    <vt:lpwstr>For checking that observational epidemiology research articles can be understood and used by everyone</vt:lpwstr>
  </property>
  <property fmtid="{D5CDD505-2E9C-101B-9397-08002B2CF9AE}" pid="30" name="toc-title">
    <vt:lpwstr>Table of contents</vt:lpwstr>
  </property>
  <property fmtid="{D5CDD505-2E9C-101B-9397-08002B2CF9AE}" pid="31" name="translations">
    <vt:lpwstr/>
  </property>
  <property fmtid="{D5CDD505-2E9C-101B-9397-08002B2CF9AE}" pid="32" name="utm_campaign">
    <vt:lpwstr>1.1</vt:lpwstr>
  </property>
  <property fmtid="{D5CDD505-2E9C-101B-9397-08002B2CF9AE}" pid="33" name="version">
    <vt:lpwstr>1.1</vt:lpwstr>
  </property>
</Properties>
</file>