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CDC89" w14:textId="77777777" w:rsidR="004D6E8A" w:rsidRPr="004D6E8A" w:rsidRDefault="004D6E8A" w:rsidP="00470A86">
      <w:pPr>
        <w:widowControl w:val="0"/>
        <w:spacing w:after="0" w:line="360" w:lineRule="auto"/>
        <w:jc w:val="both"/>
        <w:rPr>
          <w:rFonts w:ascii="Times New Roman" w:eastAsia="ＭＳ ゴシック" w:hAnsi="Times New Roman" w:cs="Times New Roman"/>
          <w:snapToGrid w:val="0"/>
          <w:kern w:val="2"/>
          <w:sz w:val="24"/>
          <w:szCs w:val="24"/>
        </w:rPr>
      </w:pPr>
      <w:r w:rsidRPr="004D6E8A">
        <w:rPr>
          <w:rFonts w:ascii="Times New Roman" w:eastAsia="ＭＳ ゴシック" w:hAnsi="Times New Roman" w:cs="Times New Roman"/>
          <w:snapToGrid w:val="0"/>
          <w:kern w:val="2"/>
          <w:sz w:val="24"/>
          <w:szCs w:val="24"/>
        </w:rPr>
        <w:t>S</w:t>
      </w:r>
      <w:r w:rsidRPr="004D6E8A">
        <w:rPr>
          <w:rFonts w:ascii="Times New Roman" w:eastAsia="ＭＳ ゴシック" w:hAnsi="Times New Roman" w:cs="Times New Roman" w:hint="eastAsia"/>
          <w:snapToGrid w:val="0"/>
          <w:kern w:val="2"/>
          <w:sz w:val="24"/>
          <w:szCs w:val="24"/>
        </w:rPr>
        <w:t>u</w:t>
      </w:r>
      <w:r w:rsidRPr="004D6E8A">
        <w:rPr>
          <w:rFonts w:ascii="Times New Roman" w:eastAsia="ＭＳ ゴシック" w:hAnsi="Times New Roman" w:cs="Times New Roman"/>
          <w:snapToGrid w:val="0"/>
          <w:kern w:val="2"/>
          <w:sz w:val="24"/>
          <w:szCs w:val="24"/>
        </w:rPr>
        <w:t>pplemental materials</w:t>
      </w:r>
    </w:p>
    <w:p w14:paraId="0D355B79" w14:textId="77777777" w:rsidR="004D6E8A" w:rsidRPr="004D6E8A" w:rsidRDefault="004D6E8A" w:rsidP="00470A86">
      <w:pPr>
        <w:widowControl w:val="0"/>
        <w:spacing w:after="0" w:line="360" w:lineRule="auto"/>
        <w:jc w:val="both"/>
        <w:rPr>
          <w:rFonts w:ascii="Times New Roman" w:eastAsia="ＭＳ ゴシック" w:hAnsi="Times New Roman" w:cs="Times New Roman"/>
          <w:b/>
          <w:bCs/>
          <w:snapToGrid w:val="0"/>
          <w:kern w:val="2"/>
          <w:sz w:val="24"/>
          <w:szCs w:val="24"/>
        </w:rPr>
      </w:pPr>
      <w:r w:rsidRPr="004D6E8A">
        <w:rPr>
          <w:rFonts w:ascii="Times New Roman" w:eastAsia="ＭＳ ゴシック" w:hAnsi="Times New Roman" w:cs="Times New Roman" w:hint="eastAsia"/>
          <w:b/>
          <w:bCs/>
          <w:snapToGrid w:val="0"/>
          <w:kern w:val="2"/>
          <w:sz w:val="24"/>
          <w:szCs w:val="24"/>
        </w:rPr>
        <w:t>T</w:t>
      </w:r>
      <w:r w:rsidRPr="004D6E8A">
        <w:rPr>
          <w:rFonts w:ascii="Times New Roman" w:eastAsia="ＭＳ ゴシック" w:hAnsi="Times New Roman" w:cs="Times New Roman"/>
          <w:b/>
          <w:bCs/>
          <w:snapToGrid w:val="0"/>
          <w:kern w:val="2"/>
          <w:sz w:val="24"/>
          <w:szCs w:val="24"/>
        </w:rPr>
        <w:t xml:space="preserve">able S1. </w:t>
      </w:r>
      <w:r w:rsidRPr="004D6E8A">
        <w:rPr>
          <w:rFonts w:ascii="Times New Roman" w:eastAsia="ＭＳ ゴシック" w:hAnsi="Times New Roman" w:cs="Times New Roman"/>
          <w:b/>
          <w:bCs/>
          <w:iCs/>
          <w:snapToGrid w:val="0"/>
          <w:kern w:val="2"/>
          <w:sz w:val="24"/>
          <w:szCs w:val="24"/>
        </w:rPr>
        <w:t>TRK activity of amino acid alteration by NTRK gene alteration</w:t>
      </w:r>
    </w:p>
    <w:tbl>
      <w:tblPr>
        <w:tblStyle w:val="a3"/>
        <w:tblW w:w="8648" w:type="dxa"/>
        <w:tblLook w:val="04A0" w:firstRow="1" w:lastRow="0" w:firstColumn="1" w:lastColumn="0" w:noHBand="0" w:noVBand="1"/>
      </w:tblPr>
      <w:tblGrid>
        <w:gridCol w:w="1858"/>
        <w:gridCol w:w="1858"/>
        <w:gridCol w:w="2494"/>
        <w:gridCol w:w="2438"/>
      </w:tblGrid>
      <w:tr w:rsidR="004D6E8A" w:rsidRPr="004D6E8A" w14:paraId="6AA1B81E" w14:textId="77777777" w:rsidTr="00470A86">
        <w:trPr>
          <w:trHeight w:val="596"/>
        </w:trPr>
        <w:tc>
          <w:tcPr>
            <w:tcW w:w="1858" w:type="dxa"/>
            <w:shd w:val="clear" w:color="auto" w:fill="BFBFBF"/>
            <w:vAlign w:val="center"/>
            <w:hideMark/>
          </w:tcPr>
          <w:p w14:paraId="5302F36B"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NTRK</w:t>
            </w:r>
          </w:p>
        </w:tc>
        <w:tc>
          <w:tcPr>
            <w:tcW w:w="1858" w:type="dxa"/>
            <w:shd w:val="clear" w:color="auto" w:fill="BFBFBF"/>
            <w:vAlign w:val="center"/>
            <w:hideMark/>
          </w:tcPr>
          <w:p w14:paraId="33412E22"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Tumor</w:t>
            </w:r>
          </w:p>
        </w:tc>
        <w:tc>
          <w:tcPr>
            <w:tcW w:w="2494" w:type="dxa"/>
            <w:shd w:val="clear" w:color="auto" w:fill="BFBFBF"/>
            <w:vAlign w:val="center"/>
            <w:hideMark/>
          </w:tcPr>
          <w:p w14:paraId="66939528"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Amino acid alteration</w:t>
            </w:r>
          </w:p>
        </w:tc>
        <w:tc>
          <w:tcPr>
            <w:tcW w:w="2438" w:type="dxa"/>
            <w:shd w:val="clear" w:color="auto" w:fill="BFBFBF"/>
            <w:vAlign w:val="center"/>
            <w:hideMark/>
          </w:tcPr>
          <w:p w14:paraId="46CE1252"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TRK kinase activity</w:t>
            </w:r>
          </w:p>
        </w:tc>
      </w:tr>
      <w:tr w:rsidR="004D6E8A" w:rsidRPr="004D6E8A" w14:paraId="4CE685F5" w14:textId="77777777" w:rsidTr="00470A86">
        <w:trPr>
          <w:trHeight w:val="596"/>
        </w:trPr>
        <w:tc>
          <w:tcPr>
            <w:tcW w:w="1858" w:type="dxa"/>
            <w:vMerge w:val="restart"/>
            <w:hideMark/>
          </w:tcPr>
          <w:p w14:paraId="5921390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NTRK1</w:t>
            </w:r>
          </w:p>
        </w:tc>
        <w:tc>
          <w:tcPr>
            <w:tcW w:w="1858" w:type="dxa"/>
            <w:vMerge w:val="restart"/>
            <w:hideMark/>
          </w:tcPr>
          <w:p w14:paraId="6A96A5F9"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Malignant melanoma</w:t>
            </w:r>
          </w:p>
        </w:tc>
        <w:tc>
          <w:tcPr>
            <w:tcW w:w="2494" w:type="dxa"/>
            <w:hideMark/>
          </w:tcPr>
          <w:p w14:paraId="306A442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M379I</w:t>
            </w:r>
          </w:p>
        </w:tc>
        <w:tc>
          <w:tcPr>
            <w:tcW w:w="2438" w:type="dxa"/>
            <w:hideMark/>
          </w:tcPr>
          <w:p w14:paraId="77C49DCC"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Similar with wild-type</w:t>
            </w:r>
          </w:p>
        </w:tc>
      </w:tr>
      <w:tr w:rsidR="004D6E8A" w:rsidRPr="004D6E8A" w14:paraId="3CB1B078" w14:textId="77777777" w:rsidTr="00470A86">
        <w:trPr>
          <w:trHeight w:val="596"/>
        </w:trPr>
        <w:tc>
          <w:tcPr>
            <w:tcW w:w="0" w:type="auto"/>
            <w:vMerge/>
            <w:hideMark/>
          </w:tcPr>
          <w:p w14:paraId="42ADE2B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0" w:type="auto"/>
            <w:vMerge/>
            <w:hideMark/>
          </w:tcPr>
          <w:p w14:paraId="23E06B9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2494" w:type="dxa"/>
            <w:hideMark/>
          </w:tcPr>
          <w:p w14:paraId="738C4E2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R577G</w:t>
            </w:r>
          </w:p>
        </w:tc>
        <w:tc>
          <w:tcPr>
            <w:tcW w:w="2438" w:type="dxa"/>
            <w:hideMark/>
          </w:tcPr>
          <w:p w14:paraId="689F2740"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Similar with wild-type</w:t>
            </w:r>
          </w:p>
        </w:tc>
      </w:tr>
      <w:tr w:rsidR="004D6E8A" w:rsidRPr="004D6E8A" w14:paraId="57B370D9" w14:textId="77777777" w:rsidTr="00470A86">
        <w:trPr>
          <w:trHeight w:val="596"/>
        </w:trPr>
        <w:tc>
          <w:tcPr>
            <w:tcW w:w="1858" w:type="dxa"/>
            <w:vMerge w:val="restart"/>
            <w:hideMark/>
          </w:tcPr>
          <w:p w14:paraId="07CBCCDB"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b/>
                <w:bCs/>
                <w:snapToGrid w:val="0"/>
                <w:sz w:val="24"/>
                <w:szCs w:val="24"/>
              </w:rPr>
              <w:t>NTRK2</w:t>
            </w:r>
          </w:p>
        </w:tc>
        <w:tc>
          <w:tcPr>
            <w:tcW w:w="1858" w:type="dxa"/>
            <w:vMerge w:val="restart"/>
            <w:hideMark/>
          </w:tcPr>
          <w:p w14:paraId="307E983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Colorectal cancer</w:t>
            </w:r>
          </w:p>
        </w:tc>
        <w:tc>
          <w:tcPr>
            <w:tcW w:w="2494" w:type="dxa"/>
            <w:hideMark/>
          </w:tcPr>
          <w:p w14:paraId="03A17735"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T695I</w:t>
            </w:r>
          </w:p>
        </w:tc>
        <w:tc>
          <w:tcPr>
            <w:tcW w:w="2438" w:type="dxa"/>
            <w:hideMark/>
          </w:tcPr>
          <w:p w14:paraId="6466D2D7"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reduced activity</w:t>
            </w:r>
          </w:p>
        </w:tc>
      </w:tr>
      <w:tr w:rsidR="004D6E8A" w:rsidRPr="004D6E8A" w14:paraId="1DDCB6F1" w14:textId="77777777" w:rsidTr="00470A86">
        <w:trPr>
          <w:trHeight w:val="596"/>
        </w:trPr>
        <w:tc>
          <w:tcPr>
            <w:tcW w:w="0" w:type="auto"/>
            <w:vMerge/>
            <w:hideMark/>
          </w:tcPr>
          <w:p w14:paraId="19FD208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0" w:type="auto"/>
            <w:vMerge/>
            <w:hideMark/>
          </w:tcPr>
          <w:p w14:paraId="1ED4CF6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2494" w:type="dxa"/>
            <w:hideMark/>
          </w:tcPr>
          <w:p w14:paraId="65247FE6"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D751N</w:t>
            </w:r>
          </w:p>
        </w:tc>
        <w:tc>
          <w:tcPr>
            <w:tcW w:w="2438" w:type="dxa"/>
            <w:hideMark/>
          </w:tcPr>
          <w:p w14:paraId="444B7538"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reduced activity</w:t>
            </w:r>
          </w:p>
        </w:tc>
      </w:tr>
      <w:tr w:rsidR="004D6E8A" w:rsidRPr="004D6E8A" w14:paraId="6426778C" w14:textId="77777777" w:rsidTr="00470A86">
        <w:trPr>
          <w:trHeight w:val="596"/>
        </w:trPr>
        <w:tc>
          <w:tcPr>
            <w:tcW w:w="0" w:type="auto"/>
            <w:vMerge/>
            <w:hideMark/>
          </w:tcPr>
          <w:p w14:paraId="37630DF9"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1858" w:type="dxa"/>
            <w:hideMark/>
          </w:tcPr>
          <w:p w14:paraId="6E1BDBCD"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Lung cancer</w:t>
            </w:r>
          </w:p>
        </w:tc>
        <w:tc>
          <w:tcPr>
            <w:tcW w:w="2494" w:type="dxa"/>
            <w:hideMark/>
          </w:tcPr>
          <w:p w14:paraId="3DCC393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L138F</w:t>
            </w:r>
          </w:p>
        </w:tc>
        <w:tc>
          <w:tcPr>
            <w:tcW w:w="2438" w:type="dxa"/>
            <w:hideMark/>
          </w:tcPr>
          <w:p w14:paraId="5EBBC2A1"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Similar with wild-type</w:t>
            </w:r>
          </w:p>
        </w:tc>
      </w:tr>
      <w:tr w:rsidR="004D6E8A" w:rsidRPr="004D6E8A" w14:paraId="60A893BF" w14:textId="77777777" w:rsidTr="00470A86">
        <w:trPr>
          <w:trHeight w:val="596"/>
        </w:trPr>
        <w:tc>
          <w:tcPr>
            <w:tcW w:w="0" w:type="auto"/>
            <w:vMerge/>
            <w:hideMark/>
          </w:tcPr>
          <w:p w14:paraId="32C526A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1858" w:type="dxa"/>
            <w:hideMark/>
          </w:tcPr>
          <w:p w14:paraId="5067B02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Malignant melanoma</w:t>
            </w:r>
          </w:p>
        </w:tc>
        <w:tc>
          <w:tcPr>
            <w:tcW w:w="2494" w:type="dxa"/>
            <w:hideMark/>
          </w:tcPr>
          <w:p w14:paraId="34DC99F6"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P507L</w:t>
            </w:r>
          </w:p>
        </w:tc>
        <w:tc>
          <w:tcPr>
            <w:tcW w:w="2438" w:type="dxa"/>
            <w:hideMark/>
          </w:tcPr>
          <w:p w14:paraId="0E0B4025"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Similar with wild-type</w:t>
            </w:r>
          </w:p>
        </w:tc>
      </w:tr>
      <w:tr w:rsidR="004D6E8A" w:rsidRPr="004D6E8A" w14:paraId="2454B08E" w14:textId="77777777" w:rsidTr="00470A86">
        <w:trPr>
          <w:trHeight w:val="596"/>
        </w:trPr>
        <w:tc>
          <w:tcPr>
            <w:tcW w:w="0" w:type="auto"/>
            <w:vMerge/>
            <w:hideMark/>
          </w:tcPr>
          <w:p w14:paraId="3E38EB1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1858" w:type="dxa"/>
            <w:vMerge w:val="restart"/>
            <w:hideMark/>
          </w:tcPr>
          <w:p w14:paraId="289FAFF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Lung cancer</w:t>
            </w:r>
          </w:p>
        </w:tc>
        <w:tc>
          <w:tcPr>
            <w:tcW w:w="2494" w:type="dxa"/>
            <w:hideMark/>
          </w:tcPr>
          <w:p w14:paraId="112F669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M713I</w:t>
            </w:r>
          </w:p>
        </w:tc>
        <w:tc>
          <w:tcPr>
            <w:tcW w:w="2438" w:type="dxa"/>
            <w:hideMark/>
          </w:tcPr>
          <w:p w14:paraId="627E5A22"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reduced activity</w:t>
            </w:r>
          </w:p>
        </w:tc>
      </w:tr>
      <w:tr w:rsidR="004D6E8A" w:rsidRPr="004D6E8A" w14:paraId="5C8311EE" w14:textId="77777777" w:rsidTr="00470A86">
        <w:trPr>
          <w:trHeight w:val="596"/>
        </w:trPr>
        <w:tc>
          <w:tcPr>
            <w:tcW w:w="0" w:type="auto"/>
            <w:vMerge/>
            <w:hideMark/>
          </w:tcPr>
          <w:p w14:paraId="6006082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0" w:type="auto"/>
            <w:vMerge/>
            <w:hideMark/>
          </w:tcPr>
          <w:p w14:paraId="6272E44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2494" w:type="dxa"/>
            <w:hideMark/>
          </w:tcPr>
          <w:p w14:paraId="6CAD6A0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R715G</w:t>
            </w:r>
          </w:p>
        </w:tc>
        <w:tc>
          <w:tcPr>
            <w:tcW w:w="2438" w:type="dxa"/>
            <w:hideMark/>
          </w:tcPr>
          <w:p w14:paraId="53C8E196"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reduced activity</w:t>
            </w:r>
          </w:p>
        </w:tc>
      </w:tr>
      <w:tr w:rsidR="004D6E8A" w:rsidRPr="004D6E8A" w14:paraId="636583F2" w14:textId="77777777" w:rsidTr="00470A86">
        <w:trPr>
          <w:trHeight w:val="596"/>
        </w:trPr>
        <w:tc>
          <w:tcPr>
            <w:tcW w:w="0" w:type="auto"/>
            <w:vMerge/>
            <w:hideMark/>
          </w:tcPr>
          <w:p w14:paraId="2B53BA85"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0" w:type="auto"/>
            <w:vMerge/>
            <w:hideMark/>
          </w:tcPr>
          <w:p w14:paraId="462738BD"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c>
          <w:tcPr>
            <w:tcW w:w="2494" w:type="dxa"/>
            <w:hideMark/>
          </w:tcPr>
          <w:p w14:paraId="69B87BE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R734C</w:t>
            </w:r>
          </w:p>
        </w:tc>
        <w:tc>
          <w:tcPr>
            <w:tcW w:w="2438" w:type="dxa"/>
            <w:hideMark/>
          </w:tcPr>
          <w:p w14:paraId="6575630B" w14:textId="77777777" w:rsidR="004D6E8A" w:rsidRPr="004D6E8A" w:rsidRDefault="004D6E8A" w:rsidP="00470A86">
            <w:pPr>
              <w:widowControl w:val="0"/>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reduced activity</w:t>
            </w:r>
          </w:p>
        </w:tc>
      </w:tr>
    </w:tbl>
    <w:p w14:paraId="4883CAC8" w14:textId="77777777" w:rsidR="004D6E8A" w:rsidRPr="004D6E8A" w:rsidRDefault="004D6E8A" w:rsidP="004D6E8A">
      <w:pPr>
        <w:widowControl w:val="0"/>
        <w:spacing w:after="0" w:line="240" w:lineRule="auto"/>
        <w:jc w:val="both"/>
        <w:rPr>
          <w:rFonts w:ascii="Times New Roman" w:eastAsia="ＭＳ ゴシック" w:hAnsi="Times New Roman" w:cs="Times New Roman"/>
          <w:snapToGrid w:val="0"/>
          <w:kern w:val="2"/>
          <w:sz w:val="24"/>
          <w:szCs w:val="24"/>
        </w:rPr>
      </w:pPr>
    </w:p>
    <w:p w14:paraId="03073BC4" w14:textId="77777777" w:rsidR="004D6E8A" w:rsidRPr="004D6E8A" w:rsidRDefault="004D6E8A" w:rsidP="004D6E8A">
      <w:pPr>
        <w:spacing w:after="0" w:line="240" w:lineRule="auto"/>
        <w:rPr>
          <w:rFonts w:ascii="Times New Roman" w:eastAsia="ＭＳ ゴシック" w:hAnsi="Times New Roman" w:cs="Times New Roman"/>
          <w:snapToGrid w:val="0"/>
          <w:kern w:val="2"/>
          <w:sz w:val="24"/>
          <w:szCs w:val="24"/>
        </w:rPr>
      </w:pPr>
      <w:r w:rsidRPr="004D6E8A">
        <w:rPr>
          <w:rFonts w:ascii="Times New Roman" w:eastAsia="ＭＳ ゴシック" w:hAnsi="Times New Roman" w:cs="Times New Roman"/>
          <w:snapToGrid w:val="0"/>
          <w:kern w:val="2"/>
          <w:sz w:val="24"/>
          <w:szCs w:val="24"/>
        </w:rPr>
        <w:br w:type="page"/>
      </w:r>
    </w:p>
    <w:p w14:paraId="478C9144" w14:textId="55766320" w:rsidR="004D6E8A" w:rsidRPr="00470A86" w:rsidRDefault="004D6E8A" w:rsidP="00470A86">
      <w:pPr>
        <w:widowControl w:val="0"/>
        <w:spacing w:after="0" w:line="360" w:lineRule="auto"/>
        <w:jc w:val="both"/>
        <w:rPr>
          <w:rFonts w:ascii="Times New Roman" w:eastAsia="ＭＳ ゴシック" w:hAnsi="Times New Roman" w:cs="Times New Roman"/>
          <w:b/>
          <w:bCs/>
          <w:snapToGrid w:val="0"/>
          <w:kern w:val="2"/>
          <w:sz w:val="24"/>
          <w:szCs w:val="24"/>
        </w:rPr>
      </w:pPr>
      <w:r w:rsidRPr="00470A86">
        <w:rPr>
          <w:rFonts w:ascii="Times New Roman" w:eastAsia="ＭＳ ゴシック" w:hAnsi="Times New Roman" w:cs="Times New Roman"/>
          <w:b/>
          <w:bCs/>
          <w:snapToGrid w:val="0"/>
          <w:kern w:val="2"/>
          <w:sz w:val="24"/>
          <w:szCs w:val="24"/>
        </w:rPr>
        <w:lastRenderedPageBreak/>
        <w:t>Table S2</w:t>
      </w:r>
      <w:r w:rsidR="00CB248A" w:rsidRPr="00470A86">
        <w:rPr>
          <w:rFonts w:ascii="Times New Roman" w:eastAsia="ＭＳ ゴシック" w:hAnsi="Times New Roman" w:cs="Times New Roman"/>
          <w:b/>
          <w:bCs/>
          <w:snapToGrid w:val="0"/>
          <w:kern w:val="2"/>
          <w:sz w:val="24"/>
          <w:szCs w:val="24"/>
        </w:rPr>
        <w:t>.</w:t>
      </w:r>
      <w:bookmarkStart w:id="0" w:name="_GoBack"/>
      <w:bookmarkEnd w:id="0"/>
      <w:r w:rsidRPr="00470A86">
        <w:rPr>
          <w:rFonts w:ascii="Times New Roman" w:eastAsia="ＭＳ ゴシック" w:hAnsi="Times New Roman" w:cs="Times New Roman"/>
          <w:b/>
          <w:bCs/>
          <w:snapToGrid w:val="0"/>
          <w:kern w:val="2"/>
          <w:sz w:val="24"/>
          <w:szCs w:val="24"/>
        </w:rPr>
        <w:t xml:space="preserve"> Approval status of TRK inhibitors in Japan and by FDA and EMA.</w:t>
      </w:r>
    </w:p>
    <w:tbl>
      <w:tblPr>
        <w:tblStyle w:val="a3"/>
        <w:tblW w:w="9127" w:type="dxa"/>
        <w:tblLook w:val="04A0" w:firstRow="1" w:lastRow="0" w:firstColumn="1" w:lastColumn="0" w:noHBand="0" w:noVBand="1"/>
      </w:tblPr>
      <w:tblGrid>
        <w:gridCol w:w="2551"/>
        <w:gridCol w:w="6576"/>
      </w:tblGrid>
      <w:tr w:rsidR="004D6E8A" w:rsidRPr="004D6E8A" w14:paraId="3D195679" w14:textId="77777777" w:rsidTr="00470A86">
        <w:tc>
          <w:tcPr>
            <w:tcW w:w="2551" w:type="dxa"/>
            <w:shd w:val="clear" w:color="auto" w:fill="BFBFBF"/>
          </w:tcPr>
          <w:p w14:paraId="76ADA6FB"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Drug</w:t>
            </w:r>
          </w:p>
        </w:tc>
        <w:tc>
          <w:tcPr>
            <w:tcW w:w="6576" w:type="dxa"/>
            <w:shd w:val="clear" w:color="auto" w:fill="BFBFBF"/>
          </w:tcPr>
          <w:p w14:paraId="7EEBF4C0"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Indication and dosage</w:t>
            </w:r>
          </w:p>
        </w:tc>
      </w:tr>
      <w:tr w:rsidR="004D6E8A" w:rsidRPr="004D6E8A" w14:paraId="3B53E28A" w14:textId="77777777" w:rsidTr="00470A86">
        <w:tc>
          <w:tcPr>
            <w:tcW w:w="2551" w:type="dxa"/>
            <w:shd w:val="clear" w:color="auto" w:fill="BFBFBF"/>
          </w:tcPr>
          <w:p w14:paraId="10172904"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Japan</w:t>
            </w:r>
          </w:p>
        </w:tc>
        <w:tc>
          <w:tcPr>
            <w:tcW w:w="6576" w:type="dxa"/>
          </w:tcPr>
          <w:p w14:paraId="638D35C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r>
      <w:tr w:rsidR="004D6E8A" w:rsidRPr="004D6E8A" w14:paraId="3437D9CC" w14:textId="77777777" w:rsidTr="00470A86">
        <w:tc>
          <w:tcPr>
            <w:tcW w:w="2551" w:type="dxa"/>
          </w:tcPr>
          <w:p w14:paraId="1C268F2B"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Entrectinib</w:t>
            </w:r>
          </w:p>
          <w:p w14:paraId="0E4F1F98"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(Rozlytrek®)</w:t>
            </w:r>
          </w:p>
        </w:tc>
        <w:tc>
          <w:tcPr>
            <w:tcW w:w="6576" w:type="dxa"/>
          </w:tcPr>
          <w:p w14:paraId="0C7BBBD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NTRK fusion gene-positive advanced / recurrent solid tumor</w:t>
            </w:r>
          </w:p>
          <w:p w14:paraId="01E14A9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p w14:paraId="3AF6905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In general, for adults, 600 mg of entrectinib is orally administered once daily. The dose may be reduced according to the patient's condition.</w:t>
            </w:r>
          </w:p>
          <w:p w14:paraId="200D2B0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Usually, children receive 300 mg / m2 (body surface area) orally once daily as entrectinib. However, it should not exceed 600 mg. The dose may be reduced according to the patient's condition.</w:t>
            </w:r>
          </w:p>
        </w:tc>
      </w:tr>
      <w:tr w:rsidR="004D6E8A" w:rsidRPr="004D6E8A" w14:paraId="0A9CF62F" w14:textId="77777777" w:rsidTr="00470A86">
        <w:tc>
          <w:tcPr>
            <w:tcW w:w="2551" w:type="dxa"/>
            <w:shd w:val="clear" w:color="auto" w:fill="BFBFBF"/>
          </w:tcPr>
          <w:p w14:paraId="5DAB3A6E"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FDA</w:t>
            </w:r>
          </w:p>
        </w:tc>
        <w:tc>
          <w:tcPr>
            <w:tcW w:w="6576" w:type="dxa"/>
          </w:tcPr>
          <w:p w14:paraId="0CED6734"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r>
      <w:tr w:rsidR="004D6E8A" w:rsidRPr="004D6E8A" w14:paraId="7E5BB373" w14:textId="77777777" w:rsidTr="00470A86">
        <w:tc>
          <w:tcPr>
            <w:tcW w:w="2551" w:type="dxa"/>
          </w:tcPr>
          <w:p w14:paraId="429D16B5"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Larotrectinib</w:t>
            </w:r>
          </w:p>
          <w:p w14:paraId="1F7CE8FC"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w:t>
            </w:r>
            <w:r w:rsidRPr="004D6E8A">
              <w:rPr>
                <w:rFonts w:ascii="Times New Roman" w:eastAsia="游明朝" w:hAnsi="Times New Roman" w:cs="Times New Roman"/>
                <w:sz w:val="24"/>
                <w:szCs w:val="24"/>
              </w:rPr>
              <w:t>VITRAKVI</w:t>
            </w:r>
            <w:r w:rsidRPr="004D6E8A">
              <w:rPr>
                <w:rFonts w:ascii="Times New Roman" w:eastAsia="ＭＳ ゴシック" w:hAnsi="Times New Roman" w:cs="Times New Roman"/>
                <w:snapToGrid w:val="0"/>
                <w:sz w:val="24"/>
                <w:szCs w:val="24"/>
              </w:rPr>
              <w:t>®)</w:t>
            </w:r>
          </w:p>
        </w:tc>
        <w:tc>
          <w:tcPr>
            <w:tcW w:w="6576" w:type="dxa"/>
          </w:tcPr>
          <w:p w14:paraId="1602CD1D"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VITRAKVI is indicated for the treatment of adult and pediatric patients with solid tumors that:</w:t>
            </w:r>
          </w:p>
          <w:p w14:paraId="0483828B"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•have a neurotrophic receptor tyrosine kinase (NTRK) gene fusion without a known acquired resistance mutation,</w:t>
            </w:r>
          </w:p>
          <w:p w14:paraId="4433BA08"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•are metastatic or where surgical resection is likely to result in severe morbidity, and</w:t>
            </w:r>
          </w:p>
          <w:p w14:paraId="0F748CD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•have no satisfactory alternative treatments or that have progressed following treatment.</w:t>
            </w:r>
          </w:p>
          <w:p w14:paraId="054BD5F9"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This indication is approved under accelerated approval based on overall response rate and duration of response. Continued approval for this indication may be contingent upon verification and description of clinical benefit in confirmatory trials.</w:t>
            </w:r>
          </w:p>
          <w:p w14:paraId="495C57F8"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p w14:paraId="76A7ACDE"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Recommended Dosage in Adult and Pediatric Patients with Body Surface Area of at Least 1.0 Meter-Squared</w:t>
            </w:r>
          </w:p>
          <w:p w14:paraId="199FB07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The recommended dosage of VITRAKVI is 100 mg orally twice daily, with or without food, until disease progression or until unacceptable toxicity.</w:t>
            </w:r>
          </w:p>
          <w:p w14:paraId="1E40B931"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Recommended Dosage in Pediatric Patients with Body Surface Area Less Than 1.0 Meter-Squared</w:t>
            </w:r>
          </w:p>
          <w:p w14:paraId="340D53FC"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The recommended dosage of VITRAKVI is 100 mg/m2 orally twice daily, with or without food, until disease progression or until unacceptable toxicity.</w:t>
            </w:r>
          </w:p>
        </w:tc>
      </w:tr>
      <w:tr w:rsidR="004D6E8A" w:rsidRPr="004D6E8A" w14:paraId="61000904" w14:textId="77777777" w:rsidTr="00470A86">
        <w:trPr>
          <w:trHeight w:val="11792"/>
        </w:trPr>
        <w:tc>
          <w:tcPr>
            <w:tcW w:w="2551" w:type="dxa"/>
          </w:tcPr>
          <w:p w14:paraId="1F0038DE"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lastRenderedPageBreak/>
              <w:t>entrectinib</w:t>
            </w:r>
          </w:p>
          <w:p w14:paraId="66925A5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(ROZLYTREK®)</w:t>
            </w:r>
          </w:p>
        </w:tc>
        <w:tc>
          <w:tcPr>
            <w:tcW w:w="6576" w:type="dxa"/>
          </w:tcPr>
          <w:p w14:paraId="179F9BB6"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1.1 ROS1-Positive Non-Small Cell Lung Cancer</w:t>
            </w:r>
          </w:p>
          <w:p w14:paraId="6125572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ROZLYTREK is indicated for the treatment of adult patients with metastatic non-small cell lung cancer (NSCLC) whose tumors are ROS1-positive.</w:t>
            </w:r>
          </w:p>
          <w:p w14:paraId="708C67CC"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1.2 NTRK Gene Fusion-Positive Solid Tumors</w:t>
            </w:r>
          </w:p>
          <w:p w14:paraId="5577030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ROZLYTREK is indicated for the treatment of adult and pediatric patients 12 years of age and older with solid tumors that:</w:t>
            </w:r>
          </w:p>
          <w:p w14:paraId="51BB2DFB"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•have a neurotrophic tyrosine receptor kinase (NTRK) gene fusion without a known acquired resistance mutation,</w:t>
            </w:r>
          </w:p>
          <w:p w14:paraId="14DFD04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•are metastatic or where surgical resection is likely to result in severe morbidity, and</w:t>
            </w:r>
          </w:p>
          <w:p w14:paraId="6944E776"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•have either progressed following treatment or have no satisfactory alternative therapy.</w:t>
            </w:r>
          </w:p>
          <w:p w14:paraId="13708D4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This indication is approved under accelerated approval based on tumor response rate and durability of response. Continued approval for this indication may be contingent upon verification and description of clinical benefit in the confirmatory trials.</w:t>
            </w:r>
          </w:p>
          <w:p w14:paraId="5FE7EC53"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p w14:paraId="5F6213B4"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2.2 Recommended Dosage for ROS1-Positive Non-Small Cell Lung Cancer</w:t>
            </w:r>
          </w:p>
          <w:p w14:paraId="509ABB47"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The recommended dosage of ROZLYTREK is 600 mg orally once daily with or without food until disease progression or unacceptable toxicity.</w:t>
            </w:r>
          </w:p>
          <w:p w14:paraId="5B0F794B"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2.3 Recommended Dosage for NTRK Gene Fusion-Positive Solid Tumors</w:t>
            </w:r>
          </w:p>
          <w:p w14:paraId="7BAD1EAA"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Adults</w:t>
            </w:r>
          </w:p>
          <w:p w14:paraId="3B7E5998"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The recommended dosage of ROZLYTREK in adults is 600 mg orally once daily with or without food until disease progression or unacceptable toxicity.</w:t>
            </w:r>
          </w:p>
          <w:p w14:paraId="793FDD2E"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Pediatric Patients 12 Years and Older (Adolescents)</w:t>
            </w:r>
          </w:p>
          <w:p w14:paraId="22151A0F"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The recommended dosage of ROZLYTREK is based on body surface area (BSA) as shown in TABLE 1 below. Take ROZLYTREK orally once daily with or without food until disease progression or unacceptable toxicity.</w:t>
            </w:r>
          </w:p>
          <w:p w14:paraId="1E957E1A"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Table 1: Dosing in Pediatric Patients 12 Years and Older (Adolescents)</w:t>
            </w:r>
          </w:p>
          <w:tbl>
            <w:tblPr>
              <w:tblStyle w:val="a3"/>
              <w:tblW w:w="5278" w:type="dxa"/>
              <w:jc w:val="center"/>
              <w:tblLook w:val="04A0" w:firstRow="1" w:lastRow="0" w:firstColumn="1" w:lastColumn="0" w:noHBand="0" w:noVBand="1"/>
            </w:tblPr>
            <w:tblGrid>
              <w:gridCol w:w="2585"/>
              <w:gridCol w:w="2693"/>
            </w:tblGrid>
            <w:tr w:rsidR="004D6E8A" w:rsidRPr="004D6E8A" w14:paraId="3321BB2B" w14:textId="77777777" w:rsidTr="008A5F38">
              <w:trPr>
                <w:trHeight w:val="564"/>
                <w:jc w:val="center"/>
              </w:trPr>
              <w:tc>
                <w:tcPr>
                  <w:tcW w:w="2585" w:type="dxa"/>
                  <w:hideMark/>
                </w:tcPr>
                <w:p w14:paraId="68137E50" w14:textId="29F0C307" w:rsidR="004D6E8A" w:rsidRPr="004D6E8A" w:rsidRDefault="004D6E8A" w:rsidP="00470A86">
                  <w:pPr>
                    <w:widowControl w:val="0"/>
                    <w:rPr>
                      <w:rFonts w:ascii="Times New Roman" w:eastAsia="游明朝" w:hAnsi="Times New Roman" w:cs="Times New Roman"/>
                      <w:sz w:val="24"/>
                      <w:szCs w:val="24"/>
                    </w:rPr>
                  </w:pPr>
                  <w:r w:rsidRPr="004D6E8A">
                    <w:rPr>
                      <w:rFonts w:ascii="Times New Roman" w:eastAsia="游明朝" w:hAnsi="Times New Roman" w:cs="Times New Roman"/>
                      <w:sz w:val="24"/>
                      <w:szCs w:val="24"/>
                    </w:rPr>
                    <w:t>Body Surface Area (BSA)</w:t>
                  </w:r>
                </w:p>
              </w:tc>
              <w:tc>
                <w:tcPr>
                  <w:tcW w:w="2693" w:type="dxa"/>
                  <w:hideMark/>
                </w:tcPr>
                <w:p w14:paraId="4EE1BF38" w14:textId="77777777" w:rsidR="004D6E8A" w:rsidRPr="004D6E8A" w:rsidRDefault="004D6E8A" w:rsidP="00470A86">
                  <w:pPr>
                    <w:widowControl w:val="0"/>
                    <w:rPr>
                      <w:rFonts w:ascii="Times New Roman" w:eastAsia="游明朝" w:hAnsi="Times New Roman" w:cs="Times New Roman"/>
                      <w:sz w:val="24"/>
                      <w:szCs w:val="24"/>
                    </w:rPr>
                  </w:pPr>
                  <w:r w:rsidRPr="004D6E8A">
                    <w:rPr>
                      <w:rFonts w:ascii="Times New Roman" w:eastAsia="游明朝" w:hAnsi="Times New Roman" w:cs="Times New Roman"/>
                      <w:sz w:val="24"/>
                      <w:szCs w:val="24"/>
                    </w:rPr>
                    <w:t>Recommended Dosage</w:t>
                  </w:r>
                </w:p>
                <w:p w14:paraId="4571A05C" w14:textId="77777777" w:rsidR="004D6E8A" w:rsidRPr="004D6E8A" w:rsidRDefault="004D6E8A" w:rsidP="00470A86">
                  <w:pPr>
                    <w:widowControl w:val="0"/>
                    <w:rPr>
                      <w:rFonts w:ascii="Times New Roman" w:eastAsia="游明朝" w:hAnsi="Times New Roman" w:cs="Times New Roman"/>
                      <w:sz w:val="24"/>
                      <w:szCs w:val="24"/>
                    </w:rPr>
                  </w:pPr>
                  <w:r w:rsidRPr="004D6E8A">
                    <w:rPr>
                      <w:rFonts w:ascii="Times New Roman" w:eastAsia="游明朝" w:hAnsi="Times New Roman" w:cs="Times New Roman"/>
                      <w:sz w:val="24"/>
                      <w:szCs w:val="24"/>
                    </w:rPr>
                    <w:t>(Orally once daily)</w:t>
                  </w:r>
                </w:p>
              </w:tc>
            </w:tr>
            <w:tr w:rsidR="004D6E8A" w:rsidRPr="004D6E8A" w14:paraId="66698E02" w14:textId="77777777" w:rsidTr="008A5F38">
              <w:trPr>
                <w:trHeight w:val="288"/>
                <w:jc w:val="center"/>
              </w:trPr>
              <w:tc>
                <w:tcPr>
                  <w:tcW w:w="2585" w:type="dxa"/>
                  <w:hideMark/>
                </w:tcPr>
                <w:p w14:paraId="301640FB"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Greater than 1.50 m</w:t>
                  </w:r>
                  <w:r w:rsidRPr="004D6E8A">
                    <w:rPr>
                      <w:rFonts w:ascii="Times New Roman" w:eastAsia="ＭＳ Ｐゴシック" w:hAnsi="Times New Roman" w:cs="Times New Roman"/>
                      <w:color w:val="222222"/>
                      <w:sz w:val="24"/>
                      <w:szCs w:val="24"/>
                      <w:bdr w:val="none" w:sz="0" w:space="0" w:color="auto" w:frame="1"/>
                    </w:rPr>
                    <w:t>2</w:t>
                  </w:r>
                </w:p>
              </w:tc>
              <w:tc>
                <w:tcPr>
                  <w:tcW w:w="2693" w:type="dxa"/>
                  <w:hideMark/>
                </w:tcPr>
                <w:p w14:paraId="60C7A749"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600 mg</w:t>
                  </w:r>
                </w:p>
              </w:tc>
            </w:tr>
            <w:tr w:rsidR="004D6E8A" w:rsidRPr="004D6E8A" w14:paraId="01D37943" w14:textId="77777777" w:rsidTr="008A5F38">
              <w:trPr>
                <w:trHeight w:val="282"/>
                <w:jc w:val="center"/>
              </w:trPr>
              <w:tc>
                <w:tcPr>
                  <w:tcW w:w="2585" w:type="dxa"/>
                  <w:hideMark/>
                </w:tcPr>
                <w:p w14:paraId="7A79D18B"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1.11 to 1.50 m</w:t>
                  </w:r>
                  <w:r w:rsidRPr="004D6E8A">
                    <w:rPr>
                      <w:rFonts w:ascii="Times New Roman" w:eastAsia="ＭＳ Ｐゴシック" w:hAnsi="Times New Roman" w:cs="Times New Roman"/>
                      <w:color w:val="222222"/>
                      <w:sz w:val="24"/>
                      <w:szCs w:val="24"/>
                      <w:bdr w:val="none" w:sz="0" w:space="0" w:color="auto" w:frame="1"/>
                    </w:rPr>
                    <w:t>2</w:t>
                  </w:r>
                </w:p>
              </w:tc>
              <w:tc>
                <w:tcPr>
                  <w:tcW w:w="2693" w:type="dxa"/>
                  <w:hideMark/>
                </w:tcPr>
                <w:p w14:paraId="2E68B423"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500 mg</w:t>
                  </w:r>
                </w:p>
              </w:tc>
            </w:tr>
            <w:tr w:rsidR="004D6E8A" w:rsidRPr="004D6E8A" w14:paraId="5889E874" w14:textId="77777777" w:rsidTr="008A5F38">
              <w:trPr>
                <w:trHeight w:val="288"/>
                <w:jc w:val="center"/>
              </w:trPr>
              <w:tc>
                <w:tcPr>
                  <w:tcW w:w="2585" w:type="dxa"/>
                  <w:hideMark/>
                </w:tcPr>
                <w:p w14:paraId="28DFAAF3"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0.91 to 1.10 m</w:t>
                  </w:r>
                  <w:r w:rsidRPr="004D6E8A">
                    <w:rPr>
                      <w:rFonts w:ascii="Times New Roman" w:eastAsia="ＭＳ Ｐゴシック" w:hAnsi="Times New Roman" w:cs="Times New Roman"/>
                      <w:color w:val="222222"/>
                      <w:sz w:val="24"/>
                      <w:szCs w:val="24"/>
                      <w:bdr w:val="none" w:sz="0" w:space="0" w:color="auto" w:frame="1"/>
                    </w:rPr>
                    <w:t>2</w:t>
                  </w:r>
                </w:p>
              </w:tc>
              <w:tc>
                <w:tcPr>
                  <w:tcW w:w="2693" w:type="dxa"/>
                  <w:hideMark/>
                </w:tcPr>
                <w:p w14:paraId="27ADFB2E" w14:textId="77777777" w:rsidR="004D6E8A" w:rsidRPr="004D6E8A" w:rsidRDefault="004D6E8A" w:rsidP="004D6E8A">
                  <w:pPr>
                    <w:jc w:val="center"/>
                    <w:rPr>
                      <w:rFonts w:ascii="Times New Roman" w:eastAsia="ＭＳ Ｐゴシック" w:hAnsi="Times New Roman" w:cs="Times New Roman"/>
                      <w:color w:val="222222"/>
                      <w:sz w:val="24"/>
                      <w:szCs w:val="24"/>
                    </w:rPr>
                  </w:pPr>
                  <w:r w:rsidRPr="004D6E8A">
                    <w:rPr>
                      <w:rFonts w:ascii="Times New Roman" w:eastAsia="ＭＳ Ｐゴシック" w:hAnsi="Times New Roman" w:cs="Times New Roman"/>
                      <w:color w:val="222222"/>
                      <w:sz w:val="24"/>
                      <w:szCs w:val="24"/>
                    </w:rPr>
                    <w:t>400 mg</w:t>
                  </w:r>
                </w:p>
              </w:tc>
            </w:tr>
          </w:tbl>
          <w:p w14:paraId="3DA794B0"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r>
      <w:tr w:rsidR="004D6E8A" w:rsidRPr="004D6E8A" w14:paraId="272CA6E7" w14:textId="77777777" w:rsidTr="00470A86">
        <w:tc>
          <w:tcPr>
            <w:tcW w:w="2551" w:type="dxa"/>
            <w:shd w:val="clear" w:color="auto" w:fill="BFBFBF"/>
          </w:tcPr>
          <w:p w14:paraId="5966B991" w14:textId="77777777" w:rsidR="004D6E8A" w:rsidRPr="004D6E8A" w:rsidRDefault="004D6E8A" w:rsidP="004D6E8A">
            <w:pPr>
              <w:widowControl w:val="0"/>
              <w:jc w:val="both"/>
              <w:rPr>
                <w:rFonts w:ascii="Times New Roman" w:eastAsia="ＭＳ ゴシック" w:hAnsi="Times New Roman" w:cs="Times New Roman"/>
                <w:b/>
                <w:bCs/>
                <w:snapToGrid w:val="0"/>
                <w:sz w:val="24"/>
                <w:szCs w:val="24"/>
              </w:rPr>
            </w:pPr>
            <w:r w:rsidRPr="004D6E8A">
              <w:rPr>
                <w:rFonts w:ascii="Times New Roman" w:eastAsia="ＭＳ ゴシック" w:hAnsi="Times New Roman" w:cs="Times New Roman"/>
                <w:b/>
                <w:bCs/>
                <w:snapToGrid w:val="0"/>
                <w:sz w:val="24"/>
                <w:szCs w:val="24"/>
              </w:rPr>
              <w:t>EMA</w:t>
            </w:r>
          </w:p>
        </w:tc>
        <w:tc>
          <w:tcPr>
            <w:tcW w:w="6576" w:type="dxa"/>
          </w:tcPr>
          <w:p w14:paraId="54E9C4B8"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p>
        </w:tc>
      </w:tr>
      <w:tr w:rsidR="004D6E8A" w:rsidRPr="004D6E8A" w14:paraId="3E5436FA" w14:textId="77777777" w:rsidTr="00470A86">
        <w:tc>
          <w:tcPr>
            <w:tcW w:w="2551" w:type="dxa"/>
          </w:tcPr>
          <w:p w14:paraId="770BC082"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larotrectinib</w:t>
            </w:r>
          </w:p>
          <w:p w14:paraId="18E53E34"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ＭＳ ゴシック" w:hAnsi="Times New Roman" w:cs="Times New Roman"/>
                <w:snapToGrid w:val="0"/>
                <w:sz w:val="24"/>
                <w:szCs w:val="24"/>
              </w:rPr>
              <w:t>(</w:t>
            </w:r>
            <w:r w:rsidRPr="004D6E8A">
              <w:rPr>
                <w:rFonts w:ascii="Times New Roman" w:eastAsia="游明朝" w:hAnsi="Times New Roman" w:cs="Times New Roman"/>
                <w:sz w:val="24"/>
                <w:szCs w:val="24"/>
              </w:rPr>
              <w:t>VITRAKVI</w:t>
            </w:r>
            <w:r w:rsidRPr="004D6E8A">
              <w:rPr>
                <w:rFonts w:ascii="Times New Roman" w:eastAsia="ＭＳ ゴシック" w:hAnsi="Times New Roman" w:cs="Times New Roman"/>
                <w:snapToGrid w:val="0"/>
                <w:sz w:val="24"/>
                <w:szCs w:val="24"/>
              </w:rPr>
              <w:t>®)</w:t>
            </w:r>
          </w:p>
        </w:tc>
        <w:tc>
          <w:tcPr>
            <w:tcW w:w="6576" w:type="dxa"/>
          </w:tcPr>
          <w:p w14:paraId="2D9017D9" w14:textId="77777777" w:rsidR="004D6E8A" w:rsidRPr="004D6E8A" w:rsidRDefault="004D6E8A" w:rsidP="004D6E8A">
            <w:pPr>
              <w:widowControl w:val="0"/>
              <w:jc w:val="both"/>
              <w:rPr>
                <w:rFonts w:ascii="Times New Roman" w:eastAsia="游明朝" w:hAnsi="Times New Roman" w:cs="Times New Roman"/>
                <w:sz w:val="24"/>
                <w:szCs w:val="24"/>
              </w:rPr>
            </w:pPr>
            <w:r w:rsidRPr="004D6E8A">
              <w:rPr>
                <w:rFonts w:ascii="Times New Roman" w:eastAsia="游明朝" w:hAnsi="Times New Roman" w:cs="Times New Roman"/>
                <w:sz w:val="24"/>
                <w:szCs w:val="24"/>
              </w:rPr>
              <w:t xml:space="preserve">VITRAKVI as monotherapy is indicated for the treatment of adult and paediatric patients with solid tumours that display a Neurotrophic Tyrosine Receptor Kinase (NTRK) gene fusion, </w:t>
            </w:r>
          </w:p>
          <w:p w14:paraId="0BEFBA33" w14:textId="77777777" w:rsidR="004D6E8A" w:rsidRPr="004D6E8A" w:rsidRDefault="004D6E8A" w:rsidP="004D6E8A">
            <w:pPr>
              <w:widowControl w:val="0"/>
              <w:ind w:firstLineChars="50" w:firstLine="120"/>
              <w:jc w:val="both"/>
              <w:rPr>
                <w:rFonts w:ascii="Times New Roman" w:eastAsia="游明朝" w:hAnsi="Times New Roman" w:cs="Times New Roman"/>
                <w:sz w:val="24"/>
                <w:szCs w:val="24"/>
              </w:rPr>
            </w:pPr>
            <w:r w:rsidRPr="004D6E8A">
              <w:rPr>
                <w:rFonts w:ascii="Times New Roman" w:eastAsia="游明朝" w:hAnsi="Times New Roman" w:cs="Times New Roman"/>
                <w:sz w:val="24"/>
                <w:szCs w:val="24"/>
              </w:rPr>
              <w:t xml:space="preserve">- who have a disease that is locally advanced, metastatic or where surgical resection is likely to result in severe morbidity, and </w:t>
            </w:r>
          </w:p>
          <w:p w14:paraId="06C6EC41" w14:textId="77777777" w:rsidR="004D6E8A" w:rsidRPr="004D6E8A" w:rsidRDefault="004D6E8A" w:rsidP="004D6E8A">
            <w:pPr>
              <w:widowControl w:val="0"/>
              <w:ind w:firstLineChars="100" w:firstLine="240"/>
              <w:jc w:val="both"/>
              <w:rPr>
                <w:rFonts w:ascii="Times New Roman" w:eastAsia="游明朝" w:hAnsi="Times New Roman" w:cs="Times New Roman"/>
                <w:sz w:val="24"/>
                <w:szCs w:val="24"/>
              </w:rPr>
            </w:pPr>
            <w:r w:rsidRPr="004D6E8A">
              <w:rPr>
                <w:rFonts w:ascii="Times New Roman" w:eastAsia="游明朝" w:hAnsi="Times New Roman" w:cs="Times New Roman"/>
                <w:sz w:val="24"/>
                <w:szCs w:val="24"/>
              </w:rPr>
              <w:t>- who have no satisfactory treatment options</w:t>
            </w:r>
          </w:p>
          <w:p w14:paraId="18623628" w14:textId="77777777" w:rsidR="004D6E8A" w:rsidRPr="004D6E8A" w:rsidRDefault="004D6E8A" w:rsidP="004D6E8A">
            <w:pPr>
              <w:widowControl w:val="0"/>
              <w:ind w:firstLineChars="100" w:firstLine="240"/>
              <w:jc w:val="both"/>
              <w:rPr>
                <w:rFonts w:ascii="Times New Roman" w:eastAsia="游明朝" w:hAnsi="Times New Roman" w:cs="Times New Roman"/>
                <w:sz w:val="24"/>
                <w:szCs w:val="24"/>
              </w:rPr>
            </w:pPr>
          </w:p>
          <w:p w14:paraId="0AC46D62" w14:textId="77777777" w:rsidR="004D6E8A" w:rsidRPr="004D6E8A" w:rsidRDefault="004D6E8A" w:rsidP="004D6E8A">
            <w:pPr>
              <w:widowControl w:val="0"/>
              <w:jc w:val="both"/>
              <w:rPr>
                <w:rFonts w:ascii="Times New Roman" w:eastAsia="游明朝" w:hAnsi="Times New Roman" w:cs="Times New Roman"/>
                <w:b/>
                <w:bCs/>
                <w:sz w:val="24"/>
                <w:szCs w:val="24"/>
              </w:rPr>
            </w:pPr>
            <w:r w:rsidRPr="004D6E8A">
              <w:rPr>
                <w:rFonts w:ascii="Times New Roman" w:eastAsia="游明朝" w:hAnsi="Times New Roman" w:cs="Times New Roman"/>
                <w:b/>
                <w:bCs/>
                <w:sz w:val="24"/>
                <w:szCs w:val="24"/>
              </w:rPr>
              <w:t xml:space="preserve">Adults </w:t>
            </w:r>
          </w:p>
          <w:p w14:paraId="2CA4FBB4" w14:textId="77777777" w:rsidR="004D6E8A" w:rsidRPr="004D6E8A" w:rsidRDefault="004D6E8A" w:rsidP="004D6E8A">
            <w:pPr>
              <w:widowControl w:val="0"/>
              <w:jc w:val="both"/>
              <w:rPr>
                <w:rFonts w:ascii="Times New Roman" w:eastAsia="游明朝" w:hAnsi="Times New Roman" w:cs="Times New Roman"/>
                <w:sz w:val="24"/>
                <w:szCs w:val="24"/>
              </w:rPr>
            </w:pPr>
            <w:r w:rsidRPr="004D6E8A">
              <w:rPr>
                <w:rFonts w:ascii="Times New Roman" w:eastAsia="游明朝" w:hAnsi="Times New Roman" w:cs="Times New Roman"/>
                <w:sz w:val="24"/>
                <w:szCs w:val="24"/>
              </w:rPr>
              <w:t xml:space="preserve">The recommended dose in adults is 100 mg larotrectinib twice daily, until disease progression or until unacceptable toxicity occurs. </w:t>
            </w:r>
          </w:p>
          <w:p w14:paraId="5058FD95" w14:textId="77777777" w:rsidR="004D6E8A" w:rsidRPr="004D6E8A" w:rsidRDefault="004D6E8A" w:rsidP="004D6E8A">
            <w:pPr>
              <w:widowControl w:val="0"/>
              <w:jc w:val="both"/>
              <w:rPr>
                <w:rFonts w:ascii="Times New Roman" w:eastAsia="游明朝" w:hAnsi="Times New Roman" w:cs="Times New Roman"/>
                <w:b/>
                <w:bCs/>
                <w:sz w:val="24"/>
                <w:szCs w:val="24"/>
              </w:rPr>
            </w:pPr>
            <w:r w:rsidRPr="004D6E8A">
              <w:rPr>
                <w:rFonts w:ascii="Times New Roman" w:eastAsia="游明朝" w:hAnsi="Times New Roman" w:cs="Times New Roman"/>
                <w:b/>
                <w:bCs/>
                <w:sz w:val="24"/>
                <w:szCs w:val="24"/>
              </w:rPr>
              <w:t xml:space="preserve">Paediatric population </w:t>
            </w:r>
          </w:p>
          <w:p w14:paraId="01052B21" w14:textId="77777777" w:rsidR="004D6E8A" w:rsidRPr="004D6E8A" w:rsidRDefault="004D6E8A" w:rsidP="004D6E8A">
            <w:pPr>
              <w:widowControl w:val="0"/>
              <w:jc w:val="both"/>
              <w:rPr>
                <w:rFonts w:ascii="Times New Roman" w:eastAsia="ＭＳ ゴシック" w:hAnsi="Times New Roman" w:cs="Times New Roman"/>
                <w:snapToGrid w:val="0"/>
                <w:sz w:val="24"/>
                <w:szCs w:val="24"/>
              </w:rPr>
            </w:pPr>
            <w:r w:rsidRPr="004D6E8A">
              <w:rPr>
                <w:rFonts w:ascii="Times New Roman" w:eastAsia="游明朝" w:hAnsi="Times New Roman" w:cs="Times New Roman"/>
                <w:sz w:val="24"/>
                <w:szCs w:val="24"/>
              </w:rPr>
              <w:t>Dosing in paediatric patients is based on body surface area (BSA). The recommended dose in paediatric patients is 100 mg/m2 larotrectinib twice daily with a maximum of 100 mg per dose until disease progression or until unacceptable toxicity occurs.</w:t>
            </w:r>
          </w:p>
        </w:tc>
      </w:tr>
    </w:tbl>
    <w:p w14:paraId="3FCDF22F" w14:textId="77777777" w:rsidR="004D6E8A" w:rsidRPr="004D6E8A" w:rsidRDefault="004D6E8A" w:rsidP="004D6E8A">
      <w:pPr>
        <w:widowControl w:val="0"/>
        <w:spacing w:after="0" w:line="240" w:lineRule="auto"/>
        <w:jc w:val="both"/>
        <w:rPr>
          <w:rFonts w:ascii="Times New Roman" w:eastAsia="ＭＳ ゴシック" w:hAnsi="Times New Roman" w:cs="Times New Roman"/>
          <w:snapToGrid w:val="0"/>
          <w:kern w:val="2"/>
          <w:sz w:val="24"/>
          <w:szCs w:val="24"/>
        </w:rPr>
      </w:pPr>
    </w:p>
    <w:p w14:paraId="5AD0C073" w14:textId="77777777" w:rsidR="004D6E8A" w:rsidRPr="004D6E8A" w:rsidRDefault="004D6E8A" w:rsidP="004D6E8A">
      <w:pPr>
        <w:spacing w:after="0" w:line="240" w:lineRule="auto"/>
        <w:rPr>
          <w:rFonts w:ascii="Times New Roman" w:eastAsia="ＭＳ ゴシック" w:hAnsi="Times New Roman" w:cs="Times New Roman"/>
          <w:snapToGrid w:val="0"/>
          <w:kern w:val="2"/>
          <w:sz w:val="24"/>
          <w:szCs w:val="24"/>
        </w:rPr>
      </w:pPr>
      <w:r w:rsidRPr="004D6E8A">
        <w:rPr>
          <w:rFonts w:ascii="Times New Roman" w:eastAsia="ＭＳ ゴシック" w:hAnsi="Times New Roman" w:cs="Times New Roman"/>
          <w:snapToGrid w:val="0"/>
          <w:kern w:val="2"/>
          <w:sz w:val="24"/>
          <w:szCs w:val="24"/>
        </w:rPr>
        <w:br w:type="page"/>
      </w:r>
    </w:p>
    <w:p w14:paraId="1573F1A4" w14:textId="77777777" w:rsidR="004D6E8A" w:rsidRPr="004D6E8A" w:rsidRDefault="004D6E8A" w:rsidP="008A5F38">
      <w:pPr>
        <w:widowControl w:val="0"/>
        <w:spacing w:after="0" w:line="360" w:lineRule="auto"/>
        <w:jc w:val="both"/>
        <w:rPr>
          <w:rFonts w:ascii="Times New Roman" w:eastAsia="ＭＳ ゴシック" w:hAnsi="Times New Roman" w:cs="Times New Roman"/>
          <w:b/>
          <w:bCs/>
          <w:snapToGrid w:val="0"/>
          <w:kern w:val="2"/>
          <w:sz w:val="24"/>
          <w:szCs w:val="24"/>
        </w:rPr>
      </w:pPr>
      <w:r w:rsidRPr="004D6E8A">
        <w:rPr>
          <w:rFonts w:ascii="Times New Roman" w:eastAsia="ＭＳ ゴシック" w:hAnsi="Times New Roman" w:cs="Times New Roman" w:hint="eastAsia"/>
          <w:b/>
          <w:bCs/>
          <w:snapToGrid w:val="0"/>
          <w:kern w:val="2"/>
          <w:sz w:val="24"/>
          <w:szCs w:val="24"/>
        </w:rPr>
        <w:lastRenderedPageBreak/>
        <w:t>T</w:t>
      </w:r>
      <w:r w:rsidRPr="004D6E8A">
        <w:rPr>
          <w:rFonts w:ascii="Times New Roman" w:eastAsia="ＭＳ ゴシック" w:hAnsi="Times New Roman" w:cs="Times New Roman"/>
          <w:b/>
          <w:bCs/>
          <w:snapToGrid w:val="0"/>
          <w:kern w:val="2"/>
          <w:sz w:val="24"/>
          <w:szCs w:val="24"/>
        </w:rPr>
        <w:t xml:space="preserve">able S3. NCCN guideline recommendations for </w:t>
      </w:r>
      <w:r w:rsidRPr="004D6E8A">
        <w:rPr>
          <w:rFonts w:ascii="Times New Roman" w:eastAsia="ＭＳ ゴシック" w:hAnsi="Times New Roman" w:cs="Times New Roman"/>
          <w:b/>
          <w:bCs/>
          <w:i/>
          <w:iCs/>
          <w:snapToGrid w:val="0"/>
          <w:kern w:val="2"/>
          <w:sz w:val="24"/>
          <w:szCs w:val="24"/>
        </w:rPr>
        <w:t>NTRK</w:t>
      </w:r>
      <w:r w:rsidRPr="004D6E8A">
        <w:rPr>
          <w:rFonts w:ascii="Times New Roman" w:eastAsia="ＭＳ ゴシック" w:hAnsi="Times New Roman" w:cs="Times New Roman"/>
          <w:b/>
          <w:bCs/>
          <w:snapToGrid w:val="0"/>
          <w:kern w:val="2"/>
          <w:sz w:val="24"/>
          <w:szCs w:val="24"/>
        </w:rPr>
        <w:t xml:space="preserve"> testing and TRK inhibitor for individual cancer type (As of Nov. 2019).</w:t>
      </w:r>
    </w:p>
    <w:tbl>
      <w:tblPr>
        <w:tblW w:w="9203" w:type="dxa"/>
        <w:tblCellMar>
          <w:left w:w="0" w:type="dxa"/>
          <w:right w:w="0" w:type="dxa"/>
        </w:tblCellMar>
        <w:tblLook w:val="0420" w:firstRow="1" w:lastRow="0" w:firstColumn="0" w:lastColumn="0" w:noHBand="0" w:noVBand="1"/>
      </w:tblPr>
      <w:tblGrid>
        <w:gridCol w:w="1832"/>
        <w:gridCol w:w="1134"/>
        <w:gridCol w:w="2835"/>
        <w:gridCol w:w="3402"/>
      </w:tblGrid>
      <w:tr w:rsidR="004D6E8A" w:rsidRPr="004D6E8A" w14:paraId="5F427F49"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BFBFBF"/>
            <w:tcMar>
              <w:top w:w="15" w:type="dxa"/>
              <w:left w:w="37" w:type="dxa"/>
              <w:bottom w:w="0" w:type="dxa"/>
              <w:right w:w="37" w:type="dxa"/>
            </w:tcMar>
            <w:vAlign w:val="center"/>
            <w:hideMark/>
          </w:tcPr>
          <w:p w14:paraId="1C09EFB4"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b/>
                <w:bCs/>
                <w:kern w:val="2"/>
                <w:sz w:val="24"/>
                <w:szCs w:val="24"/>
              </w:rPr>
              <w:t>Guideline</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top w:w="15" w:type="dxa"/>
              <w:left w:w="37" w:type="dxa"/>
              <w:bottom w:w="0" w:type="dxa"/>
              <w:right w:w="37" w:type="dxa"/>
            </w:tcMar>
            <w:vAlign w:val="center"/>
            <w:hideMark/>
          </w:tcPr>
          <w:p w14:paraId="443D9F09"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b/>
                <w:bCs/>
                <w:kern w:val="2"/>
                <w:sz w:val="24"/>
                <w:szCs w:val="24"/>
              </w:rPr>
              <w:t>Version. Year</w:t>
            </w:r>
          </w:p>
        </w:tc>
        <w:tc>
          <w:tcPr>
            <w:tcW w:w="2835" w:type="dxa"/>
            <w:tcBorders>
              <w:top w:val="single" w:sz="8" w:space="0" w:color="000000"/>
              <w:left w:val="single" w:sz="8" w:space="0" w:color="000000"/>
              <w:bottom w:val="single" w:sz="8" w:space="0" w:color="000000"/>
              <w:right w:val="single" w:sz="8" w:space="0" w:color="000000"/>
            </w:tcBorders>
            <w:shd w:val="clear" w:color="auto" w:fill="BFBFBF"/>
            <w:tcMar>
              <w:top w:w="15" w:type="dxa"/>
              <w:left w:w="37" w:type="dxa"/>
              <w:bottom w:w="0" w:type="dxa"/>
              <w:right w:w="37" w:type="dxa"/>
            </w:tcMar>
            <w:vAlign w:val="center"/>
            <w:hideMark/>
          </w:tcPr>
          <w:p w14:paraId="0B0B0386"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b/>
                <w:bCs/>
                <w:kern w:val="2"/>
                <w:sz w:val="24"/>
                <w:szCs w:val="24"/>
              </w:rPr>
              <w:t>Recommendation for test</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top w:w="15" w:type="dxa"/>
              <w:left w:w="37" w:type="dxa"/>
              <w:bottom w:w="0" w:type="dxa"/>
              <w:right w:w="37" w:type="dxa"/>
            </w:tcMar>
            <w:vAlign w:val="center"/>
            <w:hideMark/>
          </w:tcPr>
          <w:p w14:paraId="4092EAB2"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b/>
                <w:bCs/>
                <w:kern w:val="2"/>
                <w:sz w:val="24"/>
                <w:szCs w:val="24"/>
              </w:rPr>
              <w:t>Recommendation for TRK inhibitor</w:t>
            </w:r>
          </w:p>
        </w:tc>
      </w:tr>
      <w:tr w:rsidR="004D6E8A" w:rsidRPr="004D6E8A" w14:paraId="29BEEAF1" w14:textId="77777777" w:rsidTr="008A5F38">
        <w:trPr>
          <w:trHeight w:val="1304"/>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1519FE72"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Colon Cancer</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2143169C"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3.2019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25C7252E"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Testing should include the neurotrophic receptor tyrosine kinase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gene fusion</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63EA2CA0"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Larotrectinib or entrectinib is a treatment option for patients with metastatic colorectal cancer that is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 positive</w:t>
            </w:r>
          </w:p>
        </w:tc>
      </w:tr>
      <w:tr w:rsidR="004D6E8A" w:rsidRPr="004D6E8A" w14:paraId="046BF6FF" w14:textId="77777777" w:rsidTr="008A5F38">
        <w:trPr>
          <w:trHeight w:val="1304"/>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1C47D9D9"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hint="eastAsia"/>
                <w:b/>
                <w:kern w:val="2"/>
                <w:sz w:val="24"/>
                <w:szCs w:val="24"/>
              </w:rPr>
              <w:t>R</w:t>
            </w:r>
            <w:r w:rsidRPr="004D6E8A">
              <w:rPr>
                <w:rFonts w:ascii="Times New Roman" w:eastAsia="ＭＳ ゴシック" w:hAnsi="Times New Roman" w:cs="Times New Roman"/>
                <w:b/>
                <w:kern w:val="2"/>
                <w:sz w:val="24"/>
                <w:szCs w:val="24"/>
              </w:rPr>
              <w:t>ectal Cancer</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0B7D1973"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3</w:t>
            </w:r>
            <w:r w:rsidRPr="004D6E8A">
              <w:rPr>
                <w:rFonts w:ascii="Times New Roman" w:eastAsia="ＭＳ ゴシック" w:hAnsi="Times New Roman" w:cs="Times New Roman"/>
                <w:kern w:val="2"/>
                <w:sz w:val="24"/>
                <w:szCs w:val="24"/>
              </w:rPr>
              <w:t>.2019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59460C6B"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Testing should include the neurotrophic receptor tyrosine kinase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gene fusion</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6F575530"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Larotrectinib or entrectinib is a treatment option for patients with metastatic colorectal cancer that is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 positive</w:t>
            </w:r>
          </w:p>
        </w:tc>
      </w:tr>
      <w:tr w:rsidR="004D6E8A" w:rsidRPr="004D6E8A" w14:paraId="546CE518"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3CEF3F1F"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hint="eastAsia"/>
                <w:b/>
                <w:kern w:val="2"/>
                <w:sz w:val="24"/>
                <w:szCs w:val="24"/>
              </w:rPr>
              <w:t>S</w:t>
            </w:r>
            <w:r w:rsidRPr="004D6E8A">
              <w:rPr>
                <w:rFonts w:ascii="Times New Roman" w:eastAsia="ＭＳ ゴシック" w:hAnsi="Times New Roman" w:cs="Times New Roman"/>
                <w:b/>
                <w:kern w:val="2"/>
                <w:sz w:val="24"/>
                <w:szCs w:val="24"/>
              </w:rPr>
              <w:t>mall Bowel Adenocarcinoma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415561BA"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1</w:t>
            </w:r>
            <w:r w:rsidRPr="004D6E8A">
              <w:rPr>
                <w:rFonts w:ascii="Times New Roman" w:eastAsia="ＭＳ ゴシック" w:hAnsi="Times New Roman" w:cs="Times New Roman"/>
                <w:kern w:val="2"/>
                <w:sz w:val="24"/>
                <w:szCs w:val="24"/>
              </w:rPr>
              <w:t>.2020</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0392F1C5"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3751B3D6" w14:textId="77777777" w:rsidR="004D6E8A" w:rsidRPr="004D6E8A" w:rsidRDefault="004D6E8A" w:rsidP="008A5F38">
            <w:pPr>
              <w:widowControl w:val="0"/>
              <w:spacing w:after="60" w:line="240" w:lineRule="auto"/>
              <w:rPr>
                <w:rFonts w:ascii="Times New Roman" w:eastAsia="ＭＳ ゴシック" w:hAnsi="Times New Roman" w:cs="Times New Roman"/>
                <w:i/>
                <w:iCs/>
                <w:kern w:val="2"/>
                <w:sz w:val="24"/>
                <w:szCs w:val="24"/>
              </w:rPr>
            </w:pPr>
            <w:r w:rsidRPr="004D6E8A">
              <w:rPr>
                <w:rFonts w:ascii="Times New Roman" w:eastAsia="ＭＳ ゴシック" w:hAnsi="Times New Roman" w:cs="Times New Roman"/>
                <w:kern w:val="2"/>
                <w:sz w:val="24"/>
                <w:szCs w:val="24"/>
              </w:rPr>
              <w:t xml:space="preserve">Larotrectinib is a treatment option for patients with metastatic SBA that is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 positive</w:t>
            </w:r>
          </w:p>
        </w:tc>
      </w:tr>
      <w:tr w:rsidR="004D6E8A" w:rsidRPr="004D6E8A" w14:paraId="19F46717"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709DA714"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Non-Small Cell Lung Cancer</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6B1F908A"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7.2019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34F8FC17"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Testing should include the neurotrophic receptor tyrosine kinase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gene fusion</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4EEBBEDE"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 discovered prior to first-line systemic therapy: Larotrectinib, Entrectinib</w:t>
            </w:r>
          </w:p>
          <w:p w14:paraId="4506338C"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 discovered during first-line systemic therapy: Complete planned systemic therapy, including maintenance therapy, or interrupt, followed by larotrectinib or entrectinib</w:t>
            </w:r>
          </w:p>
        </w:tc>
      </w:tr>
      <w:tr w:rsidR="004D6E8A" w:rsidRPr="004D6E8A" w14:paraId="1B4E1E81"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hideMark/>
          </w:tcPr>
          <w:p w14:paraId="5023A00A"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Head and Neck Cancers</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01BF92CD"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3.2019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2D6F7CEB"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Check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status for mammary analog secretory carcinoma (MASC)</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291810ED"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therapy (eg, larotrectinib, entrectinib)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fusion-positive tumors</w:t>
            </w:r>
          </w:p>
        </w:tc>
      </w:tr>
      <w:tr w:rsidR="004D6E8A" w:rsidRPr="004D6E8A" w14:paraId="6EC5E4DD"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hideMark/>
          </w:tcPr>
          <w:p w14:paraId="1EF4FC81"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Soft Tissue Sarcoma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378798D6"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4.2019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67FF1784"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hideMark/>
          </w:tcPr>
          <w:p w14:paraId="4036119F"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Larotrectinib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gene-fusion sarcomas)</w:t>
            </w:r>
          </w:p>
          <w:p w14:paraId="754EE576"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Entrectinib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gene-fusion sarcomas)</w:t>
            </w:r>
          </w:p>
        </w:tc>
      </w:tr>
      <w:tr w:rsidR="004D6E8A" w:rsidRPr="004D6E8A" w14:paraId="7950126D"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38E9DC02"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Thyroid Cacinoma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7EAA1DF4"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2.2019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5F4C02B0"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02100D42"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Larotrectinib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fusion-positive tumors)</w:t>
            </w:r>
          </w:p>
          <w:p w14:paraId="3CD93EFF"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Entrectinib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 fusion-positive tumors)</w:t>
            </w:r>
          </w:p>
          <w:p w14:paraId="755281F2"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vertAlign w:val="superscript"/>
              </w:rPr>
            </w:pPr>
            <w:r w:rsidRPr="004D6E8A">
              <w:rPr>
                <w:rFonts w:ascii="Times New Roman" w:eastAsia="ＭＳ ゴシック" w:hAnsi="Times New Roman" w:cs="Times New Roman"/>
                <w:kern w:val="2"/>
                <w:sz w:val="24"/>
                <w:szCs w:val="24"/>
              </w:rPr>
              <w:t xml:space="preserve">Larotrectinib and entrectinib are FDA approved for patients with </w:t>
            </w:r>
            <w:r w:rsidRPr="004D6E8A">
              <w:rPr>
                <w:rFonts w:ascii="Times New Roman" w:eastAsia="ＭＳ ゴシック" w:hAnsi="Times New Roman" w:cs="Times New Roman"/>
                <w:i/>
                <w:kern w:val="2"/>
                <w:sz w:val="24"/>
                <w:szCs w:val="24"/>
              </w:rPr>
              <w:t>NTRK</w:t>
            </w:r>
            <w:r w:rsidRPr="004D6E8A">
              <w:rPr>
                <w:rFonts w:ascii="Times New Roman" w:eastAsia="ＭＳ ゴシック" w:hAnsi="Times New Roman" w:cs="Times New Roman"/>
                <w:kern w:val="2"/>
                <w:sz w:val="24"/>
                <w:szCs w:val="24"/>
              </w:rPr>
              <w:t xml:space="preserve"> gene fusion-positive advanced solid tumours.</w:t>
            </w:r>
          </w:p>
        </w:tc>
      </w:tr>
      <w:tr w:rsidR="004D6E8A" w:rsidRPr="004D6E8A" w14:paraId="19D364FF"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0FDFE6FF" w14:textId="77777777" w:rsidR="004D6E8A" w:rsidRPr="004D6E8A" w:rsidRDefault="004D6E8A" w:rsidP="008A5F38">
            <w:pPr>
              <w:widowControl w:val="0"/>
              <w:spacing w:after="0" w:line="240" w:lineRule="auto"/>
              <w:rPr>
                <w:rFonts w:ascii="Times New Roman" w:eastAsia="ＭＳ ゴシック" w:hAnsi="Times New Roman" w:cs="Times New Roman"/>
                <w:b/>
                <w:bCs/>
                <w:kern w:val="2"/>
                <w:sz w:val="24"/>
                <w:szCs w:val="24"/>
              </w:rPr>
            </w:pPr>
            <w:r w:rsidRPr="004D6E8A">
              <w:rPr>
                <w:rFonts w:ascii="Times New Roman" w:eastAsia="游明朝" w:hAnsi="Times New Roman" w:cs="Times New Roman"/>
                <w:b/>
                <w:bCs/>
                <w:kern w:val="2"/>
                <w:sz w:val="21"/>
              </w:rPr>
              <w:t>Occult Primary</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1BAD80CF"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1</w:t>
            </w:r>
            <w:r w:rsidRPr="004D6E8A">
              <w:rPr>
                <w:rFonts w:ascii="Times New Roman" w:eastAsia="ＭＳ ゴシック" w:hAnsi="Times New Roman" w:cs="Times New Roman"/>
                <w:kern w:val="2"/>
                <w:sz w:val="24"/>
                <w:szCs w:val="24"/>
              </w:rPr>
              <w:t>.2020</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6A333334"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3035C500" w14:textId="4AC30F12"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Per physician discretion, TRK protein testing can be considered as part of broad immunohistochemistry testing (a positive test should then be </w:t>
            </w:r>
            <w:r w:rsidRPr="004D6E8A">
              <w:rPr>
                <w:rFonts w:ascii="Times New Roman" w:eastAsia="ＭＳ ゴシック" w:hAnsi="Times New Roman" w:cs="Times New Roman"/>
                <w:kern w:val="2"/>
                <w:sz w:val="24"/>
                <w:szCs w:val="24"/>
              </w:rPr>
              <w:lastRenderedPageBreak/>
              <w:t xml:space="preserve">confirmed with NGS):Drilon A, Laetsch TW, Kummar S, et al. Efficacy of larotrectinib in </w:t>
            </w:r>
            <w:r w:rsidRPr="004D6E8A">
              <w:rPr>
                <w:rFonts w:ascii="Times New Roman" w:eastAsia="ＭＳ ゴシック" w:hAnsi="Times New Roman" w:cs="Times New Roman"/>
                <w:i/>
                <w:iCs/>
                <w:kern w:val="2"/>
                <w:sz w:val="24"/>
                <w:szCs w:val="24"/>
              </w:rPr>
              <w:t>TRK</w:t>
            </w:r>
            <w:r w:rsidRPr="004D6E8A">
              <w:rPr>
                <w:rFonts w:ascii="Times New Roman" w:eastAsia="ＭＳ ゴシック" w:hAnsi="Times New Roman" w:cs="Times New Roman"/>
                <w:kern w:val="2"/>
                <w:sz w:val="24"/>
                <w:szCs w:val="24"/>
              </w:rPr>
              <w:t xml:space="preserve"> fusion-positive cancers in adults and children. N Engl J Med 2018;378:731-739; Demetri GD, Paz-Ares L, Farago AF, et al. Efficacy</w:t>
            </w:r>
            <w:r w:rsidR="008A5F38">
              <w:rPr>
                <w:rFonts w:ascii="Times New Roman" w:eastAsia="ＭＳ ゴシック" w:hAnsi="Times New Roman" w:cs="Times New Roman" w:hint="eastAsia"/>
                <w:kern w:val="2"/>
                <w:sz w:val="24"/>
                <w:szCs w:val="24"/>
              </w:rPr>
              <w:t xml:space="preserve"> </w:t>
            </w:r>
            <w:r w:rsidRPr="004D6E8A">
              <w:rPr>
                <w:rFonts w:ascii="Times New Roman" w:eastAsia="ＭＳ ゴシック" w:hAnsi="Times New Roman" w:cs="Times New Roman"/>
                <w:kern w:val="2"/>
                <w:sz w:val="24"/>
                <w:szCs w:val="24"/>
              </w:rPr>
              <w:t xml:space="preserve">and safety for entrectinib in patients with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fusion-positive tumours: pooled analysis of STARTRK-2, STARTRK-1, and Alka-372-001. ESMO Meeting in Munich, Germany; October 12-23, 2018. Oral</w:t>
            </w:r>
            <w:r w:rsidR="008A5F38">
              <w:rPr>
                <w:rFonts w:ascii="Times New Roman" w:eastAsia="ＭＳ ゴシック" w:hAnsi="Times New Roman" w:cs="Times New Roman" w:hint="eastAsia"/>
                <w:kern w:val="2"/>
                <w:sz w:val="24"/>
                <w:szCs w:val="24"/>
              </w:rPr>
              <w:t xml:space="preserve"> </w:t>
            </w:r>
            <w:r w:rsidRPr="004D6E8A">
              <w:rPr>
                <w:rFonts w:ascii="Times New Roman" w:eastAsia="ＭＳ ゴシック" w:hAnsi="Times New Roman" w:cs="Times New Roman"/>
                <w:kern w:val="2"/>
                <w:sz w:val="24"/>
                <w:szCs w:val="24"/>
              </w:rPr>
              <w:t>Presentation.</w:t>
            </w:r>
          </w:p>
        </w:tc>
      </w:tr>
      <w:tr w:rsidR="004D6E8A" w:rsidRPr="004D6E8A" w14:paraId="2E857659"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5DD655DD"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lastRenderedPageBreak/>
              <w:t>Ovarian Cacner</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02A8E737"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2.2019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24BAD9FC"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2F496A72"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Entrectinib or larotrectinib (for </w:t>
            </w:r>
            <w:r w:rsidRPr="004D6E8A">
              <w:rPr>
                <w:rFonts w:ascii="Times New Roman" w:eastAsia="ＭＳ ゴシック" w:hAnsi="Times New Roman" w:cs="Times New Roman"/>
                <w:i/>
                <w:kern w:val="2"/>
                <w:sz w:val="24"/>
                <w:szCs w:val="24"/>
              </w:rPr>
              <w:t>NTRK</w:t>
            </w:r>
            <w:r w:rsidRPr="004D6E8A">
              <w:rPr>
                <w:rFonts w:ascii="Times New Roman" w:eastAsia="ＭＳ ゴシック" w:hAnsi="Times New Roman" w:cs="Times New Roman"/>
                <w:kern w:val="2"/>
                <w:sz w:val="24"/>
                <w:szCs w:val="24"/>
              </w:rPr>
              <w:t xml:space="preserve"> gene fusion-positive tumors)</w:t>
            </w:r>
          </w:p>
        </w:tc>
      </w:tr>
      <w:tr w:rsidR="004D6E8A" w:rsidRPr="004D6E8A" w14:paraId="24694FD2"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511A137E"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hint="eastAsia"/>
                <w:b/>
                <w:kern w:val="2"/>
                <w:sz w:val="24"/>
                <w:szCs w:val="24"/>
              </w:rPr>
              <w:t>P</w:t>
            </w:r>
            <w:r w:rsidRPr="004D6E8A">
              <w:rPr>
                <w:rFonts w:ascii="Times New Roman" w:eastAsia="ＭＳ ゴシック" w:hAnsi="Times New Roman" w:cs="Times New Roman"/>
                <w:b/>
                <w:kern w:val="2"/>
                <w:sz w:val="24"/>
                <w:szCs w:val="24"/>
              </w:rPr>
              <w:t>ancreatic Adenocarcinoma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706A9679"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3</w:t>
            </w:r>
            <w:r w:rsidRPr="004D6E8A">
              <w:rPr>
                <w:rFonts w:ascii="Times New Roman" w:eastAsia="ＭＳ ゴシック" w:hAnsi="Times New Roman" w:cs="Times New Roman"/>
                <w:kern w:val="2"/>
                <w:sz w:val="24"/>
                <w:szCs w:val="24"/>
              </w:rPr>
              <w:t>.2019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441B87A8"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U</w:t>
            </w:r>
            <w:r w:rsidRPr="004D6E8A">
              <w:rPr>
                <w:rFonts w:ascii="Times New Roman" w:eastAsia="ＭＳ ゴシック" w:hAnsi="Times New Roman" w:cs="Times New Roman"/>
                <w:kern w:val="2"/>
                <w:sz w:val="24"/>
                <w:szCs w:val="24"/>
              </w:rPr>
              <w:t>seful in Certain Circumstances</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6F3020DA"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hint="eastAsia"/>
                <w:kern w:val="2"/>
                <w:sz w:val="24"/>
                <w:szCs w:val="24"/>
              </w:rPr>
              <w:t>L</w:t>
            </w:r>
            <w:r w:rsidRPr="004D6E8A">
              <w:rPr>
                <w:rFonts w:ascii="Times New Roman" w:eastAsia="ＭＳ ゴシック" w:hAnsi="Times New Roman" w:cs="Times New Roman"/>
                <w:kern w:val="2"/>
                <w:sz w:val="24"/>
                <w:szCs w:val="24"/>
              </w:rPr>
              <w:t>arotrectinib (If</w:t>
            </w:r>
            <w:r w:rsidRPr="004D6E8A">
              <w:rPr>
                <w:rFonts w:ascii="Times New Roman" w:eastAsia="ＭＳ ゴシック" w:hAnsi="Times New Roman" w:cs="Times New Roman"/>
                <w:i/>
                <w:iCs/>
                <w:kern w:val="2"/>
                <w:sz w:val="24"/>
                <w:szCs w:val="24"/>
              </w:rPr>
              <w:t xml:space="preserve"> NTRK</w:t>
            </w:r>
            <w:r w:rsidRPr="004D6E8A">
              <w:rPr>
                <w:rFonts w:ascii="Times New Roman" w:eastAsia="ＭＳ ゴシック" w:hAnsi="Times New Roman" w:cs="Times New Roman"/>
                <w:kern w:val="2"/>
                <w:sz w:val="24"/>
                <w:szCs w:val="24"/>
              </w:rPr>
              <w:t xml:space="preserve"> gene fusion positive)</w:t>
            </w:r>
          </w:p>
        </w:tc>
      </w:tr>
      <w:tr w:rsidR="004D6E8A" w:rsidRPr="004D6E8A" w14:paraId="24E99870" w14:textId="77777777" w:rsidTr="008A5F38">
        <w:trPr>
          <w:trHeight w:val="197"/>
        </w:trPr>
        <w:tc>
          <w:tcPr>
            <w:tcW w:w="1832" w:type="dxa"/>
            <w:tcBorders>
              <w:top w:val="single" w:sz="8" w:space="0" w:color="000000"/>
              <w:left w:val="single" w:sz="8" w:space="0" w:color="000000"/>
              <w:bottom w:val="single" w:sz="8" w:space="0" w:color="000000"/>
              <w:right w:val="single" w:sz="8" w:space="0" w:color="000000"/>
            </w:tcBorders>
            <w:shd w:val="clear" w:color="auto" w:fill="F2F2F2"/>
            <w:tcMar>
              <w:top w:w="15" w:type="dxa"/>
              <w:left w:w="37" w:type="dxa"/>
              <w:bottom w:w="0" w:type="dxa"/>
              <w:right w:w="37" w:type="dxa"/>
            </w:tcMar>
            <w:vAlign w:val="center"/>
          </w:tcPr>
          <w:p w14:paraId="7727F23E" w14:textId="77777777" w:rsidR="004D6E8A" w:rsidRPr="004D6E8A" w:rsidRDefault="004D6E8A" w:rsidP="008A5F38">
            <w:pPr>
              <w:widowControl w:val="0"/>
              <w:spacing w:after="0" w:line="240" w:lineRule="auto"/>
              <w:rPr>
                <w:rFonts w:ascii="Times New Roman" w:eastAsia="ＭＳ ゴシック" w:hAnsi="Times New Roman" w:cs="Times New Roman"/>
                <w:b/>
                <w:kern w:val="2"/>
                <w:sz w:val="24"/>
                <w:szCs w:val="24"/>
              </w:rPr>
            </w:pPr>
            <w:r w:rsidRPr="004D6E8A">
              <w:rPr>
                <w:rFonts w:ascii="Times New Roman" w:eastAsia="ＭＳ ゴシック" w:hAnsi="Times New Roman" w:cs="Times New Roman"/>
                <w:b/>
                <w:kern w:val="2"/>
                <w:sz w:val="24"/>
                <w:szCs w:val="24"/>
              </w:rPr>
              <w:t>Cutaneous Melanoma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52853540"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2.2019</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5B58B47C" w14:textId="77777777" w:rsidR="004D6E8A" w:rsidRPr="004D6E8A" w:rsidRDefault="004D6E8A" w:rsidP="008A5F38">
            <w:pPr>
              <w:widowControl w:val="0"/>
              <w:spacing w:after="0" w:line="240" w:lineRule="auto"/>
              <w:rPr>
                <w:rFonts w:ascii="Times New Roman" w:eastAsia="ＭＳ ゴシック" w:hAnsi="Times New Roman" w:cs="Times New Roman"/>
                <w:kern w:val="2"/>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37" w:type="dxa"/>
              <w:bottom w:w="0" w:type="dxa"/>
              <w:right w:w="37" w:type="dxa"/>
            </w:tcMar>
            <w:vAlign w:val="center"/>
          </w:tcPr>
          <w:p w14:paraId="7510E9E3" w14:textId="77777777" w:rsidR="004D6E8A" w:rsidRPr="004D6E8A" w:rsidRDefault="004D6E8A" w:rsidP="008A5F38">
            <w:pPr>
              <w:widowControl w:val="0"/>
              <w:spacing w:after="60" w:line="240" w:lineRule="auto"/>
              <w:rPr>
                <w:rFonts w:ascii="Times New Roman" w:eastAsia="ＭＳ ゴシック" w:hAnsi="Times New Roman" w:cs="Times New Roman"/>
                <w:kern w:val="2"/>
                <w:sz w:val="24"/>
                <w:szCs w:val="24"/>
              </w:rPr>
            </w:pPr>
            <w:r w:rsidRPr="004D6E8A">
              <w:rPr>
                <w:rFonts w:ascii="Times New Roman" w:eastAsia="ＭＳ ゴシック" w:hAnsi="Times New Roman" w:cs="Times New Roman"/>
                <w:kern w:val="2"/>
                <w:sz w:val="24"/>
                <w:szCs w:val="24"/>
              </w:rPr>
              <w:t xml:space="preserve">Larotrectinib for </w:t>
            </w:r>
            <w:r w:rsidRPr="004D6E8A">
              <w:rPr>
                <w:rFonts w:ascii="Times New Roman" w:eastAsia="ＭＳ ゴシック" w:hAnsi="Times New Roman" w:cs="Times New Roman"/>
                <w:i/>
                <w:iCs/>
                <w:kern w:val="2"/>
                <w:sz w:val="24"/>
                <w:szCs w:val="24"/>
              </w:rPr>
              <w:t>NTRK</w:t>
            </w:r>
            <w:r w:rsidRPr="004D6E8A">
              <w:rPr>
                <w:rFonts w:ascii="Times New Roman" w:eastAsia="ＭＳ ゴシック" w:hAnsi="Times New Roman" w:cs="Times New Roman"/>
                <w:kern w:val="2"/>
                <w:sz w:val="24"/>
                <w:szCs w:val="24"/>
              </w:rPr>
              <w:t xml:space="preserve"> gene-fusion positive tumors</w:t>
            </w:r>
          </w:p>
        </w:tc>
      </w:tr>
    </w:tbl>
    <w:p w14:paraId="3089B49D" w14:textId="77777777" w:rsidR="004D6E8A" w:rsidRPr="004D6E8A" w:rsidRDefault="004D6E8A" w:rsidP="004D6E8A">
      <w:pPr>
        <w:widowControl w:val="0"/>
        <w:spacing w:after="0" w:line="240" w:lineRule="auto"/>
        <w:jc w:val="both"/>
        <w:rPr>
          <w:rFonts w:ascii="Times New Roman" w:eastAsia="ＭＳ ゴシック" w:hAnsi="Times New Roman" w:cs="Times New Roman"/>
          <w:snapToGrid w:val="0"/>
          <w:kern w:val="2"/>
          <w:sz w:val="24"/>
          <w:szCs w:val="24"/>
        </w:rPr>
      </w:pPr>
    </w:p>
    <w:p w14:paraId="04443852" w14:textId="32DDB253" w:rsidR="00ED240A" w:rsidRDefault="00ED240A" w:rsidP="004D6E8A"/>
    <w:sectPr w:rsidR="00ED240A" w:rsidSect="004D6E8A">
      <w:pgSz w:w="11906" w:h="16838"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B7626B" w16cid:durableId="218D25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E32D2" w14:textId="77777777" w:rsidR="00856416" w:rsidRDefault="00856416" w:rsidP="00B51A9F">
      <w:pPr>
        <w:spacing w:after="0" w:line="240" w:lineRule="auto"/>
      </w:pPr>
      <w:r>
        <w:separator/>
      </w:r>
    </w:p>
  </w:endnote>
  <w:endnote w:type="continuationSeparator" w:id="0">
    <w:p w14:paraId="42CB5654" w14:textId="77777777" w:rsidR="00856416" w:rsidRDefault="00856416" w:rsidP="00B5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BCAEB" w14:textId="77777777" w:rsidR="00856416" w:rsidRDefault="00856416" w:rsidP="00B51A9F">
      <w:pPr>
        <w:spacing w:after="0" w:line="240" w:lineRule="auto"/>
      </w:pPr>
      <w:r>
        <w:separator/>
      </w:r>
    </w:p>
  </w:footnote>
  <w:footnote w:type="continuationSeparator" w:id="0">
    <w:p w14:paraId="328EF4E0" w14:textId="77777777" w:rsidR="00856416" w:rsidRDefault="00856416" w:rsidP="00B51A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E8A"/>
    <w:rsid w:val="0003426D"/>
    <w:rsid w:val="00057D82"/>
    <w:rsid w:val="00137B49"/>
    <w:rsid w:val="001F6B1B"/>
    <w:rsid w:val="00232243"/>
    <w:rsid w:val="00281248"/>
    <w:rsid w:val="002A1665"/>
    <w:rsid w:val="002E09DA"/>
    <w:rsid w:val="00317875"/>
    <w:rsid w:val="0034369F"/>
    <w:rsid w:val="003A0116"/>
    <w:rsid w:val="003A17B3"/>
    <w:rsid w:val="003C5C70"/>
    <w:rsid w:val="004020F0"/>
    <w:rsid w:val="00413D26"/>
    <w:rsid w:val="004318F3"/>
    <w:rsid w:val="0045523F"/>
    <w:rsid w:val="00457EB9"/>
    <w:rsid w:val="00470A86"/>
    <w:rsid w:val="004728A3"/>
    <w:rsid w:val="00492DE8"/>
    <w:rsid w:val="004C4700"/>
    <w:rsid w:val="004D6E8A"/>
    <w:rsid w:val="00520BB1"/>
    <w:rsid w:val="005633AB"/>
    <w:rsid w:val="005A5AE1"/>
    <w:rsid w:val="005B5C38"/>
    <w:rsid w:val="0063007E"/>
    <w:rsid w:val="00644D7F"/>
    <w:rsid w:val="00694008"/>
    <w:rsid w:val="00765095"/>
    <w:rsid w:val="00766F1D"/>
    <w:rsid w:val="007B7116"/>
    <w:rsid w:val="007F7853"/>
    <w:rsid w:val="008357A6"/>
    <w:rsid w:val="00856416"/>
    <w:rsid w:val="00870DE4"/>
    <w:rsid w:val="00881D71"/>
    <w:rsid w:val="008A11FA"/>
    <w:rsid w:val="008A4DEA"/>
    <w:rsid w:val="008A5F38"/>
    <w:rsid w:val="008E230F"/>
    <w:rsid w:val="00927CD6"/>
    <w:rsid w:val="009463CA"/>
    <w:rsid w:val="009C0FB2"/>
    <w:rsid w:val="009D6869"/>
    <w:rsid w:val="009D69E0"/>
    <w:rsid w:val="00A10AAB"/>
    <w:rsid w:val="00A42197"/>
    <w:rsid w:val="00A47883"/>
    <w:rsid w:val="00A717AE"/>
    <w:rsid w:val="00AB3256"/>
    <w:rsid w:val="00B1673E"/>
    <w:rsid w:val="00B4457F"/>
    <w:rsid w:val="00B51A9F"/>
    <w:rsid w:val="00B62EA0"/>
    <w:rsid w:val="00BD296E"/>
    <w:rsid w:val="00BE669B"/>
    <w:rsid w:val="00C2668E"/>
    <w:rsid w:val="00CB248A"/>
    <w:rsid w:val="00CF732D"/>
    <w:rsid w:val="00D3697E"/>
    <w:rsid w:val="00D44288"/>
    <w:rsid w:val="00DD3FC0"/>
    <w:rsid w:val="00E30209"/>
    <w:rsid w:val="00E61251"/>
    <w:rsid w:val="00EB28FE"/>
    <w:rsid w:val="00ED240A"/>
    <w:rsid w:val="00F30342"/>
    <w:rsid w:val="00FC1D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AFC543"/>
  <w15:docId w15:val="{28A33464-0F45-4C6A-9E4F-52620BF97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6E8A"/>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B248A"/>
    <w:rPr>
      <w:sz w:val="18"/>
      <w:szCs w:val="18"/>
    </w:rPr>
  </w:style>
  <w:style w:type="paragraph" w:styleId="a5">
    <w:name w:val="annotation text"/>
    <w:basedOn w:val="a"/>
    <w:link w:val="a6"/>
    <w:uiPriority w:val="99"/>
    <w:semiHidden/>
    <w:unhideWhenUsed/>
    <w:rsid w:val="00CB248A"/>
  </w:style>
  <w:style w:type="character" w:customStyle="1" w:styleId="a6">
    <w:name w:val="コメント文字列 (文字)"/>
    <w:basedOn w:val="a0"/>
    <w:link w:val="a5"/>
    <w:uiPriority w:val="99"/>
    <w:semiHidden/>
    <w:rsid w:val="00CB248A"/>
  </w:style>
  <w:style w:type="paragraph" w:styleId="a7">
    <w:name w:val="annotation subject"/>
    <w:basedOn w:val="a5"/>
    <w:next w:val="a5"/>
    <w:link w:val="a8"/>
    <w:uiPriority w:val="99"/>
    <w:semiHidden/>
    <w:unhideWhenUsed/>
    <w:rsid w:val="00CB248A"/>
    <w:rPr>
      <w:b/>
      <w:bCs/>
    </w:rPr>
  </w:style>
  <w:style w:type="character" w:customStyle="1" w:styleId="a8">
    <w:name w:val="コメント内容 (文字)"/>
    <w:basedOn w:val="a6"/>
    <w:link w:val="a7"/>
    <w:uiPriority w:val="99"/>
    <w:semiHidden/>
    <w:rsid w:val="00CB248A"/>
    <w:rPr>
      <w:b/>
      <w:bCs/>
    </w:rPr>
  </w:style>
  <w:style w:type="paragraph" w:styleId="a9">
    <w:name w:val="Balloon Text"/>
    <w:basedOn w:val="a"/>
    <w:link w:val="aa"/>
    <w:uiPriority w:val="99"/>
    <w:semiHidden/>
    <w:unhideWhenUsed/>
    <w:rsid w:val="00CB248A"/>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B248A"/>
    <w:rPr>
      <w:rFonts w:asciiTheme="majorHAnsi" w:eastAsiaTheme="majorEastAsia" w:hAnsiTheme="majorHAnsi" w:cstheme="majorBidi"/>
      <w:sz w:val="18"/>
      <w:szCs w:val="18"/>
    </w:rPr>
  </w:style>
  <w:style w:type="paragraph" w:styleId="ab">
    <w:name w:val="header"/>
    <w:basedOn w:val="a"/>
    <w:link w:val="ac"/>
    <w:uiPriority w:val="99"/>
    <w:unhideWhenUsed/>
    <w:rsid w:val="00B51A9F"/>
    <w:pPr>
      <w:tabs>
        <w:tab w:val="center" w:pos="4252"/>
        <w:tab w:val="right" w:pos="8504"/>
      </w:tabs>
      <w:snapToGrid w:val="0"/>
    </w:pPr>
  </w:style>
  <w:style w:type="character" w:customStyle="1" w:styleId="ac">
    <w:name w:val="ヘッダー (文字)"/>
    <w:basedOn w:val="a0"/>
    <w:link w:val="ab"/>
    <w:uiPriority w:val="99"/>
    <w:rsid w:val="00B51A9F"/>
  </w:style>
  <w:style w:type="paragraph" w:styleId="ad">
    <w:name w:val="footer"/>
    <w:basedOn w:val="a"/>
    <w:link w:val="ae"/>
    <w:uiPriority w:val="99"/>
    <w:unhideWhenUsed/>
    <w:rsid w:val="00B51A9F"/>
    <w:pPr>
      <w:tabs>
        <w:tab w:val="center" w:pos="4252"/>
        <w:tab w:val="right" w:pos="8504"/>
      </w:tabs>
      <w:snapToGrid w:val="0"/>
    </w:pPr>
  </w:style>
  <w:style w:type="character" w:customStyle="1" w:styleId="ae">
    <w:name w:val="フッター (文字)"/>
    <w:basedOn w:val="a0"/>
    <w:link w:val="ad"/>
    <w:uiPriority w:val="99"/>
    <w:rsid w:val="00B51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6329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naitoh</cp:lastModifiedBy>
  <cp:revision>3</cp:revision>
  <dcterms:created xsi:type="dcterms:W3CDTF">2019-12-11T13:23:00Z</dcterms:created>
  <dcterms:modified xsi:type="dcterms:W3CDTF">2019-12-11T22:37:00Z</dcterms:modified>
</cp:coreProperties>
</file>