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890" w:rsidRPr="00A73597" w:rsidRDefault="00F06890" w:rsidP="00F06890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A73597">
        <w:rPr>
          <w:rFonts w:ascii="Times New Roman" w:hAnsi="Times New Roman" w:cs="Times New Roman"/>
          <w:sz w:val="24"/>
          <w:szCs w:val="24"/>
        </w:rPr>
        <w:t>Supplementary Material</w:t>
      </w:r>
    </w:p>
    <w:p w:rsidR="00A73597" w:rsidRDefault="00A73597" w:rsidP="00A73597">
      <w:pPr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A73597">
        <w:rPr>
          <w:rFonts w:ascii="Times New Roman" w:hAnsi="Times New Roman" w:cs="Times New Roman"/>
          <w:b/>
          <w:sz w:val="20"/>
          <w:szCs w:val="20"/>
          <w:lang w:eastAsia="en-US"/>
        </w:rPr>
        <w:t>Effectiveness and safety of nivolumab in patients with head and neck cancer in Japanese real-world clinical practic</w:t>
      </w:r>
      <w:r w:rsidRPr="00A73597">
        <w:rPr>
          <w:rFonts w:ascii="Times New Roman" w:hAnsi="Times New Roman" w:cs="Times New Roman"/>
          <w:b/>
          <w:sz w:val="20"/>
          <w:szCs w:val="20"/>
        </w:rPr>
        <w:t>e</w:t>
      </w:r>
      <w:r w:rsidRPr="00A73597">
        <w:rPr>
          <w:rFonts w:ascii="Times New Roman" w:hAnsi="Times New Roman" w:cs="Times New Roman"/>
          <w:b/>
          <w:sz w:val="20"/>
          <w:szCs w:val="20"/>
          <w:lang w:eastAsia="en-US"/>
        </w:rPr>
        <w:t>: A multicenter retrospective clinical study</w:t>
      </w:r>
    </w:p>
    <w:p w:rsidR="00A73597" w:rsidRPr="00A73597" w:rsidRDefault="00A73597" w:rsidP="00A73597">
      <w:pPr>
        <w:rPr>
          <w:rFonts w:ascii="Times New Roman" w:hAnsi="Times New Roman" w:cs="Times New Roman"/>
          <w:b/>
          <w:sz w:val="20"/>
          <w:szCs w:val="20"/>
        </w:rPr>
      </w:pPr>
      <w:r w:rsidRPr="00A73597">
        <w:rPr>
          <w:rFonts w:ascii="Times New Roman" w:hAnsi="Times New Roman" w:cs="Times New Roman"/>
          <w:b/>
          <w:sz w:val="20"/>
          <w:szCs w:val="20"/>
        </w:rPr>
        <w:t>The International Journal of Clinical Oncology</w:t>
      </w:r>
    </w:p>
    <w:p w:rsidR="00A73597" w:rsidRPr="00A73597" w:rsidRDefault="00A73597" w:rsidP="00A73597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73597">
        <w:rPr>
          <w:rFonts w:ascii="Times New Roman" w:hAnsi="Times New Roman" w:cs="Times New Roman"/>
          <w:sz w:val="20"/>
          <w:szCs w:val="20"/>
          <w:lang w:eastAsia="en-US"/>
        </w:rPr>
        <w:t>Nobuhiro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Hanai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, Yasushi Shimizu, Shin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Kariya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, Ryuji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Yasumatsu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Tomoya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 Yokota, Takashi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Fujii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Kiyoaki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Tsukahara</w:t>
      </w:r>
      <w:proofErr w:type="spellEnd"/>
      <w:r w:rsidRPr="00A73597">
        <w:rPr>
          <w:rFonts w:ascii="Times New Roman" w:hAnsi="Times New Roman" w:cs="Times New Roman"/>
          <w:sz w:val="20"/>
          <w:szCs w:val="20"/>
          <w:lang w:eastAsia="ja-JP"/>
        </w:rPr>
        <w:t xml:space="preserve">,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Masafumi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 Yoshida, Kenji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Hanyu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, Tsutomu Ueda, Hitoshi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Hirakawa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Shunji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 Takahashi,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Takeharu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 Ono, Daisuke Sano</w:t>
      </w:r>
      <w:r w:rsidRPr="00A73597">
        <w:rPr>
          <w:rFonts w:ascii="Times New Roman" w:hAnsi="Times New Roman" w:cs="Times New Roman"/>
          <w:sz w:val="20"/>
          <w:szCs w:val="20"/>
          <w:lang w:eastAsia="ja-JP"/>
        </w:rPr>
        <w:t xml:space="preserve">, </w:t>
      </w:r>
      <w:proofErr w:type="spellStart"/>
      <w:r w:rsidRPr="00A73597">
        <w:rPr>
          <w:rFonts w:ascii="Times New Roman" w:hAnsi="Times New Roman" w:cs="Times New Roman"/>
          <w:sz w:val="20"/>
          <w:szCs w:val="20"/>
          <w:lang w:eastAsia="ja-JP"/>
        </w:rPr>
        <w:t>Moriyasu</w:t>
      </w:r>
      <w:proofErr w:type="spellEnd"/>
      <w:r w:rsidRPr="00A73597">
        <w:rPr>
          <w:rFonts w:ascii="Times New Roman" w:hAnsi="Times New Roman" w:cs="Times New Roman"/>
          <w:sz w:val="20"/>
          <w:szCs w:val="20"/>
          <w:lang w:eastAsia="ja-JP"/>
        </w:rPr>
        <w:t xml:space="preserve"> Yamauchi, </w:t>
      </w:r>
      <w:r w:rsidRPr="00A73597">
        <w:rPr>
          <w:rFonts w:ascii="Times New Roman" w:hAnsi="Times New Roman" w:cs="Times New Roman"/>
          <w:sz w:val="20"/>
          <w:szCs w:val="20"/>
        </w:rPr>
        <w:t>Akihito Watanabe, Koichi Omori, Tomoko Yamazaki,</w:t>
      </w:r>
      <w:r w:rsidRPr="00A73597">
        <w:rPr>
          <w:rFonts w:ascii="Times New Roman" w:hAnsi="Times New Roman" w:cs="Times New Roman"/>
          <w:sz w:val="20"/>
          <w:szCs w:val="20"/>
          <w:lang w:eastAsia="ja-JP"/>
        </w:rPr>
        <w:t xml:space="preserve">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Nobuya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Monden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, Naomi Kudo, Makoto Arai,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Daiju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 Sakurai</w:t>
      </w:r>
      <w:r w:rsidRPr="00A73597">
        <w:rPr>
          <w:rFonts w:ascii="Times New Roman" w:hAnsi="Times New Roman" w:cs="Times New Roman"/>
          <w:sz w:val="20"/>
          <w:szCs w:val="20"/>
          <w:lang w:eastAsia="ja-JP"/>
        </w:rPr>
        <w:t xml:space="preserve">, </w:t>
      </w:r>
      <w:r w:rsidRPr="00A73597">
        <w:rPr>
          <w:rFonts w:ascii="Times New Roman" w:hAnsi="Times New Roman" w:cs="Times New Roman"/>
          <w:sz w:val="20"/>
          <w:szCs w:val="20"/>
        </w:rPr>
        <w:t xml:space="preserve">Takahiro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Asakage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Issei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73597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A73597">
        <w:rPr>
          <w:rFonts w:ascii="Times New Roman" w:hAnsi="Times New Roman" w:cs="Times New Roman"/>
          <w:sz w:val="20"/>
          <w:szCs w:val="20"/>
        </w:rPr>
        <w:t>, Takayuki Yamada</w:t>
      </w:r>
      <w:r w:rsidRPr="00A73597">
        <w:rPr>
          <w:rFonts w:ascii="Times New Roman" w:hAnsi="Times New Roman" w:cs="Times New Roman"/>
          <w:sz w:val="20"/>
          <w:szCs w:val="20"/>
          <w:lang w:eastAsia="ja-JP"/>
        </w:rPr>
        <w:t xml:space="preserve">, </w:t>
      </w:r>
      <w:r w:rsidRPr="00A73597">
        <w:rPr>
          <w:rFonts w:ascii="Times New Roman" w:hAnsi="Times New Roman" w:cs="Times New Roman"/>
          <w:sz w:val="20"/>
          <w:szCs w:val="20"/>
        </w:rPr>
        <w:t>Akihiro Homma</w:t>
      </w:r>
    </w:p>
    <w:p w:rsidR="00A73597" w:rsidRPr="00A73597" w:rsidRDefault="00A73597" w:rsidP="00A73597">
      <w:pPr>
        <w:rPr>
          <w:rFonts w:ascii="Times New Roman" w:hAnsi="Times New Roman" w:cs="Times New Roman"/>
          <w:sz w:val="20"/>
          <w:szCs w:val="20"/>
        </w:rPr>
      </w:pPr>
      <w:r w:rsidRPr="00A73597">
        <w:rPr>
          <w:rFonts w:ascii="Times New Roman" w:hAnsi="Times New Roman" w:cs="Times New Roman"/>
          <w:b/>
          <w:sz w:val="20"/>
          <w:szCs w:val="20"/>
        </w:rPr>
        <w:t>Corresponding Author:</w:t>
      </w:r>
      <w:r w:rsidRPr="00A73597">
        <w:rPr>
          <w:rFonts w:ascii="Times New Roman" w:hAnsi="Times New Roman" w:cs="Times New Roman"/>
          <w:sz w:val="20"/>
          <w:szCs w:val="20"/>
        </w:rPr>
        <w:t xml:space="preserve"> Akihiro Homma, E-mail: </w:t>
      </w:r>
      <w:hyperlink r:id="rId4" w:history="1">
        <w:r w:rsidRPr="00A73597">
          <w:rPr>
            <w:rStyle w:val="Hyperlink"/>
            <w:rFonts w:ascii="Times New Roman" w:hAnsi="Times New Roman" w:cs="Times New Roman"/>
            <w:sz w:val="20"/>
            <w:szCs w:val="20"/>
          </w:rPr>
          <w:t>ak-homma@med.hokudai.ac.jp</w:t>
        </w:r>
      </w:hyperlink>
    </w:p>
    <w:p w:rsidR="00A73597" w:rsidRDefault="00A73597">
      <w:pPr>
        <w:widowControl/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F06890" w:rsidRPr="00A73597" w:rsidRDefault="00F06890" w:rsidP="00F06890">
      <w:pPr>
        <w:rPr>
          <w:rFonts w:ascii="Times New Roman" w:hAnsi="Times New Roman" w:cs="Times New Roman"/>
          <w:sz w:val="20"/>
          <w:szCs w:val="20"/>
        </w:rPr>
      </w:pPr>
      <w:r w:rsidRPr="00A73597">
        <w:rPr>
          <w:rFonts w:ascii="Times New Roman" w:hAnsi="Times New Roman" w:cs="Times New Roman"/>
          <w:b/>
          <w:sz w:val="20"/>
          <w:szCs w:val="20"/>
        </w:rPr>
        <w:lastRenderedPageBreak/>
        <w:t>Table S1.</w:t>
      </w:r>
      <w:r w:rsidRPr="00A73597">
        <w:rPr>
          <w:rFonts w:ascii="Times New Roman" w:hAnsi="Times New Roman" w:cs="Times New Roman"/>
          <w:sz w:val="20"/>
          <w:szCs w:val="20"/>
        </w:rPr>
        <w:t xml:space="preserve"> Nivolumab treatment parameters </w:t>
      </w:r>
    </w:p>
    <w:tbl>
      <w:tblPr>
        <w:tblW w:w="8046" w:type="dxa"/>
        <w:tblBorders>
          <w:top w:val="single" w:sz="8" w:space="0" w:color="000000"/>
          <w:bottom w:val="single" w:sz="8" w:space="0" w:color="000000"/>
        </w:tblBorders>
        <w:tblLook w:val="0600" w:firstRow="0" w:lastRow="0" w:firstColumn="0" w:lastColumn="0" w:noHBand="1" w:noVBand="1"/>
      </w:tblPr>
      <w:tblGrid>
        <w:gridCol w:w="4928"/>
        <w:gridCol w:w="3118"/>
      </w:tblGrid>
      <w:tr w:rsidR="00F06890" w:rsidRPr="00A73597" w:rsidTr="002029FF">
        <w:trPr>
          <w:trHeight w:val="396"/>
        </w:trPr>
        <w:tc>
          <w:tcPr>
            <w:tcW w:w="4928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b/>
                <w:sz w:val="20"/>
                <w:szCs w:val="20"/>
              </w:rPr>
              <w:t>Nivolumab</w:t>
            </w:r>
          </w:p>
        </w:tc>
      </w:tr>
      <w:tr w:rsidR="00F06890" w:rsidRPr="00A73597" w:rsidTr="002029FF">
        <w:trPr>
          <w:trHeight w:val="413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>Line of treatment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890" w:rsidRPr="00A73597" w:rsidTr="002029FF">
        <w:trPr>
          <w:trHeight w:val="413"/>
        </w:trPr>
        <w:tc>
          <w:tcPr>
            <w:tcW w:w="492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ab/>
              <w:t>Median (range)</w:t>
            </w:r>
          </w:p>
        </w:tc>
        <w:tc>
          <w:tcPr>
            <w:tcW w:w="311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>2.0 (1–6)</w:t>
            </w:r>
          </w:p>
        </w:tc>
      </w:tr>
      <w:tr w:rsidR="00F06890" w:rsidRPr="00A73597" w:rsidTr="002029FF">
        <w:trPr>
          <w:trHeight w:val="413"/>
        </w:trPr>
        <w:tc>
          <w:tcPr>
            <w:tcW w:w="492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ab/>
              <w:t>IQR</w:t>
            </w:r>
          </w:p>
        </w:tc>
        <w:tc>
          <w:tcPr>
            <w:tcW w:w="311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>1.0–3.0</w:t>
            </w:r>
          </w:p>
        </w:tc>
      </w:tr>
      <w:tr w:rsidR="00F06890" w:rsidRPr="00A73597" w:rsidTr="002029FF">
        <w:trPr>
          <w:trHeight w:val="413"/>
        </w:trPr>
        <w:tc>
          <w:tcPr>
            <w:tcW w:w="492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Mean (SD) </w:t>
            </w:r>
          </w:p>
        </w:tc>
        <w:tc>
          <w:tcPr>
            <w:tcW w:w="311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>2.2 (1.1)</w:t>
            </w:r>
          </w:p>
        </w:tc>
      </w:tr>
      <w:tr w:rsidR="00F06890" w:rsidRPr="00A73597" w:rsidTr="002029FF">
        <w:trPr>
          <w:trHeight w:val="413"/>
        </w:trPr>
        <w:tc>
          <w:tcPr>
            <w:tcW w:w="492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>Number of doses</w:t>
            </w:r>
          </w:p>
        </w:tc>
        <w:tc>
          <w:tcPr>
            <w:tcW w:w="311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890" w:rsidRPr="00A73597" w:rsidTr="002029FF">
        <w:trPr>
          <w:trHeight w:val="413"/>
        </w:trPr>
        <w:tc>
          <w:tcPr>
            <w:tcW w:w="492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ab/>
              <w:t>Median (range)</w:t>
            </w:r>
          </w:p>
        </w:tc>
        <w:tc>
          <w:tcPr>
            <w:tcW w:w="311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>6.0 (1–27)</w:t>
            </w:r>
          </w:p>
        </w:tc>
      </w:tr>
      <w:tr w:rsidR="00F06890" w:rsidRPr="00A73597" w:rsidTr="002029FF">
        <w:trPr>
          <w:trHeight w:val="413"/>
        </w:trPr>
        <w:tc>
          <w:tcPr>
            <w:tcW w:w="492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ab/>
              <w:t>IQR</w:t>
            </w:r>
          </w:p>
        </w:tc>
        <w:tc>
          <w:tcPr>
            <w:tcW w:w="311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>3.0–12.0</w:t>
            </w:r>
          </w:p>
        </w:tc>
      </w:tr>
      <w:tr w:rsidR="00F06890" w:rsidRPr="00A73597" w:rsidTr="002029FF">
        <w:trPr>
          <w:trHeight w:val="413"/>
        </w:trPr>
        <w:tc>
          <w:tcPr>
            <w:tcW w:w="492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Mean (SD) </w:t>
            </w:r>
          </w:p>
        </w:tc>
        <w:tc>
          <w:tcPr>
            <w:tcW w:w="311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>8.9 (7.8)</w:t>
            </w:r>
          </w:p>
        </w:tc>
      </w:tr>
      <w:tr w:rsidR="00F06890" w:rsidRPr="00A73597" w:rsidTr="002029FF">
        <w:trPr>
          <w:trHeight w:val="413"/>
        </w:trPr>
        <w:tc>
          <w:tcPr>
            <w:tcW w:w="492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>Duration of administration (days)</w:t>
            </w:r>
          </w:p>
        </w:tc>
        <w:tc>
          <w:tcPr>
            <w:tcW w:w="311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890" w:rsidRPr="00A73597" w:rsidTr="002029FF">
        <w:trPr>
          <w:trHeight w:val="413"/>
        </w:trPr>
        <w:tc>
          <w:tcPr>
            <w:tcW w:w="492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ab/>
              <w:t>Median (range)</w:t>
            </w:r>
          </w:p>
        </w:tc>
        <w:tc>
          <w:tcPr>
            <w:tcW w:w="311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>72.5 (1–380)</w:t>
            </w:r>
          </w:p>
        </w:tc>
      </w:tr>
      <w:tr w:rsidR="00F06890" w:rsidRPr="00A73597" w:rsidTr="002029FF">
        <w:trPr>
          <w:trHeight w:val="413"/>
        </w:trPr>
        <w:tc>
          <w:tcPr>
            <w:tcW w:w="4928" w:type="dxa"/>
            <w:shd w:val="clear" w:color="auto" w:fill="auto"/>
          </w:tcPr>
          <w:p w:rsidR="00F06890" w:rsidRPr="00A73597" w:rsidRDefault="00F06890" w:rsidP="002029F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ab/>
              <w:t>IQR</w:t>
            </w:r>
          </w:p>
        </w:tc>
        <w:tc>
          <w:tcPr>
            <w:tcW w:w="3118" w:type="dxa"/>
            <w:shd w:val="clear" w:color="auto" w:fill="auto"/>
          </w:tcPr>
          <w:p w:rsidR="00F06890" w:rsidRPr="00A73597" w:rsidRDefault="00F06890" w:rsidP="002029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>31.5–173.0</w:t>
            </w:r>
          </w:p>
        </w:tc>
      </w:tr>
      <w:tr w:rsidR="00F06890" w:rsidRPr="00A73597" w:rsidTr="002029FF">
        <w:trPr>
          <w:trHeight w:val="413"/>
        </w:trPr>
        <w:tc>
          <w:tcPr>
            <w:tcW w:w="492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ab/>
              <w:t>Mean (SD)</w:t>
            </w:r>
          </w:p>
        </w:tc>
        <w:tc>
          <w:tcPr>
            <w:tcW w:w="3118" w:type="dxa"/>
            <w:shd w:val="clear" w:color="auto" w:fill="auto"/>
            <w:hideMark/>
          </w:tcPr>
          <w:p w:rsidR="00F06890" w:rsidRPr="00A73597" w:rsidRDefault="00F06890" w:rsidP="002029F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97">
              <w:rPr>
                <w:rFonts w:ascii="Times New Roman" w:hAnsi="Times New Roman" w:cs="Times New Roman"/>
                <w:sz w:val="20"/>
                <w:szCs w:val="20"/>
              </w:rPr>
              <w:t>122.9 (120.2)</w:t>
            </w:r>
          </w:p>
        </w:tc>
      </w:tr>
    </w:tbl>
    <w:p w:rsidR="00F06890" w:rsidRDefault="00F06890" w:rsidP="00F06890">
      <w:pPr>
        <w:rPr>
          <w:rFonts w:ascii="Times New Roman" w:hAnsi="Times New Roman" w:cs="Times New Roman"/>
          <w:sz w:val="20"/>
          <w:szCs w:val="20"/>
        </w:rPr>
      </w:pPr>
      <w:r w:rsidRPr="00A73597">
        <w:rPr>
          <w:rFonts w:ascii="Times New Roman" w:hAnsi="Times New Roman" w:cs="Times New Roman"/>
          <w:sz w:val="20"/>
          <w:szCs w:val="20"/>
        </w:rPr>
        <w:t>IQR, interquartile range; SD, standard deviation</w:t>
      </w:r>
    </w:p>
    <w:p w:rsidR="00A46087" w:rsidRDefault="00A46087" w:rsidP="00F06890">
      <w:pPr>
        <w:rPr>
          <w:rFonts w:ascii="Times New Roman" w:hAnsi="Times New Roman" w:cs="Times New Roman"/>
          <w:sz w:val="20"/>
          <w:szCs w:val="20"/>
        </w:rPr>
      </w:pPr>
    </w:p>
    <w:p w:rsidR="00A46087" w:rsidRDefault="00A46087">
      <w:pPr>
        <w:widowControl/>
        <w:spacing w:before="0" w:beforeAutospacing="0" w:after="160" w:afterAutospacing="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A46087" w:rsidRDefault="00A46087" w:rsidP="00F06890">
      <w:pPr>
        <w:rPr>
          <w:rFonts w:ascii="Times New Roman" w:hAnsi="Times New Roman" w:cs="Times New Roman"/>
          <w:sz w:val="20"/>
          <w:szCs w:val="20"/>
        </w:rPr>
      </w:pPr>
      <w:r w:rsidRPr="00A46087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DC5B3F">
        <w:rPr>
          <w:rFonts w:ascii="Times New Roman" w:hAnsi="Times New Roman" w:cs="Times New Roman"/>
          <w:b/>
          <w:sz w:val="20"/>
          <w:szCs w:val="20"/>
        </w:rPr>
        <w:t>S</w:t>
      </w:r>
      <w:r w:rsidRPr="00A46087">
        <w:rPr>
          <w:rFonts w:ascii="Times New Roman" w:hAnsi="Times New Roman" w:cs="Times New Roman"/>
          <w:b/>
          <w:sz w:val="20"/>
          <w:szCs w:val="20"/>
        </w:rPr>
        <w:t xml:space="preserve">2. </w:t>
      </w:r>
      <w:r>
        <w:rPr>
          <w:rFonts w:ascii="Times New Roman" w:hAnsi="Times New Roman" w:cs="Times New Roman"/>
          <w:sz w:val="20"/>
          <w:szCs w:val="20"/>
        </w:rPr>
        <w:t>Primary site and histology of patients with non-squamous cell carcinoma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0"/>
        <w:gridCol w:w="4260"/>
        <w:gridCol w:w="1350"/>
      </w:tblGrid>
      <w:tr w:rsidR="00A46087" w:rsidRPr="00A46087" w:rsidTr="00A46087">
        <w:trPr>
          <w:trHeight w:val="270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46087" w:rsidRPr="00A46087" w:rsidRDefault="00A46087" w:rsidP="00A460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RANGE!A1:C21"/>
            <w:r w:rsidRPr="00A46087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Primary site</w:t>
            </w:r>
            <w:bookmarkEnd w:id="0"/>
          </w:p>
        </w:tc>
        <w:tc>
          <w:tcPr>
            <w:tcW w:w="4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Histology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/>
                <w:b/>
                <w:sz w:val="20"/>
                <w:szCs w:val="20"/>
              </w:rPr>
              <w:t>No. of cases</w:t>
            </w:r>
          </w:p>
        </w:tc>
      </w:tr>
      <w:tr w:rsidR="00A46087" w:rsidRPr="00A46087" w:rsidTr="00A46087">
        <w:trPr>
          <w:trHeight w:val="270"/>
        </w:trPr>
        <w:tc>
          <w:tcPr>
            <w:tcW w:w="2040" w:type="dxa"/>
            <w:tcBorders>
              <w:top w:val="single" w:sz="4" w:space="0" w:color="auto"/>
            </w:tcBorders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Salivary gland</w:t>
            </w:r>
          </w:p>
        </w:tc>
        <w:tc>
          <w:tcPr>
            <w:tcW w:w="4260" w:type="dxa"/>
            <w:tcBorders>
              <w:top w:val="single" w:sz="4" w:space="0" w:color="auto"/>
            </w:tcBorders>
            <w:noWrap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Salivary duct cancer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</w:tr>
      <w:tr w:rsidR="00A46087" w:rsidRPr="00A46087" w:rsidTr="00A46087">
        <w:trPr>
          <w:trHeight w:val="270"/>
        </w:trPr>
        <w:tc>
          <w:tcPr>
            <w:tcW w:w="2040" w:type="dxa"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noWrap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denocarcinoma</w:t>
            </w:r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A46087" w:rsidRPr="00A46087" w:rsidTr="00A46087">
        <w:trPr>
          <w:trHeight w:val="270"/>
        </w:trPr>
        <w:tc>
          <w:tcPr>
            <w:tcW w:w="2040" w:type="dxa"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noWrap/>
            <w:hideMark/>
          </w:tcPr>
          <w:p w:rsidR="00A46087" w:rsidRPr="00A46087" w:rsidRDefault="00A46087" w:rsidP="00535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denocarcinoma</w:t>
            </w:r>
            <w:r w:rsidR="00535D30">
              <w:rPr>
                <w:rFonts w:ascii="Times New Roman" w:hAnsi="Times New Roman" w:cs="Times New Roman"/>
                <w:sz w:val="20"/>
                <w:szCs w:val="20"/>
              </w:rPr>
              <w:t xml:space="preserve"> (not otherwise specified)</w:t>
            </w:r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A46087" w:rsidRPr="00A46087" w:rsidTr="00A46087">
        <w:trPr>
          <w:trHeight w:val="270"/>
        </w:trPr>
        <w:tc>
          <w:tcPr>
            <w:tcW w:w="2040" w:type="dxa"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noWrap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Mucoepidermoid</w:t>
            </w:r>
            <w:proofErr w:type="spellEnd"/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carcinoma</w:t>
            </w:r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A46087" w:rsidRPr="00A46087" w:rsidTr="00A46087">
        <w:trPr>
          <w:trHeight w:val="270"/>
        </w:trPr>
        <w:tc>
          <w:tcPr>
            <w:tcW w:w="2040" w:type="dxa"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noWrap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arotid gland cancer</w:t>
            </w:r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46087" w:rsidRPr="00A46087" w:rsidTr="00A46087">
        <w:trPr>
          <w:trHeight w:val="270"/>
        </w:trPr>
        <w:tc>
          <w:tcPr>
            <w:tcW w:w="2040" w:type="dxa"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noWrap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arotid duct cancer</w:t>
            </w:r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46087" w:rsidRPr="00A46087" w:rsidTr="00A46087">
        <w:trPr>
          <w:trHeight w:val="270"/>
        </w:trPr>
        <w:tc>
          <w:tcPr>
            <w:tcW w:w="2040" w:type="dxa"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noWrap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Adenoid cystic carcinoma</w:t>
            </w:r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46087" w:rsidRPr="00A46087" w:rsidTr="00A46087">
        <w:trPr>
          <w:trHeight w:val="513"/>
        </w:trPr>
        <w:tc>
          <w:tcPr>
            <w:tcW w:w="2040" w:type="dxa"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Poorly differentiated carcinoma</w:t>
            </w:r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46087" w:rsidRPr="00A46087" w:rsidTr="00A46087">
        <w:trPr>
          <w:trHeight w:val="270"/>
        </w:trPr>
        <w:tc>
          <w:tcPr>
            <w:tcW w:w="2040" w:type="dxa"/>
            <w:noWrap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Maxillary sinus</w:t>
            </w:r>
          </w:p>
        </w:tc>
        <w:tc>
          <w:tcPr>
            <w:tcW w:w="4260" w:type="dxa"/>
            <w:noWrap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yoepithelioma</w:t>
            </w:r>
            <w:proofErr w:type="spellEnd"/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46087" w:rsidRPr="00A46087" w:rsidTr="00A46087">
        <w:trPr>
          <w:trHeight w:val="270"/>
        </w:trPr>
        <w:tc>
          <w:tcPr>
            <w:tcW w:w="2040" w:type="dxa"/>
            <w:noWrap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noWrap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euroendocrine carcinoma</w:t>
            </w:r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46087" w:rsidRPr="00A46087" w:rsidTr="00A46087">
        <w:trPr>
          <w:trHeight w:val="270"/>
        </w:trPr>
        <w:tc>
          <w:tcPr>
            <w:tcW w:w="2040" w:type="dxa"/>
            <w:noWrap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noWrap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Adenoid cystic carcinoma</w:t>
            </w:r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46087" w:rsidRPr="00A46087" w:rsidTr="00A46087">
        <w:trPr>
          <w:trHeight w:val="270"/>
        </w:trPr>
        <w:tc>
          <w:tcPr>
            <w:tcW w:w="2040" w:type="dxa"/>
            <w:noWrap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Hypopharynx</w:t>
            </w:r>
          </w:p>
        </w:tc>
        <w:tc>
          <w:tcPr>
            <w:tcW w:w="4260" w:type="dxa"/>
            <w:noWrap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ymphoepithelioma</w:t>
            </w:r>
            <w:proofErr w:type="spellEnd"/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46087" w:rsidRPr="00A46087" w:rsidTr="00A46087">
        <w:trPr>
          <w:trHeight w:val="270"/>
        </w:trPr>
        <w:tc>
          <w:tcPr>
            <w:tcW w:w="2040" w:type="dxa"/>
            <w:noWrap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noWrap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euroendocrine carcinoma</w:t>
            </w:r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46087" w:rsidRPr="00A46087" w:rsidTr="00A46087">
        <w:trPr>
          <w:trHeight w:val="540"/>
        </w:trPr>
        <w:tc>
          <w:tcPr>
            <w:tcW w:w="2040" w:type="dxa"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Oropharyngeal</w:t>
            </w:r>
          </w:p>
        </w:tc>
        <w:tc>
          <w:tcPr>
            <w:tcW w:w="4260" w:type="dxa"/>
            <w:noWrap/>
            <w:hideMark/>
          </w:tcPr>
          <w:p w:rsidR="00A46087" w:rsidRPr="00A46087" w:rsidRDefault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Adenoid cystic carcinoma</w:t>
            </w:r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46087" w:rsidRPr="00A46087" w:rsidTr="00A46087">
        <w:trPr>
          <w:trHeight w:val="540"/>
        </w:trPr>
        <w:tc>
          <w:tcPr>
            <w:tcW w:w="2040" w:type="dxa"/>
          </w:tcPr>
          <w:p w:rsidR="00A46087" w:rsidRPr="00A46087" w:rsidRDefault="00A46087" w:rsidP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noWrap/>
          </w:tcPr>
          <w:p w:rsidR="00A46087" w:rsidRPr="00A46087" w:rsidRDefault="00A46087" w:rsidP="00A4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Salivary duct cancer</w:t>
            </w:r>
          </w:p>
        </w:tc>
        <w:tc>
          <w:tcPr>
            <w:tcW w:w="1350" w:type="dxa"/>
            <w:noWrap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46087" w:rsidRPr="00A46087" w:rsidTr="00A46087">
        <w:trPr>
          <w:trHeight w:val="270"/>
        </w:trPr>
        <w:tc>
          <w:tcPr>
            <w:tcW w:w="2040" w:type="dxa"/>
            <w:noWrap/>
            <w:hideMark/>
          </w:tcPr>
          <w:p w:rsidR="00A46087" w:rsidRPr="00A46087" w:rsidRDefault="00A46087" w:rsidP="005E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Other</w:t>
            </w:r>
          </w:p>
        </w:tc>
        <w:tc>
          <w:tcPr>
            <w:tcW w:w="4260" w:type="dxa"/>
            <w:noWrap/>
            <w:hideMark/>
          </w:tcPr>
          <w:p w:rsidR="00A46087" w:rsidRPr="00A46087" w:rsidRDefault="00A46087" w:rsidP="005E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6087">
              <w:rPr>
                <w:rFonts w:ascii="Times New Roman" w:hAnsi="Times New Roman" w:cs="Times New Roman"/>
                <w:sz w:val="20"/>
                <w:szCs w:val="20"/>
              </w:rPr>
              <w:t>Myoepithelioma</w:t>
            </w:r>
            <w:proofErr w:type="spellEnd"/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46087" w:rsidRPr="00A46087" w:rsidTr="00A46087">
        <w:trPr>
          <w:trHeight w:val="270"/>
        </w:trPr>
        <w:tc>
          <w:tcPr>
            <w:tcW w:w="2040" w:type="dxa"/>
            <w:noWrap/>
          </w:tcPr>
          <w:p w:rsidR="00A46087" w:rsidRPr="00A46087" w:rsidRDefault="00A46087" w:rsidP="005E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noWrap/>
            <w:hideMark/>
          </w:tcPr>
          <w:p w:rsidR="00A46087" w:rsidRPr="00A46087" w:rsidRDefault="00A46087" w:rsidP="005E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A46087">
              <w:rPr>
                <w:rFonts w:ascii="Times New Roman" w:hAnsi="Times New Roman" w:cs="Times New Roman"/>
                <w:sz w:val="20"/>
                <w:szCs w:val="20"/>
              </w:rPr>
              <w:t>denocarcinom</w:t>
            </w: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46087" w:rsidRPr="00A46087" w:rsidTr="00A46087">
        <w:trPr>
          <w:trHeight w:val="469"/>
        </w:trPr>
        <w:tc>
          <w:tcPr>
            <w:tcW w:w="2040" w:type="dxa"/>
            <w:noWrap/>
          </w:tcPr>
          <w:p w:rsidR="00A46087" w:rsidRPr="00A46087" w:rsidRDefault="00A46087" w:rsidP="005E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noWrap/>
            <w:hideMark/>
          </w:tcPr>
          <w:p w:rsidR="00A46087" w:rsidRPr="00A46087" w:rsidRDefault="00A46087" w:rsidP="005E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denoid cystic carcinoma (unknown primary site)</w:t>
            </w:r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46087" w:rsidRPr="00A46087" w:rsidTr="00A46087">
        <w:trPr>
          <w:trHeight w:val="270"/>
        </w:trPr>
        <w:tc>
          <w:tcPr>
            <w:tcW w:w="2040" w:type="dxa"/>
            <w:noWrap/>
          </w:tcPr>
          <w:p w:rsidR="00A46087" w:rsidRPr="00A46087" w:rsidRDefault="00A46087" w:rsidP="005E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noWrap/>
            <w:hideMark/>
          </w:tcPr>
          <w:p w:rsidR="00A46087" w:rsidRPr="00A46087" w:rsidRDefault="00A46087" w:rsidP="005E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ndifferentiated carcinoma</w:t>
            </w:r>
          </w:p>
        </w:tc>
        <w:tc>
          <w:tcPr>
            <w:tcW w:w="1350" w:type="dxa"/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46087" w:rsidRPr="00A46087" w:rsidTr="00A46087">
        <w:trPr>
          <w:trHeight w:val="270"/>
        </w:trPr>
        <w:tc>
          <w:tcPr>
            <w:tcW w:w="2040" w:type="dxa"/>
            <w:tcBorders>
              <w:bottom w:val="single" w:sz="4" w:space="0" w:color="auto"/>
            </w:tcBorders>
            <w:noWrap/>
          </w:tcPr>
          <w:p w:rsidR="00A46087" w:rsidRPr="00A46087" w:rsidRDefault="00A46087" w:rsidP="005E3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0" w:type="dxa"/>
            <w:tcBorders>
              <w:bottom w:val="single" w:sz="4" w:space="0" w:color="auto"/>
            </w:tcBorders>
            <w:noWrap/>
            <w:hideMark/>
          </w:tcPr>
          <w:p w:rsidR="00A46087" w:rsidRPr="00A46087" w:rsidRDefault="00A46087" w:rsidP="005E3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lfactory </w:t>
            </w:r>
            <w:proofErr w:type="spellStart"/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neuroblastoma</w:t>
            </w:r>
            <w:proofErr w:type="spellEnd"/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:rsidR="00A46087" w:rsidRPr="00A46087" w:rsidRDefault="00A46087" w:rsidP="00A46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087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</w:tbl>
    <w:p w:rsidR="00A46087" w:rsidRPr="00A73597" w:rsidRDefault="00A46087" w:rsidP="00F06890">
      <w:pPr>
        <w:rPr>
          <w:rFonts w:ascii="Times New Roman" w:hAnsi="Times New Roman" w:cs="Times New Roman"/>
          <w:sz w:val="20"/>
          <w:szCs w:val="20"/>
        </w:rPr>
      </w:pPr>
    </w:p>
    <w:p w:rsidR="00797ED7" w:rsidRDefault="00797ED7">
      <w:pPr>
        <w:widowControl/>
        <w:spacing w:before="0" w:beforeAutospacing="0" w:after="160" w:afterAutospacing="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797ED7" w:rsidRPr="00797ED7" w:rsidRDefault="00797ED7" w:rsidP="00797ED7">
      <w:pPr>
        <w:rPr>
          <w:rFonts w:ascii="Times New Roman" w:hAnsi="Times New Roman" w:cs="Times New Roman"/>
          <w:sz w:val="20"/>
          <w:szCs w:val="20"/>
        </w:rPr>
      </w:pPr>
      <w:r w:rsidRPr="00797ED7">
        <w:rPr>
          <w:rFonts w:ascii="Times New Roman" w:hAnsi="Times New Roman" w:cs="Times New Roman"/>
          <w:b/>
          <w:sz w:val="20"/>
          <w:szCs w:val="20"/>
        </w:rPr>
        <w:lastRenderedPageBreak/>
        <w:t>Fig</w:t>
      </w:r>
      <w:r w:rsidRPr="00797ED7">
        <w:rPr>
          <w:rFonts w:ascii="Times New Roman" w:hAnsi="Times New Roman" w:cs="Times New Roman"/>
          <w:b/>
          <w:sz w:val="20"/>
          <w:szCs w:val="20"/>
        </w:rPr>
        <w:t>ure</w:t>
      </w:r>
      <w:r w:rsidRPr="00797ED7">
        <w:rPr>
          <w:rFonts w:ascii="Times New Roman" w:hAnsi="Times New Roman" w:cs="Times New Roman"/>
          <w:b/>
          <w:sz w:val="20"/>
          <w:szCs w:val="20"/>
        </w:rPr>
        <w:t xml:space="preserve"> S1</w:t>
      </w:r>
      <w:r w:rsidRPr="00797ED7">
        <w:rPr>
          <w:rFonts w:ascii="Times New Roman" w:hAnsi="Times New Roman" w:cs="Times New Roman"/>
          <w:b/>
          <w:sz w:val="20"/>
          <w:szCs w:val="20"/>
        </w:rPr>
        <w:t>.</w:t>
      </w:r>
      <w:r w:rsidRPr="00797ED7">
        <w:rPr>
          <w:rFonts w:ascii="Times New Roman" w:hAnsi="Times New Roman" w:cs="Times New Roman"/>
          <w:sz w:val="20"/>
          <w:szCs w:val="20"/>
        </w:rPr>
        <w:t xml:space="preserve"> (A) Overall response rate (B) progression-free survival and (C) overall survival among patients according to histology status. BOR, best overall response; CR, complete response; ECOG PS, Eastern Cooperative Oncology </w:t>
      </w:r>
      <w:bookmarkStart w:id="1" w:name="_GoBack"/>
      <w:bookmarkEnd w:id="1"/>
      <w:r w:rsidRPr="00797ED7">
        <w:rPr>
          <w:rFonts w:ascii="Times New Roman" w:hAnsi="Times New Roman" w:cs="Times New Roman"/>
          <w:sz w:val="20"/>
          <w:szCs w:val="20"/>
        </w:rPr>
        <w:t>Group performance status; NR, not reached; ORR, objective response rate; OS, overall survival; PD, progressive disease; PFS, progression-free survival; PR, partial response; SCC, squamous cell carcinoma; SD, stable disease.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97ED7">
        <w:rPr>
          <w:rFonts w:ascii="Times New Roman" w:hAnsi="Times New Roman" w:cs="Times New Roman"/>
          <w:sz w:val="20"/>
          <w:szCs w:val="20"/>
        </w:rPr>
        <w:t>*log-rank test</w:t>
      </w:r>
    </w:p>
    <w:p w:rsidR="00797ED7" w:rsidRPr="00797ED7" w:rsidRDefault="00797ED7" w:rsidP="00797ED7">
      <w:pPr>
        <w:rPr>
          <w:rFonts w:ascii="Times New Roman" w:hAnsi="Times New Roman" w:cs="Times New Roman"/>
          <w:sz w:val="20"/>
          <w:szCs w:val="20"/>
        </w:rPr>
      </w:pPr>
      <w:r w:rsidRPr="00797ED7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7759F7AC" wp14:editId="10920DC3">
            <wp:extent cx="3929960" cy="7143750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996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7ED7" w:rsidRPr="00797ED7" w:rsidSect="00544BE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64185CC7-D42C-45FC-9FB2-7DBA622E0A5E}"/>
    <w:docVar w:name="dgnword-eventsink" w:val="2289450742000"/>
  </w:docVars>
  <w:rsids>
    <w:rsidRoot w:val="00F06890"/>
    <w:rsid w:val="0034206B"/>
    <w:rsid w:val="004411ED"/>
    <w:rsid w:val="004C11CB"/>
    <w:rsid w:val="00535D30"/>
    <w:rsid w:val="00544BE6"/>
    <w:rsid w:val="00784880"/>
    <w:rsid w:val="00785460"/>
    <w:rsid w:val="00797ED7"/>
    <w:rsid w:val="007F1C2F"/>
    <w:rsid w:val="00A46087"/>
    <w:rsid w:val="00A73597"/>
    <w:rsid w:val="00DC5B3F"/>
    <w:rsid w:val="00F0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90502"/>
  <w15:chartTrackingRefBased/>
  <w15:docId w15:val="{6727A666-7AB3-4C22-9908-62456995F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890"/>
    <w:pPr>
      <w:widowControl w:val="0"/>
      <w:spacing w:before="100" w:beforeAutospacing="1" w:after="100" w:afterAutospacing="1" w:line="480" w:lineRule="auto"/>
    </w:pPr>
    <w:rPr>
      <w:rFonts w:ascii="Arial" w:eastAsia="MS Mincho" w:hAnsi="Arial" w:cs="Arial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F06890"/>
    <w:pPr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6890"/>
    <w:rPr>
      <w:rFonts w:ascii="Arial" w:eastAsia="MS Mincho" w:hAnsi="Arial" w:cs="Arial"/>
      <w:b/>
      <w:bCs/>
      <w:sz w:val="28"/>
      <w:szCs w:val="28"/>
      <w:lang w:eastAsia="ko-KR"/>
    </w:rPr>
  </w:style>
  <w:style w:type="character" w:styleId="Hyperlink">
    <w:name w:val="Hyperlink"/>
    <w:uiPriority w:val="99"/>
    <w:unhideWhenUsed/>
    <w:rsid w:val="00A73597"/>
    <w:rPr>
      <w:color w:val="0000FF"/>
      <w:u w:val="single"/>
    </w:rPr>
  </w:style>
  <w:style w:type="table" w:styleId="TableGrid">
    <w:name w:val="Table Grid"/>
    <w:basedOn w:val="TableNormal"/>
    <w:uiPriority w:val="39"/>
    <w:rsid w:val="00A46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2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ak-homma@med.hokudai.ac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 Healthcare</dc:creator>
  <cp:keywords/>
  <dc:description/>
  <cp:lastModifiedBy>Springer Healthcare</cp:lastModifiedBy>
  <cp:revision>2</cp:revision>
  <cp:lastPrinted>2020-06-04T02:16:00Z</cp:lastPrinted>
  <dcterms:created xsi:type="dcterms:W3CDTF">2020-09-30T08:10:00Z</dcterms:created>
  <dcterms:modified xsi:type="dcterms:W3CDTF">2020-09-30T08:10:00Z</dcterms:modified>
</cp:coreProperties>
</file>