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65F37B" w14:textId="77777777" w:rsidR="00A5121A" w:rsidRPr="0090174D" w:rsidRDefault="00A5121A" w:rsidP="00A512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827D83" wp14:editId="5115F66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191731671" name="Text Box 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 noChangeShapeType="1" noTextEdit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</wps:spPr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E98A62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" filled="f" stroked="f">
                <o:lock v:ext="edit" selection="t" text="t" shapetype="t"/>
              </v:shape>
            </w:pict>
          </mc:Fallback>
        </mc:AlternateContent>
      </w:r>
      <w:r w:rsidRPr="0090174D">
        <w:rPr>
          <w:rFonts w:ascii="Times New Roman" w:hAnsi="Times New Roman" w:cs="Times New Roman"/>
          <w:b/>
          <w:bCs/>
          <w:sz w:val="24"/>
          <w:szCs w:val="24"/>
        </w:rPr>
        <w:t xml:space="preserve">Long-term outcomes of venetoclax and ibrutinib in </w:t>
      </w:r>
      <w:r>
        <w:rPr>
          <w:rFonts w:ascii="Times New Roman" w:hAnsi="Times New Roman" w:cs="Times New Roman"/>
          <w:b/>
          <w:bCs/>
          <w:sz w:val="24"/>
          <w:szCs w:val="24"/>
        </w:rPr>
        <w:t>J</w:t>
      </w:r>
      <w:r w:rsidRPr="0090174D">
        <w:rPr>
          <w:rFonts w:ascii="Times New Roman" w:hAnsi="Times New Roman" w:cs="Times New Roman"/>
          <w:b/>
          <w:bCs/>
          <w:sz w:val="24"/>
          <w:szCs w:val="24"/>
        </w:rPr>
        <w:t>apanese patients with relapsed/refractory mantle cell lymphoma</w:t>
      </w:r>
    </w:p>
    <w:p w14:paraId="223A9D63" w14:textId="77777777" w:rsidR="00A5121A" w:rsidRPr="00892BA7" w:rsidRDefault="00A5121A" w:rsidP="00A5121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DB4A16D" w14:textId="77777777" w:rsidR="00A5121A" w:rsidRPr="00892BA7" w:rsidRDefault="00A5121A" w:rsidP="00A5121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A7D01">
        <w:rPr>
          <w:rFonts w:ascii="Times New Roman" w:hAnsi="Times New Roman" w:cs="Times New Roman"/>
          <w:b/>
          <w:bCs/>
          <w:sz w:val="24"/>
          <w:szCs w:val="24"/>
        </w:rPr>
        <w:t>Authors</w:t>
      </w:r>
      <w:r w:rsidRPr="00892BA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2BA7">
        <w:rPr>
          <w:rFonts w:ascii="Times New Roman" w:hAnsi="Times New Roman" w:cs="Times New Roman"/>
          <w:sz w:val="24"/>
          <w:szCs w:val="24"/>
        </w:rPr>
        <w:t>Hideki Goto</w:t>
      </w:r>
      <w:r w:rsidRPr="006230F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92BA7">
        <w:rPr>
          <w:rFonts w:ascii="Times New Roman" w:hAnsi="Times New Roman" w:cs="Times New Roman"/>
          <w:sz w:val="24"/>
          <w:szCs w:val="24"/>
        </w:rPr>
        <w:t>Satoshi Ito</w:t>
      </w:r>
      <w:r w:rsidRPr="006230F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92BA7">
        <w:rPr>
          <w:rFonts w:ascii="Times New Roman" w:hAnsi="Times New Roman" w:cs="Times New Roman"/>
          <w:sz w:val="24"/>
          <w:szCs w:val="24"/>
        </w:rPr>
        <w:t>Masahiro Kizaki</w:t>
      </w:r>
      <w:r w:rsidRPr="006230F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92BA7">
        <w:rPr>
          <w:rFonts w:ascii="Times New Roman" w:hAnsi="Times New Roman" w:cs="Times New Roman"/>
          <w:sz w:val="24"/>
          <w:szCs w:val="24"/>
        </w:rPr>
        <w:t>Masaki Yamaguchi</w:t>
      </w:r>
      <w:r w:rsidRPr="006230F2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92BA7">
        <w:rPr>
          <w:rFonts w:ascii="Times New Roman" w:hAnsi="Times New Roman" w:cs="Times New Roman"/>
          <w:sz w:val="24"/>
          <w:szCs w:val="24"/>
        </w:rPr>
        <w:t>Noriko Fukuhara</w:t>
      </w:r>
      <w:r w:rsidRPr="006230F2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92BA7">
        <w:rPr>
          <w:rFonts w:ascii="Times New Roman" w:hAnsi="Times New Roman" w:cs="Times New Roman"/>
          <w:sz w:val="24"/>
          <w:szCs w:val="24"/>
        </w:rPr>
        <w:t>Koji Kato</w:t>
      </w:r>
      <w:r w:rsidRPr="006230F2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92BA7">
        <w:rPr>
          <w:rFonts w:ascii="Times New Roman" w:hAnsi="Times New Roman" w:cs="Times New Roman"/>
          <w:sz w:val="24"/>
          <w:szCs w:val="24"/>
        </w:rPr>
        <w:t>Toko Saito</w:t>
      </w:r>
      <w:r w:rsidRPr="006230F2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92BA7">
        <w:rPr>
          <w:rFonts w:ascii="Times New Roman" w:hAnsi="Times New Roman" w:cs="Times New Roman"/>
          <w:sz w:val="24"/>
          <w:szCs w:val="24"/>
        </w:rPr>
        <w:t>Yasuhito Terui</w:t>
      </w:r>
      <w:r w:rsidRPr="005D285C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92BA7">
        <w:rPr>
          <w:rFonts w:ascii="Times New Roman" w:hAnsi="Times New Roman" w:cs="Times New Roman"/>
          <w:sz w:val="24"/>
          <w:szCs w:val="24"/>
        </w:rPr>
        <w:t>Tomomi Soshin</w:t>
      </w:r>
      <w:r w:rsidRPr="005D285C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92BA7">
        <w:rPr>
          <w:rFonts w:ascii="Times New Roman" w:hAnsi="Times New Roman" w:cs="Times New Roman"/>
          <w:sz w:val="24"/>
          <w:szCs w:val="24"/>
        </w:rPr>
        <w:t xml:space="preserve">Natsuko </w:t>
      </w:r>
      <w:r>
        <w:rPr>
          <w:rFonts w:ascii="Times New Roman" w:hAnsi="Times New Roman" w:cs="Times New Roman" w:hint="eastAsia"/>
          <w:sz w:val="24"/>
          <w:szCs w:val="24"/>
          <w:lang w:eastAsia="ja-JP"/>
        </w:rPr>
        <w:t xml:space="preserve">Tsushita </w:t>
      </w:r>
      <w:r w:rsidRPr="00892BA7">
        <w:rPr>
          <w:rFonts w:ascii="Times New Roman" w:hAnsi="Times New Roman" w:cs="Times New Roman"/>
          <w:sz w:val="24"/>
          <w:szCs w:val="24"/>
        </w:rPr>
        <w:t>Satomi</w:t>
      </w:r>
      <w:r w:rsidRPr="005D285C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92BA7">
        <w:rPr>
          <w:rFonts w:ascii="Times New Roman" w:hAnsi="Times New Roman" w:cs="Times New Roman"/>
          <w:sz w:val="24"/>
          <w:szCs w:val="24"/>
        </w:rPr>
        <w:t>Hideyuki Honda</w:t>
      </w:r>
      <w:r w:rsidRPr="005D285C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92BA7">
        <w:rPr>
          <w:rFonts w:ascii="Times New Roman" w:hAnsi="Times New Roman" w:cs="Times New Roman"/>
          <w:sz w:val="24"/>
          <w:szCs w:val="24"/>
        </w:rPr>
        <w:t>Chen Qian</w:t>
      </w:r>
      <w:r w:rsidRPr="005D285C">
        <w:rPr>
          <w:rFonts w:ascii="Times New Roman" w:hAnsi="Times New Roman" w:cs="Times New Roman"/>
          <w:sz w:val="24"/>
          <w:szCs w:val="24"/>
          <w:vertAlign w:val="superscript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92BA7">
        <w:rPr>
          <w:rFonts w:ascii="Times New Roman" w:hAnsi="Times New Roman" w:cs="Times New Roman"/>
          <w:sz w:val="24"/>
          <w:szCs w:val="24"/>
        </w:rPr>
        <w:t>Koji Izutsu</w:t>
      </w:r>
      <w:r w:rsidRPr="005D285C">
        <w:rPr>
          <w:rFonts w:ascii="Times New Roman" w:hAnsi="Times New Roman" w:cs="Times New Roman"/>
          <w:sz w:val="24"/>
          <w:szCs w:val="24"/>
          <w:vertAlign w:val="superscript"/>
        </w:rPr>
        <w:t>11</w:t>
      </w:r>
    </w:p>
    <w:p w14:paraId="55A1B0DB" w14:textId="77777777" w:rsidR="00A5121A" w:rsidRDefault="00A5121A" w:rsidP="00A5121A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70AAEBB" w14:textId="77777777" w:rsidR="00A5121A" w:rsidRPr="00892BA7" w:rsidRDefault="00A5121A" w:rsidP="00A5121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A7D01">
        <w:rPr>
          <w:rFonts w:ascii="Times New Roman" w:hAnsi="Times New Roman" w:cs="Times New Roman"/>
          <w:b/>
          <w:bCs/>
          <w:sz w:val="24"/>
          <w:szCs w:val="24"/>
        </w:rPr>
        <w:t>Affiliations</w:t>
      </w:r>
      <w:r w:rsidRPr="00892BA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30F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230F2">
        <w:rPr>
          <w:rFonts w:ascii="Times New Roman" w:hAnsi="Times New Roman" w:cs="Times New Roman"/>
          <w:sz w:val="24"/>
          <w:szCs w:val="24"/>
        </w:rPr>
        <w:t>Hokkaido University Hospital, Hokkaido, Japan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6230F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230F2">
        <w:rPr>
          <w:rFonts w:ascii="Times New Roman" w:hAnsi="Times New Roman" w:cs="Times New Roman"/>
          <w:sz w:val="24"/>
          <w:szCs w:val="24"/>
        </w:rPr>
        <w:t>Yamagata University Hospital, Yamagata, Japan;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30F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6230F2">
        <w:rPr>
          <w:rFonts w:ascii="Times New Roman" w:hAnsi="Times New Roman" w:cs="Times New Roman"/>
          <w:sz w:val="24"/>
          <w:szCs w:val="24"/>
        </w:rPr>
        <w:t>Saitama Medical Center, Saitama Medical University, Saitama, Japan;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30F2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6230F2">
        <w:rPr>
          <w:rFonts w:ascii="Times New Roman" w:hAnsi="Times New Roman" w:cs="Times New Roman"/>
          <w:sz w:val="24"/>
          <w:szCs w:val="24"/>
        </w:rPr>
        <w:t>Ishikawa Prefectural Central Hospital, Ishikawa, Japan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6230F2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6230F2">
        <w:rPr>
          <w:rFonts w:ascii="Times New Roman" w:hAnsi="Times New Roman" w:cs="Times New Roman"/>
          <w:sz w:val="24"/>
          <w:szCs w:val="24"/>
        </w:rPr>
        <w:t>Tohoku University Hospital, Miyagi, Japan;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30F2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6230F2">
        <w:rPr>
          <w:rFonts w:ascii="Times New Roman" w:hAnsi="Times New Roman" w:cs="Times New Roman"/>
          <w:sz w:val="24"/>
          <w:szCs w:val="24"/>
        </w:rPr>
        <w:t>Kyushu University Hospital, Fukuoka, Japan;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30F2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6230F2">
        <w:rPr>
          <w:rFonts w:ascii="Times New Roman" w:hAnsi="Times New Roman" w:cs="Times New Roman"/>
          <w:sz w:val="24"/>
          <w:szCs w:val="24"/>
        </w:rPr>
        <w:t>Aichi Cancer Center Hospital, Aichi, Japan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5D285C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Pr="005D285C">
        <w:rPr>
          <w:rFonts w:ascii="Times New Roman" w:hAnsi="Times New Roman" w:cs="Times New Roman"/>
          <w:sz w:val="24"/>
          <w:szCs w:val="24"/>
        </w:rPr>
        <w:t>Saitama Medical University Hospital, Saitama, Japan;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85C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Pr="005D285C">
        <w:rPr>
          <w:rFonts w:ascii="Times New Roman" w:hAnsi="Times New Roman" w:cs="Times New Roman"/>
          <w:sz w:val="24"/>
          <w:szCs w:val="24"/>
        </w:rPr>
        <w:t>AbbVie, GK, Tokyo, Japan;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85C">
        <w:rPr>
          <w:rFonts w:ascii="Times New Roman" w:hAnsi="Times New Roman" w:cs="Times New Roman"/>
          <w:sz w:val="24"/>
          <w:szCs w:val="24"/>
          <w:vertAlign w:val="superscript"/>
        </w:rPr>
        <w:t>10</w:t>
      </w:r>
      <w:r w:rsidRPr="005D285C">
        <w:rPr>
          <w:rFonts w:ascii="Times New Roman" w:hAnsi="Times New Roman" w:cs="Times New Roman"/>
          <w:sz w:val="24"/>
          <w:szCs w:val="24"/>
        </w:rPr>
        <w:t>AbbVie, Inc, North Chicago, IL, USA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5D285C">
        <w:rPr>
          <w:rFonts w:ascii="Times New Roman" w:hAnsi="Times New Roman" w:cs="Times New Roman"/>
          <w:sz w:val="24"/>
          <w:szCs w:val="24"/>
          <w:vertAlign w:val="superscript"/>
        </w:rPr>
        <w:t>11</w:t>
      </w:r>
      <w:r w:rsidRPr="005D285C">
        <w:rPr>
          <w:rFonts w:ascii="Times New Roman" w:hAnsi="Times New Roman" w:cs="Times New Roman"/>
          <w:sz w:val="24"/>
          <w:szCs w:val="24"/>
        </w:rPr>
        <w:t>National Cancer Center Hospital, Tokyo, Japan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FDE085D" w14:textId="77777777" w:rsidR="00A5121A" w:rsidRDefault="00A5121A" w:rsidP="00A512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720043E" w14:textId="77777777" w:rsidR="0044204E" w:rsidRDefault="0044204E" w:rsidP="00A512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3F395BF" w14:textId="77777777" w:rsidR="00A5121A" w:rsidRPr="001C5B63" w:rsidRDefault="00A5121A" w:rsidP="00A5121A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C5B6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MATERIALS</w:t>
      </w:r>
    </w:p>
    <w:p w14:paraId="62C4C8E7" w14:textId="77777777" w:rsidR="00A5121A" w:rsidRPr="001C5B63" w:rsidRDefault="00A5121A" w:rsidP="00A5121A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C5B6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FIGURES</w:t>
      </w:r>
    </w:p>
    <w:p w14:paraId="325C4453" w14:textId="77777777" w:rsidR="00A5121A" w:rsidRPr="001C5B63" w:rsidRDefault="00A5121A" w:rsidP="00A5121A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C5B6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LEGEND</w:t>
      </w:r>
    </w:p>
    <w:p w14:paraId="18B5E80A" w14:textId="77777777" w:rsidR="00A5121A" w:rsidRDefault="00A5121A" w:rsidP="00A5121A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C5B6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Figure S1. </w:t>
      </w:r>
      <w:r w:rsidRPr="001C5B63">
        <w:rPr>
          <w:rFonts w:ascii="Times New Roman" w:hAnsi="Times New Roman" w:cs="Times New Roman"/>
          <w:color w:val="000000" w:themeColor="text1"/>
          <w:sz w:val="24"/>
          <w:szCs w:val="24"/>
        </w:rPr>
        <w:t>Study design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</w:p>
    <w:p w14:paraId="159390D7" w14:textId="77777777" w:rsidR="00A5121A" w:rsidRPr="008A12E4" w:rsidRDefault="00A5121A" w:rsidP="00A5121A">
      <w:pPr>
        <w:rPr>
          <w:rFonts w:ascii="Times New Roman" w:hAnsi="Times New Roman" w:cs="Times New Roman"/>
          <w:sz w:val="24"/>
          <w:szCs w:val="24"/>
        </w:rPr>
      </w:pPr>
      <w:r w:rsidRPr="00880872">
        <w:rPr>
          <w:rFonts w:ascii="Times New Roman" w:hAnsi="Times New Roman" w:cs="Times New Roman"/>
          <w:i/>
          <w:iCs/>
          <w:sz w:val="24"/>
          <w:szCs w:val="24"/>
        </w:rPr>
        <w:t>BOR</w:t>
      </w:r>
      <w:r w:rsidRPr="00AC289C">
        <w:rPr>
          <w:rFonts w:ascii="Times New Roman" w:hAnsi="Times New Roman" w:cs="Times New Roman"/>
          <w:sz w:val="24"/>
          <w:szCs w:val="24"/>
        </w:rPr>
        <w:t xml:space="preserve"> best overall response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C289C">
        <w:rPr>
          <w:rFonts w:ascii="Times New Roman" w:hAnsi="Times New Roman" w:cs="Times New Roman"/>
          <w:sz w:val="24"/>
          <w:szCs w:val="24"/>
        </w:rPr>
        <w:t xml:space="preserve"> </w:t>
      </w:r>
      <w:r w:rsidRPr="00880872">
        <w:rPr>
          <w:rFonts w:ascii="Times New Roman" w:hAnsi="Times New Roman" w:cs="Times New Roman"/>
          <w:i/>
          <w:iCs/>
          <w:sz w:val="24"/>
          <w:szCs w:val="24"/>
        </w:rPr>
        <w:t>CR</w:t>
      </w:r>
      <w:r w:rsidRPr="00AC289C">
        <w:rPr>
          <w:rFonts w:ascii="Times New Roman" w:hAnsi="Times New Roman" w:cs="Times New Roman"/>
          <w:sz w:val="24"/>
          <w:szCs w:val="24"/>
        </w:rPr>
        <w:t xml:space="preserve"> complete response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C289C">
        <w:rPr>
          <w:rFonts w:ascii="Times New Roman" w:hAnsi="Times New Roman" w:cs="Times New Roman"/>
          <w:sz w:val="24"/>
          <w:szCs w:val="24"/>
        </w:rPr>
        <w:t xml:space="preserve"> </w:t>
      </w:r>
      <w:r w:rsidRPr="00880872">
        <w:rPr>
          <w:rFonts w:ascii="Times New Roman" w:hAnsi="Times New Roman" w:cs="Times New Roman"/>
          <w:i/>
          <w:iCs/>
          <w:sz w:val="24"/>
          <w:szCs w:val="24"/>
        </w:rPr>
        <w:t>DOR</w:t>
      </w:r>
      <w:r w:rsidRPr="00AC289C">
        <w:rPr>
          <w:rFonts w:ascii="Times New Roman" w:hAnsi="Times New Roman" w:cs="Times New Roman"/>
          <w:sz w:val="24"/>
          <w:szCs w:val="24"/>
        </w:rPr>
        <w:t xml:space="preserve"> duration of response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C289C">
        <w:rPr>
          <w:rFonts w:ascii="Times New Roman" w:hAnsi="Times New Roman" w:cs="Times New Roman"/>
          <w:sz w:val="24"/>
          <w:szCs w:val="24"/>
        </w:rPr>
        <w:t xml:space="preserve"> </w:t>
      </w:r>
      <w:r w:rsidRPr="00880872">
        <w:rPr>
          <w:rFonts w:ascii="Times New Roman" w:hAnsi="Times New Roman" w:cs="Times New Roman"/>
          <w:i/>
          <w:iCs/>
          <w:sz w:val="24"/>
          <w:szCs w:val="24"/>
        </w:rPr>
        <w:t>IRC</w:t>
      </w:r>
      <w:r w:rsidRPr="00AC289C">
        <w:rPr>
          <w:rFonts w:ascii="Times New Roman" w:hAnsi="Times New Roman" w:cs="Times New Roman"/>
          <w:sz w:val="24"/>
          <w:szCs w:val="24"/>
        </w:rPr>
        <w:t xml:space="preserve"> Independent Review Committee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C289C">
        <w:rPr>
          <w:rFonts w:ascii="Times New Roman" w:hAnsi="Times New Roman" w:cs="Times New Roman"/>
          <w:sz w:val="24"/>
          <w:szCs w:val="24"/>
        </w:rPr>
        <w:t xml:space="preserve"> </w:t>
      </w:r>
      <w:r w:rsidRPr="00880872">
        <w:rPr>
          <w:rFonts w:ascii="Times New Roman" w:hAnsi="Times New Roman" w:cs="Times New Roman"/>
          <w:i/>
          <w:iCs/>
          <w:sz w:val="24"/>
          <w:szCs w:val="24"/>
        </w:rPr>
        <w:t>MCL</w:t>
      </w:r>
      <w:r w:rsidRPr="00AC289C">
        <w:rPr>
          <w:rFonts w:ascii="Times New Roman" w:hAnsi="Times New Roman" w:cs="Times New Roman"/>
          <w:sz w:val="24"/>
          <w:szCs w:val="24"/>
        </w:rPr>
        <w:t xml:space="preserve"> mantle cell lymphoma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C289C">
        <w:rPr>
          <w:rFonts w:ascii="Times New Roman" w:hAnsi="Times New Roman" w:cs="Times New Roman"/>
          <w:sz w:val="24"/>
          <w:szCs w:val="24"/>
        </w:rPr>
        <w:t xml:space="preserve"> </w:t>
      </w:r>
      <w:r w:rsidRPr="00880872">
        <w:rPr>
          <w:rFonts w:ascii="Times New Roman" w:hAnsi="Times New Roman" w:cs="Times New Roman"/>
          <w:i/>
          <w:iCs/>
          <w:sz w:val="24"/>
          <w:szCs w:val="24"/>
        </w:rPr>
        <w:t>ORR</w:t>
      </w:r>
      <w:r w:rsidRPr="00AC289C">
        <w:rPr>
          <w:rFonts w:ascii="Times New Roman" w:hAnsi="Times New Roman" w:cs="Times New Roman"/>
          <w:sz w:val="24"/>
          <w:szCs w:val="24"/>
        </w:rPr>
        <w:t xml:space="preserve"> objective response rate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C289C">
        <w:rPr>
          <w:rFonts w:ascii="Times New Roman" w:hAnsi="Times New Roman" w:cs="Times New Roman"/>
          <w:sz w:val="24"/>
          <w:szCs w:val="24"/>
        </w:rPr>
        <w:t xml:space="preserve"> </w:t>
      </w:r>
      <w:r w:rsidRPr="00880872">
        <w:rPr>
          <w:rFonts w:ascii="Times New Roman" w:hAnsi="Times New Roman" w:cs="Times New Roman"/>
          <w:i/>
          <w:iCs/>
          <w:sz w:val="24"/>
          <w:szCs w:val="24"/>
        </w:rPr>
        <w:t>OS</w:t>
      </w:r>
      <w:r w:rsidRPr="00AC289C">
        <w:rPr>
          <w:rFonts w:ascii="Times New Roman" w:hAnsi="Times New Roman" w:cs="Times New Roman"/>
          <w:sz w:val="24"/>
          <w:szCs w:val="24"/>
        </w:rPr>
        <w:t xml:space="preserve"> overall survival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C289C">
        <w:rPr>
          <w:rFonts w:ascii="Times New Roman" w:hAnsi="Times New Roman" w:cs="Times New Roman"/>
          <w:sz w:val="24"/>
          <w:szCs w:val="24"/>
        </w:rPr>
        <w:t xml:space="preserve"> </w:t>
      </w:r>
      <w:r w:rsidRPr="00880872">
        <w:rPr>
          <w:rFonts w:ascii="Times New Roman" w:hAnsi="Times New Roman" w:cs="Times New Roman"/>
          <w:i/>
          <w:iCs/>
          <w:sz w:val="24"/>
          <w:szCs w:val="24"/>
        </w:rPr>
        <w:t>PFS</w:t>
      </w:r>
      <w:r w:rsidRPr="00AC289C">
        <w:rPr>
          <w:rFonts w:ascii="Times New Roman" w:hAnsi="Times New Roman" w:cs="Times New Roman"/>
          <w:sz w:val="24"/>
          <w:szCs w:val="24"/>
        </w:rPr>
        <w:t xml:space="preserve"> progression-free survival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C289C">
        <w:rPr>
          <w:rFonts w:ascii="Times New Roman" w:hAnsi="Times New Roman" w:cs="Times New Roman"/>
          <w:sz w:val="24"/>
          <w:szCs w:val="24"/>
        </w:rPr>
        <w:t xml:space="preserve"> </w:t>
      </w:r>
      <w:r w:rsidRPr="00880872">
        <w:rPr>
          <w:rFonts w:ascii="Times New Roman" w:hAnsi="Times New Roman" w:cs="Times New Roman"/>
          <w:i/>
          <w:iCs/>
          <w:sz w:val="24"/>
          <w:szCs w:val="24"/>
        </w:rPr>
        <w:t>PK</w:t>
      </w:r>
      <w:r w:rsidRPr="00AC289C">
        <w:rPr>
          <w:rFonts w:ascii="Times New Roman" w:hAnsi="Times New Roman" w:cs="Times New Roman"/>
          <w:sz w:val="24"/>
          <w:szCs w:val="24"/>
        </w:rPr>
        <w:t xml:space="preserve"> pharmacokinetic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C289C">
        <w:rPr>
          <w:rFonts w:ascii="Times New Roman" w:hAnsi="Times New Roman" w:cs="Times New Roman"/>
          <w:sz w:val="24"/>
          <w:szCs w:val="24"/>
        </w:rPr>
        <w:t xml:space="preserve"> </w:t>
      </w:r>
      <w:r w:rsidRPr="00880872">
        <w:rPr>
          <w:rFonts w:ascii="Times New Roman" w:hAnsi="Times New Roman" w:cs="Times New Roman"/>
          <w:i/>
          <w:iCs/>
          <w:sz w:val="24"/>
          <w:szCs w:val="24"/>
        </w:rPr>
        <w:t>PO</w:t>
      </w:r>
      <w:r w:rsidRPr="00AC289C">
        <w:rPr>
          <w:rFonts w:ascii="Times New Roman" w:hAnsi="Times New Roman" w:cs="Times New Roman"/>
          <w:sz w:val="24"/>
          <w:szCs w:val="24"/>
        </w:rPr>
        <w:t xml:space="preserve"> oral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C289C">
        <w:rPr>
          <w:rFonts w:ascii="Times New Roman" w:hAnsi="Times New Roman" w:cs="Times New Roman"/>
          <w:sz w:val="24"/>
          <w:szCs w:val="24"/>
        </w:rPr>
        <w:t xml:space="preserve"> </w:t>
      </w:r>
      <w:r w:rsidRPr="00880872">
        <w:rPr>
          <w:rFonts w:ascii="Times New Roman" w:hAnsi="Times New Roman" w:cs="Times New Roman"/>
          <w:i/>
          <w:iCs/>
          <w:sz w:val="24"/>
          <w:szCs w:val="24"/>
        </w:rPr>
        <w:t>QD</w:t>
      </w:r>
      <w:r w:rsidRPr="00AC289C">
        <w:rPr>
          <w:rFonts w:ascii="Times New Roman" w:hAnsi="Times New Roman" w:cs="Times New Roman"/>
          <w:sz w:val="24"/>
          <w:szCs w:val="24"/>
        </w:rPr>
        <w:t xml:space="preserve"> once a week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C289C">
        <w:rPr>
          <w:rFonts w:ascii="Times New Roman" w:hAnsi="Times New Roman" w:cs="Times New Roman"/>
          <w:sz w:val="24"/>
          <w:szCs w:val="24"/>
        </w:rPr>
        <w:t xml:space="preserve"> </w:t>
      </w:r>
      <w:r w:rsidRPr="00880872">
        <w:rPr>
          <w:rFonts w:ascii="Times New Roman" w:hAnsi="Times New Roman" w:cs="Times New Roman"/>
          <w:i/>
          <w:iCs/>
          <w:sz w:val="24"/>
          <w:szCs w:val="24"/>
        </w:rPr>
        <w:t>TLS</w:t>
      </w:r>
      <w:r w:rsidRPr="00AC289C">
        <w:rPr>
          <w:rFonts w:ascii="Times New Roman" w:hAnsi="Times New Roman" w:cs="Times New Roman"/>
          <w:sz w:val="24"/>
          <w:szCs w:val="24"/>
        </w:rPr>
        <w:t xml:space="preserve"> tumor lysis syndrome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C289C">
        <w:rPr>
          <w:rFonts w:ascii="Times New Roman" w:hAnsi="Times New Roman" w:cs="Times New Roman"/>
          <w:sz w:val="24"/>
          <w:szCs w:val="24"/>
        </w:rPr>
        <w:t xml:space="preserve"> </w:t>
      </w:r>
      <w:r w:rsidRPr="00880872">
        <w:rPr>
          <w:rFonts w:ascii="Times New Roman" w:hAnsi="Times New Roman" w:cs="Times New Roman"/>
          <w:i/>
          <w:iCs/>
          <w:sz w:val="24"/>
          <w:szCs w:val="24"/>
        </w:rPr>
        <w:t>R/R</w:t>
      </w:r>
      <w:r w:rsidRPr="00AC289C">
        <w:rPr>
          <w:rFonts w:ascii="Times New Roman" w:hAnsi="Times New Roman" w:cs="Times New Roman"/>
          <w:sz w:val="24"/>
          <w:szCs w:val="24"/>
        </w:rPr>
        <w:t xml:space="preserve"> relapsed/refractory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C289C">
        <w:rPr>
          <w:rFonts w:ascii="Times New Roman" w:hAnsi="Times New Roman" w:cs="Times New Roman"/>
          <w:sz w:val="24"/>
          <w:szCs w:val="24"/>
        </w:rPr>
        <w:t xml:space="preserve"> </w:t>
      </w:r>
      <w:r w:rsidRPr="00880872">
        <w:rPr>
          <w:rFonts w:ascii="Times New Roman" w:hAnsi="Times New Roman" w:cs="Times New Roman"/>
          <w:i/>
          <w:iCs/>
          <w:sz w:val="24"/>
          <w:szCs w:val="24"/>
        </w:rPr>
        <w:t>uMRD</w:t>
      </w:r>
      <w:r w:rsidRPr="00AC289C">
        <w:rPr>
          <w:rFonts w:ascii="Times New Roman" w:hAnsi="Times New Roman" w:cs="Times New Roman"/>
          <w:sz w:val="24"/>
          <w:szCs w:val="24"/>
        </w:rPr>
        <w:t xml:space="preserve"> undetectable minim</w:t>
      </w:r>
      <w:r>
        <w:rPr>
          <w:rFonts w:ascii="Times New Roman" w:hAnsi="Times New Roman" w:cs="Times New Roman"/>
          <w:sz w:val="24"/>
          <w:szCs w:val="24"/>
        </w:rPr>
        <w:t>al</w:t>
      </w:r>
      <w:r w:rsidRPr="00AC289C">
        <w:rPr>
          <w:rFonts w:ascii="Times New Roman" w:hAnsi="Times New Roman" w:cs="Times New Roman"/>
          <w:sz w:val="24"/>
          <w:szCs w:val="24"/>
        </w:rPr>
        <w:t xml:space="preserve"> residual disease</w:t>
      </w:r>
      <w:r>
        <w:rPr>
          <w:rFonts w:ascii="Times New Roman" w:hAnsi="Times New Roman" w:cs="Times New Roman"/>
          <w:sz w:val="24"/>
          <w:szCs w:val="24"/>
        </w:rPr>
        <w:br/>
      </w:r>
      <w:r w:rsidRPr="00AC289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AC289C">
        <w:rPr>
          <w:rFonts w:ascii="Times New Roman" w:hAnsi="Times New Roman" w:cs="Times New Roman"/>
          <w:sz w:val="24"/>
          <w:szCs w:val="24"/>
        </w:rPr>
        <w:t>20 mg followed by 50 mg, 100 mg, 200 mg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C289C">
        <w:rPr>
          <w:rFonts w:ascii="Times New Roman" w:hAnsi="Times New Roman" w:cs="Times New Roman"/>
          <w:sz w:val="24"/>
          <w:szCs w:val="24"/>
        </w:rPr>
        <w:t xml:space="preserve"> and 400 mg</w:t>
      </w:r>
    </w:p>
    <w:p w14:paraId="59284D57" w14:textId="77777777" w:rsidR="00A5121A" w:rsidRPr="001C5B63" w:rsidRDefault="00A5121A" w:rsidP="00A5121A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2BD626" w14:textId="77777777" w:rsidR="00A5121A" w:rsidRPr="001C5B63" w:rsidRDefault="00A5121A" w:rsidP="00A5121A">
      <w:pPr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C5B6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TABLES</w:t>
      </w:r>
    </w:p>
    <w:p w14:paraId="7EC35DF2" w14:textId="77777777" w:rsidR="00A5121A" w:rsidRPr="00AC289C" w:rsidRDefault="00A5121A" w:rsidP="00A5121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S1 </w:t>
      </w:r>
      <w:r w:rsidRPr="00AC289C">
        <w:rPr>
          <w:rFonts w:ascii="Times New Roman" w:hAnsi="Times New Roman" w:cs="Times New Roman"/>
          <w:sz w:val="24"/>
          <w:szCs w:val="24"/>
        </w:rPr>
        <w:t xml:space="preserve">Recommended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AC289C">
        <w:rPr>
          <w:rFonts w:ascii="Times New Roman" w:hAnsi="Times New Roman" w:cs="Times New Roman"/>
          <w:sz w:val="24"/>
          <w:szCs w:val="24"/>
        </w:rPr>
        <w:t xml:space="preserve">ose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AC289C">
        <w:rPr>
          <w:rFonts w:ascii="Times New Roman" w:hAnsi="Times New Roman" w:cs="Times New Roman"/>
          <w:sz w:val="24"/>
          <w:szCs w:val="24"/>
        </w:rPr>
        <w:t xml:space="preserve">odifications for 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AC289C">
        <w:rPr>
          <w:rFonts w:ascii="Times New Roman" w:hAnsi="Times New Roman" w:cs="Times New Roman"/>
          <w:sz w:val="24"/>
          <w:szCs w:val="24"/>
        </w:rPr>
        <w:t>enetoclax-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AC289C">
        <w:rPr>
          <w:rFonts w:ascii="Times New Roman" w:hAnsi="Times New Roman" w:cs="Times New Roman"/>
          <w:sz w:val="24"/>
          <w:szCs w:val="24"/>
        </w:rPr>
        <w:t xml:space="preserve">elated </w:t>
      </w:r>
      <w:r>
        <w:rPr>
          <w:rFonts w:ascii="Times New Roman" w:hAnsi="Times New Roman" w:cs="Times New Roman"/>
          <w:sz w:val="24"/>
          <w:szCs w:val="24"/>
        </w:rPr>
        <w:t xml:space="preserve">toxicities </w:t>
      </w:r>
      <w:r>
        <w:rPr>
          <w:rFonts w:ascii="Times New Roman" w:eastAsia="Times New Roman" w:hAnsi="Times New Roman" w:cs="Times New Roman"/>
          <w:sz w:val="24"/>
          <w:szCs w:val="24"/>
        </w:rPr>
        <w:t>[9]</w:t>
      </w: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62"/>
        <w:gridCol w:w="1413"/>
        <w:gridCol w:w="4675"/>
      </w:tblGrid>
      <w:tr w:rsidR="00A5121A" w:rsidRPr="00B6332B" w14:paraId="28A7D8DA" w14:textId="77777777" w:rsidTr="00412DC0">
        <w:tc>
          <w:tcPr>
            <w:tcW w:w="3262" w:type="dxa"/>
          </w:tcPr>
          <w:p w14:paraId="27F80DB8" w14:textId="77777777" w:rsidR="00A5121A" w:rsidRPr="00880872" w:rsidRDefault="00A5121A" w:rsidP="00412DC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872">
              <w:rPr>
                <w:rFonts w:ascii="Times New Roman" w:hAnsi="Times New Roman" w:cs="Times New Roman"/>
                <w:sz w:val="24"/>
                <w:szCs w:val="24"/>
              </w:rPr>
              <w:t>Event</w:t>
            </w:r>
          </w:p>
        </w:tc>
        <w:tc>
          <w:tcPr>
            <w:tcW w:w="1413" w:type="dxa"/>
          </w:tcPr>
          <w:p w14:paraId="7233089C" w14:textId="77777777" w:rsidR="00A5121A" w:rsidRPr="00880872" w:rsidRDefault="00A5121A" w:rsidP="00412DC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872">
              <w:rPr>
                <w:rFonts w:ascii="Times New Roman" w:hAnsi="Times New Roman" w:cs="Times New Roman"/>
                <w:sz w:val="24"/>
                <w:szCs w:val="24"/>
              </w:rPr>
              <w:t>Occurrence</w:t>
            </w:r>
          </w:p>
        </w:tc>
        <w:tc>
          <w:tcPr>
            <w:tcW w:w="4675" w:type="dxa"/>
          </w:tcPr>
          <w:p w14:paraId="2ADE2E6D" w14:textId="77777777" w:rsidR="00A5121A" w:rsidRPr="00880872" w:rsidRDefault="00A5121A" w:rsidP="00412DC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872">
              <w:rPr>
                <w:rFonts w:ascii="Times New Roman" w:hAnsi="Times New Roman" w:cs="Times New Roman"/>
                <w:sz w:val="24"/>
                <w:szCs w:val="24"/>
              </w:rPr>
              <w:t>Action</w:t>
            </w:r>
          </w:p>
        </w:tc>
      </w:tr>
      <w:tr w:rsidR="00A5121A" w:rsidRPr="00B6332B" w14:paraId="2C4DB57D" w14:textId="77777777" w:rsidTr="00412DC0">
        <w:tc>
          <w:tcPr>
            <w:tcW w:w="3262" w:type="dxa"/>
            <w:vMerge w:val="restart"/>
          </w:tcPr>
          <w:p w14:paraId="4A36E116" w14:textId="77777777" w:rsidR="00A5121A" w:rsidRPr="00880872" w:rsidRDefault="00A5121A" w:rsidP="00412DC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872">
              <w:rPr>
                <w:rFonts w:ascii="Times New Roman" w:hAnsi="Times New Roman" w:cs="Times New Roman"/>
                <w:sz w:val="24"/>
                <w:szCs w:val="24"/>
              </w:rPr>
              <w:t>Tumor lysis syndrome</w:t>
            </w:r>
          </w:p>
          <w:p w14:paraId="3665E42E" w14:textId="77777777" w:rsidR="00A5121A" w:rsidRPr="00B6332B" w:rsidRDefault="00A5121A" w:rsidP="00412DC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B">
              <w:rPr>
                <w:rFonts w:ascii="Times New Roman" w:hAnsi="Times New Roman" w:cs="Times New Roman"/>
                <w:sz w:val="24"/>
                <w:szCs w:val="24"/>
              </w:rPr>
              <w:t>Blood chemistry changes or symptoms suggestive of TLS</w:t>
            </w:r>
          </w:p>
        </w:tc>
        <w:tc>
          <w:tcPr>
            <w:tcW w:w="1413" w:type="dxa"/>
            <w:vMerge w:val="restart"/>
          </w:tcPr>
          <w:p w14:paraId="7DEF94B8" w14:textId="77777777" w:rsidR="00A5121A" w:rsidRPr="00B6332B" w:rsidRDefault="00A5121A" w:rsidP="00412DC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B">
              <w:rPr>
                <w:rFonts w:ascii="Times New Roman" w:hAnsi="Times New Roman" w:cs="Times New Roman"/>
                <w:sz w:val="24"/>
                <w:szCs w:val="24"/>
              </w:rPr>
              <w:t>Any</w:t>
            </w:r>
          </w:p>
        </w:tc>
        <w:tc>
          <w:tcPr>
            <w:tcW w:w="4675" w:type="dxa"/>
          </w:tcPr>
          <w:p w14:paraId="6B295924" w14:textId="77777777" w:rsidR="00A5121A" w:rsidRPr="00B6332B" w:rsidRDefault="00A5121A" w:rsidP="00412DC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B">
              <w:rPr>
                <w:rFonts w:ascii="Times New Roman" w:hAnsi="Times New Roman" w:cs="Times New Roman"/>
                <w:sz w:val="24"/>
                <w:szCs w:val="24"/>
              </w:rPr>
              <w:t>Withhold the next day's dose. If resolved within 24 to 48 h of last dose, once the toxicity has resolved to Grade 1 or baseline level, resume at the same dose</w:t>
            </w:r>
          </w:p>
        </w:tc>
      </w:tr>
      <w:tr w:rsidR="00A5121A" w:rsidRPr="00B6332B" w14:paraId="19D2D412" w14:textId="77777777" w:rsidTr="00412DC0">
        <w:tc>
          <w:tcPr>
            <w:tcW w:w="3262" w:type="dxa"/>
            <w:vMerge/>
          </w:tcPr>
          <w:p w14:paraId="3C38362E" w14:textId="77777777" w:rsidR="00A5121A" w:rsidRPr="00880872" w:rsidRDefault="00A5121A" w:rsidP="00412D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vMerge/>
          </w:tcPr>
          <w:p w14:paraId="53835E46" w14:textId="77777777" w:rsidR="00A5121A" w:rsidRPr="00880872" w:rsidRDefault="00A5121A" w:rsidP="00412D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71C47BEB" w14:textId="77777777" w:rsidR="00A5121A" w:rsidRPr="00B6332B" w:rsidRDefault="00A5121A" w:rsidP="00412DC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B">
              <w:rPr>
                <w:rFonts w:ascii="Times New Roman" w:hAnsi="Times New Roman" w:cs="Times New Roman"/>
                <w:sz w:val="24"/>
                <w:szCs w:val="24"/>
              </w:rPr>
              <w:t>For any blood chemistry changes requiring more than 48 h to resolve, once the toxicity has resolved to Grade 1 or baseline level, resume at a reduced dose (</w:t>
            </w:r>
            <w:r w:rsidRPr="00880872">
              <w:rPr>
                <w:rFonts w:ascii="Times New Roman" w:hAnsi="Times New Roman" w:cs="Times New Roman"/>
                <w:sz w:val="24"/>
                <w:szCs w:val="24"/>
              </w:rPr>
              <w:t>Supplementary Table 2</w:t>
            </w:r>
            <w:r w:rsidRPr="00B6332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5121A" w:rsidRPr="00B6332B" w14:paraId="0EF7E592" w14:textId="77777777" w:rsidTr="00412DC0">
        <w:tc>
          <w:tcPr>
            <w:tcW w:w="3262" w:type="dxa"/>
            <w:vMerge/>
          </w:tcPr>
          <w:p w14:paraId="481E6704" w14:textId="77777777" w:rsidR="00A5121A" w:rsidRPr="00880872" w:rsidRDefault="00A5121A" w:rsidP="00412D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vMerge/>
          </w:tcPr>
          <w:p w14:paraId="5162F24C" w14:textId="77777777" w:rsidR="00A5121A" w:rsidRPr="00880872" w:rsidRDefault="00A5121A" w:rsidP="00412D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5BF63263" w14:textId="77777777" w:rsidR="00A5121A" w:rsidRPr="00B6332B" w:rsidRDefault="00A5121A" w:rsidP="00412DC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B">
              <w:rPr>
                <w:rFonts w:ascii="Times New Roman" w:hAnsi="Times New Roman" w:cs="Times New Roman"/>
                <w:sz w:val="24"/>
                <w:szCs w:val="24"/>
              </w:rPr>
              <w:t>For any events of clinical TLS, once the toxicity has resolved to Grade 1 or baseline level, resume at a reduced dose following resolution (</w:t>
            </w:r>
            <w:r w:rsidRPr="00880872">
              <w:rPr>
                <w:rFonts w:ascii="Times New Roman" w:hAnsi="Times New Roman" w:cs="Times New Roman"/>
                <w:sz w:val="24"/>
                <w:szCs w:val="24"/>
              </w:rPr>
              <w:t>Supplementary Table 2</w:t>
            </w:r>
            <w:r w:rsidRPr="00B6332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5121A" w:rsidRPr="00B6332B" w14:paraId="7B7EE906" w14:textId="77777777" w:rsidTr="00412DC0">
        <w:tc>
          <w:tcPr>
            <w:tcW w:w="3262" w:type="dxa"/>
            <w:vMerge w:val="restart"/>
          </w:tcPr>
          <w:p w14:paraId="572ED134" w14:textId="77777777" w:rsidR="00A5121A" w:rsidRPr="00880872" w:rsidRDefault="00A5121A" w:rsidP="00412DC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872">
              <w:rPr>
                <w:rFonts w:ascii="Times New Roman" w:hAnsi="Times New Roman" w:cs="Times New Roman"/>
                <w:sz w:val="24"/>
                <w:szCs w:val="24"/>
              </w:rPr>
              <w:t>Non-hematologic toxicities</w:t>
            </w:r>
          </w:p>
          <w:p w14:paraId="3A1C9673" w14:textId="77777777" w:rsidR="00A5121A" w:rsidRPr="00B6332B" w:rsidRDefault="00A5121A" w:rsidP="00412DC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B">
              <w:rPr>
                <w:rFonts w:ascii="Times New Roman" w:hAnsi="Times New Roman" w:cs="Times New Roman"/>
                <w:sz w:val="24"/>
                <w:szCs w:val="24"/>
              </w:rPr>
              <w:t xml:space="preserve">Grade 3 or 4 </w:t>
            </w:r>
          </w:p>
        </w:tc>
        <w:tc>
          <w:tcPr>
            <w:tcW w:w="1413" w:type="dxa"/>
          </w:tcPr>
          <w:p w14:paraId="75C49C74" w14:textId="77777777" w:rsidR="00A5121A" w:rsidRPr="00B6332B" w:rsidRDefault="00A5121A" w:rsidP="00412DC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B">
              <w:rPr>
                <w:rFonts w:ascii="Times New Roman" w:hAnsi="Times New Roman" w:cs="Times New Roman"/>
                <w:sz w:val="24"/>
                <w:szCs w:val="24"/>
              </w:rPr>
              <w:t>First</w:t>
            </w:r>
          </w:p>
        </w:tc>
        <w:tc>
          <w:tcPr>
            <w:tcW w:w="4675" w:type="dxa"/>
          </w:tcPr>
          <w:p w14:paraId="12B316D0" w14:textId="77777777" w:rsidR="00A5121A" w:rsidRPr="00B6332B" w:rsidRDefault="00A5121A" w:rsidP="00412DC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B">
              <w:rPr>
                <w:rFonts w:ascii="Times New Roman" w:hAnsi="Times New Roman" w:cs="Times New Roman"/>
                <w:sz w:val="24"/>
                <w:szCs w:val="24"/>
              </w:rPr>
              <w:t>Interrupt venetoclax. Once the toxicity has resolved to Grade 1 or baseline level, venetoclax therapy may be resumed at the same dose. No dose modification is required</w:t>
            </w:r>
          </w:p>
        </w:tc>
      </w:tr>
      <w:tr w:rsidR="00A5121A" w:rsidRPr="00B6332B" w14:paraId="73C75974" w14:textId="77777777" w:rsidTr="00412DC0">
        <w:tc>
          <w:tcPr>
            <w:tcW w:w="3262" w:type="dxa"/>
            <w:vMerge/>
          </w:tcPr>
          <w:p w14:paraId="4EBE859D" w14:textId="77777777" w:rsidR="00A5121A" w:rsidRPr="00880872" w:rsidRDefault="00A5121A" w:rsidP="00412D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</w:tcPr>
          <w:p w14:paraId="7E18AA61" w14:textId="77777777" w:rsidR="00A5121A" w:rsidRPr="00B6332B" w:rsidRDefault="00A5121A" w:rsidP="00412DC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B">
              <w:rPr>
                <w:rFonts w:ascii="Times New Roman" w:hAnsi="Times New Roman" w:cs="Times New Roman"/>
                <w:sz w:val="24"/>
                <w:szCs w:val="24"/>
              </w:rPr>
              <w:t>Second</w:t>
            </w:r>
          </w:p>
        </w:tc>
        <w:tc>
          <w:tcPr>
            <w:tcW w:w="4675" w:type="dxa"/>
          </w:tcPr>
          <w:p w14:paraId="134D3CFC" w14:textId="77777777" w:rsidR="00A5121A" w:rsidRPr="00B6332B" w:rsidRDefault="00A5121A" w:rsidP="00412DC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B">
              <w:rPr>
                <w:rFonts w:ascii="Times New Roman" w:hAnsi="Times New Roman" w:cs="Times New Roman"/>
                <w:sz w:val="24"/>
                <w:szCs w:val="24"/>
              </w:rPr>
              <w:t>Interrupt venetoclax. Once the toxicity has resolved to Grade 1 or baseline</w:t>
            </w:r>
          </w:p>
          <w:p w14:paraId="152938D6" w14:textId="77777777" w:rsidR="00A5121A" w:rsidRPr="00B6332B" w:rsidRDefault="00A5121A" w:rsidP="00412DC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B">
              <w:rPr>
                <w:rFonts w:ascii="Times New Roman" w:hAnsi="Times New Roman" w:cs="Times New Roman"/>
                <w:sz w:val="24"/>
                <w:szCs w:val="24"/>
              </w:rPr>
              <w:t>level, resume at a reduced dose following resolution (</w:t>
            </w:r>
            <w:r w:rsidRPr="00880872">
              <w:rPr>
                <w:rFonts w:ascii="Times New Roman" w:hAnsi="Times New Roman" w:cs="Times New Roman"/>
                <w:sz w:val="24"/>
                <w:szCs w:val="24"/>
              </w:rPr>
              <w:t>Supplementary Table 2</w:t>
            </w:r>
            <w:r w:rsidRPr="00B6332B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r w:rsidRPr="00B6332B">
              <w:rPr>
                <w:rFonts w:ascii="Times New Roman" w:hAnsi="Times New Roman" w:cs="Times New Roman"/>
                <w:sz w:val="24"/>
                <w:szCs w:val="24"/>
              </w:rPr>
              <w:br/>
              <w:t>A larger dose reduction may occur at</w:t>
            </w:r>
          </w:p>
          <w:p w14:paraId="69762070" w14:textId="77777777" w:rsidR="00A5121A" w:rsidRPr="00B6332B" w:rsidRDefault="00A5121A" w:rsidP="00412DC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B">
              <w:rPr>
                <w:rFonts w:ascii="Times New Roman" w:hAnsi="Times New Roman" w:cs="Times New Roman"/>
                <w:sz w:val="24"/>
                <w:szCs w:val="24"/>
              </w:rPr>
              <w:t>the discretion of the investigator</w:t>
            </w:r>
          </w:p>
        </w:tc>
      </w:tr>
      <w:tr w:rsidR="00A5121A" w:rsidRPr="00B6332B" w14:paraId="7FD3BA9F" w14:textId="77777777" w:rsidTr="00412DC0">
        <w:tc>
          <w:tcPr>
            <w:tcW w:w="3262" w:type="dxa"/>
            <w:vMerge w:val="restart"/>
          </w:tcPr>
          <w:p w14:paraId="41BF9F24" w14:textId="77777777" w:rsidR="00A5121A" w:rsidRPr="00880872" w:rsidRDefault="00A5121A" w:rsidP="00412DC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872">
              <w:rPr>
                <w:rFonts w:ascii="Times New Roman" w:hAnsi="Times New Roman" w:cs="Times New Roman"/>
                <w:sz w:val="24"/>
                <w:szCs w:val="24"/>
              </w:rPr>
              <w:t>Hematologic toxicities</w:t>
            </w:r>
          </w:p>
          <w:p w14:paraId="6F490669" w14:textId="77777777" w:rsidR="00A5121A" w:rsidRPr="00B6332B" w:rsidRDefault="00A5121A" w:rsidP="00412DC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B">
              <w:rPr>
                <w:rFonts w:ascii="Times New Roman" w:hAnsi="Times New Roman" w:cs="Times New Roman"/>
                <w:sz w:val="24"/>
                <w:szCs w:val="24"/>
              </w:rPr>
              <w:t>Grade 3 or 4 neutropenia with infection or fever; or Grade 4 hematologic toxicities (except lymphopenia)</w:t>
            </w:r>
          </w:p>
        </w:tc>
        <w:tc>
          <w:tcPr>
            <w:tcW w:w="1413" w:type="dxa"/>
          </w:tcPr>
          <w:p w14:paraId="5F87DE48" w14:textId="77777777" w:rsidR="00A5121A" w:rsidRPr="00B6332B" w:rsidRDefault="00A5121A" w:rsidP="00412DC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B">
              <w:rPr>
                <w:rFonts w:ascii="Times New Roman" w:hAnsi="Times New Roman" w:cs="Times New Roman"/>
                <w:sz w:val="24"/>
                <w:szCs w:val="24"/>
              </w:rPr>
              <w:t>First</w:t>
            </w:r>
          </w:p>
        </w:tc>
        <w:tc>
          <w:tcPr>
            <w:tcW w:w="4675" w:type="dxa"/>
          </w:tcPr>
          <w:p w14:paraId="7A675EF9" w14:textId="77777777" w:rsidR="00A5121A" w:rsidRPr="00B6332B" w:rsidRDefault="00A5121A" w:rsidP="00412DC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B">
              <w:rPr>
                <w:rFonts w:ascii="Times New Roman" w:hAnsi="Times New Roman" w:cs="Times New Roman"/>
                <w:sz w:val="24"/>
                <w:szCs w:val="24"/>
              </w:rPr>
              <w:t>Interrupt venetoclax. To reduce the infection risks associated with neutropenia, G-CSF may be administered with venetoclax if clinically indicated. Once the toxicity has resolved to Grade 1 or baseline level, venetoclax</w:t>
            </w:r>
          </w:p>
          <w:p w14:paraId="6AB36918" w14:textId="77777777" w:rsidR="00A5121A" w:rsidRPr="00B6332B" w:rsidRDefault="00A5121A" w:rsidP="00412DC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B">
              <w:rPr>
                <w:rFonts w:ascii="Times New Roman" w:hAnsi="Times New Roman" w:cs="Times New Roman"/>
                <w:sz w:val="24"/>
                <w:szCs w:val="24"/>
              </w:rPr>
              <w:t>may be resumed at the same dose</w:t>
            </w:r>
          </w:p>
        </w:tc>
      </w:tr>
      <w:tr w:rsidR="00A5121A" w:rsidRPr="00B6332B" w14:paraId="398FA2E7" w14:textId="77777777" w:rsidTr="00412DC0">
        <w:tc>
          <w:tcPr>
            <w:tcW w:w="3262" w:type="dxa"/>
            <w:vMerge/>
          </w:tcPr>
          <w:p w14:paraId="78AB5E18" w14:textId="77777777" w:rsidR="00A5121A" w:rsidRPr="00880872" w:rsidRDefault="00A5121A" w:rsidP="00412D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</w:tcPr>
          <w:p w14:paraId="6145B421" w14:textId="77777777" w:rsidR="00A5121A" w:rsidRPr="00880872" w:rsidRDefault="00A5121A" w:rsidP="00412DC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B">
              <w:rPr>
                <w:rFonts w:ascii="Times New Roman" w:hAnsi="Times New Roman" w:cs="Times New Roman"/>
                <w:sz w:val="24"/>
                <w:szCs w:val="24"/>
              </w:rPr>
              <w:t>Second and subsequent</w:t>
            </w:r>
          </w:p>
        </w:tc>
        <w:tc>
          <w:tcPr>
            <w:tcW w:w="4675" w:type="dxa"/>
          </w:tcPr>
          <w:p w14:paraId="4A1C481B" w14:textId="77777777" w:rsidR="00A5121A" w:rsidRPr="00B6332B" w:rsidRDefault="00A5121A" w:rsidP="00412DC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B">
              <w:rPr>
                <w:rFonts w:ascii="Times New Roman" w:hAnsi="Times New Roman" w:cs="Times New Roman"/>
                <w:sz w:val="24"/>
                <w:szCs w:val="24"/>
              </w:rPr>
              <w:t>Interrupt venetoclax. Consider using G-CSF as clinically indicated. Once the toxicity has resolved to Grade 1 or baseline level, resume at a reduced dose following resolution</w:t>
            </w:r>
          </w:p>
          <w:p w14:paraId="3A06FFC9" w14:textId="77777777" w:rsidR="00A5121A" w:rsidRPr="00B6332B" w:rsidRDefault="00A5121A" w:rsidP="00412DC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80872">
              <w:rPr>
                <w:rFonts w:ascii="Times New Roman" w:hAnsi="Times New Roman" w:cs="Times New Roman"/>
                <w:sz w:val="24"/>
                <w:szCs w:val="24"/>
              </w:rPr>
              <w:t>Supplementary Table 2</w:t>
            </w:r>
            <w:r w:rsidRPr="00B6332B">
              <w:rPr>
                <w:rFonts w:ascii="Times New Roman" w:hAnsi="Times New Roman" w:cs="Times New Roman"/>
                <w:sz w:val="24"/>
                <w:szCs w:val="24"/>
              </w:rPr>
              <w:t>). A larger dose reduction may occur at the discretion of the investigator.</w:t>
            </w:r>
          </w:p>
        </w:tc>
      </w:tr>
    </w:tbl>
    <w:p w14:paraId="56694C70" w14:textId="77777777" w:rsidR="00A5121A" w:rsidRPr="00B6332B" w:rsidRDefault="00A5121A" w:rsidP="00A5121A">
      <w:pPr>
        <w:rPr>
          <w:rFonts w:ascii="Times New Roman" w:hAnsi="Times New Roman" w:cs="Times New Roman"/>
          <w:sz w:val="24"/>
          <w:szCs w:val="24"/>
        </w:rPr>
      </w:pPr>
      <w:r w:rsidRPr="00880872">
        <w:rPr>
          <w:rFonts w:ascii="Times New Roman" w:hAnsi="Times New Roman" w:cs="Times New Roman"/>
          <w:i/>
          <w:iCs/>
          <w:sz w:val="24"/>
          <w:szCs w:val="24"/>
        </w:rPr>
        <w:t>G-CSF</w:t>
      </w:r>
      <w:r w:rsidRPr="00B6332B">
        <w:rPr>
          <w:rFonts w:ascii="Times New Roman" w:hAnsi="Times New Roman" w:cs="Times New Roman"/>
          <w:sz w:val="24"/>
          <w:szCs w:val="24"/>
        </w:rPr>
        <w:t xml:space="preserve"> granulocyte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332B">
        <w:rPr>
          <w:rFonts w:ascii="Times New Roman" w:hAnsi="Times New Roman" w:cs="Times New Roman"/>
          <w:sz w:val="24"/>
          <w:szCs w:val="24"/>
        </w:rPr>
        <w:t>colony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B6332B">
        <w:rPr>
          <w:rFonts w:ascii="Times New Roman" w:hAnsi="Times New Roman" w:cs="Times New Roman"/>
          <w:sz w:val="24"/>
          <w:szCs w:val="24"/>
        </w:rPr>
        <w:t>stimulating factor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6332B">
        <w:rPr>
          <w:rFonts w:ascii="Times New Roman" w:hAnsi="Times New Roman" w:cs="Times New Roman"/>
          <w:sz w:val="24"/>
          <w:szCs w:val="24"/>
        </w:rPr>
        <w:t xml:space="preserve"> </w:t>
      </w:r>
      <w:r w:rsidRPr="00880872">
        <w:rPr>
          <w:rFonts w:ascii="Times New Roman" w:hAnsi="Times New Roman" w:cs="Times New Roman"/>
          <w:i/>
          <w:iCs/>
          <w:sz w:val="24"/>
          <w:szCs w:val="24"/>
        </w:rPr>
        <w:t>TLS</w:t>
      </w:r>
      <w:r w:rsidRPr="00B6332B">
        <w:rPr>
          <w:rFonts w:ascii="Times New Roman" w:hAnsi="Times New Roman" w:cs="Times New Roman"/>
          <w:sz w:val="24"/>
          <w:szCs w:val="24"/>
        </w:rPr>
        <w:t xml:space="preserve"> tumor lysis syndrome</w:t>
      </w:r>
    </w:p>
    <w:p w14:paraId="20A63A55" w14:textId="77777777" w:rsidR="00A5121A" w:rsidRPr="00880872" w:rsidRDefault="00A5121A" w:rsidP="00A5121A">
      <w:pPr>
        <w:rPr>
          <w:rFonts w:ascii="Times New Roman" w:hAnsi="Times New Roman" w:cs="Times New Roman"/>
          <w:sz w:val="24"/>
          <w:szCs w:val="24"/>
        </w:rPr>
      </w:pPr>
    </w:p>
    <w:p w14:paraId="241899F6" w14:textId="77777777" w:rsidR="00A5121A" w:rsidRDefault="00A5121A" w:rsidP="00A512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ED725FE" w14:textId="77777777" w:rsidR="00A5121A" w:rsidRDefault="00A5121A" w:rsidP="00A512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ED960E1" w14:textId="77777777" w:rsidR="00A5121A" w:rsidRDefault="00A5121A" w:rsidP="00A5121A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4668F3F" w14:textId="77777777" w:rsidR="00A5121A" w:rsidRDefault="00A5121A" w:rsidP="00A5121A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D92594D" w14:textId="77777777" w:rsidR="00A5121A" w:rsidRDefault="00A5121A" w:rsidP="00A5121A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278AABA" w14:textId="77777777" w:rsidR="00A5121A" w:rsidRPr="00B6332B" w:rsidRDefault="00A5121A" w:rsidP="00A5121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6332B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B6332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B6332B">
        <w:rPr>
          <w:rFonts w:ascii="Times New Roman" w:hAnsi="Times New Roman" w:cs="Times New Roman"/>
          <w:sz w:val="24"/>
          <w:szCs w:val="24"/>
        </w:rPr>
        <w:t xml:space="preserve"> Dose modifications for adverse events during treatment with venetoclax </w:t>
      </w:r>
      <w:r>
        <w:rPr>
          <w:rFonts w:ascii="Times New Roman" w:eastAsia="Times New Roman" w:hAnsi="Times New Roman" w:cs="Times New Roman"/>
          <w:sz w:val="24"/>
          <w:szCs w:val="24"/>
        </w:rPr>
        <w:t>[9]</w:t>
      </w: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5"/>
        <w:gridCol w:w="4675"/>
      </w:tblGrid>
      <w:tr w:rsidR="00A5121A" w:rsidRPr="00B6332B" w14:paraId="2A50718B" w14:textId="77777777" w:rsidTr="00412DC0">
        <w:tc>
          <w:tcPr>
            <w:tcW w:w="4675" w:type="dxa"/>
          </w:tcPr>
          <w:p w14:paraId="3A3A6D8C" w14:textId="77777777" w:rsidR="00A5121A" w:rsidRPr="00880872" w:rsidRDefault="00A5121A" w:rsidP="00412DC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872">
              <w:rPr>
                <w:rFonts w:ascii="Times New Roman" w:hAnsi="Times New Roman" w:cs="Times New Roman"/>
                <w:sz w:val="24"/>
                <w:szCs w:val="24"/>
              </w:rPr>
              <w:t xml:space="preserve">Dose at interruption </w:t>
            </w:r>
          </w:p>
        </w:tc>
        <w:tc>
          <w:tcPr>
            <w:tcW w:w="4675" w:type="dxa"/>
          </w:tcPr>
          <w:p w14:paraId="6E8974BD" w14:textId="77777777" w:rsidR="00A5121A" w:rsidRPr="00880872" w:rsidRDefault="00A5121A" w:rsidP="00412DC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872">
              <w:rPr>
                <w:rFonts w:ascii="Times New Roman" w:hAnsi="Times New Roman" w:cs="Times New Roman"/>
                <w:sz w:val="24"/>
                <w:szCs w:val="24"/>
              </w:rPr>
              <w:t>Restart dose</w:t>
            </w:r>
            <w:r w:rsidRPr="0088087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A5121A" w:rsidRPr="00B6332B" w14:paraId="7098F7AB" w14:textId="77777777" w:rsidTr="00412DC0">
        <w:tc>
          <w:tcPr>
            <w:tcW w:w="4675" w:type="dxa"/>
          </w:tcPr>
          <w:p w14:paraId="6B20B723" w14:textId="77777777" w:rsidR="00A5121A" w:rsidRPr="00B6332B" w:rsidRDefault="00A5121A" w:rsidP="00412DC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B">
              <w:rPr>
                <w:rFonts w:ascii="Times New Roman" w:hAnsi="Times New Roman" w:cs="Times New Roman"/>
                <w:sz w:val="24"/>
                <w:szCs w:val="24"/>
              </w:rPr>
              <w:t>400 mg</w:t>
            </w:r>
          </w:p>
        </w:tc>
        <w:tc>
          <w:tcPr>
            <w:tcW w:w="4675" w:type="dxa"/>
          </w:tcPr>
          <w:p w14:paraId="611EAB28" w14:textId="77777777" w:rsidR="00A5121A" w:rsidRPr="00B6332B" w:rsidRDefault="00A5121A" w:rsidP="00412DC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B">
              <w:rPr>
                <w:rFonts w:ascii="Times New Roman" w:hAnsi="Times New Roman" w:cs="Times New Roman"/>
                <w:sz w:val="24"/>
                <w:szCs w:val="24"/>
              </w:rPr>
              <w:t>300 mg</w:t>
            </w:r>
          </w:p>
        </w:tc>
      </w:tr>
      <w:tr w:rsidR="00A5121A" w:rsidRPr="00B6332B" w14:paraId="6EF04901" w14:textId="77777777" w:rsidTr="00412DC0">
        <w:tc>
          <w:tcPr>
            <w:tcW w:w="4675" w:type="dxa"/>
          </w:tcPr>
          <w:p w14:paraId="376248AB" w14:textId="77777777" w:rsidR="00A5121A" w:rsidRPr="00B6332B" w:rsidRDefault="00A5121A" w:rsidP="00412DC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B">
              <w:rPr>
                <w:rFonts w:ascii="Times New Roman" w:hAnsi="Times New Roman" w:cs="Times New Roman"/>
                <w:sz w:val="24"/>
                <w:szCs w:val="24"/>
              </w:rPr>
              <w:t>300 mg</w:t>
            </w:r>
          </w:p>
        </w:tc>
        <w:tc>
          <w:tcPr>
            <w:tcW w:w="4675" w:type="dxa"/>
          </w:tcPr>
          <w:p w14:paraId="508A912D" w14:textId="77777777" w:rsidR="00A5121A" w:rsidRPr="00B6332B" w:rsidRDefault="00A5121A" w:rsidP="00412DC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B">
              <w:rPr>
                <w:rFonts w:ascii="Times New Roman" w:hAnsi="Times New Roman" w:cs="Times New Roman"/>
                <w:sz w:val="24"/>
                <w:szCs w:val="24"/>
              </w:rPr>
              <w:t>200 mg</w:t>
            </w:r>
          </w:p>
        </w:tc>
      </w:tr>
      <w:tr w:rsidR="00A5121A" w:rsidRPr="00B6332B" w14:paraId="25B2EFC0" w14:textId="77777777" w:rsidTr="00412DC0">
        <w:tc>
          <w:tcPr>
            <w:tcW w:w="4675" w:type="dxa"/>
          </w:tcPr>
          <w:p w14:paraId="132DAD84" w14:textId="77777777" w:rsidR="00A5121A" w:rsidRPr="00B6332B" w:rsidRDefault="00A5121A" w:rsidP="00412DC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B">
              <w:rPr>
                <w:rFonts w:ascii="Times New Roman" w:hAnsi="Times New Roman" w:cs="Times New Roman"/>
                <w:sz w:val="24"/>
                <w:szCs w:val="24"/>
              </w:rPr>
              <w:t>200 mg</w:t>
            </w:r>
          </w:p>
        </w:tc>
        <w:tc>
          <w:tcPr>
            <w:tcW w:w="4675" w:type="dxa"/>
          </w:tcPr>
          <w:p w14:paraId="5A66680F" w14:textId="77777777" w:rsidR="00A5121A" w:rsidRPr="00B6332B" w:rsidRDefault="00A5121A" w:rsidP="00412DC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32B">
              <w:rPr>
                <w:rFonts w:ascii="Times New Roman" w:hAnsi="Times New Roman" w:cs="Times New Roman"/>
                <w:sz w:val="24"/>
                <w:szCs w:val="24"/>
              </w:rPr>
              <w:t>100 mg</w:t>
            </w:r>
          </w:p>
        </w:tc>
      </w:tr>
    </w:tbl>
    <w:p w14:paraId="5CA46C98" w14:textId="77777777" w:rsidR="00A5121A" w:rsidRDefault="00A5121A" w:rsidP="00A5121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6332B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B6332B">
        <w:rPr>
          <w:rFonts w:ascii="Times New Roman" w:hAnsi="Times New Roman" w:cs="Times New Roman"/>
          <w:sz w:val="24"/>
          <w:szCs w:val="24"/>
        </w:rPr>
        <w:t>Continue the reduced dose for at least 1 week before increasing the dose</w:t>
      </w:r>
      <w:r>
        <w:rPr>
          <w:noProof/>
          <w:lang w:val="en-IN" w:eastAsia="en-IN"/>
        </w:rPr>
        <w:drawing>
          <wp:anchor distT="0" distB="0" distL="114300" distR="114300" simplePos="0" relativeHeight="251660288" behindDoc="0" locked="0" layoutInCell="1" hidden="0" allowOverlap="1" wp14:anchorId="529B0298" wp14:editId="1FBF6301">
            <wp:simplePos x="0" y="0"/>
            <wp:positionH relativeFrom="column">
              <wp:posOffset>11802110</wp:posOffset>
            </wp:positionH>
            <wp:positionV relativeFrom="paragraph">
              <wp:posOffset>5019675</wp:posOffset>
            </wp:positionV>
            <wp:extent cx="442120" cy="108000"/>
            <wp:effectExtent l="0" t="0" r="0" b="0"/>
            <wp:wrapNone/>
            <wp:docPr id="151622864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2120" cy="108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AE6E6E0" w14:textId="77777777" w:rsidR="00A5121A" w:rsidRDefault="00A5121A" w:rsidP="00A5121A">
      <w:pPr>
        <w:rPr>
          <w:rFonts w:ascii="Times New Roman" w:hAnsi="Times New Roman" w:cs="Times New Roman"/>
          <w:sz w:val="24"/>
          <w:szCs w:val="24"/>
        </w:rPr>
      </w:pPr>
    </w:p>
    <w:p w14:paraId="7733E92D" w14:textId="77777777" w:rsidR="00A5121A" w:rsidRDefault="00A5121A" w:rsidP="00A5121A">
      <w:pPr>
        <w:rPr>
          <w:rFonts w:ascii="Times New Roman" w:hAnsi="Times New Roman" w:cs="Times New Roman"/>
          <w:sz w:val="24"/>
          <w:szCs w:val="24"/>
        </w:rPr>
      </w:pPr>
    </w:p>
    <w:p w14:paraId="1D856055" w14:textId="77777777" w:rsidR="00A5121A" w:rsidRDefault="00A5121A" w:rsidP="00A512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0CD4F75" w14:textId="77777777" w:rsidR="00A5121A" w:rsidRDefault="00A5121A" w:rsidP="00A512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F6E0647" w14:textId="77777777" w:rsidR="00A5121A" w:rsidRDefault="00A5121A" w:rsidP="00A512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AF3DCA3" w14:textId="77777777" w:rsidR="00A5121A" w:rsidRDefault="00A5121A" w:rsidP="00A512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642305" w14:textId="77777777" w:rsidR="00A5121A" w:rsidRDefault="00A5121A" w:rsidP="00A512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4A04D6E" w14:textId="77777777" w:rsidR="00A5121A" w:rsidRDefault="00A5121A" w:rsidP="00A512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4C77444" w14:textId="77777777" w:rsidR="00A5121A" w:rsidRDefault="00A5121A" w:rsidP="00A512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2C41F8F" w14:textId="77777777" w:rsidR="00A5121A" w:rsidRDefault="00A5121A" w:rsidP="00A512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FB7609" w14:textId="77777777" w:rsidR="00A5121A" w:rsidRDefault="00A5121A" w:rsidP="00A512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EBFCE1" w14:textId="77777777" w:rsidR="00A5121A" w:rsidRDefault="00A5121A" w:rsidP="00A512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55113C2" w14:textId="77777777" w:rsidR="00A5121A" w:rsidRDefault="00A5121A" w:rsidP="00A512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6FF960" w14:textId="77777777" w:rsidR="00A5121A" w:rsidRDefault="00A5121A" w:rsidP="00A512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CBEDA66" w14:textId="77777777" w:rsidR="00A5121A" w:rsidRDefault="00A5121A" w:rsidP="00A512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CD6514" w14:textId="77777777" w:rsidR="00A5121A" w:rsidRDefault="00A5121A" w:rsidP="00A512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AB8AED" w14:textId="77777777" w:rsidR="00A5121A" w:rsidRDefault="00A5121A" w:rsidP="00A512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9FD9E0F" w14:textId="77777777" w:rsidR="00A5121A" w:rsidRDefault="00A5121A" w:rsidP="00A512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A577F2" w14:textId="77777777" w:rsidR="00A5121A" w:rsidRDefault="00A5121A" w:rsidP="00A512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3F7583A" w14:textId="77777777" w:rsidR="00A5121A" w:rsidRDefault="00A5121A" w:rsidP="00A512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30096B1" w14:textId="77777777" w:rsidR="00A5121A" w:rsidRDefault="00A5121A" w:rsidP="00A5121A">
      <w:pPr>
        <w:rPr>
          <w:rFonts w:ascii="Times New Roman" w:hAnsi="Times New Roman" w:cs="Times New Roman"/>
          <w:sz w:val="24"/>
          <w:szCs w:val="24"/>
        </w:rPr>
      </w:pPr>
      <w:r w:rsidRPr="00B6332B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S3</w:t>
      </w:r>
      <w:r w:rsidRPr="00B633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Definitions of laboratory and clinical TLS per Howard’s criteria</w:t>
      </w:r>
      <w:r w:rsidRPr="009E1233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&lt;EndNote&gt;&lt;Cite&gt;&lt;Author&gt;Howard&lt;/Author&gt;&lt;Year&gt;2011&lt;/Year&gt;&lt;RecNum&gt;22&lt;/RecNum&gt;&lt;DisplayText&gt;[10]&lt;/DisplayText&gt;&lt;record&gt;&lt;rec-number&gt;22&lt;/rec-number&gt;&lt;foreign-keys&gt;&lt;key app="EN" db-id="fra9azde9fxe0kerfenxxdwlxfpaftzte590" timestamp="1738174084"&gt;22&lt;/key&gt;&lt;/foreign-keys&gt;&lt;ref-type name="Journal Article"&gt;17&lt;/ref-type&gt;&lt;contributors&gt;&lt;authors&gt;&lt;author&gt;Howard, S. C.&lt;/author&gt;&lt;author&gt;Jones, D. P.&lt;/author&gt;&lt;author&gt;Pui, C. H.&lt;/author&gt;&lt;/authors&gt;&lt;/contributors&gt;&lt;auth-address&gt;Department of Oncology and International Outreach Program, St. Jude Children&amp;apos;s Research Hospital, Memphis, TN 38105-2794, USA. scott.howard@stjude.org&lt;/auth-address&gt;&lt;titles&gt;&lt;title&gt;The tumor lysis syndrome&lt;/title&gt;&lt;secondary-title&gt;N Engl J Med&lt;/secondary-title&gt;&lt;/titles&gt;&lt;periodical&gt;&lt;full-title&gt;N Engl J Med&lt;/full-title&gt;&lt;/periodical&gt;&lt;pages&gt;1844-54&lt;/pages&gt;&lt;volume&gt;364&lt;/volume&gt;&lt;number&gt;19&lt;/number&gt;&lt;keywords&gt;&lt;keyword&gt;Acute Kidney Injury/etiology/therapy&lt;/keyword&gt;&lt;keyword&gt;Child&lt;/keyword&gt;&lt;keyword&gt;Humans&lt;/keyword&gt;&lt;keyword&gt;Male&lt;/keyword&gt;&lt;keyword&gt;Risk Assessment&lt;/keyword&gt;&lt;keyword&gt;Tumor Lysis Syndrome/complications/physiopathology/prevention &amp;amp; control/*therapy&lt;/keyword&gt;&lt;/keywords&gt;&lt;dates&gt;&lt;year&gt;2011&lt;/year&gt;&lt;pub-dates&gt;&lt;date&gt;May 12&lt;/date&gt;&lt;/pub-dates&gt;&lt;/dates&gt;&lt;isbn&gt;0028-4793 (Print)&amp;#xD;0028-4793&lt;/isbn&gt;&lt;accession-num&gt;21561350&lt;/accession-num&gt;&lt;urls&gt;&lt;/urls&gt;&lt;custom2&gt;PMC3437249&lt;/custom2&gt;&lt;custom6&gt;NIHMS370895&lt;/custom6&gt;&lt;electronic-resource-num&gt;10.1056/NEJMra0904569&lt;/electronic-resource-num&gt;&lt;remote-database-provider&gt;NLM&lt;/remote-database-provider&gt;&lt;language&gt;eng&lt;/language&gt;&lt;/record&gt;&lt;/Cite&gt;&lt;/EndNote&gt;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[10]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A5121A" w14:paraId="17E90757" w14:textId="77777777" w:rsidTr="00412DC0">
        <w:tc>
          <w:tcPr>
            <w:tcW w:w="3116" w:type="dxa"/>
          </w:tcPr>
          <w:p w14:paraId="58A1D42C" w14:textId="77777777" w:rsidR="00A5121A" w:rsidRPr="009E1233" w:rsidRDefault="00A5121A" w:rsidP="00412DC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12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Metabolic abnormality</w:t>
            </w:r>
          </w:p>
        </w:tc>
        <w:tc>
          <w:tcPr>
            <w:tcW w:w="3117" w:type="dxa"/>
          </w:tcPr>
          <w:p w14:paraId="53558DF3" w14:textId="77777777" w:rsidR="00A5121A" w:rsidRPr="009E1233" w:rsidRDefault="00A5121A" w:rsidP="00412DC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12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Criteria for classification of laboratory TLS</w:t>
            </w:r>
          </w:p>
        </w:tc>
        <w:tc>
          <w:tcPr>
            <w:tcW w:w="3117" w:type="dxa"/>
          </w:tcPr>
          <w:p w14:paraId="143387AF" w14:textId="77777777" w:rsidR="00A5121A" w:rsidRPr="009E1233" w:rsidRDefault="00A5121A" w:rsidP="00412DC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12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Criteria for classification of clinical TLS</w:t>
            </w:r>
          </w:p>
        </w:tc>
      </w:tr>
      <w:tr w:rsidR="00A5121A" w14:paraId="1A6AD0E6" w14:textId="77777777" w:rsidTr="00412DC0">
        <w:tc>
          <w:tcPr>
            <w:tcW w:w="3116" w:type="dxa"/>
          </w:tcPr>
          <w:p w14:paraId="61CB4203" w14:textId="77777777" w:rsidR="00A5121A" w:rsidRDefault="00A5121A" w:rsidP="00412D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Hyperuricemia</w:t>
            </w:r>
          </w:p>
        </w:tc>
        <w:tc>
          <w:tcPr>
            <w:tcW w:w="3117" w:type="dxa"/>
          </w:tcPr>
          <w:p w14:paraId="4DB049C7" w14:textId="77777777" w:rsidR="00A5121A" w:rsidRPr="00802479" w:rsidRDefault="00A5121A" w:rsidP="00412D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2479">
              <w:rPr>
                <w:rFonts w:ascii="Times New Roman" w:hAnsi="Times New Roman" w:cs="Times New Roman"/>
                <w:sz w:val="24"/>
                <w:szCs w:val="24"/>
              </w:rPr>
              <w:t>Uric acid &gt;8.0 mg/dl (475.8</w:t>
            </w:r>
          </w:p>
          <w:p w14:paraId="7F0B2537" w14:textId="77777777" w:rsidR="00A5121A" w:rsidRPr="00802479" w:rsidRDefault="00A5121A" w:rsidP="00412D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2479">
              <w:rPr>
                <w:rFonts w:ascii="Times New Roman" w:hAnsi="Times New Roman" w:cs="Times New Roman"/>
                <w:sz w:val="24"/>
                <w:szCs w:val="24"/>
              </w:rPr>
              <w:t>mol/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802479">
              <w:rPr>
                <w:rFonts w:ascii="Times New Roman" w:hAnsi="Times New Roman" w:cs="Times New Roman"/>
                <w:sz w:val="24"/>
                <w:szCs w:val="24"/>
              </w:rPr>
              <w:t>) in adults 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2479">
              <w:rPr>
                <w:rFonts w:ascii="Times New Roman" w:hAnsi="Times New Roman" w:cs="Times New Roman"/>
                <w:sz w:val="24"/>
                <w:szCs w:val="24"/>
              </w:rPr>
              <w:t>above the upper limit of the normal range for age in</w:t>
            </w:r>
          </w:p>
          <w:p w14:paraId="699FAB96" w14:textId="77777777" w:rsidR="00A5121A" w:rsidRDefault="00A5121A" w:rsidP="00412D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2479">
              <w:rPr>
                <w:rFonts w:ascii="Times New Roman" w:hAnsi="Times New Roman" w:cs="Times New Roman"/>
                <w:sz w:val="24"/>
                <w:szCs w:val="24"/>
              </w:rPr>
              <w:t>children</w:t>
            </w:r>
          </w:p>
        </w:tc>
        <w:tc>
          <w:tcPr>
            <w:tcW w:w="3117" w:type="dxa"/>
            <w:vAlign w:val="center"/>
          </w:tcPr>
          <w:p w14:paraId="2D867608" w14:textId="77777777" w:rsidR="00A5121A" w:rsidRDefault="00A5121A" w:rsidP="00412DC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21A" w14:paraId="51BD611B" w14:textId="77777777" w:rsidTr="00412DC0">
        <w:tc>
          <w:tcPr>
            <w:tcW w:w="3116" w:type="dxa"/>
          </w:tcPr>
          <w:p w14:paraId="0EDCBFAE" w14:textId="77777777" w:rsidR="00A5121A" w:rsidRDefault="00A5121A" w:rsidP="00412D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DFB">
              <w:rPr>
                <w:rFonts w:ascii="Times New Roman" w:hAnsi="Times New Roman" w:cs="Times New Roman"/>
                <w:sz w:val="24"/>
                <w:szCs w:val="24"/>
              </w:rPr>
              <w:t>Hyperphosphatemia</w:t>
            </w:r>
          </w:p>
        </w:tc>
        <w:tc>
          <w:tcPr>
            <w:tcW w:w="3117" w:type="dxa"/>
          </w:tcPr>
          <w:p w14:paraId="45B22B8F" w14:textId="77777777" w:rsidR="00A5121A" w:rsidRPr="003B0DFB" w:rsidRDefault="00A5121A" w:rsidP="00412D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DFB">
              <w:rPr>
                <w:rFonts w:ascii="Times New Roman" w:hAnsi="Times New Roman" w:cs="Times New Roman"/>
                <w:sz w:val="24"/>
                <w:szCs w:val="24"/>
              </w:rPr>
              <w:t xml:space="preserve">Phosphorus &gt;4.5 mg/dl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B0DFB">
              <w:rPr>
                <w:rFonts w:ascii="Times New Roman" w:hAnsi="Times New Roman" w:cs="Times New Roman"/>
                <w:sz w:val="24"/>
                <w:szCs w:val="24"/>
              </w:rPr>
              <w:t>(1.5 mmol/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3B0DFB">
              <w:rPr>
                <w:rFonts w:ascii="Times New Roman" w:hAnsi="Times New Roman" w:cs="Times New Roman"/>
                <w:sz w:val="24"/>
                <w:szCs w:val="24"/>
              </w:rPr>
              <w:t>) in adults or</w:t>
            </w:r>
          </w:p>
          <w:p w14:paraId="5F3DF360" w14:textId="77777777" w:rsidR="00A5121A" w:rsidRDefault="00A5121A" w:rsidP="00412D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DFB">
              <w:rPr>
                <w:rFonts w:ascii="Times New Roman" w:hAnsi="Times New Roman" w:cs="Times New Roman"/>
                <w:sz w:val="24"/>
                <w:szCs w:val="24"/>
              </w:rPr>
              <w:t>&gt;6.5 mg/dl (2.1 mmol/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3B0DFB">
              <w:rPr>
                <w:rFonts w:ascii="Times New Roman" w:hAnsi="Times New Roman" w:cs="Times New Roman"/>
                <w:sz w:val="24"/>
                <w:szCs w:val="24"/>
              </w:rPr>
              <w:t>) in children</w:t>
            </w:r>
          </w:p>
        </w:tc>
        <w:tc>
          <w:tcPr>
            <w:tcW w:w="3117" w:type="dxa"/>
            <w:vAlign w:val="center"/>
          </w:tcPr>
          <w:p w14:paraId="66AE8F53" w14:textId="77777777" w:rsidR="00A5121A" w:rsidRDefault="00A5121A" w:rsidP="00412DC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21A" w14:paraId="4585ED0F" w14:textId="77777777" w:rsidTr="00412DC0">
        <w:tc>
          <w:tcPr>
            <w:tcW w:w="3116" w:type="dxa"/>
          </w:tcPr>
          <w:p w14:paraId="69432F9C" w14:textId="77777777" w:rsidR="00A5121A" w:rsidRDefault="00A5121A" w:rsidP="00412D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DFB">
              <w:rPr>
                <w:rFonts w:ascii="Times New Roman" w:hAnsi="Times New Roman" w:cs="Times New Roman"/>
                <w:sz w:val="24"/>
                <w:szCs w:val="24"/>
              </w:rPr>
              <w:t>Hyperkalemia</w:t>
            </w:r>
          </w:p>
        </w:tc>
        <w:tc>
          <w:tcPr>
            <w:tcW w:w="3117" w:type="dxa"/>
          </w:tcPr>
          <w:p w14:paraId="5186559A" w14:textId="77777777" w:rsidR="00A5121A" w:rsidRDefault="00A5121A" w:rsidP="00412D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DFB">
              <w:rPr>
                <w:rFonts w:ascii="Times New Roman" w:hAnsi="Times New Roman" w:cs="Times New Roman"/>
                <w:sz w:val="24"/>
                <w:szCs w:val="24"/>
              </w:rPr>
              <w:t>Potassium &gt;6.0 mmol/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3117" w:type="dxa"/>
          </w:tcPr>
          <w:p w14:paraId="298EDE4C" w14:textId="77777777" w:rsidR="00A5121A" w:rsidRPr="000C5A77" w:rsidRDefault="00A5121A" w:rsidP="00412D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5A77">
              <w:rPr>
                <w:rFonts w:ascii="Times New Roman" w:hAnsi="Times New Roman" w:cs="Times New Roman"/>
                <w:sz w:val="24"/>
                <w:szCs w:val="24"/>
              </w:rPr>
              <w:t>Cardiac dysrhythmia or sudden death probably or</w:t>
            </w:r>
          </w:p>
          <w:p w14:paraId="68F2CBEB" w14:textId="77777777" w:rsidR="00A5121A" w:rsidRDefault="00A5121A" w:rsidP="00412D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5A77">
              <w:rPr>
                <w:rFonts w:ascii="Times New Roman" w:hAnsi="Times New Roman" w:cs="Times New Roman"/>
                <w:sz w:val="24"/>
                <w:szCs w:val="24"/>
              </w:rPr>
              <w:t>definitely caused by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A77">
              <w:rPr>
                <w:rFonts w:ascii="Times New Roman" w:hAnsi="Times New Roman" w:cs="Times New Roman"/>
                <w:sz w:val="24"/>
                <w:szCs w:val="24"/>
              </w:rPr>
              <w:t>hyperkalemia</w:t>
            </w:r>
          </w:p>
        </w:tc>
      </w:tr>
      <w:tr w:rsidR="00A5121A" w14:paraId="000A4B70" w14:textId="77777777" w:rsidTr="00412DC0">
        <w:tc>
          <w:tcPr>
            <w:tcW w:w="3116" w:type="dxa"/>
          </w:tcPr>
          <w:p w14:paraId="3DE42780" w14:textId="77777777" w:rsidR="00A5121A" w:rsidRDefault="00A5121A" w:rsidP="00412D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DFB">
              <w:rPr>
                <w:rFonts w:ascii="Times New Roman" w:hAnsi="Times New Roman" w:cs="Times New Roman"/>
                <w:sz w:val="24"/>
                <w:szCs w:val="24"/>
              </w:rPr>
              <w:t>Hypocalcemia</w:t>
            </w:r>
          </w:p>
        </w:tc>
        <w:tc>
          <w:tcPr>
            <w:tcW w:w="3117" w:type="dxa"/>
          </w:tcPr>
          <w:p w14:paraId="74CC252D" w14:textId="77777777" w:rsidR="00A5121A" w:rsidRDefault="00A5121A" w:rsidP="00412D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5A77">
              <w:rPr>
                <w:rFonts w:ascii="Times New Roman" w:hAnsi="Times New Roman" w:cs="Times New Roman"/>
                <w:sz w:val="24"/>
                <w:szCs w:val="24"/>
              </w:rPr>
              <w:t>Corrected calcium &lt;7.0 mg/dl (1.75 mmol/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0C5A77">
              <w:rPr>
                <w:rFonts w:ascii="Times New Roman" w:hAnsi="Times New Roman" w:cs="Times New Roman"/>
                <w:sz w:val="24"/>
                <w:szCs w:val="24"/>
              </w:rPr>
              <w:t>) 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A77">
              <w:rPr>
                <w:rFonts w:ascii="Times New Roman" w:hAnsi="Times New Roman" w:cs="Times New Roman"/>
                <w:sz w:val="24"/>
                <w:szCs w:val="24"/>
              </w:rPr>
              <w:t>ionized calcium &lt;1.12 (0.3 mmol/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0C5A7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9E12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3117" w:type="dxa"/>
          </w:tcPr>
          <w:p w14:paraId="56BB1AB8" w14:textId="77777777" w:rsidR="00A5121A" w:rsidRPr="000C5A77" w:rsidRDefault="00A5121A" w:rsidP="00412D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5A77">
              <w:rPr>
                <w:rFonts w:ascii="Times New Roman" w:hAnsi="Times New Roman" w:cs="Times New Roman"/>
                <w:sz w:val="24"/>
                <w:szCs w:val="24"/>
              </w:rPr>
              <w:t>Cardiac dysrhythmia, sudden death, seizure,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A77">
              <w:rPr>
                <w:rFonts w:ascii="Times New Roman" w:hAnsi="Times New Roman" w:cs="Times New Roman"/>
                <w:sz w:val="24"/>
                <w:szCs w:val="24"/>
              </w:rPr>
              <w:t>neuromuscular irritability (tetany, paresthesias, muscle</w:t>
            </w:r>
          </w:p>
          <w:p w14:paraId="62FCE9EC" w14:textId="77777777" w:rsidR="00A5121A" w:rsidRPr="000C5A77" w:rsidRDefault="00A5121A" w:rsidP="00412D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5A77">
              <w:rPr>
                <w:rFonts w:ascii="Times New Roman" w:hAnsi="Times New Roman" w:cs="Times New Roman"/>
                <w:sz w:val="24"/>
                <w:szCs w:val="24"/>
              </w:rPr>
              <w:t>twitching, carpopedal spasm, Trousseau’s sign,</w:t>
            </w:r>
          </w:p>
          <w:p w14:paraId="1BA6DDDA" w14:textId="77777777" w:rsidR="00A5121A" w:rsidRPr="000C5A77" w:rsidRDefault="00A5121A" w:rsidP="00412D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5A77">
              <w:rPr>
                <w:rFonts w:ascii="Times New Roman" w:hAnsi="Times New Roman" w:cs="Times New Roman"/>
                <w:sz w:val="24"/>
                <w:szCs w:val="24"/>
              </w:rPr>
              <w:t>Chvostek’s sign,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A77">
              <w:rPr>
                <w:rFonts w:ascii="Times New Roman" w:hAnsi="Times New Roman" w:cs="Times New Roman"/>
                <w:sz w:val="24"/>
                <w:szCs w:val="24"/>
              </w:rPr>
              <w:t>laryngospasm, or bronchospasm),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A77">
              <w:rPr>
                <w:rFonts w:ascii="Times New Roman" w:hAnsi="Times New Roman" w:cs="Times New Roman"/>
                <w:sz w:val="24"/>
                <w:szCs w:val="24"/>
              </w:rPr>
              <w:t>hypotension, or heart failure probably or definitely caused</w:t>
            </w:r>
          </w:p>
          <w:p w14:paraId="6B99A2E0" w14:textId="77777777" w:rsidR="00A5121A" w:rsidRDefault="00A5121A" w:rsidP="00412D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5A77">
              <w:rPr>
                <w:rFonts w:ascii="Times New Roman" w:hAnsi="Times New Roman" w:cs="Times New Roman"/>
                <w:sz w:val="24"/>
                <w:szCs w:val="24"/>
              </w:rPr>
              <w:t>by hypocalcemia</w:t>
            </w:r>
          </w:p>
        </w:tc>
      </w:tr>
      <w:tr w:rsidR="00A5121A" w14:paraId="63B98E2B" w14:textId="77777777" w:rsidTr="00412DC0">
        <w:tc>
          <w:tcPr>
            <w:tcW w:w="3116" w:type="dxa"/>
          </w:tcPr>
          <w:p w14:paraId="25FCB612" w14:textId="77777777" w:rsidR="00A5121A" w:rsidRPr="003B0DFB" w:rsidRDefault="00A5121A" w:rsidP="00412D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Acute kidney injury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3117" w:type="dxa"/>
          </w:tcPr>
          <w:p w14:paraId="6AE194B9" w14:textId="77777777" w:rsidR="00A5121A" w:rsidRPr="000C5A77" w:rsidRDefault="00A5121A" w:rsidP="00412D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3117" w:type="dxa"/>
          </w:tcPr>
          <w:p w14:paraId="6B136FEC" w14:textId="77777777" w:rsidR="00A5121A" w:rsidRDefault="00A5121A" w:rsidP="00412DC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5A77">
              <w:rPr>
                <w:rFonts w:ascii="Times New Roman" w:hAnsi="Times New Roman" w:cs="Times New Roman"/>
                <w:sz w:val="24"/>
                <w:szCs w:val="24"/>
              </w:rPr>
              <w:t>Increase in the serum creatinine level of 0.3 mg/dl (26.5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A77">
              <w:rPr>
                <w:rFonts w:ascii="Times New Roman" w:hAnsi="Times New Roman" w:cs="Times New Roman"/>
                <w:sz w:val="24"/>
                <w:szCs w:val="24"/>
              </w:rPr>
              <w:t>µmol/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0C5A77">
              <w:rPr>
                <w:rFonts w:ascii="Times New Roman" w:hAnsi="Times New Roman" w:cs="Times New Roman"/>
                <w:sz w:val="24"/>
                <w:szCs w:val="24"/>
              </w:rPr>
              <w:t>) (or a single value &gt;1.5 times the upper limit of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A77">
              <w:rPr>
                <w:rFonts w:ascii="Times New Roman" w:hAnsi="Times New Roman" w:cs="Times New Roman"/>
                <w:sz w:val="24"/>
                <w:szCs w:val="24"/>
              </w:rPr>
              <w:t>the age-appropriate normal range if no baseline creatinine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A77">
              <w:rPr>
                <w:rFonts w:ascii="Times New Roman" w:hAnsi="Times New Roman" w:cs="Times New Roman"/>
                <w:sz w:val="24"/>
                <w:szCs w:val="24"/>
              </w:rPr>
              <w:t>measurement is available) or the presence of oliguria,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A77">
              <w:rPr>
                <w:rFonts w:ascii="Times New Roman" w:hAnsi="Times New Roman" w:cs="Times New Roman"/>
                <w:sz w:val="24"/>
                <w:szCs w:val="24"/>
              </w:rPr>
              <w:t xml:space="preserve">defined as an average urine output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C5A77">
              <w:rPr>
                <w:rFonts w:ascii="Times New Roman" w:hAnsi="Times New Roman" w:cs="Times New Roman"/>
                <w:sz w:val="24"/>
                <w:szCs w:val="24"/>
              </w:rPr>
              <w:t>&lt;0.5 ml/kg/h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our</w:t>
            </w:r>
            <w:r w:rsidRPr="000C5A77">
              <w:rPr>
                <w:rFonts w:ascii="Times New Roman" w:hAnsi="Times New Roman" w:cs="Times New Roman"/>
                <w:sz w:val="24"/>
                <w:szCs w:val="24"/>
              </w:rPr>
              <w:t xml:space="preserve"> for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5A7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ours</w:t>
            </w:r>
          </w:p>
        </w:tc>
      </w:tr>
    </w:tbl>
    <w:p w14:paraId="608FF4F1" w14:textId="77777777" w:rsidR="00A5121A" w:rsidRDefault="00A5121A" w:rsidP="00A512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N/A </w:t>
      </w:r>
      <w:r w:rsidRPr="009E1233">
        <w:rPr>
          <w:rFonts w:ascii="Times New Roman" w:hAnsi="Times New Roman" w:cs="Times New Roman"/>
          <w:sz w:val="24"/>
          <w:szCs w:val="24"/>
        </w:rPr>
        <w:t>not applicable;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E1233">
        <w:rPr>
          <w:rFonts w:ascii="Times New Roman" w:hAnsi="Times New Roman" w:cs="Times New Roman"/>
          <w:i/>
          <w:iCs/>
          <w:sz w:val="24"/>
          <w:szCs w:val="24"/>
        </w:rPr>
        <w:t>TLS</w:t>
      </w:r>
      <w:r>
        <w:rPr>
          <w:rFonts w:ascii="Times New Roman" w:hAnsi="Times New Roman" w:cs="Times New Roman"/>
          <w:sz w:val="24"/>
          <w:szCs w:val="24"/>
        </w:rPr>
        <w:t xml:space="preserve"> tumor lysis syndrome</w:t>
      </w:r>
    </w:p>
    <w:p w14:paraId="0DB49BEB" w14:textId="77777777" w:rsidR="00A5121A" w:rsidRDefault="00A5121A" w:rsidP="00A5121A">
      <w:pPr>
        <w:rPr>
          <w:rFonts w:ascii="Times New Roman" w:hAnsi="Times New Roman" w:cs="Times New Roman"/>
          <w:sz w:val="24"/>
          <w:szCs w:val="24"/>
        </w:rPr>
      </w:pPr>
      <w:r w:rsidRPr="009E1233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0C5A77">
        <w:rPr>
          <w:rFonts w:ascii="Times New Roman" w:hAnsi="Times New Roman" w:cs="Times New Roman"/>
          <w:sz w:val="24"/>
          <w:szCs w:val="24"/>
        </w:rPr>
        <w:t xml:space="preserve">In laboratory </w:t>
      </w:r>
      <w:r>
        <w:rPr>
          <w:rFonts w:ascii="Times New Roman" w:hAnsi="Times New Roman" w:cs="Times New Roman"/>
          <w:sz w:val="24"/>
          <w:szCs w:val="24"/>
        </w:rPr>
        <w:t>TLS</w:t>
      </w:r>
      <w:r w:rsidRPr="000C5A7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0C5A77">
        <w:rPr>
          <w:rFonts w:ascii="Times New Roman" w:hAnsi="Times New Roman" w:cs="Times New Roman"/>
          <w:sz w:val="24"/>
          <w:szCs w:val="24"/>
        </w:rPr>
        <w:t xml:space="preserve"> or more metabolic abnormalities must be present during the same 24-hour period within 3 days before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5A77">
        <w:rPr>
          <w:rFonts w:ascii="Times New Roman" w:hAnsi="Times New Roman" w:cs="Times New Roman"/>
          <w:sz w:val="24"/>
          <w:szCs w:val="24"/>
        </w:rPr>
        <w:t xml:space="preserve">start of therapy or up to 7 days afterward. Clinical </w:t>
      </w:r>
      <w:r>
        <w:rPr>
          <w:rFonts w:ascii="Times New Roman" w:hAnsi="Times New Roman" w:cs="Times New Roman"/>
          <w:sz w:val="24"/>
          <w:szCs w:val="24"/>
        </w:rPr>
        <w:t>TLS</w:t>
      </w:r>
      <w:r w:rsidRPr="000C5A77">
        <w:rPr>
          <w:rFonts w:ascii="Times New Roman" w:hAnsi="Times New Roman" w:cs="Times New Roman"/>
          <w:sz w:val="24"/>
          <w:szCs w:val="24"/>
        </w:rPr>
        <w:t xml:space="preserve"> requires the presence of laboratory </w:t>
      </w:r>
      <w:r>
        <w:rPr>
          <w:rFonts w:ascii="Times New Roman" w:hAnsi="Times New Roman" w:cs="Times New Roman"/>
          <w:sz w:val="24"/>
          <w:szCs w:val="24"/>
        </w:rPr>
        <w:t>TLS</w:t>
      </w:r>
      <w:r w:rsidRPr="000C5A77">
        <w:rPr>
          <w:rFonts w:ascii="Times New Roman" w:hAnsi="Times New Roman" w:cs="Times New Roman"/>
          <w:sz w:val="24"/>
          <w:szCs w:val="24"/>
        </w:rPr>
        <w:t xml:space="preserve"> plus an increased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5A77">
        <w:rPr>
          <w:rFonts w:ascii="Times New Roman" w:hAnsi="Times New Roman" w:cs="Times New Roman"/>
          <w:sz w:val="24"/>
          <w:szCs w:val="24"/>
        </w:rPr>
        <w:t>creatinine level, seizures, cardiac dysrhythmia, or death</w:t>
      </w:r>
    </w:p>
    <w:p w14:paraId="64CE3C18" w14:textId="77777777" w:rsidR="00A5121A" w:rsidRDefault="00A5121A" w:rsidP="00A5121A">
      <w:pPr>
        <w:rPr>
          <w:rFonts w:ascii="Times New Roman" w:hAnsi="Times New Roman" w:cs="Times New Roman"/>
          <w:sz w:val="24"/>
          <w:szCs w:val="24"/>
        </w:rPr>
      </w:pPr>
      <w:r w:rsidRPr="009E1233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0C5A77">
        <w:rPr>
          <w:rFonts w:ascii="Times New Roman" w:hAnsi="Times New Roman" w:cs="Times New Roman"/>
          <w:sz w:val="24"/>
          <w:szCs w:val="24"/>
        </w:rPr>
        <w:t>The corrected calcium level in milligrams per deciliter = measured calcium level in milligrams per deciliter + 0.8 × (4 - albumin in grams per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5A77">
        <w:rPr>
          <w:rFonts w:ascii="Times New Roman" w:hAnsi="Times New Roman" w:cs="Times New Roman"/>
          <w:sz w:val="24"/>
          <w:szCs w:val="24"/>
        </w:rPr>
        <w:t>deciliter)</w:t>
      </w:r>
    </w:p>
    <w:p w14:paraId="56E4479F" w14:textId="77777777" w:rsidR="00A5121A" w:rsidRDefault="00A5121A" w:rsidP="00A5121A">
      <w:pPr>
        <w:rPr>
          <w:rFonts w:ascii="Times New Roman" w:hAnsi="Times New Roman" w:cs="Times New Roman"/>
          <w:sz w:val="24"/>
          <w:szCs w:val="24"/>
        </w:rPr>
      </w:pPr>
      <w:r w:rsidRPr="009E1233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Pr="00C01CF9">
        <w:rPr>
          <w:rFonts w:ascii="Times New Roman" w:hAnsi="Times New Roman" w:cs="Times New Roman"/>
          <w:sz w:val="24"/>
          <w:szCs w:val="24"/>
        </w:rPr>
        <w:t>Acute kidney injury is defined as an increase in the creatinine level of at least 0.3 mg per deciliter (26.5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1CF9">
        <w:rPr>
          <w:rFonts w:ascii="Times New Roman" w:hAnsi="Times New Roman" w:cs="Times New Roman"/>
          <w:sz w:val="24"/>
          <w:szCs w:val="24"/>
        </w:rPr>
        <w:t>mol</w:t>
      </w:r>
      <w:r>
        <w:rPr>
          <w:rFonts w:ascii="Times New Roman" w:hAnsi="Times New Roman" w:cs="Times New Roman"/>
          <w:sz w:val="24"/>
          <w:szCs w:val="24"/>
        </w:rPr>
        <w:t>/L</w:t>
      </w:r>
      <w:r w:rsidRPr="00C01CF9">
        <w:rPr>
          <w:rFonts w:ascii="Times New Roman" w:hAnsi="Times New Roman" w:cs="Times New Roman"/>
          <w:sz w:val="24"/>
          <w:szCs w:val="24"/>
        </w:rPr>
        <w:t>) or a period of oliguria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1CF9">
        <w:rPr>
          <w:rFonts w:ascii="Times New Roman" w:hAnsi="Times New Roman" w:cs="Times New Roman"/>
          <w:sz w:val="24"/>
          <w:szCs w:val="24"/>
        </w:rPr>
        <w:t>lasting 6 hours or more. By definition, if acute kidney injury is present, the patient has clinical tumor lysis syndrome</w:t>
      </w:r>
    </w:p>
    <w:p w14:paraId="0E9C95FA" w14:textId="77777777" w:rsidR="00A5121A" w:rsidRDefault="00A5121A" w:rsidP="00A5121A">
      <w:pPr>
        <w:rPr>
          <w:rFonts w:ascii="Times New Roman" w:hAnsi="Times New Roman" w:cs="Times New Roman"/>
          <w:sz w:val="24"/>
          <w:szCs w:val="24"/>
        </w:rPr>
      </w:pPr>
    </w:p>
    <w:p w14:paraId="28324AEC" w14:textId="77777777" w:rsidR="00A5121A" w:rsidRDefault="00A5121A" w:rsidP="00A5121A">
      <w:pPr>
        <w:pStyle w:val="EndNoteBibliography"/>
        <w:spacing w:after="0"/>
        <w:rPr>
          <w:szCs w:val="24"/>
        </w:rPr>
      </w:pPr>
    </w:p>
    <w:p w14:paraId="2C7114EE" w14:textId="77777777" w:rsidR="00A5121A" w:rsidRDefault="00A5121A" w:rsidP="00A5121A">
      <w:pPr>
        <w:pStyle w:val="EndNoteBibliography"/>
        <w:spacing w:after="0"/>
        <w:rPr>
          <w:szCs w:val="24"/>
        </w:rPr>
      </w:pPr>
    </w:p>
    <w:p w14:paraId="093CB619" w14:textId="77777777" w:rsidR="00A5121A" w:rsidRDefault="00A5121A" w:rsidP="00A5121A">
      <w:pPr>
        <w:pStyle w:val="EndNoteBibliography"/>
        <w:spacing w:after="0"/>
        <w:rPr>
          <w:szCs w:val="24"/>
        </w:rPr>
      </w:pPr>
    </w:p>
    <w:p w14:paraId="79228311" w14:textId="77777777" w:rsidR="00A5121A" w:rsidRDefault="00A5121A" w:rsidP="00A5121A">
      <w:pPr>
        <w:pStyle w:val="EndNoteBibliography"/>
        <w:spacing w:after="0"/>
        <w:rPr>
          <w:szCs w:val="24"/>
        </w:rPr>
      </w:pPr>
    </w:p>
    <w:p w14:paraId="3C0B26E6" w14:textId="77777777" w:rsidR="00A5121A" w:rsidRDefault="00A5121A" w:rsidP="00A5121A">
      <w:pPr>
        <w:pStyle w:val="EndNoteBibliography"/>
        <w:spacing w:after="0"/>
        <w:rPr>
          <w:szCs w:val="24"/>
        </w:rPr>
      </w:pPr>
    </w:p>
    <w:p w14:paraId="12E02BFC" w14:textId="77777777" w:rsidR="00A5121A" w:rsidRDefault="00A5121A" w:rsidP="00A5121A">
      <w:pPr>
        <w:pStyle w:val="EndNoteBibliography"/>
        <w:spacing w:after="0"/>
        <w:rPr>
          <w:b/>
          <w:bCs/>
          <w:szCs w:val="24"/>
        </w:rPr>
      </w:pPr>
    </w:p>
    <w:p w14:paraId="3D0421A3" w14:textId="77777777" w:rsidR="00A5121A" w:rsidRDefault="00A5121A" w:rsidP="00A5121A">
      <w:pPr>
        <w:pStyle w:val="EndNoteBibliography"/>
        <w:spacing w:after="0"/>
        <w:rPr>
          <w:b/>
          <w:bCs/>
          <w:szCs w:val="24"/>
        </w:rPr>
      </w:pPr>
    </w:p>
    <w:p w14:paraId="628B41CE" w14:textId="77777777" w:rsidR="00A5121A" w:rsidRDefault="00A5121A" w:rsidP="00A5121A">
      <w:pPr>
        <w:pStyle w:val="EndNoteBibliography"/>
        <w:spacing w:after="0"/>
        <w:rPr>
          <w:b/>
          <w:bCs/>
          <w:szCs w:val="24"/>
        </w:rPr>
      </w:pPr>
    </w:p>
    <w:p w14:paraId="136862A4" w14:textId="77777777" w:rsidR="00A5121A" w:rsidRDefault="00A5121A" w:rsidP="00A5121A">
      <w:pPr>
        <w:pStyle w:val="EndNoteBibliography"/>
        <w:spacing w:after="0"/>
        <w:rPr>
          <w:b/>
          <w:bCs/>
          <w:szCs w:val="24"/>
        </w:rPr>
      </w:pPr>
    </w:p>
    <w:p w14:paraId="269CE926" w14:textId="77777777" w:rsidR="00A5121A" w:rsidRDefault="00A5121A" w:rsidP="00A5121A">
      <w:pPr>
        <w:pStyle w:val="EndNoteBibliography"/>
        <w:spacing w:after="0"/>
        <w:rPr>
          <w:b/>
          <w:bCs/>
          <w:szCs w:val="24"/>
        </w:rPr>
      </w:pPr>
    </w:p>
    <w:p w14:paraId="6CA919CA" w14:textId="77777777" w:rsidR="00A5121A" w:rsidRDefault="00A5121A" w:rsidP="00A5121A">
      <w:pPr>
        <w:pStyle w:val="EndNoteBibliography"/>
        <w:spacing w:after="0"/>
        <w:rPr>
          <w:b/>
          <w:bCs/>
          <w:szCs w:val="24"/>
        </w:rPr>
      </w:pPr>
    </w:p>
    <w:p w14:paraId="2E4F430F" w14:textId="77777777" w:rsidR="00A5121A" w:rsidRDefault="00A5121A" w:rsidP="00A5121A">
      <w:pPr>
        <w:pStyle w:val="EndNoteBibliography"/>
        <w:spacing w:after="0"/>
        <w:rPr>
          <w:b/>
          <w:bCs/>
          <w:szCs w:val="24"/>
        </w:rPr>
      </w:pPr>
    </w:p>
    <w:p w14:paraId="31CC66D9" w14:textId="77777777" w:rsidR="00A5121A" w:rsidRDefault="00A5121A" w:rsidP="00A5121A">
      <w:pPr>
        <w:pStyle w:val="EndNoteBibliography"/>
        <w:spacing w:after="0"/>
        <w:rPr>
          <w:b/>
          <w:bCs/>
          <w:szCs w:val="24"/>
        </w:rPr>
      </w:pPr>
    </w:p>
    <w:p w14:paraId="099268DA" w14:textId="77777777" w:rsidR="00A5121A" w:rsidRDefault="00A5121A" w:rsidP="00A5121A">
      <w:pPr>
        <w:pStyle w:val="EndNoteBibliography"/>
        <w:spacing w:after="0"/>
        <w:rPr>
          <w:b/>
          <w:bCs/>
          <w:szCs w:val="24"/>
        </w:rPr>
      </w:pPr>
    </w:p>
    <w:p w14:paraId="50CD3AC0" w14:textId="77777777" w:rsidR="00A5121A" w:rsidRDefault="00A5121A" w:rsidP="00A5121A">
      <w:pPr>
        <w:pStyle w:val="EndNoteBibliography"/>
        <w:spacing w:after="0"/>
        <w:rPr>
          <w:b/>
          <w:bCs/>
          <w:szCs w:val="24"/>
        </w:rPr>
      </w:pPr>
    </w:p>
    <w:p w14:paraId="6C53C37F" w14:textId="77777777" w:rsidR="00A5121A" w:rsidRDefault="00A5121A" w:rsidP="00A5121A">
      <w:pPr>
        <w:pStyle w:val="EndNoteBibliography"/>
        <w:spacing w:after="0"/>
        <w:rPr>
          <w:b/>
          <w:bCs/>
          <w:szCs w:val="24"/>
        </w:rPr>
      </w:pPr>
    </w:p>
    <w:p w14:paraId="647FC09E" w14:textId="77777777" w:rsidR="00A5121A" w:rsidRDefault="00A5121A" w:rsidP="00A5121A">
      <w:pPr>
        <w:pStyle w:val="EndNoteBibliography"/>
        <w:spacing w:after="0"/>
        <w:rPr>
          <w:b/>
          <w:bCs/>
          <w:szCs w:val="24"/>
        </w:rPr>
      </w:pPr>
    </w:p>
    <w:p w14:paraId="140D5361" w14:textId="77777777" w:rsidR="00A5121A" w:rsidRDefault="00A5121A" w:rsidP="00A5121A">
      <w:pPr>
        <w:pStyle w:val="EndNoteBibliography"/>
        <w:spacing w:after="0"/>
        <w:rPr>
          <w:b/>
          <w:bCs/>
          <w:szCs w:val="24"/>
        </w:rPr>
      </w:pPr>
    </w:p>
    <w:p w14:paraId="5E446BE1" w14:textId="77777777" w:rsidR="00A5121A" w:rsidRDefault="00A5121A" w:rsidP="00A5121A">
      <w:pPr>
        <w:pStyle w:val="EndNoteBibliography"/>
        <w:spacing w:after="0"/>
        <w:rPr>
          <w:b/>
          <w:bCs/>
          <w:szCs w:val="24"/>
        </w:rPr>
      </w:pPr>
    </w:p>
    <w:p w14:paraId="01EB870F" w14:textId="77777777" w:rsidR="00A5121A" w:rsidRDefault="00A5121A" w:rsidP="00A5121A">
      <w:pPr>
        <w:pStyle w:val="EndNoteBibliography"/>
        <w:spacing w:after="0"/>
        <w:rPr>
          <w:b/>
          <w:bCs/>
          <w:szCs w:val="24"/>
        </w:rPr>
      </w:pPr>
    </w:p>
    <w:p w14:paraId="43A908A4" w14:textId="77777777" w:rsidR="00A5121A" w:rsidRDefault="00A5121A" w:rsidP="00A5121A">
      <w:pPr>
        <w:pStyle w:val="EndNoteBibliography"/>
        <w:spacing w:after="0"/>
        <w:rPr>
          <w:szCs w:val="24"/>
        </w:rPr>
      </w:pPr>
      <w:r w:rsidRPr="00752B20">
        <w:rPr>
          <w:b/>
          <w:bCs/>
          <w:szCs w:val="24"/>
        </w:rPr>
        <w:t xml:space="preserve">Table </w:t>
      </w:r>
      <w:r>
        <w:rPr>
          <w:b/>
          <w:bCs/>
          <w:szCs w:val="24"/>
        </w:rPr>
        <w:t>S4</w:t>
      </w:r>
      <w:r>
        <w:rPr>
          <w:szCs w:val="24"/>
        </w:rPr>
        <w:t xml:space="preserve"> Definitions of serious TEAEs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7105"/>
      </w:tblGrid>
      <w:tr w:rsidR="00A5121A" w14:paraId="70459E85" w14:textId="77777777" w:rsidTr="00412DC0">
        <w:tc>
          <w:tcPr>
            <w:tcW w:w="2245" w:type="dxa"/>
          </w:tcPr>
          <w:p w14:paraId="46BD4C47" w14:textId="77777777" w:rsidR="00A5121A" w:rsidRDefault="00A5121A" w:rsidP="00412DC0">
            <w:pPr>
              <w:pStyle w:val="EndNoteBibliography"/>
              <w:rPr>
                <w:szCs w:val="24"/>
              </w:rPr>
            </w:pPr>
            <w:r w:rsidRPr="00752B20">
              <w:rPr>
                <w:szCs w:val="24"/>
              </w:rPr>
              <w:t xml:space="preserve">Death of </w:t>
            </w:r>
            <w:r>
              <w:rPr>
                <w:szCs w:val="24"/>
              </w:rPr>
              <w:t>patient</w:t>
            </w:r>
          </w:p>
        </w:tc>
        <w:tc>
          <w:tcPr>
            <w:tcW w:w="7105" w:type="dxa"/>
          </w:tcPr>
          <w:p w14:paraId="67242252" w14:textId="77777777" w:rsidR="00A5121A" w:rsidRDefault="00A5121A" w:rsidP="00412DC0">
            <w:pPr>
              <w:pStyle w:val="EndNoteBibliography"/>
              <w:rPr>
                <w:szCs w:val="24"/>
              </w:rPr>
            </w:pPr>
            <w:r w:rsidRPr="00752B20">
              <w:rPr>
                <w:szCs w:val="24"/>
              </w:rPr>
              <w:t xml:space="preserve">An event that results in the death of a </w:t>
            </w:r>
            <w:r>
              <w:rPr>
                <w:szCs w:val="24"/>
              </w:rPr>
              <w:t>patient</w:t>
            </w:r>
          </w:p>
        </w:tc>
      </w:tr>
      <w:tr w:rsidR="00A5121A" w14:paraId="450A8B30" w14:textId="77777777" w:rsidTr="00412DC0">
        <w:tc>
          <w:tcPr>
            <w:tcW w:w="2245" w:type="dxa"/>
          </w:tcPr>
          <w:p w14:paraId="39DF4263" w14:textId="77777777" w:rsidR="00A5121A" w:rsidRDefault="00A5121A" w:rsidP="00412DC0">
            <w:pPr>
              <w:pStyle w:val="EndNoteBibliography"/>
              <w:rPr>
                <w:szCs w:val="24"/>
              </w:rPr>
            </w:pPr>
            <w:r w:rsidRPr="00752B20">
              <w:rPr>
                <w:szCs w:val="24"/>
              </w:rPr>
              <w:t>Life-</w:t>
            </w:r>
            <w:r>
              <w:rPr>
                <w:szCs w:val="24"/>
              </w:rPr>
              <w:t>t</w:t>
            </w:r>
            <w:r w:rsidRPr="00752B20">
              <w:rPr>
                <w:szCs w:val="24"/>
              </w:rPr>
              <w:t>hreatening</w:t>
            </w:r>
          </w:p>
        </w:tc>
        <w:tc>
          <w:tcPr>
            <w:tcW w:w="7105" w:type="dxa"/>
          </w:tcPr>
          <w:p w14:paraId="4502A35C" w14:textId="77777777" w:rsidR="00A5121A" w:rsidRPr="00752B20" w:rsidRDefault="00A5121A" w:rsidP="00412DC0">
            <w:pPr>
              <w:pStyle w:val="EndNoteBibliography"/>
              <w:rPr>
                <w:szCs w:val="24"/>
              </w:rPr>
            </w:pPr>
            <w:r w:rsidRPr="005C38F1">
              <w:rPr>
                <w:szCs w:val="24"/>
              </w:rPr>
              <w:t>An event that, in the opinion of the investigator, would have</w:t>
            </w:r>
            <w:r>
              <w:rPr>
                <w:szCs w:val="24"/>
              </w:rPr>
              <w:t xml:space="preserve"> </w:t>
            </w:r>
            <w:r w:rsidRPr="00752B20">
              <w:rPr>
                <w:szCs w:val="24"/>
              </w:rPr>
              <w:t>resulted in immediate fatality if medical intervention had not been</w:t>
            </w:r>
          </w:p>
          <w:p w14:paraId="1141E0A2" w14:textId="77777777" w:rsidR="00A5121A" w:rsidRPr="00752B20" w:rsidRDefault="00A5121A" w:rsidP="00412DC0">
            <w:pPr>
              <w:pStyle w:val="EndNoteBibliography"/>
              <w:rPr>
                <w:szCs w:val="24"/>
              </w:rPr>
            </w:pPr>
            <w:r w:rsidRPr="00752B20">
              <w:rPr>
                <w:szCs w:val="24"/>
              </w:rPr>
              <w:t>taken. This does not include an event that would have been fatal if it</w:t>
            </w:r>
          </w:p>
          <w:p w14:paraId="27536305" w14:textId="77777777" w:rsidR="00A5121A" w:rsidRDefault="00A5121A" w:rsidP="00412DC0">
            <w:pPr>
              <w:pStyle w:val="EndNoteBibliography"/>
              <w:rPr>
                <w:szCs w:val="24"/>
              </w:rPr>
            </w:pPr>
            <w:r w:rsidRPr="00752B20">
              <w:rPr>
                <w:szCs w:val="24"/>
              </w:rPr>
              <w:t>had occurred in a more severe form</w:t>
            </w:r>
          </w:p>
        </w:tc>
      </w:tr>
      <w:tr w:rsidR="00A5121A" w14:paraId="1AF9AACE" w14:textId="77777777" w:rsidTr="00412DC0">
        <w:tc>
          <w:tcPr>
            <w:tcW w:w="2245" w:type="dxa"/>
          </w:tcPr>
          <w:p w14:paraId="408A7825" w14:textId="77777777" w:rsidR="00A5121A" w:rsidRPr="005C38F1" w:rsidRDefault="00A5121A" w:rsidP="00412DC0">
            <w:pPr>
              <w:pStyle w:val="EndNoteBibliography"/>
              <w:rPr>
                <w:szCs w:val="24"/>
              </w:rPr>
            </w:pPr>
            <w:r w:rsidRPr="005C38F1">
              <w:rPr>
                <w:szCs w:val="24"/>
              </w:rPr>
              <w:t>Hospitalization or</w:t>
            </w:r>
          </w:p>
          <w:p w14:paraId="1B2FF6C4" w14:textId="77777777" w:rsidR="00A5121A" w:rsidRPr="005C38F1" w:rsidRDefault="00A5121A" w:rsidP="00412DC0">
            <w:pPr>
              <w:pStyle w:val="EndNoteBibliography"/>
              <w:rPr>
                <w:szCs w:val="24"/>
              </w:rPr>
            </w:pPr>
            <w:r>
              <w:rPr>
                <w:szCs w:val="24"/>
              </w:rPr>
              <w:t>p</w:t>
            </w:r>
            <w:r w:rsidRPr="005C38F1">
              <w:rPr>
                <w:szCs w:val="24"/>
              </w:rPr>
              <w:t>rolongation of</w:t>
            </w:r>
          </w:p>
          <w:p w14:paraId="1A1A7015" w14:textId="77777777" w:rsidR="00A5121A" w:rsidRDefault="00A5121A" w:rsidP="00412DC0">
            <w:pPr>
              <w:pStyle w:val="EndNoteBibliography"/>
              <w:rPr>
                <w:szCs w:val="24"/>
              </w:rPr>
            </w:pPr>
            <w:r>
              <w:rPr>
                <w:szCs w:val="24"/>
              </w:rPr>
              <w:t>h</w:t>
            </w:r>
            <w:r w:rsidRPr="005C38F1">
              <w:rPr>
                <w:szCs w:val="24"/>
              </w:rPr>
              <w:t>ospitalization</w:t>
            </w:r>
          </w:p>
        </w:tc>
        <w:tc>
          <w:tcPr>
            <w:tcW w:w="7105" w:type="dxa"/>
          </w:tcPr>
          <w:p w14:paraId="034A95EC" w14:textId="77777777" w:rsidR="00A5121A" w:rsidRPr="005C38F1" w:rsidRDefault="00A5121A" w:rsidP="00412DC0">
            <w:pPr>
              <w:pStyle w:val="EndNoteBibliography"/>
              <w:rPr>
                <w:szCs w:val="24"/>
              </w:rPr>
            </w:pPr>
            <w:r w:rsidRPr="005C38F1">
              <w:rPr>
                <w:szCs w:val="24"/>
              </w:rPr>
              <w:t>An event that results in an admission to the hospital for any length</w:t>
            </w:r>
          </w:p>
          <w:p w14:paraId="5F662C5D" w14:textId="77777777" w:rsidR="00A5121A" w:rsidRPr="005C38F1" w:rsidRDefault="00A5121A" w:rsidP="00412DC0">
            <w:pPr>
              <w:pStyle w:val="EndNoteBibliography"/>
              <w:rPr>
                <w:szCs w:val="24"/>
              </w:rPr>
            </w:pPr>
            <w:r w:rsidRPr="005C38F1">
              <w:rPr>
                <w:szCs w:val="24"/>
              </w:rPr>
              <w:t xml:space="preserve">of time or prolongs the </w:t>
            </w:r>
            <w:r>
              <w:rPr>
                <w:szCs w:val="24"/>
              </w:rPr>
              <w:t>patient</w:t>
            </w:r>
            <w:r w:rsidRPr="005C38F1">
              <w:rPr>
                <w:szCs w:val="24"/>
              </w:rPr>
              <w:t>'s hospital stay. This does not include</w:t>
            </w:r>
          </w:p>
          <w:p w14:paraId="6DC0DD60" w14:textId="77777777" w:rsidR="00A5121A" w:rsidRDefault="00A5121A" w:rsidP="00412DC0">
            <w:pPr>
              <w:pStyle w:val="EndNoteBibliography"/>
              <w:rPr>
                <w:szCs w:val="24"/>
              </w:rPr>
            </w:pPr>
            <w:r w:rsidRPr="005C38F1">
              <w:rPr>
                <w:szCs w:val="24"/>
              </w:rPr>
              <w:t>an emergency room visit or admission to an outpatient facility.</w:t>
            </w:r>
          </w:p>
        </w:tc>
      </w:tr>
      <w:tr w:rsidR="00A5121A" w14:paraId="1CD5E9E7" w14:textId="77777777" w:rsidTr="00412DC0">
        <w:tc>
          <w:tcPr>
            <w:tcW w:w="2245" w:type="dxa"/>
          </w:tcPr>
          <w:p w14:paraId="771A6F48" w14:textId="77777777" w:rsidR="00A5121A" w:rsidRDefault="00A5121A" w:rsidP="00412DC0">
            <w:pPr>
              <w:pStyle w:val="EndNoteBibliography"/>
              <w:rPr>
                <w:szCs w:val="24"/>
              </w:rPr>
            </w:pPr>
            <w:r w:rsidRPr="005C38F1">
              <w:rPr>
                <w:szCs w:val="24"/>
              </w:rPr>
              <w:t xml:space="preserve">Congenital </w:t>
            </w:r>
            <w:r>
              <w:rPr>
                <w:szCs w:val="24"/>
              </w:rPr>
              <w:t>a</w:t>
            </w:r>
            <w:r w:rsidRPr="005C38F1">
              <w:rPr>
                <w:szCs w:val="24"/>
              </w:rPr>
              <w:t>nomaly</w:t>
            </w:r>
          </w:p>
        </w:tc>
        <w:tc>
          <w:tcPr>
            <w:tcW w:w="7105" w:type="dxa"/>
          </w:tcPr>
          <w:p w14:paraId="4C2C242D" w14:textId="77777777" w:rsidR="00A5121A" w:rsidRPr="005C38F1" w:rsidRDefault="00A5121A" w:rsidP="00412DC0">
            <w:pPr>
              <w:pStyle w:val="EndNoteBibliography"/>
              <w:rPr>
                <w:szCs w:val="24"/>
              </w:rPr>
            </w:pPr>
            <w:r w:rsidRPr="005C38F1">
              <w:rPr>
                <w:szCs w:val="24"/>
              </w:rPr>
              <w:t>An anomaly detected at or after birth, or any anomaly that results in</w:t>
            </w:r>
          </w:p>
          <w:p w14:paraId="5474B879" w14:textId="77777777" w:rsidR="00A5121A" w:rsidRDefault="00A5121A" w:rsidP="00412DC0">
            <w:pPr>
              <w:pStyle w:val="EndNoteBibliography"/>
              <w:rPr>
                <w:szCs w:val="24"/>
              </w:rPr>
            </w:pPr>
            <w:r w:rsidRPr="005C38F1">
              <w:rPr>
                <w:szCs w:val="24"/>
              </w:rPr>
              <w:t>fetal loss</w:t>
            </w:r>
          </w:p>
        </w:tc>
      </w:tr>
      <w:tr w:rsidR="00A5121A" w14:paraId="6AD2BD73" w14:textId="77777777" w:rsidTr="00412DC0">
        <w:tc>
          <w:tcPr>
            <w:tcW w:w="2245" w:type="dxa"/>
          </w:tcPr>
          <w:p w14:paraId="557B04A1" w14:textId="77777777" w:rsidR="00A5121A" w:rsidRPr="005C38F1" w:rsidRDefault="00A5121A" w:rsidP="00412DC0">
            <w:pPr>
              <w:pStyle w:val="EndNoteBibliography"/>
              <w:rPr>
                <w:szCs w:val="24"/>
              </w:rPr>
            </w:pPr>
            <w:r w:rsidRPr="005C38F1">
              <w:rPr>
                <w:szCs w:val="24"/>
              </w:rPr>
              <w:t xml:space="preserve">Persistent or </w:t>
            </w:r>
            <w:r>
              <w:rPr>
                <w:szCs w:val="24"/>
              </w:rPr>
              <w:t>s</w:t>
            </w:r>
            <w:r w:rsidRPr="005C38F1">
              <w:rPr>
                <w:szCs w:val="24"/>
              </w:rPr>
              <w:t>ignificant</w:t>
            </w:r>
          </w:p>
          <w:p w14:paraId="6B6D79CA" w14:textId="77777777" w:rsidR="00A5121A" w:rsidRDefault="00A5121A" w:rsidP="00412DC0">
            <w:pPr>
              <w:pStyle w:val="EndNoteBibliography"/>
              <w:rPr>
                <w:szCs w:val="24"/>
              </w:rPr>
            </w:pPr>
            <w:r>
              <w:rPr>
                <w:szCs w:val="24"/>
              </w:rPr>
              <w:t>d</w:t>
            </w:r>
            <w:r w:rsidRPr="005C38F1">
              <w:rPr>
                <w:szCs w:val="24"/>
              </w:rPr>
              <w:t>isability/</w:t>
            </w:r>
            <w:r>
              <w:rPr>
                <w:szCs w:val="24"/>
              </w:rPr>
              <w:t>i</w:t>
            </w:r>
            <w:r w:rsidRPr="005C38F1">
              <w:rPr>
                <w:szCs w:val="24"/>
              </w:rPr>
              <w:t>ncapacity</w:t>
            </w:r>
          </w:p>
        </w:tc>
        <w:tc>
          <w:tcPr>
            <w:tcW w:w="7105" w:type="dxa"/>
          </w:tcPr>
          <w:p w14:paraId="61E62A66" w14:textId="77777777" w:rsidR="00A5121A" w:rsidRPr="005C38F1" w:rsidRDefault="00A5121A" w:rsidP="00412DC0">
            <w:pPr>
              <w:pStyle w:val="EndNoteBibliography"/>
              <w:rPr>
                <w:szCs w:val="24"/>
              </w:rPr>
            </w:pPr>
            <w:r w:rsidRPr="005C38F1">
              <w:rPr>
                <w:szCs w:val="24"/>
              </w:rPr>
              <w:t>An event that results in a condition that substantially interferes with</w:t>
            </w:r>
          </w:p>
          <w:p w14:paraId="55F57A2C" w14:textId="77777777" w:rsidR="00A5121A" w:rsidRPr="005C38F1" w:rsidRDefault="00A5121A" w:rsidP="00412DC0">
            <w:pPr>
              <w:pStyle w:val="EndNoteBibliography"/>
              <w:rPr>
                <w:szCs w:val="24"/>
              </w:rPr>
            </w:pPr>
            <w:r w:rsidRPr="005C38F1">
              <w:rPr>
                <w:szCs w:val="24"/>
              </w:rPr>
              <w:t xml:space="preserve">the activities of daily living of a study </w:t>
            </w:r>
            <w:r>
              <w:rPr>
                <w:szCs w:val="24"/>
              </w:rPr>
              <w:t>patient</w:t>
            </w:r>
            <w:r w:rsidRPr="005C38F1">
              <w:rPr>
                <w:szCs w:val="24"/>
              </w:rPr>
              <w:t>. Disability is not</w:t>
            </w:r>
          </w:p>
          <w:p w14:paraId="455CD222" w14:textId="77777777" w:rsidR="00A5121A" w:rsidRPr="005C38F1" w:rsidRDefault="00A5121A" w:rsidP="00412DC0">
            <w:pPr>
              <w:pStyle w:val="EndNoteBibliography"/>
              <w:rPr>
                <w:szCs w:val="24"/>
              </w:rPr>
            </w:pPr>
            <w:r w:rsidRPr="005C38F1">
              <w:rPr>
                <w:szCs w:val="24"/>
              </w:rPr>
              <w:t>intended to include experiences of relatively minor medical</w:t>
            </w:r>
          </w:p>
          <w:p w14:paraId="14F64EA0" w14:textId="77777777" w:rsidR="00A5121A" w:rsidRPr="005C38F1" w:rsidRDefault="00A5121A" w:rsidP="00412DC0">
            <w:pPr>
              <w:pStyle w:val="EndNoteBibliography"/>
              <w:rPr>
                <w:szCs w:val="24"/>
              </w:rPr>
            </w:pPr>
            <w:r w:rsidRPr="005C38F1">
              <w:rPr>
                <w:szCs w:val="24"/>
              </w:rPr>
              <w:t>significance such as headache, nausea, vomiting, diarrhea, influenza,</w:t>
            </w:r>
          </w:p>
          <w:p w14:paraId="483315A9" w14:textId="77777777" w:rsidR="00A5121A" w:rsidRDefault="00A5121A" w:rsidP="00412DC0">
            <w:pPr>
              <w:pStyle w:val="EndNoteBibliography"/>
              <w:rPr>
                <w:szCs w:val="24"/>
              </w:rPr>
            </w:pPr>
            <w:r w:rsidRPr="005C38F1">
              <w:rPr>
                <w:szCs w:val="24"/>
              </w:rPr>
              <w:t>and accidental trauma (e.g., sprained ankle).</w:t>
            </w:r>
          </w:p>
        </w:tc>
      </w:tr>
      <w:tr w:rsidR="00A5121A" w14:paraId="767ED725" w14:textId="77777777" w:rsidTr="00412DC0">
        <w:tc>
          <w:tcPr>
            <w:tcW w:w="2245" w:type="dxa"/>
          </w:tcPr>
          <w:p w14:paraId="31BAC270" w14:textId="77777777" w:rsidR="00A5121A" w:rsidRPr="005C38F1" w:rsidRDefault="00A5121A" w:rsidP="00412DC0">
            <w:pPr>
              <w:pStyle w:val="EndNoteBibliography"/>
              <w:rPr>
                <w:szCs w:val="24"/>
              </w:rPr>
            </w:pPr>
            <w:r w:rsidRPr="005C38F1">
              <w:rPr>
                <w:szCs w:val="24"/>
              </w:rPr>
              <w:t xml:space="preserve">Important </w:t>
            </w:r>
            <w:r>
              <w:rPr>
                <w:szCs w:val="24"/>
              </w:rPr>
              <w:t>m</w:t>
            </w:r>
            <w:r w:rsidRPr="005C38F1">
              <w:rPr>
                <w:szCs w:val="24"/>
              </w:rPr>
              <w:t xml:space="preserve">edical </w:t>
            </w:r>
            <w:r>
              <w:rPr>
                <w:szCs w:val="24"/>
              </w:rPr>
              <w:t>e</w:t>
            </w:r>
            <w:r w:rsidRPr="005C38F1">
              <w:rPr>
                <w:szCs w:val="24"/>
              </w:rPr>
              <w:t>vent</w:t>
            </w:r>
          </w:p>
          <w:p w14:paraId="64C21E9F" w14:textId="77777777" w:rsidR="00A5121A" w:rsidRPr="005C38F1" w:rsidRDefault="00A5121A" w:rsidP="00412DC0">
            <w:pPr>
              <w:pStyle w:val="EndNoteBibliography"/>
              <w:rPr>
                <w:szCs w:val="24"/>
              </w:rPr>
            </w:pPr>
            <w:r>
              <w:rPr>
                <w:szCs w:val="24"/>
              </w:rPr>
              <w:t>r</w:t>
            </w:r>
            <w:r w:rsidRPr="005C38F1">
              <w:rPr>
                <w:szCs w:val="24"/>
              </w:rPr>
              <w:t xml:space="preserve">equiring </w:t>
            </w:r>
            <w:r>
              <w:rPr>
                <w:szCs w:val="24"/>
              </w:rPr>
              <w:t>m</w:t>
            </w:r>
            <w:r w:rsidRPr="005C38F1">
              <w:rPr>
                <w:szCs w:val="24"/>
              </w:rPr>
              <w:t xml:space="preserve">edical or </w:t>
            </w:r>
            <w:r>
              <w:rPr>
                <w:szCs w:val="24"/>
              </w:rPr>
              <w:t>s</w:t>
            </w:r>
            <w:r w:rsidRPr="005C38F1">
              <w:rPr>
                <w:szCs w:val="24"/>
              </w:rPr>
              <w:t>urgical</w:t>
            </w:r>
          </w:p>
          <w:p w14:paraId="061DB519" w14:textId="77777777" w:rsidR="00A5121A" w:rsidRPr="005C38F1" w:rsidRDefault="00A5121A" w:rsidP="00412DC0">
            <w:pPr>
              <w:pStyle w:val="EndNoteBibliography"/>
              <w:rPr>
                <w:szCs w:val="24"/>
              </w:rPr>
            </w:pPr>
            <w:r>
              <w:rPr>
                <w:szCs w:val="24"/>
              </w:rPr>
              <w:t>i</w:t>
            </w:r>
            <w:r w:rsidRPr="005C38F1">
              <w:rPr>
                <w:szCs w:val="24"/>
              </w:rPr>
              <w:t xml:space="preserve">ntervention to </w:t>
            </w:r>
            <w:r>
              <w:rPr>
                <w:szCs w:val="24"/>
              </w:rPr>
              <w:t>p</w:t>
            </w:r>
            <w:r w:rsidRPr="005C38F1">
              <w:rPr>
                <w:szCs w:val="24"/>
              </w:rPr>
              <w:t>revent</w:t>
            </w:r>
          </w:p>
          <w:p w14:paraId="3CB932CF" w14:textId="77777777" w:rsidR="00A5121A" w:rsidRPr="005C38F1" w:rsidRDefault="00A5121A" w:rsidP="00412DC0">
            <w:pPr>
              <w:pStyle w:val="EndNoteBibliography"/>
              <w:rPr>
                <w:szCs w:val="24"/>
              </w:rPr>
            </w:pPr>
            <w:r>
              <w:rPr>
                <w:szCs w:val="24"/>
              </w:rPr>
              <w:t>s</w:t>
            </w:r>
            <w:r w:rsidRPr="005C38F1">
              <w:rPr>
                <w:szCs w:val="24"/>
              </w:rPr>
              <w:t xml:space="preserve">erious </w:t>
            </w:r>
            <w:r>
              <w:rPr>
                <w:szCs w:val="24"/>
              </w:rPr>
              <w:t>o</w:t>
            </w:r>
            <w:r w:rsidRPr="005C38F1">
              <w:rPr>
                <w:szCs w:val="24"/>
              </w:rPr>
              <w:t>utcome</w:t>
            </w:r>
          </w:p>
        </w:tc>
        <w:tc>
          <w:tcPr>
            <w:tcW w:w="7105" w:type="dxa"/>
          </w:tcPr>
          <w:p w14:paraId="27DF07EB" w14:textId="77777777" w:rsidR="00A5121A" w:rsidRPr="005C38F1" w:rsidRDefault="00A5121A" w:rsidP="00412DC0">
            <w:pPr>
              <w:pStyle w:val="EndNoteBibliography"/>
              <w:rPr>
                <w:szCs w:val="24"/>
              </w:rPr>
            </w:pPr>
            <w:r w:rsidRPr="005C38F1">
              <w:rPr>
                <w:szCs w:val="24"/>
              </w:rPr>
              <w:t>An important medical event that may not be immediately lifethreatening</w:t>
            </w:r>
            <w:r>
              <w:rPr>
                <w:szCs w:val="24"/>
              </w:rPr>
              <w:t xml:space="preserve"> </w:t>
            </w:r>
            <w:r w:rsidRPr="005C38F1">
              <w:rPr>
                <w:szCs w:val="24"/>
              </w:rPr>
              <w:t>or result in death or hospitalization, but based on</w:t>
            </w:r>
          </w:p>
          <w:p w14:paraId="323F783F" w14:textId="77777777" w:rsidR="00A5121A" w:rsidRPr="005C38F1" w:rsidRDefault="00A5121A" w:rsidP="00412DC0">
            <w:pPr>
              <w:pStyle w:val="EndNoteBibliography"/>
              <w:rPr>
                <w:szCs w:val="24"/>
              </w:rPr>
            </w:pPr>
            <w:r w:rsidRPr="005C38F1">
              <w:rPr>
                <w:szCs w:val="24"/>
              </w:rPr>
              <w:t>medical judgment may jeopardize the subject and may require</w:t>
            </w:r>
          </w:p>
          <w:p w14:paraId="47F4D35E" w14:textId="77777777" w:rsidR="00A5121A" w:rsidRPr="005C38F1" w:rsidRDefault="00A5121A" w:rsidP="00412DC0">
            <w:pPr>
              <w:pStyle w:val="EndNoteBibliography"/>
              <w:rPr>
                <w:szCs w:val="24"/>
              </w:rPr>
            </w:pPr>
            <w:r w:rsidRPr="005C38F1">
              <w:rPr>
                <w:szCs w:val="24"/>
              </w:rPr>
              <w:t>medical or surgical intervention to prevent any of the outcomes</w:t>
            </w:r>
          </w:p>
          <w:p w14:paraId="165D85C2" w14:textId="77777777" w:rsidR="00A5121A" w:rsidRPr="005C38F1" w:rsidRDefault="00A5121A" w:rsidP="00412DC0">
            <w:pPr>
              <w:pStyle w:val="EndNoteBibliography"/>
              <w:rPr>
                <w:szCs w:val="24"/>
              </w:rPr>
            </w:pPr>
            <w:r w:rsidRPr="005C38F1">
              <w:rPr>
                <w:szCs w:val="24"/>
              </w:rPr>
              <w:t xml:space="preserve">listed above (i.e., death of </w:t>
            </w:r>
            <w:r>
              <w:rPr>
                <w:szCs w:val="24"/>
              </w:rPr>
              <w:t>patient</w:t>
            </w:r>
            <w:r w:rsidRPr="005C38F1">
              <w:rPr>
                <w:szCs w:val="24"/>
              </w:rPr>
              <w:t>, life-threatening, hospitalization,</w:t>
            </w:r>
          </w:p>
          <w:p w14:paraId="1CE11754" w14:textId="77777777" w:rsidR="00A5121A" w:rsidRPr="005C38F1" w:rsidRDefault="00A5121A" w:rsidP="00412DC0">
            <w:pPr>
              <w:pStyle w:val="EndNoteBibliography"/>
              <w:rPr>
                <w:szCs w:val="24"/>
              </w:rPr>
            </w:pPr>
            <w:r w:rsidRPr="005C38F1">
              <w:rPr>
                <w:szCs w:val="24"/>
              </w:rPr>
              <w:t>prolongation of hospitalization, congenital anomaly, or persistent or</w:t>
            </w:r>
          </w:p>
          <w:p w14:paraId="0248BFAC" w14:textId="77777777" w:rsidR="00A5121A" w:rsidRPr="005C38F1" w:rsidRDefault="00A5121A" w:rsidP="00412DC0">
            <w:pPr>
              <w:pStyle w:val="EndNoteBibliography"/>
              <w:rPr>
                <w:szCs w:val="24"/>
              </w:rPr>
            </w:pPr>
            <w:r w:rsidRPr="005C38F1">
              <w:rPr>
                <w:szCs w:val="24"/>
              </w:rPr>
              <w:t>significant disability/incapacity). Additionally, any elective or</w:t>
            </w:r>
          </w:p>
          <w:p w14:paraId="3BEDC7E8" w14:textId="77777777" w:rsidR="00A5121A" w:rsidRPr="005C38F1" w:rsidRDefault="00A5121A" w:rsidP="00412DC0">
            <w:pPr>
              <w:pStyle w:val="EndNoteBibliography"/>
              <w:rPr>
                <w:szCs w:val="24"/>
              </w:rPr>
            </w:pPr>
            <w:r w:rsidRPr="005C38F1">
              <w:rPr>
                <w:szCs w:val="24"/>
              </w:rPr>
              <w:t>spontaneous abortion or stillbirth is considered an important</w:t>
            </w:r>
          </w:p>
          <w:p w14:paraId="2C1ADF62" w14:textId="77777777" w:rsidR="00A5121A" w:rsidRPr="005C38F1" w:rsidRDefault="00A5121A" w:rsidP="00412DC0">
            <w:pPr>
              <w:pStyle w:val="EndNoteBibliography"/>
              <w:rPr>
                <w:szCs w:val="24"/>
              </w:rPr>
            </w:pPr>
            <w:r w:rsidRPr="005C38F1">
              <w:rPr>
                <w:szCs w:val="24"/>
              </w:rPr>
              <w:t>medical event. Examples of such events include allergic</w:t>
            </w:r>
          </w:p>
          <w:p w14:paraId="1DF883C0" w14:textId="77777777" w:rsidR="00A5121A" w:rsidRPr="005C38F1" w:rsidRDefault="00A5121A" w:rsidP="00412DC0">
            <w:pPr>
              <w:pStyle w:val="EndNoteBibliography"/>
              <w:rPr>
                <w:szCs w:val="24"/>
              </w:rPr>
            </w:pPr>
            <w:r w:rsidRPr="005C38F1">
              <w:rPr>
                <w:szCs w:val="24"/>
              </w:rPr>
              <w:t>bronchospasm requiring intensive treatment in an emergency room</w:t>
            </w:r>
          </w:p>
          <w:p w14:paraId="61E32BB9" w14:textId="77777777" w:rsidR="00A5121A" w:rsidRPr="005C38F1" w:rsidRDefault="00A5121A" w:rsidP="00412DC0">
            <w:pPr>
              <w:pStyle w:val="EndNoteBibliography"/>
              <w:rPr>
                <w:szCs w:val="24"/>
              </w:rPr>
            </w:pPr>
            <w:r w:rsidRPr="005C38F1">
              <w:rPr>
                <w:szCs w:val="24"/>
              </w:rPr>
              <w:t>or at home, blood dyscrasias or convulsions that do not result in</w:t>
            </w:r>
          </w:p>
          <w:p w14:paraId="63114347" w14:textId="77777777" w:rsidR="00A5121A" w:rsidRPr="005C38F1" w:rsidRDefault="00A5121A" w:rsidP="00412DC0">
            <w:pPr>
              <w:pStyle w:val="EndNoteBibliography"/>
              <w:rPr>
                <w:szCs w:val="24"/>
              </w:rPr>
            </w:pPr>
            <w:r w:rsidRPr="005C38F1">
              <w:rPr>
                <w:szCs w:val="24"/>
              </w:rPr>
              <w:t>inpatient hospitalization, or the development of drug dependency or</w:t>
            </w:r>
          </w:p>
          <w:p w14:paraId="284EEA4A" w14:textId="77777777" w:rsidR="00A5121A" w:rsidRPr="005C38F1" w:rsidRDefault="00A5121A" w:rsidP="00412DC0">
            <w:pPr>
              <w:pStyle w:val="EndNoteBibliography"/>
              <w:rPr>
                <w:szCs w:val="24"/>
              </w:rPr>
            </w:pPr>
            <w:r w:rsidRPr="005C38F1">
              <w:rPr>
                <w:szCs w:val="24"/>
              </w:rPr>
              <w:t>drug abuse.</w:t>
            </w:r>
          </w:p>
        </w:tc>
      </w:tr>
    </w:tbl>
    <w:p w14:paraId="7B10A478" w14:textId="77777777" w:rsidR="00A5121A" w:rsidRPr="00EA7274" w:rsidRDefault="00A5121A" w:rsidP="00A5121A">
      <w:pPr>
        <w:pStyle w:val="EndNoteBibliography"/>
        <w:spacing w:after="0"/>
        <w:rPr>
          <w:szCs w:val="24"/>
        </w:rPr>
        <w:sectPr w:rsidR="00A5121A" w:rsidRPr="00EA7274" w:rsidSect="0044204E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D0F88">
        <w:rPr>
          <w:i/>
          <w:iCs/>
          <w:szCs w:val="24"/>
        </w:rPr>
        <w:t>TEAE</w:t>
      </w:r>
      <w:r>
        <w:rPr>
          <w:szCs w:val="24"/>
        </w:rPr>
        <w:t>, treatment-emergent adverse event</w:t>
      </w:r>
    </w:p>
    <w:p w14:paraId="48958D5C" w14:textId="77777777" w:rsidR="00A5121A" w:rsidRPr="00820D00" w:rsidRDefault="00A5121A" w:rsidP="00A5121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20D00">
        <w:rPr>
          <w:rFonts w:ascii="Times New Roman" w:hAnsi="Times New Roman" w:cs="Times New Roman"/>
          <w:b/>
          <w:bCs/>
          <w:sz w:val="24"/>
          <w:szCs w:val="24"/>
        </w:rPr>
        <w:t>FIGURES</w:t>
      </w:r>
    </w:p>
    <w:p w14:paraId="2C5CEC4C" w14:textId="77777777" w:rsidR="00A5121A" w:rsidRDefault="00A5121A" w:rsidP="00A5121A">
      <w:pPr>
        <w:rPr>
          <w:rFonts w:ascii="Times New Roman" w:hAnsi="Times New Roman" w:cs="Times New Roman"/>
          <w:sz w:val="24"/>
          <w:szCs w:val="24"/>
        </w:rPr>
      </w:pPr>
      <w:r w:rsidRPr="00AC289C"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ascii="Times New Roman" w:hAnsi="Times New Roman" w:cs="Times New Roman"/>
          <w:b/>
          <w:bCs/>
          <w:sz w:val="24"/>
          <w:szCs w:val="24"/>
        </w:rPr>
        <w:t>ure</w:t>
      </w:r>
      <w:r w:rsidRPr="00AC28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S1</w:t>
      </w:r>
      <w:r w:rsidRPr="00AC28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C289C">
        <w:rPr>
          <w:rFonts w:ascii="Times New Roman" w:hAnsi="Times New Roman" w:cs="Times New Roman"/>
          <w:sz w:val="24"/>
          <w:szCs w:val="24"/>
        </w:rPr>
        <w:t xml:space="preserve">Study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AC289C">
        <w:rPr>
          <w:rFonts w:ascii="Times New Roman" w:hAnsi="Times New Roman" w:cs="Times New Roman"/>
          <w:sz w:val="24"/>
          <w:szCs w:val="24"/>
        </w:rPr>
        <w:t>esign</w:t>
      </w:r>
    </w:p>
    <w:p w14:paraId="03E1EC57" w14:textId="77777777" w:rsidR="00A5121A" w:rsidRDefault="00A5121A" w:rsidP="00A5121A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62336" behindDoc="0" locked="0" layoutInCell="1" allowOverlap="1" wp14:anchorId="0D347916" wp14:editId="31B8A375">
            <wp:simplePos x="0" y="0"/>
            <wp:positionH relativeFrom="margin">
              <wp:align>left</wp:align>
            </wp:positionH>
            <wp:positionV relativeFrom="paragraph">
              <wp:posOffset>235585</wp:posOffset>
            </wp:positionV>
            <wp:extent cx="6448134" cy="2071628"/>
            <wp:effectExtent l="0" t="0" r="0" b="5080"/>
            <wp:wrapSquare wrapText="bothSides"/>
            <wp:docPr id="1809688572" name="Picture 4" descr="A diagram of a patient's treat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688572" name="Picture 4" descr="A diagram of a patient's treatmen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134" cy="20716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998A505" w14:textId="77777777" w:rsidR="00E744F9" w:rsidRDefault="00E744F9">
      <w:bookmarkStart w:id="0" w:name="_GoBack"/>
      <w:bookmarkEnd w:id="0"/>
    </w:p>
    <w:sectPr w:rsidR="00E744F9" w:rsidSect="004420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41E6C5" w14:textId="77777777" w:rsidR="0094171F" w:rsidRDefault="0094171F">
      <w:pPr>
        <w:spacing w:after="0" w:line="240" w:lineRule="auto"/>
      </w:pPr>
      <w:r>
        <w:separator/>
      </w:r>
    </w:p>
  </w:endnote>
  <w:endnote w:type="continuationSeparator" w:id="0">
    <w:p w14:paraId="402069B1" w14:textId="77777777" w:rsidR="0094171F" w:rsidRDefault="00941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263029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994D19" w14:textId="77777777" w:rsidR="00982E22" w:rsidRDefault="0044204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2F8C3B" w14:textId="77777777" w:rsidR="00982E22" w:rsidRDefault="00982E2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CEE6B9" w14:textId="77777777" w:rsidR="0094171F" w:rsidRDefault="0094171F">
      <w:pPr>
        <w:spacing w:after="0" w:line="240" w:lineRule="auto"/>
      </w:pPr>
      <w:r>
        <w:separator/>
      </w:r>
    </w:p>
  </w:footnote>
  <w:footnote w:type="continuationSeparator" w:id="0">
    <w:p w14:paraId="73FB02B7" w14:textId="77777777" w:rsidR="0094171F" w:rsidRDefault="009417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29DC36" w14:textId="77777777" w:rsidR="00982E22" w:rsidRPr="00CD4F4C" w:rsidRDefault="0044204E" w:rsidP="001C5B6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Times New Roman" w:hAnsi="Times New Roman"/>
        <w:color w:val="000000"/>
      </w:rPr>
    </w:pPr>
    <w:r>
      <w:rPr>
        <w:rFonts w:ascii="Times New Roman" w:hAnsi="Times New Roman"/>
        <w:color w:val="000000"/>
      </w:rPr>
      <w:t xml:space="preserve">                                                                                                                  </w:t>
    </w:r>
    <w:r w:rsidRPr="00CD4F4C">
      <w:rPr>
        <w:rFonts w:ascii="Times New Roman" w:hAnsi="Times New Roman"/>
        <w:color w:val="000000"/>
      </w:rPr>
      <w:t>Goto et al. M20-075 LT follow-up</w:t>
    </w:r>
  </w:p>
  <w:p w14:paraId="75F1B9B6" w14:textId="7581C871" w:rsidR="00982E22" w:rsidRPr="00096CAA" w:rsidRDefault="0044204E" w:rsidP="001C5B6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Times New Roman" w:hAnsi="Times New Roman"/>
        <w:i/>
        <w:color w:val="000000"/>
      </w:rPr>
    </w:pPr>
    <w:r w:rsidRPr="00CD4F4C">
      <w:rPr>
        <w:rFonts w:ascii="Times New Roman" w:hAnsi="Times New Roman"/>
        <w:color w:val="000000"/>
      </w:rPr>
      <w:t xml:space="preserve">                                                                                                             </w:t>
    </w:r>
    <w:r w:rsidRPr="00CD4F4C">
      <w:rPr>
        <w:rFonts w:ascii="Times New Roman" w:hAnsi="Times New Roman"/>
        <w:color w:val="000000"/>
      </w:rPr>
      <w:t xml:space="preserve">                                 </w:t>
    </w:r>
    <w:r w:rsidRPr="00096CAA">
      <w:rPr>
        <w:rFonts w:ascii="Times New Roman" w:hAnsi="Times New Roman"/>
        <w:i/>
        <w:color w:val="000000"/>
      </w:rPr>
      <w:t>Int J Clin Oncol</w:t>
    </w:r>
  </w:p>
  <w:p w14:paraId="556E80DD" w14:textId="43B6A5BE" w:rsidR="00982E22" w:rsidRPr="00EB41D2" w:rsidRDefault="0044204E" w:rsidP="001C5B6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Times New Roman" w:hAnsi="Times New Roman"/>
        <w:color w:val="000000"/>
      </w:rPr>
    </w:pPr>
    <w:r w:rsidRPr="00096CAA">
      <w:rPr>
        <w:rFonts w:ascii="Times New Roman" w:hAnsi="Times New Roman"/>
        <w:i/>
        <w:color w:val="000000"/>
      </w:rPr>
      <w:t xml:space="preserve">                                                                                                                                   </w:t>
    </w:r>
    <w:r>
      <w:rPr>
        <w:rFonts w:ascii="Times New Roman" w:hAnsi="Times New Roman"/>
        <w:color w:val="000000"/>
      </w:rPr>
      <w:t xml:space="preserve">FOR </w:t>
    </w:r>
    <w:r w:rsidR="00096CAA">
      <w:rPr>
        <w:rFonts w:ascii="Times New Roman" w:hAnsi="Times New Roman"/>
        <w:color w:val="000000"/>
      </w:rPr>
      <w:t>RE</w:t>
    </w:r>
    <w:r>
      <w:rPr>
        <w:rFonts w:ascii="Times New Roman" w:hAnsi="Times New Roman"/>
        <w:color w:val="000000"/>
      </w:rPr>
      <w:t>SUBMISSION</w:t>
    </w:r>
  </w:p>
  <w:p w14:paraId="0B5280F8" w14:textId="77777777" w:rsidR="00982E22" w:rsidRDefault="00982E2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21A"/>
    <w:rsid w:val="00096CAA"/>
    <w:rsid w:val="001B0C4E"/>
    <w:rsid w:val="002703AB"/>
    <w:rsid w:val="002F545F"/>
    <w:rsid w:val="003C081B"/>
    <w:rsid w:val="0044204E"/>
    <w:rsid w:val="00633F7D"/>
    <w:rsid w:val="008355A4"/>
    <w:rsid w:val="0089314C"/>
    <w:rsid w:val="008F25DD"/>
    <w:rsid w:val="00904018"/>
    <w:rsid w:val="0094171F"/>
    <w:rsid w:val="00982E22"/>
    <w:rsid w:val="00A04D33"/>
    <w:rsid w:val="00A148BF"/>
    <w:rsid w:val="00A318E7"/>
    <w:rsid w:val="00A5121A"/>
    <w:rsid w:val="00B36B4D"/>
    <w:rsid w:val="00B70869"/>
    <w:rsid w:val="00D46BE4"/>
    <w:rsid w:val="00E744F9"/>
    <w:rsid w:val="00E772C9"/>
    <w:rsid w:val="00FE3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8A3DE"/>
  <w15:chartTrackingRefBased/>
  <w15:docId w15:val="{E58C0462-86B8-40BF-B64F-CF789B56B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121A"/>
    <w:pPr>
      <w:spacing w:line="256" w:lineRule="auto"/>
    </w:pPr>
    <w:rPr>
      <w:rFonts w:ascii="Aptos" w:eastAsia="Aptos" w:hAnsi="Aptos" w:cs="Aptos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121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121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121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121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121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121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121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121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121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12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12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12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12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12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12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12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12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12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12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512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121A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512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121A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512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121A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512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2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2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121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512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121A"/>
    <w:rPr>
      <w:rFonts w:ascii="Aptos" w:eastAsia="Aptos" w:hAnsi="Aptos" w:cs="Aptos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512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121A"/>
    <w:rPr>
      <w:rFonts w:ascii="Aptos" w:eastAsia="Aptos" w:hAnsi="Aptos" w:cs="Aptos"/>
      <w:kern w:val="0"/>
      <w:sz w:val="22"/>
      <w:szCs w:val="22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A5121A"/>
    <w:pPr>
      <w:spacing w:line="480" w:lineRule="auto"/>
    </w:pPr>
    <w:rPr>
      <w:rFonts w:ascii="Times New Roman" w:hAnsi="Times New Roman" w:cs="Times New Roman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A5121A"/>
    <w:rPr>
      <w:rFonts w:ascii="Times New Roman" w:eastAsia="Aptos" w:hAnsi="Times New Roman" w:cs="Times New Roman"/>
      <w:noProof/>
      <w:kern w:val="0"/>
      <w:szCs w:val="22"/>
      <w14:ligatures w14:val="none"/>
    </w:rPr>
  </w:style>
  <w:style w:type="table" w:styleId="TableGrid">
    <w:name w:val="Table Grid"/>
    <w:basedOn w:val="TableNormal"/>
    <w:uiPriority w:val="39"/>
    <w:rsid w:val="00A5121A"/>
    <w:pPr>
      <w:spacing w:after="0" w:line="240" w:lineRule="auto"/>
    </w:pPr>
    <w:rPr>
      <w:rFonts w:eastAsiaTheme="minorEastAs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512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512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5121A"/>
    <w:rPr>
      <w:rFonts w:ascii="Aptos" w:eastAsia="Aptos" w:hAnsi="Aptos" w:cs="Aptos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1363</Words>
  <Characters>7774</Characters>
  <Application>Microsoft Office Word</Application>
  <DocSecurity>0</DocSecurity>
  <Lines>64</Lines>
  <Paragraphs>18</Paragraphs>
  <ScaleCrop>false</ScaleCrop>
  <Company/>
  <LinksUpToDate>false</LinksUpToDate>
  <CharactersWithSpaces>9119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BioC</dc:creator>
  <cp:keywords/>
  <dc:description/>
  <cp:lastModifiedBy>Paul Alexander D Dennis MP</cp:lastModifiedBy>
  <cp:revision>3</cp:revision>
  <dcterms:created xsi:type="dcterms:W3CDTF">2025-08-04T18:13:00Z</dcterms:created>
  <dcterms:modified xsi:type="dcterms:W3CDTF">2025-08-24T08:06:00Z</dcterms:modified>
</cp:coreProperties>
</file>