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32C" w14:textId="77777777" w:rsidR="003B0510" w:rsidRPr="00FE63CF" w:rsidRDefault="00000000">
      <w:pPr>
        <w:spacing w:after="12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Supplementary Information captions: </w:t>
      </w:r>
    </w:p>
    <w:p w14:paraId="0000032D" w14:textId="0558722C" w:rsidR="003B0510" w:rsidRPr="00FE63CF" w:rsidRDefault="00000000">
      <w:pPr>
        <w:spacing w:after="12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Online Resource 1</w:t>
      </w:r>
      <w:r w:rsidRPr="00AF5B92">
        <w:rPr>
          <w:rFonts w:ascii="Times New Roman" w:eastAsia="Gungsuh" w:hAnsi="Times New Roman" w:cs="Times New Roman"/>
          <w:sz w:val="20"/>
          <w:szCs w:val="20"/>
        </w:rPr>
        <w:t xml:space="preserve"> Most common AEs occurring </w:t>
      </w:r>
      <w:proofErr w:type="gramStart"/>
      <w:r w:rsidRPr="00AF5B92">
        <w:rPr>
          <w:rFonts w:ascii="Times New Roman" w:eastAsia="Gungsuh" w:hAnsi="Times New Roman" w:cs="Times New Roman"/>
          <w:sz w:val="20"/>
          <w:szCs w:val="20"/>
        </w:rPr>
        <w:t>in ≥ 10</w:t>
      </w:r>
      <w:proofErr w:type="gramEnd"/>
      <w:r w:rsidRPr="00AF5B92">
        <w:rPr>
          <w:rFonts w:ascii="Times New Roman" w:eastAsia="Gungsuh" w:hAnsi="Times New Roman" w:cs="Times New Roman"/>
          <w:sz w:val="20"/>
          <w:szCs w:val="20"/>
        </w:rPr>
        <w:t>% of patients in either arm</w:t>
      </w:r>
    </w:p>
    <w:p w14:paraId="0000032E" w14:textId="513B4776" w:rsidR="003B0510" w:rsidRPr="00FE63CF" w:rsidRDefault="00000000">
      <w:pPr>
        <w:spacing w:after="12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Online Resource 2</w:t>
      </w:r>
      <w:r w:rsidRPr="00AF5B92">
        <w:rPr>
          <w:rFonts w:ascii="Times New Roman" w:eastAsia="Gungsuh" w:hAnsi="Times New Roman" w:cs="Times New Roman"/>
          <w:sz w:val="20"/>
          <w:szCs w:val="20"/>
        </w:rPr>
        <w:t xml:space="preserve"> Most common grade 3–4 AEs occurring in ≥ 5% of patients in either arm</w:t>
      </w:r>
    </w:p>
    <w:p w14:paraId="0000032F" w14:textId="77777777" w:rsidR="003B0510" w:rsidRPr="00FE63CF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F5B92">
        <w:rPr>
          <w:rFonts w:ascii="Times New Roman" w:hAnsi="Times New Roman" w:cs="Times New Roman"/>
        </w:rPr>
        <w:br w:type="page"/>
      </w:r>
    </w:p>
    <w:p w14:paraId="00000330" w14:textId="77777777" w:rsidR="003B0510" w:rsidRPr="00FE63CF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Supplementary Information</w:t>
      </w:r>
    </w:p>
    <w:p w14:paraId="00000331" w14:textId="77777777" w:rsidR="003B0510" w:rsidRPr="00FE63CF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 xml:space="preserve">The fixed-dose combination of pertuzumab and trastuzumab for subcutaneous injection in Chinese patients with HER2-positive early breast cancer: primary analysis of the phase III, randomized </w:t>
      </w:r>
      <w:proofErr w:type="spellStart"/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FDChina</w:t>
      </w:r>
      <w:proofErr w:type="spellEnd"/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 xml:space="preserve"> study</w:t>
      </w:r>
    </w:p>
    <w:p w14:paraId="00000332" w14:textId="77777777" w:rsidR="003B0510" w:rsidRPr="00FE63CF" w:rsidRDefault="00000000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i/>
          <w:sz w:val="20"/>
          <w:szCs w:val="20"/>
        </w:rPr>
        <w:t>International Journal of Clinical Oncology</w:t>
      </w:r>
    </w:p>
    <w:p w14:paraId="00000333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Tao Huang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Fan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Yongsheng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Wang · Xi Yan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Hongjian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Yang · Shu Wang · Da Pang · Huiping Li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Haibo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Wang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Cuizhi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Geng · Liang Huang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Yaqing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Sun · Bei Wang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Guofang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Sun · Asna Siddiqui · Eleonora Restuccia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Shao</w:t>
      </w:r>
    </w:p>
    <w:p w14:paraId="00000334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Corresponding author: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Shao, Breast Cancer, Fudan University Shanghai Cancer Center; </w:t>
      </w:r>
      <w:hyperlink r:id="rId7">
        <w:r w:rsidR="003B0510" w:rsidRPr="00FE63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zhimingshao@fudan.edu.cn</w:t>
        </w:r>
      </w:hyperlink>
    </w:p>
    <w:p w14:paraId="4476670C" w14:textId="77777777" w:rsidR="00AF5B92" w:rsidRDefault="00AF5B92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336" w14:textId="4C506D1A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Online Resource 1</w:t>
      </w:r>
      <w:r w:rsidRPr="00AF5B92">
        <w:rPr>
          <w:rFonts w:ascii="Times New Roman" w:eastAsia="Gungsuh" w:hAnsi="Times New Roman" w:cs="Times New Roman"/>
          <w:sz w:val="20"/>
          <w:szCs w:val="20"/>
        </w:rPr>
        <w:t xml:space="preserve"> Most common AEs occurring in ≥ 10% of patients in either arm (safety population)</w:t>
      </w:r>
    </w:p>
    <w:tbl>
      <w:tblPr>
        <w:tblStyle w:val="a5"/>
        <w:tblW w:w="9865" w:type="dxa"/>
        <w:tblBorders>
          <w:top w:val="single" w:sz="4" w:space="0" w:color="7F7F7F"/>
          <w:bottom w:val="single" w:sz="4" w:space="0" w:color="7F7F7F"/>
        </w:tblBorders>
        <w:tblLayout w:type="fixed"/>
        <w:tblLook w:val="0420" w:firstRow="1" w:lastRow="0" w:firstColumn="0" w:lastColumn="0" w:noHBand="0" w:noVBand="1"/>
      </w:tblPr>
      <w:tblGrid>
        <w:gridCol w:w="6023"/>
        <w:gridCol w:w="1890"/>
        <w:gridCol w:w="1952"/>
      </w:tblGrid>
      <w:tr w:rsidR="003B0510" w:rsidRPr="00FE63CF" w14:paraId="20E4C0A3" w14:textId="77777777" w:rsidTr="003B0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tcW w:w="60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37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MedDRA preferred term, %</w:t>
            </w:r>
          </w:p>
          <w:p w14:paraId="00000338" w14:textId="77777777" w:rsidR="003B0510" w:rsidRPr="00FE63CF" w:rsidRDefault="003B051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39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P+H IV</w:t>
            </w:r>
          </w:p>
          <w:p w14:paraId="0000033A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FE63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= 100)</w:t>
            </w:r>
          </w:p>
        </w:tc>
        <w:tc>
          <w:tcPr>
            <w:tcW w:w="195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3B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PH FDC SC</w:t>
            </w:r>
          </w:p>
          <w:p w14:paraId="0000033C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FE63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= 100)</w:t>
            </w:r>
          </w:p>
        </w:tc>
      </w:tr>
      <w:tr w:rsidR="003B0510" w:rsidRPr="00FE63CF" w14:paraId="02BEFD18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single" w:sz="12" w:space="0" w:color="000000"/>
              <w:bottom w:val="nil"/>
            </w:tcBorders>
          </w:tcPr>
          <w:p w14:paraId="0000033D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1890" w:type="dxa"/>
            <w:tcBorders>
              <w:top w:val="single" w:sz="12" w:space="0" w:color="000000"/>
              <w:bottom w:val="nil"/>
            </w:tcBorders>
          </w:tcPr>
          <w:p w14:paraId="0000033E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52" w:type="dxa"/>
            <w:tcBorders>
              <w:top w:val="single" w:sz="12" w:space="0" w:color="000000"/>
              <w:bottom w:val="nil"/>
            </w:tcBorders>
          </w:tcPr>
          <w:p w14:paraId="0000033F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B0510" w:rsidRPr="00FE63CF" w14:paraId="740026F5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0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Alopecia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41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42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B0510" w:rsidRPr="00FE63CF" w14:paraId="44E36969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3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Neutrophil count decreased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44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45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B0510" w:rsidRPr="00FE63CF" w14:paraId="634FBAFB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6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White blood cell count decreased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47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48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B0510" w:rsidRPr="00FE63CF" w14:paraId="04C52739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9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Nausea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4A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4B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B0510" w:rsidRPr="00FE63CF" w14:paraId="1A7E68BC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C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Alanine aminotransferase increased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4D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4E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B0510" w:rsidRPr="00FE63CF" w14:paraId="7E84C285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4F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Vomiting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0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51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B0510" w:rsidRPr="00FE63CF" w14:paraId="46275A6F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52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Aspartate aminotransferase increased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3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54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3B0510" w:rsidRPr="00FE63CF" w14:paraId="6EC52060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55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6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57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B0510" w:rsidRPr="00FE63CF" w14:paraId="1B77EABA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58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Leukopenia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9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5A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B0510" w:rsidRPr="00FE63CF" w14:paraId="6274B21E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5B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Platelet count decreased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C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5D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B0510" w:rsidRPr="00FE63CF" w14:paraId="31E20CDB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5E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Hypertriglyceridemia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5F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0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B0510" w:rsidRPr="00FE63CF" w14:paraId="4813ECDF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61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62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3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B0510" w:rsidRPr="00FE63CF" w14:paraId="3F731382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64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Lymphocyte count decreased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65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6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B0510" w:rsidRPr="00FE63CF" w14:paraId="3CC03CAA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67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Malaise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68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9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B0510" w:rsidRPr="00FE63CF" w14:paraId="35E428D0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6A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Hypoalbuminemia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6B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C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B0510" w:rsidRPr="00FE63CF" w14:paraId="0CFE925A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6D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Pyrexia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6E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6F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B0510" w:rsidRPr="00FE63CF" w14:paraId="1D41318F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70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Mouth ulceration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71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72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B0510" w:rsidRPr="00FE63CF" w14:paraId="6916EA87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73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 appetite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74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75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B0510" w:rsidRPr="00FE63CF" w14:paraId="2F3023FF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76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77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78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B0510" w:rsidRPr="00FE63CF" w14:paraId="64E1B724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79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Blood alanine phosphatase increased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7A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7B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B0510" w:rsidRPr="00FE63CF" w14:paraId="423BC12F" w14:textId="77777777" w:rsidTr="003B0510">
        <w:trPr>
          <w:trHeight w:val="283"/>
        </w:trPr>
        <w:tc>
          <w:tcPr>
            <w:tcW w:w="6023" w:type="dxa"/>
            <w:tcBorders>
              <w:top w:val="nil"/>
              <w:bottom w:val="nil"/>
            </w:tcBorders>
          </w:tcPr>
          <w:p w14:paraId="0000037C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000037D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0000037E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B0510" w:rsidRPr="00FE63CF" w14:paraId="096F1181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6023" w:type="dxa"/>
            <w:tcBorders>
              <w:top w:val="nil"/>
              <w:bottom w:val="single" w:sz="12" w:space="0" w:color="000000"/>
            </w:tcBorders>
          </w:tcPr>
          <w:p w14:paraId="0000037F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Hyperuricemia</w:t>
            </w:r>
          </w:p>
        </w:tc>
        <w:tc>
          <w:tcPr>
            <w:tcW w:w="1890" w:type="dxa"/>
            <w:tcBorders>
              <w:top w:val="nil"/>
              <w:bottom w:val="single" w:sz="12" w:space="0" w:color="000000"/>
            </w:tcBorders>
          </w:tcPr>
          <w:p w14:paraId="00000380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52" w:type="dxa"/>
            <w:tcBorders>
              <w:top w:val="nil"/>
              <w:bottom w:val="single" w:sz="12" w:space="0" w:color="000000"/>
            </w:tcBorders>
          </w:tcPr>
          <w:p w14:paraId="00000381" w14:textId="77777777" w:rsidR="003B0510" w:rsidRPr="00FE63CF" w:rsidRDefault="00000000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00000382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AE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adverse event,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trastuzumab,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IV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intravenous,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MedDRA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Medical Dictionary for Regulatory Activities,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 pertuzumab,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PH FDC SC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fixed-dose combination of pertuzumab and trastuzumab for subcutaneous injection</w:t>
      </w:r>
      <w:r w:rsidRPr="00AF5B92">
        <w:rPr>
          <w:rFonts w:ascii="Times New Roman" w:hAnsi="Times New Roman" w:cs="Times New Roman"/>
        </w:rPr>
        <w:br w:type="page"/>
      </w:r>
    </w:p>
    <w:p w14:paraId="00000383" w14:textId="77777777" w:rsidR="003B0510" w:rsidRPr="00FE63CF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The fixed-dose combination of pertuzumab and trastuzumab for subcutaneous injection in Chinese patients with HER2-positive early breast cancer: primary analysis of the phase III, randomized </w:t>
      </w:r>
      <w:proofErr w:type="spellStart"/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FDChina</w:t>
      </w:r>
      <w:proofErr w:type="spellEnd"/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 xml:space="preserve"> study</w:t>
      </w:r>
    </w:p>
    <w:p w14:paraId="00000384" w14:textId="77777777" w:rsidR="003B0510" w:rsidRPr="00FE63CF" w:rsidRDefault="00000000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i/>
          <w:sz w:val="20"/>
          <w:szCs w:val="20"/>
        </w:rPr>
        <w:t>International Journal of Clinical Oncology</w:t>
      </w:r>
    </w:p>
    <w:p w14:paraId="00000385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Tao Huang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Fan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Yongsheng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Wang · Xi Yan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Hongjian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Yang · Shu Wang · Da Pang · Huiping Li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Haibo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Wang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Cuizhi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Geng · Liang Huang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Yaqing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Sun · Bei Wang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Guofang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Sun · Asna Siddiqui · Eleonora Restuccia ·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Shao</w:t>
      </w:r>
    </w:p>
    <w:p w14:paraId="00000386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Corresponding author: </w:t>
      </w:r>
      <w:proofErr w:type="spellStart"/>
      <w:r w:rsidRPr="00FE63CF">
        <w:rPr>
          <w:rFonts w:ascii="Times New Roman" w:eastAsia="Times New Roman" w:hAnsi="Times New Roman" w:cs="Times New Roman"/>
          <w:sz w:val="20"/>
          <w:szCs w:val="20"/>
        </w:rPr>
        <w:t>Zhimin</w:t>
      </w:r>
      <w:proofErr w:type="spellEnd"/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Shao, Breast Cancer, Fudan University Shanghai Cancer Center; </w:t>
      </w:r>
      <w:hyperlink r:id="rId8">
        <w:r w:rsidR="003B0510" w:rsidRPr="00FE63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zhimingshao@fudan.edu.cn</w:t>
        </w:r>
      </w:hyperlink>
    </w:p>
    <w:p w14:paraId="00000387" w14:textId="77777777" w:rsidR="003B0510" w:rsidRPr="00FE63CF" w:rsidRDefault="003B051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388" w14:textId="32A395A6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b/>
          <w:sz w:val="20"/>
          <w:szCs w:val="20"/>
        </w:rPr>
        <w:t>Online Resource 2</w:t>
      </w:r>
      <w:r w:rsidRPr="00DC00CC">
        <w:rPr>
          <w:rFonts w:ascii="Times New Roman" w:eastAsia="Gungsuh" w:hAnsi="Times New Roman" w:cs="Times New Roman"/>
          <w:sz w:val="20"/>
          <w:szCs w:val="20"/>
        </w:rPr>
        <w:t xml:space="preserve"> Most common grade 3–4 AEs occurring in ≥ 5% of patients in either arm (safety population)</w:t>
      </w:r>
    </w:p>
    <w:tbl>
      <w:tblPr>
        <w:tblStyle w:val="a6"/>
        <w:tblW w:w="9865" w:type="dxa"/>
        <w:tblBorders>
          <w:top w:val="single" w:sz="4" w:space="0" w:color="7F7F7F"/>
          <w:bottom w:val="single" w:sz="4" w:space="0" w:color="7F7F7F"/>
        </w:tblBorders>
        <w:tblLayout w:type="fixed"/>
        <w:tblLook w:val="0420" w:firstRow="1" w:lastRow="0" w:firstColumn="0" w:lastColumn="0" w:noHBand="0" w:noVBand="1"/>
      </w:tblPr>
      <w:tblGrid>
        <w:gridCol w:w="3969"/>
        <w:gridCol w:w="2948"/>
        <w:gridCol w:w="2948"/>
      </w:tblGrid>
      <w:tr w:rsidR="003B0510" w:rsidRPr="00FE63CF" w14:paraId="78B63F58" w14:textId="77777777" w:rsidTr="003B0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tcW w:w="39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89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MedDRA preferred term, %</w:t>
            </w:r>
          </w:p>
        </w:tc>
        <w:tc>
          <w:tcPr>
            <w:tcW w:w="2948" w:type="dxa"/>
            <w:tcBorders>
              <w:top w:val="single" w:sz="12" w:space="0" w:color="000000"/>
              <w:bottom w:val="single" w:sz="12" w:space="0" w:color="000000"/>
            </w:tcBorders>
          </w:tcPr>
          <w:p w14:paraId="0000038A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P+H IV</w:t>
            </w:r>
          </w:p>
          <w:p w14:paraId="0000038B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FE63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= 100)</w:t>
            </w:r>
          </w:p>
        </w:tc>
        <w:tc>
          <w:tcPr>
            <w:tcW w:w="294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8C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PH FDC SC</w:t>
            </w:r>
          </w:p>
          <w:p w14:paraId="0000038D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FE63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= 100)</w:t>
            </w:r>
          </w:p>
        </w:tc>
      </w:tr>
      <w:tr w:rsidR="003B0510" w:rsidRPr="00FE63CF" w14:paraId="02A9017E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3969" w:type="dxa"/>
            <w:tcBorders>
              <w:top w:val="single" w:sz="12" w:space="0" w:color="000000"/>
              <w:bottom w:val="nil"/>
            </w:tcBorders>
          </w:tcPr>
          <w:p w14:paraId="0000038E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Neutrophil count decreased</w:t>
            </w:r>
          </w:p>
        </w:tc>
        <w:tc>
          <w:tcPr>
            <w:tcW w:w="2948" w:type="dxa"/>
            <w:tcBorders>
              <w:top w:val="single" w:sz="12" w:space="0" w:color="000000"/>
              <w:bottom w:val="nil"/>
            </w:tcBorders>
          </w:tcPr>
          <w:p w14:paraId="0000038F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48" w:type="dxa"/>
            <w:tcBorders>
              <w:top w:val="single" w:sz="12" w:space="0" w:color="000000"/>
              <w:bottom w:val="nil"/>
            </w:tcBorders>
          </w:tcPr>
          <w:p w14:paraId="00000390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B0510" w:rsidRPr="00FE63CF" w14:paraId="28AAEF41" w14:textId="77777777" w:rsidTr="003B0510">
        <w:trPr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91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White blood cell count decreased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2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3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3B0510" w:rsidRPr="00FE63CF" w14:paraId="40A95819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94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Leukopenia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5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6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B0510" w:rsidRPr="00FE63CF" w14:paraId="3BA58C80" w14:textId="77777777" w:rsidTr="003B0510">
        <w:trPr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97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Neutropenia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8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9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B0510" w:rsidRPr="00FE63CF" w14:paraId="590BE709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9A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Febrile neutropenia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B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C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0510" w:rsidRPr="00FE63CF" w14:paraId="38AB2A9F" w14:textId="77777777" w:rsidTr="003B0510">
        <w:trPr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9D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Lymphocyte count decreased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E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9F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0510" w:rsidRPr="00FE63CF" w14:paraId="198EF440" w14:textId="77777777" w:rsidTr="003B0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tcW w:w="3969" w:type="dxa"/>
            <w:tcBorders>
              <w:top w:val="nil"/>
              <w:bottom w:val="nil"/>
            </w:tcBorders>
          </w:tcPr>
          <w:p w14:paraId="000003A0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A1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00003A2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0510" w:rsidRPr="00FE63CF" w14:paraId="1C3CF09A" w14:textId="77777777" w:rsidTr="003B0510">
        <w:trPr>
          <w:trHeight w:val="377"/>
        </w:trPr>
        <w:tc>
          <w:tcPr>
            <w:tcW w:w="3969" w:type="dxa"/>
            <w:tcBorders>
              <w:top w:val="nil"/>
              <w:bottom w:val="single" w:sz="12" w:space="0" w:color="000000"/>
            </w:tcBorders>
          </w:tcPr>
          <w:p w14:paraId="000003A3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948" w:type="dxa"/>
            <w:tcBorders>
              <w:top w:val="nil"/>
              <w:bottom w:val="single" w:sz="12" w:space="0" w:color="000000"/>
            </w:tcBorders>
          </w:tcPr>
          <w:p w14:paraId="000003A4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48" w:type="dxa"/>
            <w:tcBorders>
              <w:top w:val="nil"/>
              <w:bottom w:val="single" w:sz="12" w:space="0" w:color="000000"/>
            </w:tcBorders>
          </w:tcPr>
          <w:p w14:paraId="000003A5" w14:textId="77777777" w:rsidR="003B0510" w:rsidRPr="00FE63CF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00003A6" w14:textId="77777777" w:rsidR="003B0510" w:rsidRPr="00FE63C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AE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adverse event,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trastuzumab,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IV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intravenous,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MedDRA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Medical Dictionary for Regulatory Activities,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 pertuzumab, </w:t>
      </w:r>
      <w:r w:rsidRPr="00FE63CF">
        <w:rPr>
          <w:rFonts w:ascii="Times New Roman" w:eastAsia="Times New Roman" w:hAnsi="Times New Roman" w:cs="Times New Roman"/>
          <w:i/>
          <w:sz w:val="20"/>
          <w:szCs w:val="20"/>
        </w:rPr>
        <w:t>PH FDC SC</w:t>
      </w:r>
      <w:r w:rsidRPr="00FE63CF">
        <w:rPr>
          <w:rFonts w:ascii="Times New Roman" w:eastAsia="Times New Roman" w:hAnsi="Times New Roman" w:cs="Times New Roman"/>
          <w:sz w:val="20"/>
          <w:szCs w:val="20"/>
        </w:rPr>
        <w:t xml:space="preserve"> fixed-dose combination of pertuzumab and trastuzumab for subcutaneous injection</w:t>
      </w:r>
    </w:p>
    <w:p w14:paraId="000003A7" w14:textId="77777777" w:rsidR="003B0510" w:rsidRPr="00FE63CF" w:rsidRDefault="003B0510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3B0510" w:rsidRPr="00FE63C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DB3D" w14:textId="77777777" w:rsidR="004205A7" w:rsidRDefault="004205A7">
      <w:pPr>
        <w:spacing w:after="0" w:line="240" w:lineRule="auto"/>
      </w:pPr>
      <w:r>
        <w:separator/>
      </w:r>
    </w:p>
  </w:endnote>
  <w:endnote w:type="continuationSeparator" w:id="0">
    <w:p w14:paraId="249298B3" w14:textId="77777777" w:rsidR="004205A7" w:rsidRDefault="0042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A9" w14:textId="1E64ABA4" w:rsidR="003B05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0005C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00003AA" w14:textId="77777777" w:rsidR="003B0510" w:rsidRDefault="003B05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0A82" w14:textId="77777777" w:rsidR="004205A7" w:rsidRDefault="004205A7">
      <w:pPr>
        <w:spacing w:after="0" w:line="240" w:lineRule="auto"/>
      </w:pPr>
      <w:r>
        <w:separator/>
      </w:r>
    </w:p>
  </w:footnote>
  <w:footnote w:type="continuationSeparator" w:id="0">
    <w:p w14:paraId="72954ACF" w14:textId="77777777" w:rsidR="004205A7" w:rsidRDefault="0042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A8" w14:textId="77777777" w:rsidR="003B0510" w:rsidRDefault="003B05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10"/>
    <w:rsid w:val="000005C2"/>
    <w:rsid w:val="001879B5"/>
    <w:rsid w:val="001E606C"/>
    <w:rsid w:val="003B0510"/>
    <w:rsid w:val="004205A7"/>
    <w:rsid w:val="00533E2B"/>
    <w:rsid w:val="0057662A"/>
    <w:rsid w:val="006D6232"/>
    <w:rsid w:val="0095730B"/>
    <w:rsid w:val="009C6830"/>
    <w:rsid w:val="00AB4BDA"/>
    <w:rsid w:val="00AB5B67"/>
    <w:rsid w:val="00AF5B92"/>
    <w:rsid w:val="00BA1194"/>
    <w:rsid w:val="00BD4A46"/>
    <w:rsid w:val="00D151DA"/>
    <w:rsid w:val="00DC00CC"/>
    <w:rsid w:val="00E554F7"/>
    <w:rsid w:val="00EA6AC3"/>
    <w:rsid w:val="00EE6555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D2789"/>
  <w15:docId w15:val="{0D40940A-4841-4E6D-B560-A9D8284A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70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DB7"/>
  </w:style>
  <w:style w:type="paragraph" w:styleId="Footer">
    <w:name w:val="footer"/>
    <w:basedOn w:val="Normal"/>
    <w:link w:val="FooterChar"/>
    <w:uiPriority w:val="99"/>
    <w:unhideWhenUsed/>
    <w:rsid w:val="00970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DB7"/>
  </w:style>
  <w:style w:type="paragraph" w:styleId="CommentText">
    <w:name w:val="annotation text"/>
    <w:basedOn w:val="Normal"/>
    <w:link w:val="CommentTextChar"/>
    <w:uiPriority w:val="99"/>
    <w:unhideWhenUsed/>
    <w:rsid w:val="00970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DB7"/>
    <w:rPr>
      <w:sz w:val="20"/>
      <w:szCs w:val="20"/>
    </w:rPr>
  </w:style>
  <w:style w:type="character" w:styleId="CommentReference">
    <w:name w:val="annotation reference"/>
    <w:rsid w:val="00970DB7"/>
    <w:rPr>
      <w:sz w:val="21"/>
      <w:szCs w:val="21"/>
    </w:rPr>
  </w:style>
  <w:style w:type="character" w:styleId="Hyperlink">
    <w:name w:val="Hyperlink"/>
    <w:uiPriority w:val="99"/>
    <w:rsid w:val="00970DB7"/>
    <w:rPr>
      <w:color w:val="0000FF"/>
      <w:u w:val="single"/>
    </w:rPr>
  </w:style>
  <w:style w:type="paragraph" w:styleId="Revision">
    <w:name w:val="Revision"/>
    <w:hidden/>
    <w:uiPriority w:val="99"/>
    <w:semiHidden/>
    <w:rsid w:val="00970DB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DB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0DB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970DB7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0DB7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70DB7"/>
    <w:pPr>
      <w:spacing w:line="48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970DB7"/>
    <w:rPr>
      <w:rFonts w:ascii="Times New Roman" w:hAnsi="Times New Roman" w:cs="Times New Roman"/>
      <w:noProof/>
      <w:sz w:val="20"/>
      <w:lang w:val="en-US"/>
    </w:rPr>
  </w:style>
  <w:style w:type="table" w:styleId="PlainTable2">
    <w:name w:val="Plain Table 2"/>
    <w:basedOn w:val="TableNormal"/>
    <w:uiPriority w:val="42"/>
    <w:rsid w:val="00A525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77817"/>
    <w:rPr>
      <w:color w:val="954F72" w:themeColor="followedHyperlink"/>
      <w:u w:val="single"/>
    </w:rPr>
  </w:style>
  <w:style w:type="paragraph" w:customStyle="1" w:styleId="MDPI62BackMatter">
    <w:name w:val="MDPI_6.2_BackMatter"/>
    <w:qFormat/>
    <w:rsid w:val="00DB117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imingshao@fudan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imingshao@fudan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uzAyZHnJKXCVd1xMGunkLS+/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gKAjExEiIKIAgEKhwKC0FBQUJob25fdjJBEAgaC0FBQUJob25fdjJBGiYKAjEyEiAKHggHQhoKD1RpbWVzIE5ldyBSb21hbhIHR3VuZ3N1aBomCgIxMxIgCh4IB0IaCg9UaW1lcyBOZXcgUm9tYW4SB0d1bmdzdWgaJgoCMTQSIAoeCAdCGgoPVGltZXMgTmV3IFJvbWFuEgdHdW5nc3VoGiYKAjE1EiAKHggHQhoKD1RpbWVzIE5ldyBSb21hbhIHR3VuZ3N1aBooCgIxNhIiCiAIBCocCgtBQUFCaG9uX3YxOBAIGgtBQUFCaG9uX3YxOBooCgIxNxIiCiAIBCocCgtBQUFCaG9uX3Y0URAIGgtBQUFCaG9uX3Y0URomCgIxOBIgCh4IB0IaCg9UaW1lcyBOZXcgUm9tYW4SB0d1bmdzdWgaKAoCMTkSIgogCAQqHAoLQUFBQmhvbl92NGMQCBoLQUFBQmhvbl92NGMaKAoCMjASIgogCAQqHAoLQUFBQmhvbl92NGsQCBoLQUFBQmhvbl92NGsaKAoCMjESIgogCAQqHAoLQUFBQmhvbl92NG8QCBoLQUFBQmhvbl92NG8aKAoCMjISIgogCAQqHAoLQUFBQmhvbl92NHMQCBoLQUFBQmhvbl92NHMaKAoCMjMSIgogCAQqHAoLQUFBQmhvbl92NVUQCBoLQUFBQmhvbl92NVUaKAoCMjQSIgogCAQqHAoLQUFBQmhvbl92NUUQCBoLQUFBQmhvbl92NUUaKAoCMjUSIgogCAQqHAoLQUFBQmhvbl92NDAQCBoLQUFBQmhvbl92NDAaKAoCMjYSIgogCAQqHAoLQUFBQmhvbl92NUkQCBoLQUFBQmhvbl92NUkaKAoCMjcSIgogCAQqHAoLQUFBQmhvbl92NVkQCBoLQUFBQmhvbl92NVkaKAoCMjgSIgogCAQqHAoLQUFBQmhvbl92NWMQCBoLQUFBQmhvbl92NWMaJgoCMjkSIAoeCAdCGgoPVGltZXMgTmV3IFJvbWFuEgdHdW5nc3VoGiYKAjMwEiAKHggHQhoKD1RpbWVzIE5ldyBSb21hbhIHR3VuZ3N1aBomCgIzMRIgCh4IB0IaCg9UaW1lcyBOZXcgUm9tYW4SB0d1bmdzdWgaJgoCMzISIAoeCAdCGgoPVGltZXMgTmV3IFJvbWFuEgdHdW5nc3VoGiYKAjMzEiAKHggHQhoKD1RpbWVzIE5ldyBSb21hbhIHR3VuZ3N1aBomCgIzNBIgCh4IB0IaCg9UaW1lcyBOZXcgUm9tYW4SB0d1bmdzdWgaJgoCMzUSIAoeCAdCGgoPVGltZXMgTmV3IFJvbWFuEgdHdW5nc3Vo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goCNDQSIAoeCAdCGgoPVGltZXMgTmV3IFJvbWFuEgdHdW5nc3VoGiYKAjQ1EiAKHggHQhoKD1RpbWVzIE5ldyBSb21hbhIHR3VuZ3N1a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CLSAQoLQUFBQmhvbl92NUkSogEKC0FBQUJob25fdjVJEgtBQUFCaG9uX3Y1SRoQCgl0ZXh0L2h0bWwSAzUyJSIRCgp0ZXh0L3BsYWluEgM1MiUqGyIVMTA4Mjg5MDg2MzcxMDQ5NDk1OTc1KAA4ADCVo5uC4jI4laObguIyShEKCnRleHQvcGxhaW4SAzUxKVoMaW5yaWx4ZTVoODNlcgIgAHgAmgEGCAAQABgAqgEFEgM1MiUYlaObguIyIJWjm4LiMkIQa2l4Lms4Z2M2eHg1ZXdndSLRAQoLQUFBQmhvbl92NGsSoQEKC0FBQUJob25fdjRrEgtBQUFCaG9uX3Y0axoQCgl0ZXh0L2h0bWwSAzQ3JSIRCgp0ZXh0L3BsYWluEgM0NyUqGyIVMTA4Mjg5MDg2MzcxMDQ5NDk1OTc1KAA4ADCF/46C4jI4hf+OguIyShAKCnRleHQvcGxhaW4SAjQ4WgwxcG9qOTczemhraTFyAiAAeACaAQYIABAAGACqAQUSAzQ3JRiF/46C4jIghf+OguIyQhBraXguaGcwbHk1c3VtZzBrItEBCgtBQUFCaG9uX3Y0MBKhAQoLQUFBQmhvbl92NDASC0FBQUJob25fdjQwGhAKCXRleHQvaHRtbBIDNTAlIhEKCnRleHQvcGxhaW4SAzUwJSobIhUxMDgyODkwODYzNzEwNDk0OTU5NzUoADgAMOqhmILiMjjqoZiC4jJKEAoKdGV4dC9wbGFpbhICNTFaDGVlY2NkcmxkeDl3cnICIAB4AJoBBggAEAAYAKoBBRIDNTAlGOqhmILiMiDqoZiC4jJCEGtpeC4zNHQxaGt0Y3J4eHci0QEKC0FBQUJob25fdjRvEqEBCgtBQUFCaG9uX3Y0bxILQUFBQmhvbl92NG8aEAoJdGV4dC9odG1sEgM5MiUiEQoKdGV4dC9wbGFpbhIDOTIlKhsiFTEwODI4OTA4NjM3MTA0OTQ5NTk3NSgAOAAwxb2SguIyOMW9koLiMkoQCgp0ZXh0L3BsYWluEgI5M1oMYTlkc29qbzd1bmFncgIgAHgAmgEGCAAQABgAqgEFEgM5MiUYxb2SguIyIMW9koLiMkIQa2l4LmJmMWV0N3ZhYWFpNCLvAQoLQUFBQmhvbl92NFESvwEKC0FBQUJob25fdjRREgtBQUFCaG9uX3Y0URoaCgl0ZXh0L2h0bWwSDXNob3VsZCBiZSA1NCUiGwoKdGV4dC9wbGFpbhINc2hvdWxkIGJlIDU0JSobIhUxMDgyODkwODYzNzEwNDk0OTU5NzUoADgAMN/lhoLiMjii1o2C4jJKEAoKdGV4dC9wbGFpbhICNTVaDDMwNW82aWR6Y3dyenICIAB4AJoBBggAEAAYAKoBDxINc2hvdWxkIGJlIDU0JRjf5YaC4jIgotaNguIyQhBraXguanUyYmFkbDJsdjdyIswBCgtBQUFCaG9uX3Y1VRKcAQoLQUFBQmhvbl92NVUSC0FBQUJob25fdjVVGg4KCXRleHQvaHRtbBIBPyIPCgp0ZXh0L3BsYWluEgE/KhsiFTEwODI4OTA4NjM3MTA0OTQ5NTk3NSgAOAAw2/unguIyONv7p4LiMkoRCgp0ZXh0L3BsYWluEgMwLjVaDDl5eXdoc3lia2dyeHICIAB4AJoBBggAEAAYAKoBAxIBPxjb+6eC4jIg2/unguIyQhBraXguaDg2a2RneXZuYmY5IukBCgtBQUFCaG9uX3Y0cxK6AQoLQUFBQmhvbl92NHMSC0FBQUJob25fdjRzGhgKCXRleHQvaHRtbBILc2hvdWxkIGJlIDEiGQoKdGV4dC9wbGFpbhILc2hvdWxkIGJlIDEqGyIVMTA4Mjg5MDg2MzcxMDQ5NDk1OTc1KAA4ADCdoJOC4jI4naCTguIyShEKCnRleHQvcGxhaW4SAzEuMFoMdGY4bHpweXo3anN3cgIgAHgAmgEGCAAQABgAqgENEgtzaG91bGQgYmUgMRidoJOC4jIgnaCTguIyQg9raXgudnppd3J1cTZqdWwiuQIKC0FBQUJob25fdjVZEokCCgtBQUFCaG9uX3Y1WRILQUFBQmhvbl92NVkaMwoJdGV4dC9odG1sEiZJZiBhYm92ZSB1c2UgMC41LCBoZXJlIGNhbiB3ZSB1c2UgMC41PyI0Cgp0ZXh0L3BsYWluEiZJZiBhYm92ZSB1c2UgMC41LCBoZXJlIGNhbiB3ZSB1c2UgMC41PyobIhUxMDgyODkwODYzNzEwNDk0OTU5NzUoADgAMLyiqYLiMji8oqmC4jJKDwoKdGV4dC9wbGFpbhIBMVoMcGpnOHp4eTF5M3NxcgIgAHgAmgEGCAAQABgAqgEoEiZJZiBhYm92ZSB1c2UgMC41LCBoZXJlIGNhbiB3ZSB1c2UgMC41Pxi8oqmC4jIgvKKpguIyQhBraXgudzAzN2NlODEyaWYxIr4FCgtBQUFCaG9uX3YxOBKUBQoLQUFBQmhvbl92MTgSC0FBQUJob25fdjE4GpgBCgl0ZXh0L2h0bWwSigFOb3RlIHRvIFJvY2hlOiBqb3VybmFsIHN0eWxlIGlzIHRvIGdpdmUgcGVyY2VudGFnZXMgYXMgd2hvbGUgbnVtYmVycy4gUGxlYXNlIGNhbiB5b3UgY2hlY2sgdGhlIHJvdW5kaW5nIG9mIHRoZSBudW1iZXJzIGluIHRoZSB0YWJsZXMgYmVsb3cimQEKCnRleHQvcGxhaW4SigFOb3RlIHRvIFJvY2hlOiBqb3VybmFsIHN0eWxlIGlzIHRvIGdpdmUgcGVyY2VudGFnZXMgYXMgd2hvbGUgbnVtYmVycy4gUGxlYXNlIGNhbiB5b3UgY2hlY2sgdGhlIHJvdW5kaW5nIG9mIHRoZSBudW1iZXJzIGluIHRoZSB0YWJsZXMgYmVsb3cqRQoMS2F0aWUgV2lsc29uGjUvL3NzbC5nc3RhdGljLmNvbS9kb2NzL2NvbW1vbi9ibHVlX3NpbGhvdWV0dGU5Ni0wLnBuZzCAu5e2xDI4gLuXtsQyckcKDEthdGllIFdpbHNvbho3CjUvL3NzbC5nc3RhdGljLmNvbS9kb2NzL2NvbW1vbi9ibHVlX3NpbGhvdWV0dGU5Ni0wLnBuZ3gAiAEBmgEGCAAQABgAqgGNARKKAU5vdGUgdG8gUm9jaGU6IGpvdXJuYWwgc3R5bGUgaXMgdG8gZ2l2ZSBwZXJjZW50YWdlcyBhcyB3aG9sZSBudW1iZXJzLiBQbGVhc2UgY2FuIHlvdSBjaGVjayB0aGUgcm91bmRpbmcgb2YgdGhlIG51bWJlcnMgaW4gdGhlIHRhYmxlcyBiZWxvd7ABALgBARiAu5e2xDIggLuXtsQyMABCCGtpeC5jbXQxIpICCgtBQUFCaG9uX3Y1YxLiAQoLQUFBQmhvbl92NWMSC0FBQUJob25fdjVjGiYKCXRleHQvaHRtbBIZVGhlIHNhbWUgY29tbWVudCBhcyBhYm92ZSInCgp0ZXh0L3BsYWluEhlUaGUgc2FtZSBjb21tZW50IGFzIGFib3ZlKhsiFTEwODI4OTA4NjM3MTA0OTQ5NTk3NSgAOAAwrvGpguIyOK7xqYLiMkoPCgp0ZXh0L3BsYWluEgExWgxwbWt5Zzd5cDZxY29yAiAAeACaAQYIABAAGACqARsSGVRoZSBzYW1lIGNvbW1lbnQgYXMgYWJvdmUYrvGpguIyIK7xqYLiMkIQa2l4LjJuZzY5Z2FoMG9xbCLRAQoLQUFBQmhvbl92NUUSoQEKC0FBQUJob25fdjVFEgtBQUFCaG9uX3Y1RRoQCgl0ZXh0L2h0bWwSAzQ4JSIRCgp0ZXh0L3BsYWluEgM0OCUqGyIVMTA4Mjg5MDg2MzcxMDQ5NDk1OTc1KAA4ADCWtJqC4jI4lrSaguIyShAKCnRleHQvcGxhaW4SAjQ5WgxjZWJ2anY4YzMzNXdyAiAAeACaAQYIABAAGACqAQUSAzQ4JRiWtJqC4jIglrSaguIyQhBraXgudTM5bWhueGtqa3phIu8BCgtBQUFCaG9uX3Y0YxK/AQoLQUFBQmhvbl92NGMSC0FBQUJob25fdjRjGhoKCXRleHQvaHRtbBINc2hvdWxkIGJlIDUxJSIbCgp0ZXh0L3BsYWluEg1zaG91bGQgYmUgNTElKhsiFTEwODI4OTA4NjM3MTA0OTQ5NTk3NSgAOAAw06iNguIyONOojYLiMkoQCgp0ZXh0L3BsYWluEgI1MloMOHZkcjV1OXpxZzVxcgIgAHgAmgEGCAAQABgAqgEPEg1zaG91bGQgYmUgNTElGNOojYLiMiDTqI2C4jJCEGtpeC45MXFsaDc0dHJqOTMixgQKC0FBQUJob25fdjJBEpwECgtBQUFCaG9uX3YyQRILQUFBQmhvbl92MkEacQoJdGV4dC9odG1sEmROb3RlIHRvIGF1dGhvcnM6IGZpZ3VyZXMgd2lsbCBhcHBlYXIgaW4gY29sb3VyIGluIHRoZSBvbmxpbmUgYXJ0aWNsZSBhbmQgaW4gYmxhY2sgYW5kIHdoaXRlIGluIHByaW50InIKCnRleHQvcGxhaW4SZE5vdGUgdG8gYXV0aG9yczogZmlndXJlcyB3aWxsIGFwcGVhciBpbiBjb2xvdXIgaW4gdGhlIG9ubGluZSBhcnRpY2xlIGFuZCBpbiBibGFjayBhbmQgd2hpdGUgaW4gcHJpbnQqRQoMS2F0aWUgV2lsc29uGjUvL3NzbC5nc3RhdGljLmNvbS9kb2NzL2NvbW1vbi9ibHVlX3NpbGhvdWV0dGU5Ni0wLnBuZzDg0Yi1xDI44NGItcQyckcKDEthdGllIFdpbHNvbho3CjUvL3NzbC5nc3RhdGljLmNvbS9kb2NzL2NvbW1vbi9ibHVlX3NpbGhvdWV0dGU5Ni0wLnBuZ3gAiAEBmgEGCAAQABgAqgFmEmROb3RlIHRvIGF1dGhvcnM6IGZpZ3VyZXMgd2lsbCBhcHBlYXIgaW4gY29sb3VyIGluIHRoZSBvbmxpbmUgYXJ0aWNsZSBhbmQgaW4gYmxhY2sgYW5kIHdoaXRlIGluIHByaW50sAEAuAEBGODRiLXEMiDg0Yi1xDIwAEIIa2l4LmNtdDAyDmgucG1vMjM5bTFsYTA3MghoLmdqZGd4czIJaC4xZm9iOXRlOABqIgoUc3VnZ2VzdC5wMmg3ZG5ndG9zeGISCllhcWluZyBTdW5qIgoUc3VnZ2VzdC45bzRhaXBmM2JveGcSCllhcWluZyBTdW5yITF2V2VFOXJ4b3l2TURqa0FQaktiMHh1LWNKMVpIazlh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Niamh Gould</dc:creator>
  <cp:lastModifiedBy>Katie Wilson</cp:lastModifiedBy>
  <cp:revision>3</cp:revision>
  <dcterms:created xsi:type="dcterms:W3CDTF">2025-07-25T08:50:00Z</dcterms:created>
  <dcterms:modified xsi:type="dcterms:W3CDTF">2025-07-25T08:50:00Z</dcterms:modified>
</cp:coreProperties>
</file>