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933" w:rsidRDefault="00447933" w:rsidP="00447933">
      <w:pPr>
        <w:rPr>
          <w:rFonts w:ascii="Times New Roman" w:eastAsiaTheme="minorEastAsia" w:hAnsi="Times New Roman" w:cs="Times New Roman"/>
          <w:b/>
          <w:sz w:val="24"/>
          <w:szCs w:val="24"/>
        </w:rPr>
      </w:pPr>
      <w:r w:rsidRPr="00447933">
        <w:rPr>
          <w:rFonts w:ascii="Times New Roman" w:eastAsiaTheme="minorEastAsia" w:hAnsi="Times New Roman" w:cs="Times New Roman"/>
          <w:b/>
          <w:noProof/>
          <w:sz w:val="24"/>
          <w:szCs w:val="24"/>
          <w:lang w:eastAsia="en-IN"/>
        </w:rPr>
        <w:drawing>
          <wp:inline distT="0" distB="0" distL="0" distR="0">
            <wp:extent cx="5731510" cy="3223974"/>
            <wp:effectExtent l="0" t="0" r="2540" b="0"/>
            <wp:docPr id="1" name="Picture 1" descr="H:\journals\Springer\SpACE\10147\3080\Stage210\Author\Fig S1 rev.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journals\Springer\SpACE\10147\3080\Stage210\Author\Fig S1 rev.ep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p>
    <w:p w:rsidR="00447933" w:rsidRDefault="00447933" w:rsidP="00447933">
      <w:pPr>
        <w:rPr>
          <w:rFonts w:ascii="Times New Roman" w:eastAsiaTheme="minorEastAsia" w:hAnsi="Times New Roman" w:cs="Times New Roman"/>
          <w:sz w:val="24"/>
          <w:szCs w:val="24"/>
        </w:rPr>
      </w:pPr>
      <w:r w:rsidRPr="001B7EE2">
        <w:rPr>
          <w:rFonts w:ascii="Times New Roman" w:eastAsiaTheme="minorEastAsia" w:hAnsi="Times New Roman" w:cs="Times New Roman"/>
          <w:b/>
          <w:sz w:val="24"/>
          <w:szCs w:val="24"/>
        </w:rPr>
        <w:t xml:space="preserve">Supplementary Fig </w:t>
      </w:r>
      <w:r>
        <w:rPr>
          <w:rFonts w:ascii="Times New Roman" w:eastAsiaTheme="minorEastAsia" w:hAnsi="Times New Roman" w:cs="Times New Roman"/>
          <w:b/>
          <w:sz w:val="24"/>
          <w:szCs w:val="24"/>
        </w:rPr>
        <w:t>1</w:t>
      </w:r>
      <w:r w:rsidRPr="001B7EE2">
        <w:rPr>
          <w:rFonts w:ascii="Times New Roman" w:eastAsiaTheme="minorEastAsia" w:hAnsi="Times New Roman" w:cs="Times New Roman"/>
          <w:b/>
          <w:sz w:val="24"/>
          <w:szCs w:val="24"/>
        </w:rPr>
        <w:t>.</w:t>
      </w:r>
      <w:r>
        <w:rPr>
          <w:rFonts w:ascii="Times New Roman" w:eastAsiaTheme="minorEastAsia" w:hAnsi="Times New Roman" w:cs="Times New Roman"/>
          <w:sz w:val="24"/>
          <w:szCs w:val="24"/>
        </w:rPr>
        <w:t xml:space="preserve"> </w:t>
      </w:r>
      <w:r w:rsidRPr="0098265A">
        <w:rPr>
          <w:rFonts w:ascii="Times New Roman" w:eastAsiaTheme="minorEastAsia" w:hAnsi="Times New Roman" w:cs="Times New Roman"/>
          <w:sz w:val="24"/>
          <w:szCs w:val="24"/>
        </w:rPr>
        <w:t>Oncoplot for oncogenic somatic mutations.</w:t>
      </w:r>
    </w:p>
    <w:p w:rsidR="00447933" w:rsidRDefault="00447933" w:rsidP="00447933">
      <w:pPr>
        <w:rPr>
          <w:rFonts w:ascii="Times New Roman" w:eastAsiaTheme="minorEastAsia" w:hAnsi="Times New Roman" w:cs="Times New Roman"/>
          <w:sz w:val="24"/>
          <w:szCs w:val="24"/>
        </w:rPr>
      </w:pPr>
      <w:r w:rsidRPr="00447933">
        <w:rPr>
          <w:rFonts w:ascii="Times New Roman" w:eastAsiaTheme="minorEastAsia" w:hAnsi="Times New Roman" w:cs="Times New Roman"/>
          <w:noProof/>
          <w:sz w:val="24"/>
          <w:szCs w:val="24"/>
          <w:lang w:eastAsia="en-IN"/>
        </w:rPr>
        <w:drawing>
          <wp:inline distT="0" distB="0" distL="0" distR="0">
            <wp:extent cx="5731510" cy="3223974"/>
            <wp:effectExtent l="0" t="0" r="2540" b="0"/>
            <wp:docPr id="2" name="Picture 2" descr="H:\journals\Springer\SpACE\10147\3080\Stage210\Author\Fig S2 rev.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journals\Springer\SpACE\10147\3080\Stage210\Author\Fig S2 rev.ep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p>
    <w:p w:rsidR="00447933" w:rsidRPr="0098265A" w:rsidRDefault="00447933" w:rsidP="00447933">
      <w:pPr>
        <w:rPr>
          <w:rFonts w:ascii="Times New Roman" w:eastAsiaTheme="minorEastAsia" w:hAnsi="Times New Roman" w:cs="Times New Roman"/>
          <w:sz w:val="24"/>
          <w:szCs w:val="24"/>
        </w:rPr>
      </w:pPr>
      <w:r w:rsidRPr="001B7EE2">
        <w:rPr>
          <w:rFonts w:ascii="Times New Roman" w:eastAsiaTheme="minorEastAsia" w:hAnsi="Times New Roman" w:cs="Times New Roman"/>
          <w:b/>
          <w:sz w:val="24"/>
          <w:szCs w:val="24"/>
        </w:rPr>
        <w:t xml:space="preserve">Supplementary Fig </w:t>
      </w:r>
      <w:r>
        <w:rPr>
          <w:rFonts w:ascii="Times New Roman" w:eastAsiaTheme="minorEastAsia" w:hAnsi="Times New Roman" w:cs="Times New Roman"/>
          <w:b/>
          <w:sz w:val="24"/>
          <w:szCs w:val="24"/>
        </w:rPr>
        <w:t>2</w:t>
      </w:r>
      <w:r w:rsidRPr="001B7EE2">
        <w:rPr>
          <w:rFonts w:ascii="Times New Roman" w:eastAsiaTheme="minorEastAsia" w:hAnsi="Times New Roman" w:cs="Times New Roman"/>
          <w:b/>
          <w:sz w:val="24"/>
          <w:szCs w:val="24"/>
        </w:rPr>
        <w:t>.</w:t>
      </w:r>
      <w:r>
        <w:rPr>
          <w:rFonts w:ascii="Times New Roman" w:eastAsiaTheme="minorEastAsia" w:hAnsi="Times New Roman" w:cs="Times New Roman"/>
          <w:sz w:val="24"/>
          <w:szCs w:val="24"/>
        </w:rPr>
        <w:t xml:space="preserve"> (a)</w:t>
      </w:r>
      <w:r w:rsidRPr="0098265A">
        <w:rPr>
          <w:rFonts w:ascii="Times New Roman" w:eastAsiaTheme="minorEastAsia" w:hAnsi="Times New Roman" w:cs="Times New Roman"/>
          <w:sz w:val="24"/>
          <w:szCs w:val="24"/>
        </w:rPr>
        <w:t>. Violin Plot of EGFR Copy Numbers Across Response Groups (PR, SD, PD)</w:t>
      </w:r>
    </w:p>
    <w:p w:rsidR="00447933" w:rsidRDefault="00447933" w:rsidP="00447933">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(b)</w:t>
      </w:r>
      <w:r w:rsidRPr="0098265A">
        <w:rPr>
          <w:rFonts w:ascii="Times New Roman" w:eastAsiaTheme="minorEastAsia" w:hAnsi="Times New Roman" w:cs="Times New Roman"/>
          <w:sz w:val="24"/>
          <w:szCs w:val="24"/>
        </w:rPr>
        <w:t xml:space="preserve"> Ternary Diagram Showing Mutation Proportions Across Response Groups (PR, SD, PD)</w:t>
      </w:r>
    </w:p>
    <w:p w:rsidR="00447933" w:rsidRDefault="00447933" w:rsidP="00447933">
      <w:pPr>
        <w:rPr>
          <w:rFonts w:ascii="Times New Roman" w:eastAsiaTheme="minorEastAsia" w:hAnsi="Times New Roman" w:cs="Times New Roman"/>
          <w:b/>
          <w:sz w:val="24"/>
          <w:szCs w:val="24"/>
        </w:rPr>
      </w:pPr>
      <w:r w:rsidRPr="00447933">
        <w:rPr>
          <w:rFonts w:ascii="Times New Roman" w:eastAsiaTheme="minorEastAsia" w:hAnsi="Times New Roman" w:cs="Times New Roman"/>
          <w:b/>
          <w:noProof/>
          <w:sz w:val="24"/>
          <w:szCs w:val="24"/>
          <w:lang w:eastAsia="en-IN"/>
        </w:rPr>
        <w:lastRenderedPageBreak/>
        <w:drawing>
          <wp:inline distT="0" distB="0" distL="0" distR="0">
            <wp:extent cx="5731510" cy="3223974"/>
            <wp:effectExtent l="0" t="0" r="2540" b="0"/>
            <wp:docPr id="3" name="Picture 3" descr="H:\journals\Springer\SpACE\10147\3080\Stage210\Author\Fig S3 rev.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journals\Springer\SpACE\10147\3080\Stage210\Author\Fig S3 rev.ep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p>
    <w:p w:rsidR="00447933" w:rsidRDefault="00447933" w:rsidP="00447933">
      <w:pPr>
        <w:rPr>
          <w:rFonts w:ascii="Times New Roman" w:eastAsiaTheme="minorEastAsia" w:hAnsi="Times New Roman" w:cs="Times New Roman"/>
          <w:sz w:val="24"/>
          <w:szCs w:val="24"/>
        </w:rPr>
      </w:pPr>
      <w:r w:rsidRPr="001B7EE2">
        <w:rPr>
          <w:rFonts w:ascii="Times New Roman" w:eastAsiaTheme="minorEastAsia" w:hAnsi="Times New Roman" w:cs="Times New Roman"/>
          <w:b/>
          <w:sz w:val="24"/>
          <w:szCs w:val="24"/>
        </w:rPr>
        <w:t xml:space="preserve">Supplementary Fig </w:t>
      </w:r>
      <w:r>
        <w:rPr>
          <w:rFonts w:ascii="Times New Roman" w:eastAsiaTheme="minorEastAsia" w:hAnsi="Times New Roman" w:cs="Times New Roman"/>
          <w:b/>
          <w:sz w:val="24"/>
          <w:szCs w:val="24"/>
        </w:rPr>
        <w:t>3</w:t>
      </w:r>
      <w:r w:rsidRPr="001B7EE2">
        <w:rPr>
          <w:rFonts w:ascii="Times New Roman" w:eastAsiaTheme="minorEastAsia" w:hAnsi="Times New Roman" w:cs="Times New Roman"/>
          <w:b/>
          <w:sz w:val="24"/>
          <w:szCs w:val="24"/>
        </w:rPr>
        <w:t>.</w:t>
      </w:r>
      <w:r>
        <w:rPr>
          <w:rFonts w:ascii="Times New Roman" w:eastAsiaTheme="minorEastAsia" w:hAnsi="Times New Roman" w:cs="Times New Roman"/>
          <w:sz w:val="24"/>
          <w:szCs w:val="24"/>
        </w:rPr>
        <w:t xml:space="preserve"> </w:t>
      </w:r>
      <w:r w:rsidRPr="0098265A">
        <w:rPr>
          <w:rFonts w:ascii="Times New Roman" w:eastAsiaTheme="minorEastAsia" w:hAnsi="Times New Roman" w:cs="Times New Roman"/>
          <w:sz w:val="24"/>
          <w:szCs w:val="24"/>
        </w:rPr>
        <w:t>Contrast-enhanced CT images showing response of metastatic lymph node in the CRC004 case. (</w:t>
      </w:r>
      <w:r>
        <w:rPr>
          <w:rFonts w:ascii="Times New Roman" w:eastAsiaTheme="minorEastAsia" w:hAnsi="Times New Roman" w:cs="Times New Roman"/>
          <w:sz w:val="24"/>
          <w:szCs w:val="24"/>
        </w:rPr>
        <w:t>a</w:t>
      </w:r>
      <w:r w:rsidRPr="0098265A">
        <w:rPr>
          <w:rFonts w:ascii="Times New Roman" w:eastAsiaTheme="minorEastAsia" w:hAnsi="Times New Roman" w:cs="Times New Roman"/>
          <w:sz w:val="24"/>
          <w:szCs w:val="24"/>
        </w:rPr>
        <w:t>) Baseline image showing a 2.5 cm metastatic lymph node. (</w:t>
      </w:r>
      <w:r>
        <w:rPr>
          <w:rFonts w:ascii="Times New Roman" w:eastAsiaTheme="minorEastAsia" w:hAnsi="Times New Roman" w:cs="Times New Roman"/>
          <w:sz w:val="24"/>
          <w:szCs w:val="24"/>
        </w:rPr>
        <w:t>b</w:t>
      </w:r>
      <w:r w:rsidRPr="0098265A">
        <w:rPr>
          <w:rFonts w:ascii="Times New Roman" w:eastAsiaTheme="minorEastAsia" w:hAnsi="Times New Roman" w:cs="Times New Roman"/>
          <w:sz w:val="24"/>
          <w:szCs w:val="24"/>
        </w:rPr>
        <w:t>) Follow-up image after targeted therapy demonstrating marked decrease in size to 0.9 cm (blue arrow). The same imaging protocol was used in both scans.</w:t>
      </w:r>
    </w:p>
    <w:p w:rsidR="00447933" w:rsidRDefault="00447933" w:rsidP="00447933">
      <w:pPr>
        <w:rPr>
          <w:rFonts w:ascii="Times New Roman" w:eastAsiaTheme="minorEastAsia" w:hAnsi="Times New Roman" w:cs="Times New Roman"/>
          <w:b/>
          <w:sz w:val="24"/>
          <w:szCs w:val="24"/>
        </w:rPr>
      </w:pPr>
      <w:r w:rsidRPr="00447933">
        <w:rPr>
          <w:rFonts w:ascii="Times New Roman" w:eastAsiaTheme="minorEastAsia" w:hAnsi="Times New Roman" w:cs="Times New Roman"/>
          <w:b/>
          <w:noProof/>
          <w:sz w:val="24"/>
          <w:szCs w:val="24"/>
          <w:lang w:eastAsia="en-IN"/>
        </w:rPr>
        <w:drawing>
          <wp:inline distT="0" distB="0" distL="0" distR="0">
            <wp:extent cx="5731510" cy="3223974"/>
            <wp:effectExtent l="0" t="0" r="2540" b="0"/>
            <wp:docPr id="4" name="Picture 4" descr="H:\journals\Springer\SpACE\10147\3080\Stage210\Author\Fig S4 rev.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journals\Springer\SpACE\10147\3080\Stage210\Author\Fig S4 rev.ep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223974"/>
                    </a:xfrm>
                    <a:prstGeom prst="rect">
                      <a:avLst/>
                    </a:prstGeom>
                    <a:noFill/>
                    <a:ln>
                      <a:noFill/>
                    </a:ln>
                  </pic:spPr>
                </pic:pic>
              </a:graphicData>
            </a:graphic>
          </wp:inline>
        </w:drawing>
      </w:r>
      <w:bookmarkStart w:id="0" w:name="_GoBack"/>
      <w:bookmarkEnd w:id="0"/>
    </w:p>
    <w:p w:rsidR="00447933" w:rsidRDefault="00447933" w:rsidP="00447933">
      <w:pPr>
        <w:rPr>
          <w:rFonts w:ascii="Times New Roman" w:eastAsiaTheme="minorEastAsia" w:hAnsi="Times New Roman" w:cs="Times New Roman"/>
          <w:sz w:val="24"/>
          <w:szCs w:val="24"/>
        </w:rPr>
      </w:pPr>
      <w:r w:rsidRPr="001B7EE2">
        <w:rPr>
          <w:rFonts w:ascii="Times New Roman" w:eastAsiaTheme="minorEastAsia" w:hAnsi="Times New Roman" w:cs="Times New Roman"/>
          <w:b/>
          <w:sz w:val="24"/>
          <w:szCs w:val="24"/>
        </w:rPr>
        <w:t xml:space="preserve">Supplementary Fig </w:t>
      </w:r>
      <w:r>
        <w:rPr>
          <w:rFonts w:ascii="Times New Roman" w:eastAsiaTheme="minorEastAsia" w:hAnsi="Times New Roman" w:cs="Times New Roman"/>
          <w:b/>
          <w:sz w:val="24"/>
          <w:szCs w:val="24"/>
        </w:rPr>
        <w:t>4</w:t>
      </w:r>
      <w:r w:rsidRPr="001B7EE2">
        <w:rPr>
          <w:rFonts w:ascii="Times New Roman" w:eastAsiaTheme="minorEastAsia" w:hAnsi="Times New Roman" w:cs="Times New Roman"/>
          <w:b/>
          <w:sz w:val="24"/>
          <w:szCs w:val="24"/>
        </w:rPr>
        <w:t>.</w:t>
      </w:r>
      <w:r>
        <w:rPr>
          <w:rFonts w:ascii="Times New Roman" w:eastAsiaTheme="minorEastAsia" w:hAnsi="Times New Roman" w:cs="Times New Roman"/>
          <w:sz w:val="24"/>
          <w:szCs w:val="24"/>
        </w:rPr>
        <w:t xml:space="preserve"> </w:t>
      </w:r>
      <w:r w:rsidRPr="0098265A">
        <w:rPr>
          <w:rFonts w:ascii="Times New Roman" w:eastAsiaTheme="minorEastAsia" w:hAnsi="Times New Roman" w:cs="Times New Roman"/>
          <w:sz w:val="24"/>
          <w:szCs w:val="24"/>
        </w:rPr>
        <w:t>Contrast-enhanced CT images showing response of a metastatic liver lesion in the Thy001 case</w:t>
      </w:r>
      <w:r>
        <w:rPr>
          <w:rFonts w:ascii="Times New Roman" w:eastAsiaTheme="minorEastAsia" w:hAnsi="Times New Roman" w:cs="Times New Roman"/>
          <w:sz w:val="24"/>
          <w:szCs w:val="24"/>
        </w:rPr>
        <w:t>.</w:t>
      </w:r>
      <w:r w:rsidRPr="0098265A">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a</w:t>
      </w:r>
      <w:r w:rsidRPr="0098265A">
        <w:rPr>
          <w:rFonts w:ascii="Times New Roman" w:eastAsiaTheme="minorEastAsia" w:hAnsi="Times New Roman" w:cs="Times New Roman"/>
          <w:sz w:val="24"/>
          <w:szCs w:val="24"/>
        </w:rPr>
        <w:t>) Baseline image showing a 6.2 cm lesion in the liver. (</w:t>
      </w:r>
      <w:r>
        <w:rPr>
          <w:rFonts w:ascii="Times New Roman" w:eastAsiaTheme="minorEastAsia" w:hAnsi="Times New Roman" w:cs="Times New Roman"/>
          <w:sz w:val="24"/>
          <w:szCs w:val="24"/>
        </w:rPr>
        <w:t>b</w:t>
      </w:r>
      <w:r w:rsidRPr="0098265A">
        <w:rPr>
          <w:rFonts w:ascii="Times New Roman" w:eastAsiaTheme="minorEastAsia" w:hAnsi="Times New Roman" w:cs="Times New Roman"/>
          <w:sz w:val="24"/>
          <w:szCs w:val="24"/>
        </w:rPr>
        <w:t>) Follow-up image after targeted therapy demonstrating marked decrease in size to 2.8 cm (blue arrow). The same imaging protocol was used in both scans.</w:t>
      </w:r>
    </w:p>
    <w:p w:rsidR="00447933" w:rsidRDefault="00447933" w:rsidP="00447933">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br w:type="page"/>
      </w:r>
    </w:p>
    <w:p w:rsidR="00447933" w:rsidRPr="00C57CD9" w:rsidRDefault="00447933" w:rsidP="00447933">
      <w:pPr>
        <w:rPr>
          <w:rFonts w:ascii="Times New Roman" w:eastAsiaTheme="minorEastAsia" w:hAnsi="Times New Roman" w:cs="Times New Roman"/>
          <w:b/>
          <w:sz w:val="24"/>
          <w:szCs w:val="24"/>
        </w:rPr>
      </w:pPr>
      <w:r w:rsidRPr="00C57CD9">
        <w:rPr>
          <w:rFonts w:ascii="Times New Roman" w:eastAsiaTheme="minorEastAsia" w:hAnsi="Times New Roman" w:cs="Times New Roman" w:hint="eastAsia"/>
          <w:b/>
          <w:sz w:val="24"/>
          <w:szCs w:val="24"/>
        </w:rPr>
        <w:lastRenderedPageBreak/>
        <w:t>S</w:t>
      </w:r>
      <w:r w:rsidRPr="00C57CD9">
        <w:rPr>
          <w:rFonts w:ascii="Times New Roman" w:eastAsiaTheme="minorEastAsia" w:hAnsi="Times New Roman" w:cs="Times New Roman"/>
          <w:b/>
          <w:sz w:val="24"/>
          <w:szCs w:val="24"/>
        </w:rPr>
        <w:t>upplementary Methods</w:t>
      </w:r>
    </w:p>
    <w:p w:rsidR="00447933" w:rsidRPr="00C57CD9" w:rsidRDefault="00447933" w:rsidP="00447933">
      <w:pPr>
        <w:rPr>
          <w:rFonts w:ascii="Times New Roman" w:eastAsiaTheme="minorEastAsia" w:hAnsi="Times New Roman" w:cs="Times New Roman"/>
          <w:b/>
          <w:sz w:val="24"/>
          <w:szCs w:val="24"/>
        </w:rPr>
      </w:pPr>
      <w:r w:rsidRPr="00C57CD9">
        <w:rPr>
          <w:rFonts w:ascii="Times New Roman" w:eastAsiaTheme="minorEastAsia" w:hAnsi="Times New Roman" w:cs="Times New Roman"/>
          <w:b/>
          <w:sz w:val="24"/>
          <w:szCs w:val="24"/>
        </w:rPr>
        <w:t>Response-Associated Genomic Alteration Patterns in Ternary Plots</w:t>
      </w:r>
    </w:p>
    <w:p w:rsidR="00447933" w:rsidRPr="00C57CD9" w:rsidRDefault="00447933" w:rsidP="00447933">
      <w:pPr>
        <w:rPr>
          <w:rFonts w:ascii="Times New Roman" w:eastAsiaTheme="minorEastAsia" w:hAnsi="Times New Roman" w:cs="Times New Roman"/>
          <w:sz w:val="24"/>
          <w:szCs w:val="24"/>
        </w:rPr>
      </w:pPr>
      <w:r w:rsidRPr="00C57CD9">
        <w:rPr>
          <w:rFonts w:ascii="Times New Roman" w:eastAsiaTheme="minorEastAsia" w:hAnsi="Times New Roman" w:cs="Times New Roman"/>
          <w:sz w:val="24"/>
          <w:szCs w:val="24"/>
        </w:rPr>
        <w:t xml:space="preserve"> To assess response-associated patterns of genomic alterations, ternary plots were generated based on the relative frequencies of each alteration event across the three clinical response groups: partial response (PR), stable disease (SD), and progressive disease (PD). For each event, the number of patients harboring the alteration in each response group was calculated and normalized to the total number of patients with that event, yielding three proportions (f_PR,f_SD,f_PD) that satisfied the following equation:</w:t>
      </w:r>
    </w:p>
    <w:p w:rsidR="00447933" w:rsidRPr="00C57CD9" w:rsidRDefault="00447933" w:rsidP="00447933">
      <w:pPr>
        <w:rPr>
          <w:rFonts w:ascii="Times New Roman" w:eastAsiaTheme="minorEastAsia" w:hAnsi="Times New Roman" w:cs="Times New Roman"/>
          <w:sz w:val="24"/>
          <w:szCs w:val="24"/>
        </w:rPr>
      </w:pPr>
      <w:r w:rsidRPr="00C57CD9">
        <w:rPr>
          <w:rFonts w:ascii="Times New Roman" w:eastAsiaTheme="minorEastAsia" w:hAnsi="Times New Roman" w:cs="Times New Roman"/>
          <w:sz w:val="24"/>
          <w:szCs w:val="24"/>
        </w:rPr>
        <w:t xml:space="preserve">f_PR+f_SD+f_PD=1.0"  (or 100%)" </w:t>
      </w:r>
    </w:p>
    <w:p w:rsidR="00447933" w:rsidRDefault="00447933" w:rsidP="00447933">
      <w:pPr>
        <w:rPr>
          <w:rFonts w:ascii="Times New Roman" w:eastAsiaTheme="minorEastAsia" w:hAnsi="Times New Roman" w:cs="Times New Roman"/>
          <w:sz w:val="24"/>
          <w:szCs w:val="24"/>
        </w:rPr>
      </w:pPr>
      <w:r w:rsidRPr="00C57CD9">
        <w:rPr>
          <w:rFonts w:ascii="Times New Roman" w:eastAsiaTheme="minorEastAsia" w:hAnsi="Times New Roman" w:cs="Times New Roman"/>
          <w:sz w:val="24"/>
          <w:szCs w:val="24"/>
        </w:rPr>
        <w:t xml:space="preserve"> These proportions were mapped onto ternary coordinates using barycentric transformation, where proximity to a given vertex indicated relative enrichment of the alteration in the corresponding response group. The size of each point was scaled according to the maximum absolute patient count observed among PR, SD, and PD for that event. Alterations were annotated by event class, with copy number variations (CNVs; gain/loss) and mutations (SNV/INDEL) distinguished by color and symbol, and the accompanying legend summarized alteration class, response-group axis labels, and point-size scale. All analyses and visualizations were performed in R (version 4.4.0) using the ggtern package.</w:t>
      </w:r>
    </w:p>
    <w:p w:rsidR="00447933" w:rsidRDefault="00447933" w:rsidP="00447933">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br w:type="page"/>
      </w:r>
    </w:p>
    <w:p w:rsidR="00447933" w:rsidRPr="00C57CD9" w:rsidRDefault="00447933" w:rsidP="00447933">
      <w:pPr>
        <w:rPr>
          <w:rFonts w:ascii="Times New Roman" w:eastAsiaTheme="minorEastAsia" w:hAnsi="Times New Roman" w:cs="Times New Roman"/>
          <w:b/>
          <w:sz w:val="24"/>
          <w:szCs w:val="24"/>
        </w:rPr>
      </w:pPr>
      <w:r w:rsidRPr="00C57CD9">
        <w:rPr>
          <w:rFonts w:ascii="Times New Roman" w:eastAsiaTheme="minorEastAsia" w:hAnsi="Times New Roman" w:cs="Times New Roman" w:hint="eastAsia"/>
          <w:b/>
          <w:sz w:val="24"/>
          <w:szCs w:val="24"/>
        </w:rPr>
        <w:lastRenderedPageBreak/>
        <w:t>S</w:t>
      </w:r>
      <w:r w:rsidRPr="00C57CD9">
        <w:rPr>
          <w:rFonts w:ascii="Times New Roman" w:eastAsiaTheme="minorEastAsia" w:hAnsi="Times New Roman" w:cs="Times New Roman"/>
          <w:b/>
          <w:sz w:val="24"/>
          <w:szCs w:val="24"/>
        </w:rPr>
        <w:t xml:space="preserve">upplementary </w:t>
      </w:r>
      <w:r>
        <w:rPr>
          <w:rFonts w:ascii="Times New Roman" w:eastAsiaTheme="minorEastAsia" w:hAnsi="Times New Roman" w:cs="Times New Roman"/>
          <w:b/>
          <w:sz w:val="24"/>
          <w:szCs w:val="24"/>
        </w:rPr>
        <w:t>table 1.</w:t>
      </w:r>
    </w:p>
    <w:tbl>
      <w:tblPr>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715"/>
        <w:gridCol w:w="3180"/>
        <w:gridCol w:w="3180"/>
      </w:tblGrid>
      <w:tr w:rsidR="00447933" w:rsidRPr="00B27F0E" w:rsidTr="000E385C">
        <w:trPr>
          <w:trHeight w:val="316"/>
          <w:tblHeader/>
        </w:trPr>
        <w:tc>
          <w:tcPr>
            <w:tcW w:w="2715" w:type="dxa"/>
            <w:tcBorders>
              <w:top w:val="single" w:sz="4" w:space="0" w:color="AAAAAA"/>
              <w:left w:val="single" w:sz="4" w:space="0" w:color="AAAAAA"/>
              <w:bottom w:val="single" w:sz="4" w:space="0" w:color="AAAAAA"/>
              <w:right w:val="single" w:sz="4" w:space="0" w:color="AAAAAA"/>
            </w:tcBorders>
            <w:shd w:val="clear" w:color="auto" w:fill="E7E6E6" w:themeFill="background2"/>
            <w:tcMar>
              <w:top w:w="100" w:type="dxa"/>
              <w:left w:w="150" w:type="dxa"/>
              <w:bottom w:w="100" w:type="dxa"/>
              <w:right w:w="150" w:type="dxa"/>
            </w:tcMar>
            <w:vAlign w:val="center"/>
          </w:tcPr>
          <w:p w:rsidR="00447933" w:rsidRPr="00B27F0E" w:rsidRDefault="00447933" w:rsidP="000E385C">
            <w:pPr>
              <w:jc w:val="center"/>
              <w:rPr>
                <w:color w:val="000000" w:themeColor="text1"/>
              </w:rPr>
            </w:pPr>
            <w:r w:rsidRPr="00B27F0E">
              <w:rPr>
                <w:rFonts w:ascii="Arial" w:eastAsia="Arial" w:hAnsi="Arial" w:cs="Arial"/>
                <w:b/>
                <w:bCs/>
                <w:color w:val="000000" w:themeColor="text1"/>
              </w:rPr>
              <w:t>Toxicity / Situation</w:t>
            </w:r>
          </w:p>
        </w:tc>
        <w:tc>
          <w:tcPr>
            <w:tcW w:w="3180" w:type="dxa"/>
            <w:tcBorders>
              <w:top w:val="single" w:sz="4" w:space="0" w:color="AAAAAA"/>
              <w:left w:val="single" w:sz="4" w:space="0" w:color="AAAAAA"/>
              <w:bottom w:val="single" w:sz="4" w:space="0" w:color="AAAAAA"/>
              <w:right w:val="single" w:sz="4" w:space="0" w:color="AAAAAA"/>
            </w:tcBorders>
            <w:shd w:val="clear" w:color="auto" w:fill="E7E6E6" w:themeFill="background2"/>
            <w:tcMar>
              <w:top w:w="100" w:type="dxa"/>
              <w:left w:w="150" w:type="dxa"/>
              <w:bottom w:w="100" w:type="dxa"/>
              <w:right w:w="150" w:type="dxa"/>
            </w:tcMar>
            <w:vAlign w:val="center"/>
          </w:tcPr>
          <w:p w:rsidR="00447933" w:rsidRPr="00B27F0E" w:rsidRDefault="00447933" w:rsidP="000E385C">
            <w:pPr>
              <w:jc w:val="center"/>
              <w:rPr>
                <w:color w:val="000000" w:themeColor="text1"/>
              </w:rPr>
            </w:pPr>
            <w:r w:rsidRPr="00B27F0E">
              <w:rPr>
                <w:rFonts w:ascii="Arial" w:eastAsia="Arial" w:hAnsi="Arial" w:cs="Arial"/>
                <w:b/>
                <w:bCs/>
                <w:color w:val="000000" w:themeColor="text1"/>
              </w:rPr>
              <w:t>Action</w:t>
            </w:r>
          </w:p>
        </w:tc>
        <w:tc>
          <w:tcPr>
            <w:tcW w:w="3180" w:type="dxa"/>
            <w:tcBorders>
              <w:top w:val="single" w:sz="4" w:space="0" w:color="AAAAAA"/>
              <w:left w:val="single" w:sz="4" w:space="0" w:color="AAAAAA"/>
              <w:bottom w:val="single" w:sz="4" w:space="0" w:color="AAAAAA"/>
              <w:right w:val="single" w:sz="4" w:space="0" w:color="AAAAAA"/>
            </w:tcBorders>
            <w:shd w:val="clear" w:color="auto" w:fill="E7E6E6" w:themeFill="background2"/>
            <w:tcMar>
              <w:top w:w="100" w:type="dxa"/>
              <w:left w:w="150" w:type="dxa"/>
              <w:bottom w:w="100" w:type="dxa"/>
              <w:right w:w="150" w:type="dxa"/>
            </w:tcMar>
            <w:vAlign w:val="center"/>
          </w:tcPr>
          <w:p w:rsidR="00447933" w:rsidRPr="00B27F0E" w:rsidRDefault="00447933" w:rsidP="000E385C">
            <w:pPr>
              <w:jc w:val="center"/>
              <w:rPr>
                <w:color w:val="000000" w:themeColor="text1"/>
              </w:rPr>
            </w:pPr>
            <w:r w:rsidRPr="00B27F0E">
              <w:rPr>
                <w:rFonts w:ascii="Arial" w:eastAsia="Arial" w:hAnsi="Arial" w:cs="Arial"/>
                <w:b/>
                <w:bCs/>
                <w:color w:val="000000" w:themeColor="text1"/>
              </w:rPr>
              <w:t>Notes</w:t>
            </w:r>
          </w:p>
        </w:tc>
      </w:tr>
      <w:tr w:rsidR="00447933" w:rsidRPr="00B27F0E" w:rsidTr="000E385C">
        <w:trPr>
          <w:trHeight w:val="316"/>
        </w:trPr>
        <w:tc>
          <w:tcPr>
            <w:tcW w:w="0" w:type="auto"/>
            <w:gridSpan w:val="3"/>
            <w:tcBorders>
              <w:top w:val="single" w:sz="4" w:space="0" w:color="AAAAAA"/>
              <w:left w:val="single" w:sz="4" w:space="0" w:color="AAAAAA"/>
              <w:bottom w:val="single" w:sz="4" w:space="0" w:color="AAAAAA"/>
              <w:right w:val="single" w:sz="4" w:space="0" w:color="AAAAAA"/>
            </w:tcBorders>
            <w:shd w:val="clear" w:color="auto" w:fill="F2F2F2" w:themeFill="background1" w:themeFillShade="F2"/>
            <w:tcMar>
              <w:top w:w="100" w:type="dxa"/>
              <w:left w:w="150" w:type="dxa"/>
              <w:bottom w:w="100" w:type="dxa"/>
              <w:right w:w="150" w:type="dxa"/>
            </w:tcMar>
          </w:tcPr>
          <w:p w:rsidR="00447933" w:rsidRPr="00B27F0E" w:rsidRDefault="00447933" w:rsidP="000E385C">
            <w:pPr>
              <w:rPr>
                <w:color w:val="000000" w:themeColor="text1"/>
              </w:rPr>
            </w:pPr>
            <w:r w:rsidRPr="00B27F0E">
              <w:rPr>
                <w:rFonts w:ascii="Arial" w:eastAsia="Arial" w:hAnsi="Arial" w:cs="Arial"/>
                <w:b/>
                <w:bCs/>
                <w:color w:val="000000" w:themeColor="text1"/>
              </w:rPr>
              <w:t>Erlotinib (150 mg/day orally)</w:t>
            </w:r>
          </w:p>
        </w:tc>
      </w:tr>
      <w:tr w:rsidR="00447933" w:rsidRPr="00B27F0E" w:rsidTr="000E385C">
        <w:trPr>
          <w:trHeight w:val="367"/>
        </w:trPr>
        <w:tc>
          <w:tcPr>
            <w:tcW w:w="27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Severe rash unresponsive to medical management</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Withhold; resume at 50 mg dose reduction after resolution to ≤ Grade 1</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Dose reduction steps: 150 mg → 100 mg → 50 mg</w:t>
            </w:r>
          </w:p>
        </w:tc>
      </w:tr>
      <w:tr w:rsidR="00447933" w:rsidRPr="00B27F0E" w:rsidTr="000E385C">
        <w:trPr>
          <w:trHeight w:val="468"/>
        </w:trPr>
        <w:tc>
          <w:tcPr>
            <w:tcW w:w="27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Persistent severe diarrhea unresponsive to loperamide</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Withhold; resume at 50 mg dose reduction after resolution to ≤ Grade 1</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Manage diarrhea with loperamide first</w:t>
            </w:r>
          </w:p>
        </w:tc>
      </w:tr>
      <w:tr w:rsidR="00447933" w:rsidRPr="00B27F0E" w:rsidTr="000E385C">
        <w:trPr>
          <w:trHeight w:val="656"/>
        </w:trPr>
        <w:tc>
          <w:tcPr>
            <w:tcW w:w="27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Grade 3–4 keratitis or persistent Grade 2 keratitis (&gt;2 weeks)</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Withhold; resume at reduced dose after resolution</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Discontinue if corneal perforation occurs</w:t>
            </w:r>
          </w:p>
        </w:tc>
      </w:tr>
      <w:tr w:rsidR="00447933" w:rsidRPr="00B27F0E" w:rsidTr="000E385C">
        <w:trPr>
          <w:trHeight w:val="820"/>
        </w:trPr>
        <w:tc>
          <w:tcPr>
            <w:tcW w:w="27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Hepatic toxicity: total bilirubin &gt;3× ULN or transaminases &gt;5× ULN (no pre-existing hepatic impairment)</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Withhold; consider discontinuation</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For pre-existing hepatic impairment: bilirubin &gt;2× ULN or transaminases &gt;3× ULN</w:t>
            </w:r>
          </w:p>
        </w:tc>
      </w:tr>
      <w:tr w:rsidR="00447933" w:rsidRPr="00B27F0E" w:rsidTr="000E385C">
        <w:trPr>
          <w:trHeight w:val="468"/>
        </w:trPr>
        <w:tc>
          <w:tcPr>
            <w:tcW w:w="27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Severe renal toxicity (Grade 3–4)</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Withhold; consider discontinuation</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Monitor renal function periodically</w:t>
            </w:r>
          </w:p>
        </w:tc>
      </w:tr>
      <w:tr w:rsidR="00447933" w:rsidRPr="00B27F0E" w:rsidTr="000E385C">
        <w:trPr>
          <w:trHeight w:val="656"/>
        </w:trPr>
        <w:tc>
          <w:tcPr>
            <w:tcW w:w="27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Interstitial lung disease (ILD)</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Permanently discontinue</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Interrupt pending diagnostic evaluation for any new pulmonary symptoms</w:t>
            </w:r>
          </w:p>
        </w:tc>
      </w:tr>
      <w:tr w:rsidR="00447933" w:rsidRPr="00B27F0E" w:rsidTr="000E385C">
        <w:trPr>
          <w:trHeight w:val="292"/>
        </w:trPr>
        <w:tc>
          <w:tcPr>
            <w:tcW w:w="27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Gastrointestinal perforation</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Permanently discontinue</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t>
            </w:r>
          </w:p>
        </w:tc>
      </w:tr>
      <w:tr w:rsidR="00447933" w:rsidRPr="00B27F0E" w:rsidTr="000E385C">
        <w:trPr>
          <w:trHeight w:val="480"/>
        </w:trPr>
        <w:tc>
          <w:tcPr>
            <w:tcW w:w="27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Severe or life-threatening bullous/exfoliative skin toxicity</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Permanently discontinue</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t>
            </w:r>
          </w:p>
        </w:tc>
      </w:tr>
      <w:tr w:rsidR="00447933" w:rsidRPr="00B27F0E" w:rsidTr="000E385C">
        <w:trPr>
          <w:trHeight w:val="316"/>
        </w:trPr>
        <w:tc>
          <w:tcPr>
            <w:tcW w:w="0" w:type="auto"/>
            <w:gridSpan w:val="3"/>
            <w:tcBorders>
              <w:top w:val="single" w:sz="4" w:space="0" w:color="AAAAAA"/>
              <w:left w:val="single" w:sz="4" w:space="0" w:color="AAAAAA"/>
              <w:bottom w:val="single" w:sz="4" w:space="0" w:color="AAAAAA"/>
              <w:right w:val="single" w:sz="4" w:space="0" w:color="AAAAAA"/>
            </w:tcBorders>
            <w:shd w:val="clear" w:color="auto" w:fill="F2F2F2" w:themeFill="background1" w:themeFillShade="F2"/>
            <w:tcMar>
              <w:top w:w="100" w:type="dxa"/>
              <w:left w:w="150" w:type="dxa"/>
              <w:bottom w:w="100" w:type="dxa"/>
              <w:right w:w="150" w:type="dxa"/>
            </w:tcMar>
          </w:tcPr>
          <w:p w:rsidR="00447933" w:rsidRPr="00B27F0E" w:rsidRDefault="00447933" w:rsidP="000E385C">
            <w:pPr>
              <w:rPr>
                <w:color w:val="000000" w:themeColor="text1"/>
              </w:rPr>
            </w:pPr>
            <w:r w:rsidRPr="00B27F0E">
              <w:rPr>
                <w:rFonts w:ascii="Arial" w:eastAsia="Arial" w:hAnsi="Arial" w:cs="Arial"/>
                <w:b/>
                <w:bCs/>
                <w:color w:val="000000" w:themeColor="text1"/>
              </w:rPr>
              <w:t>Bevacizumab (15 mg/kg IV every 3 weeks)</w:t>
            </w:r>
          </w:p>
        </w:tc>
      </w:tr>
      <w:tr w:rsidR="00447933" w:rsidRPr="00B27F0E" w:rsidTr="000E385C">
        <w:trPr>
          <w:trHeight w:val="644"/>
        </w:trPr>
        <w:tc>
          <w:tcPr>
            <w:tcW w:w="27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Severe hypertension uncontrolled with medical management</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Withhold until controlled; resume when medically managed</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No dose reductions recommended per prescribing information</w:t>
            </w:r>
          </w:p>
        </w:tc>
      </w:tr>
      <w:tr w:rsidR="00447933" w:rsidRPr="00B27F0E" w:rsidTr="000E385C">
        <w:trPr>
          <w:trHeight w:val="480"/>
        </w:trPr>
        <w:tc>
          <w:tcPr>
            <w:tcW w:w="27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Nephrotic-range proteinuria (urine protein ≥3.5 g/24h)</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Withhold; discontinue if proteinuria persists beyond treatment delay</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Monitor urine protein prior to each dose</w:t>
            </w:r>
          </w:p>
        </w:tc>
      </w:tr>
      <w:tr w:rsidR="00447933" w:rsidRPr="00B27F0E" w:rsidTr="000E385C">
        <w:trPr>
          <w:trHeight w:val="292"/>
        </w:trPr>
        <w:tc>
          <w:tcPr>
            <w:tcW w:w="27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Gastrointestinal perforation</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Permanently discontinue</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t>
            </w:r>
          </w:p>
        </w:tc>
      </w:tr>
      <w:tr w:rsidR="00447933" w:rsidRPr="00B27F0E" w:rsidTr="000E385C">
        <w:trPr>
          <w:trHeight w:val="304"/>
        </w:trPr>
        <w:tc>
          <w:tcPr>
            <w:tcW w:w="27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lastRenderedPageBreak/>
              <w:t>Arterial thromboembolic event</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Permanently discontinue</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t>
            </w:r>
          </w:p>
        </w:tc>
      </w:tr>
      <w:tr w:rsidR="00447933" w:rsidRPr="00B27F0E" w:rsidTr="000E385C">
        <w:trPr>
          <w:trHeight w:val="468"/>
        </w:trPr>
        <w:tc>
          <w:tcPr>
            <w:tcW w:w="27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Hypertensive crisis or hypertensive encephalopathy</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Permanently discontinue</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t>
            </w:r>
          </w:p>
        </w:tc>
      </w:tr>
      <w:tr w:rsidR="00447933" w:rsidRPr="00B27F0E" w:rsidTr="000E385C">
        <w:trPr>
          <w:trHeight w:val="656"/>
        </w:trPr>
        <w:tc>
          <w:tcPr>
            <w:tcW w:w="27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Posterior reversible encephalopathy syndrome (PRES)</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Permanently discontinue</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t>
            </w:r>
          </w:p>
        </w:tc>
      </w:tr>
      <w:tr w:rsidR="00447933" w:rsidRPr="00B27F0E" w:rsidTr="000E385C">
        <w:trPr>
          <w:trHeight w:val="644"/>
        </w:trPr>
        <w:tc>
          <w:tcPr>
            <w:tcW w:w="27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Wound healing complications / surgical procedures</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Withhold at least 28 days prior to elective surgery; discontinue if wound healing complications develop</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t>
            </w:r>
          </w:p>
        </w:tc>
      </w:tr>
      <w:tr w:rsidR="00447933" w:rsidRPr="00B27F0E" w:rsidTr="000E385C">
        <w:trPr>
          <w:trHeight w:val="304"/>
        </w:trPr>
        <w:tc>
          <w:tcPr>
            <w:tcW w:w="2715"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Severe hemorrhage</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Permanently discontinue</w:t>
            </w:r>
          </w:p>
        </w:tc>
        <w:tc>
          <w:tcPr>
            <w:tcW w:w="3180" w:type="dxa"/>
            <w:tcBorders>
              <w:top w:val="single" w:sz="4" w:space="0" w:color="AAAAAA"/>
              <w:left w:val="single" w:sz="4" w:space="0" w:color="AAAAAA"/>
              <w:bottom w:val="single" w:sz="4" w:space="0" w:color="AAAAAA"/>
              <w:right w:val="single" w:sz="4" w:space="0" w:color="AAAAAA"/>
            </w:tcBorders>
            <w:shd w:val="clear" w:color="auto" w:fill="FFFFFF" w:themeFill="background1"/>
            <w:tcMar>
              <w:top w:w="100" w:type="dxa"/>
              <w:left w:w="150" w:type="dxa"/>
              <w:bottom w:w="100" w:type="dxa"/>
              <w:right w:w="150" w:type="dxa"/>
            </w:tcMar>
            <w:vAlign w:val="center"/>
          </w:tcPr>
          <w:p w:rsidR="00447933" w:rsidRPr="00B27F0E" w:rsidRDefault="00447933" w:rsidP="000E385C">
            <w:pPr>
              <w:rPr>
                <w:color w:val="000000" w:themeColor="text1"/>
              </w:rPr>
            </w:pPr>
            <w:r w:rsidRPr="00B27F0E">
              <w:rPr>
                <w:rFonts w:ascii="Arial" w:eastAsia="Arial" w:hAnsi="Arial" w:cs="Arial"/>
                <w:color w:val="000000" w:themeColor="text1"/>
                <w:sz w:val="18"/>
                <w:szCs w:val="18"/>
              </w:rPr>
              <w:t>—</w:t>
            </w:r>
          </w:p>
        </w:tc>
      </w:tr>
    </w:tbl>
    <w:p w:rsidR="00447933" w:rsidRDefault="00447933" w:rsidP="00447933"/>
    <w:p w:rsidR="00447933" w:rsidRDefault="00447933" w:rsidP="00447933">
      <w:r>
        <w:rPr>
          <w:rFonts w:ascii="Arial" w:eastAsia="Arial" w:hAnsi="Arial" w:cs="Arial"/>
          <w:sz w:val="16"/>
          <w:szCs w:val="16"/>
        </w:rPr>
        <w:t>Abbreviations: ULN, upper limit of normal; ILD, interstitial lung disease; PRES, posterior reversible encephalopathy syndrome.</w:t>
      </w:r>
    </w:p>
    <w:p w:rsidR="00447933" w:rsidRPr="00DA3C77" w:rsidRDefault="00447933" w:rsidP="00447933">
      <w:pPr>
        <w:rPr>
          <w:rFonts w:ascii="Times New Roman" w:eastAsiaTheme="minorEastAsia" w:hAnsi="Times New Roman" w:cs="Times New Roman"/>
          <w:sz w:val="24"/>
          <w:szCs w:val="24"/>
        </w:rPr>
      </w:pPr>
    </w:p>
    <w:p w:rsidR="00447933" w:rsidRDefault="00447933" w:rsidP="00447933">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fldChar w:fldCharType="begin"/>
      </w:r>
      <w:r>
        <w:rPr>
          <w:rFonts w:ascii="Times New Roman" w:eastAsiaTheme="minorEastAsia" w:hAnsi="Times New Roman" w:cs="Times New Roman"/>
          <w:sz w:val="24"/>
          <w:szCs w:val="24"/>
        </w:rPr>
        <w:instrText xml:space="preserve"> ADDIN EN.REFLIST </w:instrText>
      </w:r>
      <w:r>
        <w:rPr>
          <w:rFonts w:ascii="Times New Roman" w:eastAsiaTheme="minorEastAsia" w:hAnsi="Times New Roman" w:cs="Times New Roman"/>
          <w:sz w:val="24"/>
          <w:szCs w:val="24"/>
        </w:rPr>
        <w:fldChar w:fldCharType="end"/>
      </w:r>
    </w:p>
    <w:p w:rsidR="00AB7FBD" w:rsidRDefault="00AB7FBD"/>
    <w:sectPr w:rsidR="00AB7FBD">
      <w:footerReference w:type="default" r:id="rId8"/>
      <w:pgSz w:w="11906" w:h="16838"/>
      <w:pgMar w:top="1701" w:right="1440" w:bottom="1440" w:left="1440" w:header="851" w:footer="992"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7572259"/>
      <w:docPartObj>
        <w:docPartGallery w:val="Page Numbers (Bottom of Page)"/>
        <w:docPartUnique/>
      </w:docPartObj>
    </w:sdtPr>
    <w:sdtEndPr/>
    <w:sdtContent>
      <w:p w:rsidR="00116879" w:rsidRDefault="00447933">
        <w:pPr>
          <w:pStyle w:val="Footer"/>
        </w:pPr>
        <w:r>
          <w:fldChar w:fldCharType="begin"/>
        </w:r>
        <w:r>
          <w:instrText>PAGE   \* MERGEFORMAT</w:instrText>
        </w:r>
        <w:r>
          <w:fldChar w:fldCharType="separate"/>
        </w:r>
        <w:r w:rsidRPr="00447933">
          <w:rPr>
            <w:noProof/>
            <w:lang w:val="ko-KR"/>
          </w:rPr>
          <w:t>4</w:t>
        </w:r>
        <w:r>
          <w:fldChar w:fldCharType="end"/>
        </w:r>
      </w:p>
    </w:sdtContent>
  </w:sdt>
  <w:p w:rsidR="00116879" w:rsidRDefault="00447933">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933"/>
    <w:rsid w:val="00050881"/>
    <w:rsid w:val="000973D2"/>
    <w:rsid w:val="001100E6"/>
    <w:rsid w:val="001A2A41"/>
    <w:rsid w:val="002244A7"/>
    <w:rsid w:val="00285FB2"/>
    <w:rsid w:val="00291F06"/>
    <w:rsid w:val="003744F2"/>
    <w:rsid w:val="003C5FE6"/>
    <w:rsid w:val="00411E57"/>
    <w:rsid w:val="004329D4"/>
    <w:rsid w:val="00447933"/>
    <w:rsid w:val="004A53B9"/>
    <w:rsid w:val="004D20E5"/>
    <w:rsid w:val="004E3516"/>
    <w:rsid w:val="00630027"/>
    <w:rsid w:val="006C799F"/>
    <w:rsid w:val="006D0CF7"/>
    <w:rsid w:val="00721845"/>
    <w:rsid w:val="00725428"/>
    <w:rsid w:val="007D4B57"/>
    <w:rsid w:val="0080383C"/>
    <w:rsid w:val="00823F41"/>
    <w:rsid w:val="00827355"/>
    <w:rsid w:val="00832E1A"/>
    <w:rsid w:val="008B035D"/>
    <w:rsid w:val="008B2AC4"/>
    <w:rsid w:val="008C790A"/>
    <w:rsid w:val="008F4E58"/>
    <w:rsid w:val="009A05C5"/>
    <w:rsid w:val="009B573D"/>
    <w:rsid w:val="009D67BB"/>
    <w:rsid w:val="00A16243"/>
    <w:rsid w:val="00AB7FBD"/>
    <w:rsid w:val="00B86FFE"/>
    <w:rsid w:val="00C07523"/>
    <w:rsid w:val="00C126E1"/>
    <w:rsid w:val="00C75B4E"/>
    <w:rsid w:val="00D646E2"/>
    <w:rsid w:val="00F92C4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6FECD3-7796-4B78-97D8-9B743F2E6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47933"/>
    <w:pPr>
      <w:widowControl w:val="0"/>
      <w:tabs>
        <w:tab w:val="center" w:pos="4513"/>
        <w:tab w:val="right" w:pos="9026"/>
      </w:tabs>
      <w:wordWrap w:val="0"/>
      <w:autoSpaceDE w:val="0"/>
      <w:autoSpaceDN w:val="0"/>
      <w:snapToGrid w:val="0"/>
      <w:jc w:val="both"/>
    </w:pPr>
    <w:rPr>
      <w:rFonts w:ascii="Malgun Gothic" w:eastAsia="Malgun Gothic" w:hAnsi="Malgun Gothic" w:cs="Malgun Gothic"/>
      <w:sz w:val="20"/>
      <w:szCs w:val="20"/>
      <w:lang w:val="en-US" w:eastAsia="ko-KR"/>
    </w:rPr>
  </w:style>
  <w:style w:type="character" w:customStyle="1" w:styleId="FooterChar">
    <w:name w:val="Footer Char"/>
    <w:basedOn w:val="DefaultParagraphFont"/>
    <w:link w:val="Footer"/>
    <w:uiPriority w:val="99"/>
    <w:rsid w:val="00447933"/>
    <w:rPr>
      <w:rFonts w:ascii="Malgun Gothic" w:eastAsia="Malgun Gothic" w:hAnsi="Malgun Gothic" w:cs="Malgun Gothic"/>
      <w:sz w:val="20"/>
      <w:szCs w:val="20"/>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4.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wmf"/><Relationship Id="rId5" Type="http://schemas.openxmlformats.org/officeDocument/2006/relationships/image" Target="media/image2.wmf"/><Relationship Id="rId10" Type="http://schemas.openxmlformats.org/officeDocument/2006/relationships/theme" Target="theme/theme1.xml"/><Relationship Id="rId4" Type="http://schemas.openxmlformats.org/officeDocument/2006/relationships/image" Target="media/image1.wmf"/><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658</Words>
  <Characters>3751</Characters>
  <Application>Microsoft Office Word</Application>
  <DocSecurity>0</DocSecurity>
  <Lines>31</Lines>
  <Paragraphs>8</Paragraphs>
  <ScaleCrop>false</ScaleCrop>
  <Company/>
  <LinksUpToDate>false</LinksUpToDate>
  <CharactersWithSpaces>4401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Meenakshi P</dc:creator>
  <cp:keywords/>
  <dc:description/>
  <cp:lastModifiedBy>Meenakshi P</cp:lastModifiedBy>
  <cp:revision>1</cp:revision>
  <dcterms:created xsi:type="dcterms:W3CDTF">2026-06-03T01:36:00Z</dcterms:created>
  <dcterms:modified xsi:type="dcterms:W3CDTF">2026-06-03T01:38:00Z</dcterms:modified>
</cp:coreProperties>
</file>