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06C78" w14:textId="77777777" w:rsidR="0062530D" w:rsidRDefault="0062530D" w:rsidP="0062530D">
      <w:pPr>
        <w:spacing w:line="480" w:lineRule="auto"/>
        <w:rPr>
          <w:rFonts w:ascii="Arial" w:hAnsi="Arial" w:cs="Arial"/>
          <w:b/>
          <w:bCs/>
          <w:lang w:val="en-US"/>
        </w:rPr>
      </w:pPr>
      <w:r>
        <w:rPr>
          <w:rFonts w:ascii="Arial" w:hAnsi="Arial" w:cs="Arial"/>
          <w:b/>
          <w:bCs/>
          <w:lang w:val="en-US"/>
        </w:rPr>
        <w:t xml:space="preserve">Supplementary </w:t>
      </w:r>
      <w:r w:rsidRPr="00112CAC">
        <w:rPr>
          <w:rFonts w:ascii="Arial" w:hAnsi="Arial" w:cs="Arial"/>
          <w:b/>
          <w:bCs/>
          <w:lang w:val="en-US"/>
        </w:rPr>
        <w:t>Appendix</w:t>
      </w:r>
    </w:p>
    <w:p w14:paraId="5A8E243D" w14:textId="2CC18D1E" w:rsidR="0062530D" w:rsidRDefault="0062530D" w:rsidP="0062530D">
      <w:pPr>
        <w:spacing w:line="480" w:lineRule="auto"/>
        <w:rPr>
          <w:rFonts w:ascii="Arial" w:hAnsi="Arial" w:cs="Arial"/>
          <w:lang w:val="en-US"/>
        </w:rPr>
      </w:pPr>
      <w:r w:rsidRPr="00112CAC">
        <w:rPr>
          <w:rFonts w:ascii="Arial" w:hAnsi="Arial" w:cs="Arial"/>
          <w:lang w:val="en-US"/>
        </w:rPr>
        <w:t xml:space="preserve">Phase I study of glofitamab in Japanese patients with relapsed or refractory </w:t>
      </w:r>
      <w:r>
        <w:rPr>
          <w:rFonts w:ascii="Arial" w:hAnsi="Arial" w:cs="Arial"/>
          <w:lang w:val="en-US"/>
        </w:rPr>
        <w:br/>
      </w:r>
      <w:r w:rsidRPr="00112CAC">
        <w:rPr>
          <w:rFonts w:ascii="Arial" w:hAnsi="Arial" w:cs="Arial"/>
          <w:lang w:val="en-US"/>
        </w:rPr>
        <w:t xml:space="preserve">B-cell non-Hodgkin </w:t>
      </w:r>
      <w:r w:rsidR="00F20F2B">
        <w:rPr>
          <w:rFonts w:ascii="Arial" w:hAnsi="Arial" w:cs="Arial"/>
          <w:lang w:val="en-US"/>
        </w:rPr>
        <w:t>l</w:t>
      </w:r>
      <w:r w:rsidRPr="00112CAC">
        <w:rPr>
          <w:rFonts w:ascii="Arial" w:hAnsi="Arial" w:cs="Arial"/>
          <w:lang w:val="en-US"/>
        </w:rPr>
        <w:t>ymphoma</w:t>
      </w:r>
    </w:p>
    <w:p w14:paraId="1A1120B0" w14:textId="77777777" w:rsidR="0062530D" w:rsidRPr="00112CAC" w:rsidRDefault="0062530D" w:rsidP="0062530D">
      <w:pPr>
        <w:spacing w:line="480" w:lineRule="auto"/>
        <w:rPr>
          <w:rFonts w:ascii="Arial" w:hAnsi="Arial" w:cs="Arial"/>
          <w:lang w:val="en-US"/>
        </w:rPr>
      </w:pPr>
      <w:r w:rsidRPr="00112CAC">
        <w:rPr>
          <w:rFonts w:ascii="Arial" w:hAnsi="Arial" w:cs="Arial"/>
          <w:b/>
          <w:bCs/>
          <w:lang w:val="en-US"/>
        </w:rPr>
        <w:t xml:space="preserve">Target journal: </w:t>
      </w:r>
      <w:r w:rsidRPr="00112CAC">
        <w:rPr>
          <w:rFonts w:ascii="Arial" w:hAnsi="Arial" w:cs="Arial"/>
          <w:lang w:val="en-US"/>
        </w:rPr>
        <w:t xml:space="preserve">International Journal of Clinical Oncology </w:t>
      </w:r>
    </w:p>
    <w:p w14:paraId="1E1FC254" w14:textId="77777777" w:rsidR="0062530D" w:rsidRPr="00112CAC" w:rsidRDefault="0062530D" w:rsidP="0062530D">
      <w:pPr>
        <w:spacing w:line="480" w:lineRule="auto"/>
        <w:rPr>
          <w:rFonts w:ascii="Arial" w:hAnsi="Arial" w:cs="Arial"/>
          <w:vertAlign w:val="superscript"/>
          <w:lang w:val="en-US"/>
        </w:rPr>
      </w:pPr>
      <w:r w:rsidRPr="00112CAC">
        <w:rPr>
          <w:rFonts w:ascii="Arial" w:hAnsi="Arial" w:cs="Arial"/>
          <w:b/>
          <w:bCs/>
          <w:lang w:val="en-US"/>
        </w:rPr>
        <w:t>Authors:</w:t>
      </w:r>
      <w:r w:rsidRPr="00112CAC">
        <w:rPr>
          <w:rFonts w:ascii="Arial" w:hAnsi="Arial" w:cs="Arial"/>
          <w:lang w:val="en-US"/>
        </w:rPr>
        <w:t xml:space="preserve"> Yuko Shirouchi</w:t>
      </w:r>
      <w:r w:rsidRPr="00112CAC">
        <w:rPr>
          <w:rFonts w:ascii="Arial" w:hAnsi="Arial" w:cs="Arial"/>
          <w:vertAlign w:val="superscript"/>
          <w:lang w:val="en-US"/>
        </w:rPr>
        <w:t>1</w:t>
      </w:r>
      <w:r w:rsidRPr="004A7DCA">
        <w:rPr>
          <w:rFonts w:ascii="Arial" w:hAnsi="Arial" w:cs="Arial"/>
          <w:lang w:val="en-US"/>
        </w:rPr>
        <w:t>*</w:t>
      </w:r>
      <w:r w:rsidRPr="00112CAC">
        <w:rPr>
          <w:rFonts w:ascii="Arial" w:hAnsi="Arial" w:cs="Arial"/>
          <w:lang w:val="en-US"/>
        </w:rPr>
        <w:t>, Yuko Mishima</w:t>
      </w:r>
      <w:r w:rsidRPr="00112CAC">
        <w:rPr>
          <w:rFonts w:ascii="Arial" w:hAnsi="Arial" w:cs="Arial"/>
          <w:vertAlign w:val="superscript"/>
          <w:lang w:val="en-US"/>
        </w:rPr>
        <w:t>1</w:t>
      </w:r>
      <w:r w:rsidRPr="00112CAC">
        <w:rPr>
          <w:rFonts w:ascii="Arial" w:hAnsi="Arial" w:cs="Arial"/>
          <w:lang w:val="en-US"/>
        </w:rPr>
        <w:t>, Suguru Fukuhara</w:t>
      </w:r>
      <w:r w:rsidRPr="00112CAC">
        <w:rPr>
          <w:rFonts w:ascii="Arial" w:hAnsi="Arial" w:cs="Arial"/>
          <w:vertAlign w:val="superscript"/>
          <w:lang w:val="en-US"/>
        </w:rPr>
        <w:t>2</w:t>
      </w:r>
      <w:r w:rsidRPr="00112CAC">
        <w:rPr>
          <w:rFonts w:ascii="Arial" w:hAnsi="Arial" w:cs="Arial"/>
          <w:lang w:val="en-US"/>
        </w:rPr>
        <w:t>, Shinichi Makita</w:t>
      </w:r>
      <w:r w:rsidRPr="00112CAC">
        <w:rPr>
          <w:rFonts w:ascii="Arial" w:hAnsi="Arial" w:cs="Arial"/>
          <w:vertAlign w:val="superscript"/>
          <w:lang w:val="en-US"/>
        </w:rPr>
        <w:t>2</w:t>
      </w:r>
      <w:r w:rsidRPr="00112CAC">
        <w:rPr>
          <w:rFonts w:ascii="Arial" w:hAnsi="Arial" w:cs="Arial"/>
          <w:lang w:val="en-US"/>
        </w:rPr>
        <w:t xml:space="preserve">, </w:t>
      </w:r>
      <w:r>
        <w:rPr>
          <w:rFonts w:ascii="Arial" w:hAnsi="Arial" w:cs="Arial"/>
          <w:lang w:val="en-US"/>
        </w:rPr>
        <w:br/>
      </w:r>
      <w:r w:rsidRPr="00112CAC">
        <w:rPr>
          <w:rFonts w:ascii="Arial" w:hAnsi="Arial" w:cs="Arial"/>
          <w:lang w:val="en-US"/>
        </w:rPr>
        <w:t>Koji Izutsu</w:t>
      </w:r>
      <w:r w:rsidRPr="00112CAC">
        <w:rPr>
          <w:rFonts w:ascii="Arial" w:hAnsi="Arial" w:cs="Arial"/>
          <w:vertAlign w:val="superscript"/>
          <w:lang w:val="en-US"/>
        </w:rPr>
        <w:t>2</w:t>
      </w:r>
      <w:r w:rsidRPr="00112CAC">
        <w:rPr>
          <w:rFonts w:ascii="Arial" w:hAnsi="Arial" w:cs="Arial"/>
          <w:lang w:val="en-US"/>
        </w:rPr>
        <w:t>, Yasuhito Terui</w:t>
      </w:r>
      <w:r w:rsidRPr="00112CAC">
        <w:rPr>
          <w:rFonts w:ascii="Arial" w:hAnsi="Arial" w:cs="Arial"/>
          <w:vertAlign w:val="superscript"/>
          <w:lang w:val="en-US"/>
        </w:rPr>
        <w:t>3</w:t>
      </w:r>
      <w:r w:rsidRPr="00112CAC">
        <w:rPr>
          <w:rFonts w:ascii="Arial" w:hAnsi="Arial" w:cs="Arial"/>
          <w:lang w:val="en-US"/>
        </w:rPr>
        <w:t>, Takuro Suzuki</w:t>
      </w:r>
      <w:r w:rsidRPr="00112CAC">
        <w:rPr>
          <w:rFonts w:ascii="Arial" w:hAnsi="Arial" w:cs="Arial"/>
          <w:vertAlign w:val="superscript"/>
          <w:lang w:val="en-US"/>
        </w:rPr>
        <w:t>4</w:t>
      </w:r>
      <w:r w:rsidRPr="00112CAC">
        <w:rPr>
          <w:rFonts w:ascii="Arial" w:hAnsi="Arial" w:cs="Arial"/>
          <w:lang w:val="en-US"/>
        </w:rPr>
        <w:t>, Atsuko Kawasaki</w:t>
      </w:r>
      <w:r w:rsidRPr="00112CAC">
        <w:rPr>
          <w:rFonts w:ascii="Arial" w:hAnsi="Arial" w:cs="Arial"/>
          <w:vertAlign w:val="superscript"/>
          <w:lang w:val="en-US"/>
        </w:rPr>
        <w:t>4</w:t>
      </w:r>
      <w:r w:rsidRPr="00112CAC">
        <w:rPr>
          <w:rFonts w:ascii="Arial" w:hAnsi="Arial" w:cs="Arial"/>
          <w:lang w:val="en-US"/>
        </w:rPr>
        <w:t>, Takeshi Miyake</w:t>
      </w:r>
      <w:r w:rsidRPr="00112CAC">
        <w:rPr>
          <w:rFonts w:ascii="Arial" w:hAnsi="Arial" w:cs="Arial"/>
          <w:vertAlign w:val="superscript"/>
          <w:lang w:val="en-US"/>
        </w:rPr>
        <w:t>4</w:t>
      </w:r>
      <w:r w:rsidRPr="00112CAC">
        <w:rPr>
          <w:rFonts w:ascii="Arial" w:hAnsi="Arial" w:cs="Arial"/>
          <w:lang w:val="en-US"/>
        </w:rPr>
        <w:t>, Dai Maruyama</w:t>
      </w:r>
      <w:r w:rsidRPr="00112CAC">
        <w:rPr>
          <w:rFonts w:ascii="Arial" w:hAnsi="Arial" w:cs="Arial"/>
          <w:vertAlign w:val="superscript"/>
          <w:lang w:val="en-US"/>
        </w:rPr>
        <w:t>1</w:t>
      </w:r>
    </w:p>
    <w:p w14:paraId="0AFFFD59" w14:textId="105E93AF" w:rsidR="0062530D" w:rsidRPr="00112CAC" w:rsidRDefault="0062530D" w:rsidP="0062530D">
      <w:pPr>
        <w:spacing w:line="480" w:lineRule="auto"/>
        <w:rPr>
          <w:rFonts w:ascii="Arial" w:hAnsi="Arial" w:cs="Arial"/>
          <w:lang w:val="en-US"/>
        </w:rPr>
      </w:pPr>
      <w:r w:rsidRPr="00112CAC">
        <w:rPr>
          <w:rFonts w:ascii="Arial" w:hAnsi="Arial" w:cs="Arial"/>
          <w:b/>
          <w:bCs/>
          <w:lang w:val="en-US"/>
        </w:rPr>
        <w:t xml:space="preserve">Affiliations: </w:t>
      </w:r>
      <w:r w:rsidRPr="003832D6">
        <w:rPr>
          <w:rFonts w:ascii="Arial" w:hAnsi="Arial" w:cs="Arial"/>
          <w:vertAlign w:val="superscript"/>
          <w:lang w:val="en-US"/>
        </w:rPr>
        <w:t>1</w:t>
      </w:r>
      <w:r w:rsidRPr="00112CAC">
        <w:rPr>
          <w:rFonts w:ascii="Arial" w:hAnsi="Arial" w:cs="Arial"/>
          <w:lang w:val="en-US"/>
        </w:rPr>
        <w:t>Department of Hematology Oncology, Cancer Institute Hospital</w:t>
      </w:r>
      <w:r>
        <w:rPr>
          <w:rFonts w:ascii="Arial" w:hAnsi="Arial" w:cs="Arial"/>
          <w:lang w:val="en-US"/>
        </w:rPr>
        <w:t xml:space="preserve">, </w:t>
      </w:r>
      <w:r w:rsidRPr="00112CAC">
        <w:rPr>
          <w:rFonts w:ascii="Arial" w:hAnsi="Arial" w:cs="Arial"/>
          <w:lang w:val="en-US"/>
        </w:rPr>
        <w:t xml:space="preserve">Japanese Foundation for Cancer Research, Tokyo, Japan; </w:t>
      </w:r>
      <w:r w:rsidRPr="00112CAC">
        <w:rPr>
          <w:rFonts w:ascii="Arial" w:hAnsi="Arial" w:cs="Arial"/>
          <w:vertAlign w:val="superscript"/>
          <w:lang w:val="en-US"/>
        </w:rPr>
        <w:t>2</w:t>
      </w:r>
      <w:r w:rsidRPr="00112CAC">
        <w:rPr>
          <w:rFonts w:ascii="Arial" w:hAnsi="Arial" w:cs="Arial"/>
          <w:lang w:val="en-US"/>
        </w:rPr>
        <w:t xml:space="preserve">Department of Hematology, National Cancer Center Hospital, Tokyo, Japan; </w:t>
      </w:r>
      <w:r w:rsidRPr="00112CAC">
        <w:rPr>
          <w:rFonts w:ascii="Arial" w:hAnsi="Arial" w:cs="Arial"/>
          <w:vertAlign w:val="superscript"/>
          <w:lang w:val="en-US"/>
        </w:rPr>
        <w:t>3</w:t>
      </w:r>
      <w:r w:rsidRPr="00112CAC">
        <w:rPr>
          <w:rFonts w:ascii="Arial" w:hAnsi="Arial" w:cs="Arial"/>
          <w:lang w:val="en-US"/>
        </w:rPr>
        <w:t xml:space="preserve">Department of Hematology, Saitama Medical University Hospital, Saitama, Japan; </w:t>
      </w:r>
      <w:r w:rsidRPr="00112CAC">
        <w:rPr>
          <w:rFonts w:ascii="Arial" w:hAnsi="Arial" w:cs="Arial"/>
          <w:vertAlign w:val="superscript"/>
          <w:lang w:val="en-US"/>
        </w:rPr>
        <w:t>4</w:t>
      </w:r>
      <w:r w:rsidRPr="00112CAC">
        <w:rPr>
          <w:rFonts w:ascii="Arial" w:hAnsi="Arial" w:cs="Arial"/>
          <w:lang w:val="en-US"/>
        </w:rPr>
        <w:t>Chugai Pharmaceutical Co., Ltd, Tokyo, Japan</w:t>
      </w:r>
    </w:p>
    <w:p w14:paraId="19A6E506" w14:textId="640EB082" w:rsidR="0062530D" w:rsidRPr="00112CAC" w:rsidRDefault="0062530D" w:rsidP="0062530D">
      <w:pPr>
        <w:spacing w:line="480" w:lineRule="auto"/>
        <w:rPr>
          <w:rFonts w:ascii="Arial" w:hAnsi="Arial" w:cs="Arial"/>
          <w:lang w:val="en-US"/>
        </w:rPr>
      </w:pPr>
      <w:r w:rsidRPr="00112CAC">
        <w:rPr>
          <w:rFonts w:ascii="Arial" w:hAnsi="Arial" w:cs="Arial"/>
          <w:b/>
          <w:bCs/>
          <w:lang w:val="en-US"/>
        </w:rPr>
        <w:t>*Author for correspondence:</w:t>
      </w:r>
      <w:r w:rsidRPr="00112CAC">
        <w:rPr>
          <w:rFonts w:ascii="Arial" w:hAnsi="Arial" w:cs="Arial"/>
          <w:lang w:val="en-US"/>
        </w:rPr>
        <w:t xml:space="preserve"> Yuko Shirouchi; email: yuko.shirouchi@jfcr.or.jp; phone:</w:t>
      </w:r>
      <w:r>
        <w:rPr>
          <w:rFonts w:ascii="Arial" w:hAnsi="Arial" w:cs="Arial"/>
          <w:lang w:val="en-US"/>
        </w:rPr>
        <w:t xml:space="preserve"> +81 3 3520 0111, ORCID number: </w:t>
      </w:r>
      <w:r w:rsidR="00773EB4" w:rsidRPr="00773EB4">
        <w:rPr>
          <w:rFonts w:ascii="Arial" w:hAnsi="Arial" w:cs="Arial"/>
          <w:lang w:val="en-US"/>
        </w:rPr>
        <w:t>0000-0003-0945-2030</w:t>
      </w:r>
    </w:p>
    <w:p w14:paraId="32ACD8AB" w14:textId="77777777" w:rsidR="0062530D" w:rsidRDefault="0062530D" w:rsidP="0062530D">
      <w:pPr>
        <w:spacing w:line="480" w:lineRule="auto"/>
        <w:rPr>
          <w:rFonts w:ascii="Arial" w:hAnsi="Arial" w:cs="Arial"/>
          <w:b/>
          <w:bCs/>
          <w:lang w:val="en-US"/>
        </w:rPr>
      </w:pPr>
    </w:p>
    <w:p w14:paraId="1A8AD87D" w14:textId="77777777" w:rsidR="00195046" w:rsidRDefault="00195046">
      <w:pPr>
        <w:rPr>
          <w:rFonts w:ascii="Arial" w:hAnsi="Arial" w:cs="Arial"/>
          <w:b/>
          <w:bCs/>
          <w:lang w:val="en-US"/>
        </w:rPr>
      </w:pPr>
      <w:r>
        <w:rPr>
          <w:rFonts w:ascii="Arial" w:hAnsi="Arial" w:cs="Arial"/>
          <w:b/>
          <w:bCs/>
          <w:lang w:val="en-US"/>
        </w:rPr>
        <w:br w:type="page"/>
      </w:r>
    </w:p>
    <w:p w14:paraId="2C00E885" w14:textId="17545D45" w:rsidR="0062530D" w:rsidRPr="00B57261" w:rsidRDefault="0062530D" w:rsidP="0062530D">
      <w:pPr>
        <w:spacing w:line="480" w:lineRule="auto"/>
        <w:rPr>
          <w:rFonts w:ascii="Arial" w:hAnsi="Arial" w:cs="Arial"/>
          <w:b/>
          <w:bCs/>
          <w:lang w:val="en-US"/>
        </w:rPr>
      </w:pPr>
      <w:r w:rsidRPr="003351B4">
        <w:rPr>
          <w:rFonts w:ascii="Arial" w:hAnsi="Arial" w:cs="Arial"/>
          <w:b/>
          <w:bCs/>
          <w:lang w:val="en-US"/>
        </w:rPr>
        <w:lastRenderedPageBreak/>
        <w:t>Methods</w:t>
      </w:r>
    </w:p>
    <w:p w14:paraId="39E50C56" w14:textId="77777777" w:rsidR="0062530D" w:rsidRPr="003351B4" w:rsidRDefault="0062530D" w:rsidP="0062530D">
      <w:pPr>
        <w:spacing w:line="480" w:lineRule="auto"/>
        <w:rPr>
          <w:rFonts w:ascii="Arial" w:hAnsi="Arial" w:cs="Arial"/>
          <w:i/>
          <w:iCs/>
          <w:lang w:val="en-US"/>
        </w:rPr>
      </w:pPr>
      <w:r w:rsidRPr="003351B4">
        <w:rPr>
          <w:rFonts w:ascii="Arial" w:hAnsi="Arial" w:cs="Arial"/>
          <w:i/>
          <w:iCs/>
          <w:lang w:val="en-US"/>
        </w:rPr>
        <w:t>Study design</w:t>
      </w:r>
    </w:p>
    <w:p w14:paraId="231706CD" w14:textId="21414176" w:rsidR="0062530D" w:rsidRDefault="0062530D" w:rsidP="0062530D">
      <w:pPr>
        <w:spacing w:line="480" w:lineRule="auto"/>
        <w:rPr>
          <w:rFonts w:ascii="Arial" w:hAnsi="Arial" w:cs="Arial"/>
          <w:lang w:val="en-US"/>
        </w:rPr>
      </w:pPr>
      <w:r>
        <w:rPr>
          <w:rFonts w:ascii="Arial" w:hAnsi="Arial" w:cs="Arial"/>
          <w:lang w:val="en-US"/>
        </w:rPr>
        <w:t xml:space="preserve">The doses and schedules were selected based on </w:t>
      </w:r>
      <w:r w:rsidR="00DD0501">
        <w:rPr>
          <w:rFonts w:ascii="Arial" w:hAnsi="Arial" w:cs="Arial"/>
          <w:lang w:val="en-US"/>
        </w:rPr>
        <w:t xml:space="preserve">the previously published safety and efficacy </w:t>
      </w:r>
      <w:r>
        <w:rPr>
          <w:rFonts w:ascii="Arial" w:hAnsi="Arial" w:cs="Arial"/>
          <w:lang w:val="en-US"/>
        </w:rPr>
        <w:t xml:space="preserve">data obtained from the prior </w:t>
      </w:r>
      <w:r w:rsidR="0034599D">
        <w:rPr>
          <w:rFonts w:ascii="Arial" w:hAnsi="Arial" w:cs="Arial"/>
          <w:lang w:val="en-US"/>
        </w:rPr>
        <w:t>global phase I/II trial</w:t>
      </w:r>
      <w:r>
        <w:rPr>
          <w:rFonts w:ascii="Arial" w:hAnsi="Arial" w:cs="Arial"/>
          <w:lang w:val="en-US"/>
        </w:rPr>
        <w:t xml:space="preserve"> of glofitamab</w:t>
      </w:r>
      <w:r w:rsidR="0034599D">
        <w:rPr>
          <w:rFonts w:ascii="Arial" w:hAnsi="Arial" w:cs="Arial"/>
          <w:lang w:val="en-US"/>
        </w:rPr>
        <w:t xml:space="preserve"> </w:t>
      </w:r>
      <w:r w:rsidR="0034599D">
        <w:rPr>
          <w:rFonts w:ascii="Arial" w:hAnsi="Arial" w:cs="Arial"/>
          <w:lang w:val="en-US"/>
        </w:rPr>
        <w:fldChar w:fldCharType="begin">
          <w:fldData xml:space="preserve">PEVuZE5vdGU+PENpdGU+PEF1dGhvcj5IdXRjaGluZ3M8L0F1dGhvcj48WWVhcj4yMDIxPC9ZZWFy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</w:fldData>
        </w:fldChar>
      </w:r>
      <w:r w:rsidR="0034599D">
        <w:rPr>
          <w:rFonts w:ascii="Arial" w:hAnsi="Arial" w:cs="Arial"/>
          <w:lang w:val="en-US"/>
        </w:rPr>
        <w:instrText xml:space="preserve"> ADDIN EN.CITE </w:instrText>
      </w:r>
      <w:r w:rsidR="0034599D">
        <w:rPr>
          <w:rFonts w:ascii="Arial" w:hAnsi="Arial" w:cs="Arial"/>
          <w:lang w:val="en-US"/>
        </w:rPr>
        <w:fldChar w:fldCharType="begin">
          <w:fldData xml:space="preserve">PEVuZE5vdGU+PENpdGU+PEF1dGhvcj5IdXRjaGluZ3M8L0F1dGhvcj48WWVhcj4yMDIxPC9ZZWFy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</w:fldData>
        </w:fldChar>
      </w:r>
      <w:r w:rsidR="0034599D">
        <w:rPr>
          <w:rFonts w:ascii="Arial" w:hAnsi="Arial" w:cs="Arial"/>
          <w:lang w:val="en-US"/>
        </w:rPr>
        <w:instrText xml:space="preserve"> ADDIN EN.CITE.DATA </w:instrText>
      </w:r>
      <w:r w:rsidR="0034599D">
        <w:rPr>
          <w:rFonts w:ascii="Arial" w:hAnsi="Arial" w:cs="Arial"/>
          <w:lang w:val="en-US"/>
        </w:rPr>
      </w:r>
      <w:r w:rsidR="0034599D">
        <w:rPr>
          <w:rFonts w:ascii="Arial" w:hAnsi="Arial" w:cs="Arial"/>
          <w:lang w:val="en-US"/>
        </w:rPr>
        <w:fldChar w:fldCharType="end"/>
      </w:r>
      <w:r w:rsidR="0034599D">
        <w:rPr>
          <w:rFonts w:ascii="Arial" w:hAnsi="Arial" w:cs="Arial"/>
          <w:lang w:val="en-US"/>
        </w:rPr>
      </w:r>
      <w:r w:rsidR="0034599D">
        <w:rPr>
          <w:rFonts w:ascii="Arial" w:hAnsi="Arial" w:cs="Arial"/>
          <w:lang w:val="en-US"/>
        </w:rPr>
        <w:fldChar w:fldCharType="separate"/>
      </w:r>
      <w:r w:rsidR="0034599D">
        <w:rPr>
          <w:rFonts w:ascii="Arial" w:hAnsi="Arial" w:cs="Arial"/>
          <w:noProof/>
          <w:lang w:val="en-US"/>
        </w:rPr>
        <w:t>[1]</w:t>
      </w:r>
      <w:r w:rsidR="0034599D">
        <w:rPr>
          <w:rFonts w:ascii="Arial" w:hAnsi="Arial" w:cs="Arial"/>
          <w:lang w:val="en-US"/>
        </w:rPr>
        <w:fldChar w:fldCharType="end"/>
      </w:r>
      <w:r w:rsidR="00383181">
        <w:rPr>
          <w:rFonts w:ascii="Arial" w:hAnsi="Arial" w:cs="Arial"/>
          <w:lang w:val="en-US"/>
        </w:rPr>
        <w:t>.</w:t>
      </w:r>
      <w:r>
        <w:rPr>
          <w:rFonts w:ascii="Arial" w:hAnsi="Arial" w:cs="Arial"/>
          <w:lang w:val="en-US"/>
        </w:rPr>
        <w:t xml:space="preserve"> During </w:t>
      </w:r>
      <w:r w:rsidR="00DD0501">
        <w:rPr>
          <w:rFonts w:ascii="Arial" w:hAnsi="Arial" w:cs="Arial"/>
          <w:lang w:val="en-US"/>
        </w:rPr>
        <w:t>the global phase I/II</w:t>
      </w:r>
      <w:r>
        <w:rPr>
          <w:rFonts w:ascii="Arial" w:hAnsi="Arial" w:cs="Arial"/>
          <w:lang w:val="en-US"/>
        </w:rPr>
        <w:t xml:space="preserve"> </w:t>
      </w:r>
      <w:r w:rsidR="0034599D">
        <w:rPr>
          <w:rFonts w:ascii="Arial" w:hAnsi="Arial" w:cs="Arial"/>
          <w:lang w:val="en-US"/>
        </w:rPr>
        <w:t>trial</w:t>
      </w:r>
      <w:r>
        <w:rPr>
          <w:rFonts w:ascii="Arial" w:hAnsi="Arial" w:cs="Arial"/>
          <w:lang w:val="en-US"/>
        </w:rPr>
        <w:t xml:space="preserve"> it was established that step-up dosing and obinutuzumab pretreatment can mitigate the risk of cytokine release syndrome (CRS) and increase glofitamab efficacy. </w:t>
      </w:r>
    </w:p>
    <w:p w14:paraId="456CABDB" w14:textId="77777777" w:rsidR="0062530D" w:rsidRPr="003351B4" w:rsidRDefault="0062530D" w:rsidP="0062530D">
      <w:pPr>
        <w:spacing w:line="480" w:lineRule="auto"/>
        <w:rPr>
          <w:rFonts w:ascii="Arial" w:hAnsi="Arial" w:cs="Arial"/>
          <w:i/>
          <w:iCs/>
          <w:lang w:val="en-US"/>
        </w:rPr>
      </w:pPr>
      <w:r w:rsidRPr="003351B4">
        <w:rPr>
          <w:rFonts w:ascii="Arial" w:hAnsi="Arial" w:cs="Arial"/>
          <w:i/>
          <w:iCs/>
          <w:lang w:val="en-US"/>
        </w:rPr>
        <w:t>CRS management</w:t>
      </w:r>
    </w:p>
    <w:p w14:paraId="7509D20A" w14:textId="12593EA5" w:rsidR="0062530D" w:rsidRPr="003351B4" w:rsidRDefault="0062530D" w:rsidP="0062530D">
      <w:pPr>
        <w:spacing w:line="480" w:lineRule="auto"/>
        <w:rPr>
          <w:rFonts w:ascii="Arial" w:hAnsi="Arial" w:cs="Arial"/>
          <w:lang w:val="en-US"/>
        </w:rPr>
      </w:pPr>
      <w:r>
        <w:rPr>
          <w:rFonts w:ascii="Arial" w:hAnsi="Arial" w:cs="Arial"/>
          <w:lang w:val="en-US"/>
        </w:rPr>
        <w:t xml:space="preserve">Management for CRS depends on the severity of the event. If </w:t>
      </w:r>
      <w:r w:rsidR="00F20F2B">
        <w:rPr>
          <w:rFonts w:ascii="Arial" w:hAnsi="Arial" w:cs="Arial"/>
          <w:lang w:val="en-US"/>
        </w:rPr>
        <w:t>g</w:t>
      </w:r>
      <w:r w:rsidR="00950432">
        <w:rPr>
          <w:rFonts w:ascii="Arial" w:hAnsi="Arial" w:cs="Arial"/>
          <w:lang w:val="en-US"/>
        </w:rPr>
        <w:t xml:space="preserve">rade </w:t>
      </w:r>
      <w:r>
        <w:rPr>
          <w:rFonts w:ascii="Arial" w:hAnsi="Arial" w:cs="Arial"/>
          <w:lang w:val="en-US"/>
        </w:rPr>
        <w:t xml:space="preserve">1 CRS occurs </w:t>
      </w:r>
      <w:r w:rsidR="00F76CBD">
        <w:rPr>
          <w:rFonts w:ascii="Arial" w:hAnsi="Arial" w:cs="Arial"/>
          <w:lang w:val="en-US"/>
        </w:rPr>
        <w:t xml:space="preserve">during </w:t>
      </w:r>
      <w:r>
        <w:rPr>
          <w:rFonts w:ascii="Arial" w:hAnsi="Arial" w:cs="Arial"/>
          <w:lang w:val="en-US"/>
        </w:rPr>
        <w:t xml:space="preserve">glofitamab administration, treatment should be </w:t>
      </w:r>
      <w:r w:rsidR="00F76CBD">
        <w:rPr>
          <w:rFonts w:ascii="Arial" w:hAnsi="Arial" w:cs="Arial"/>
          <w:lang w:val="en-US"/>
        </w:rPr>
        <w:t>interrupted</w:t>
      </w:r>
      <w:r>
        <w:rPr>
          <w:rFonts w:ascii="Arial" w:hAnsi="Arial" w:cs="Arial"/>
          <w:lang w:val="en-US"/>
        </w:rPr>
        <w:t xml:space="preserve"> until the </w:t>
      </w:r>
      <w:r w:rsidR="00F76CBD">
        <w:rPr>
          <w:rFonts w:ascii="Arial" w:hAnsi="Arial" w:cs="Arial"/>
          <w:lang w:val="en-US"/>
        </w:rPr>
        <w:t>event</w:t>
      </w:r>
      <w:r>
        <w:rPr>
          <w:rFonts w:ascii="Arial" w:hAnsi="Arial" w:cs="Arial"/>
          <w:lang w:val="en-US"/>
        </w:rPr>
        <w:t xml:space="preserve"> has resolved itself. If CRS persists for more than two days, tocilizumab is recommended. The addition of corticosteroids to tocilizumab may be considered at the discretion of the investigator or sub investigator. For </w:t>
      </w:r>
      <w:r w:rsidR="00F20F2B">
        <w:rPr>
          <w:rFonts w:ascii="Arial" w:hAnsi="Arial" w:cs="Arial"/>
          <w:lang w:val="en-US"/>
        </w:rPr>
        <w:t>g</w:t>
      </w:r>
      <w:r>
        <w:rPr>
          <w:rFonts w:ascii="Arial" w:hAnsi="Arial" w:cs="Arial"/>
          <w:lang w:val="en-US"/>
        </w:rPr>
        <w:t>rade 2 CRS, glofitamab should be discontinued until the next scheduled dosing date</w:t>
      </w:r>
      <w:r w:rsidR="00192F46">
        <w:rPr>
          <w:rFonts w:ascii="Arial" w:hAnsi="Arial" w:cs="Arial"/>
          <w:lang w:val="en-US"/>
        </w:rPr>
        <w:t xml:space="preserve"> and t</w:t>
      </w:r>
      <w:r>
        <w:rPr>
          <w:rFonts w:ascii="Arial" w:hAnsi="Arial" w:cs="Arial"/>
          <w:lang w:val="en-US"/>
        </w:rPr>
        <w:t xml:space="preserve">ocilizumab and corticosteroids should be administered. If there is no improvement 8–12 </w:t>
      </w:r>
      <w:r w:rsidR="00E90D55">
        <w:rPr>
          <w:rFonts w:ascii="Arial" w:hAnsi="Arial" w:cs="Arial"/>
          <w:lang w:val="en-US"/>
        </w:rPr>
        <w:t xml:space="preserve">hours </w:t>
      </w:r>
      <w:r>
        <w:rPr>
          <w:rFonts w:ascii="Arial" w:hAnsi="Arial" w:cs="Arial"/>
          <w:lang w:val="en-US"/>
        </w:rPr>
        <w:t xml:space="preserve">after tocilizumab initiation, management in the intensive care unit (ICU) should be considered. If </w:t>
      </w:r>
      <w:r w:rsidR="00F20F2B">
        <w:rPr>
          <w:rFonts w:ascii="Arial" w:hAnsi="Arial" w:cs="Arial"/>
          <w:lang w:val="en-US"/>
        </w:rPr>
        <w:t>g</w:t>
      </w:r>
      <w:r>
        <w:rPr>
          <w:rFonts w:ascii="Arial" w:hAnsi="Arial" w:cs="Arial"/>
          <w:lang w:val="en-US"/>
        </w:rPr>
        <w:t>rade 3 CRS occurs, patients should be premedicated with acetaminophen and an antihistamine for all subsequent glofitamab infusions. Corticosteroids and tocilizumab should be administered and hospitalization considered for management and next dose date. If</w:t>
      </w:r>
      <w:r w:rsidR="00E90D55">
        <w:rPr>
          <w:rFonts w:ascii="Arial" w:hAnsi="Arial" w:cs="Arial"/>
          <w:lang w:val="en-US"/>
        </w:rPr>
        <w:t xml:space="preserve"> </w:t>
      </w:r>
      <w:r w:rsidR="00F20F2B">
        <w:rPr>
          <w:rFonts w:ascii="Arial" w:hAnsi="Arial" w:cs="Arial"/>
          <w:lang w:val="en-US"/>
        </w:rPr>
        <w:t>g</w:t>
      </w:r>
      <w:r>
        <w:rPr>
          <w:rFonts w:ascii="Arial" w:hAnsi="Arial" w:cs="Arial"/>
          <w:lang w:val="en-US"/>
        </w:rPr>
        <w:t xml:space="preserve">rade 3 or higher CRS recurs, glofitamab should be discontinued permanently. If </w:t>
      </w:r>
      <w:r w:rsidR="00F20F2B">
        <w:rPr>
          <w:rFonts w:ascii="Arial" w:hAnsi="Arial" w:cs="Arial"/>
          <w:lang w:val="en-US"/>
        </w:rPr>
        <w:t>g</w:t>
      </w:r>
      <w:r>
        <w:rPr>
          <w:rFonts w:ascii="Arial" w:hAnsi="Arial" w:cs="Arial"/>
          <w:lang w:val="en-US"/>
        </w:rPr>
        <w:t>rade 4 CRS occurs, glofitamab should be discontinued</w:t>
      </w:r>
      <w:r w:rsidR="00950432">
        <w:rPr>
          <w:rFonts w:ascii="Arial" w:hAnsi="Arial" w:cs="Arial"/>
          <w:lang w:val="en-US"/>
        </w:rPr>
        <w:t>; t</w:t>
      </w:r>
      <w:r>
        <w:rPr>
          <w:rFonts w:ascii="Arial" w:hAnsi="Arial" w:cs="Arial"/>
          <w:lang w:val="en-US"/>
        </w:rPr>
        <w:t xml:space="preserve">ocilizumab and corticosteroids should be administered, and the patient should be managed in the ICU. </w:t>
      </w:r>
    </w:p>
    <w:p w14:paraId="074F72D8" w14:textId="77777777" w:rsidR="00F76CBD" w:rsidRDefault="00F76CBD" w:rsidP="0062530D">
      <w:pPr>
        <w:spacing w:line="480" w:lineRule="auto"/>
        <w:rPr>
          <w:rFonts w:ascii="Arial" w:hAnsi="Arial" w:cs="Arial"/>
          <w:i/>
          <w:iCs/>
          <w:lang w:val="en-US"/>
        </w:rPr>
      </w:pPr>
    </w:p>
    <w:p w14:paraId="14CBAF8A" w14:textId="6A242294" w:rsidR="0062530D" w:rsidRPr="003351B4" w:rsidRDefault="0062530D" w:rsidP="0062530D">
      <w:pPr>
        <w:spacing w:line="480" w:lineRule="auto"/>
        <w:rPr>
          <w:rFonts w:ascii="Arial" w:hAnsi="Arial" w:cs="Arial"/>
          <w:i/>
          <w:iCs/>
          <w:lang w:val="en-US"/>
        </w:rPr>
      </w:pPr>
      <w:r w:rsidRPr="003351B4">
        <w:rPr>
          <w:rFonts w:ascii="Arial" w:hAnsi="Arial" w:cs="Arial"/>
          <w:i/>
          <w:iCs/>
          <w:lang w:val="en-US"/>
        </w:rPr>
        <w:lastRenderedPageBreak/>
        <w:t>Inclusion criteria</w:t>
      </w:r>
    </w:p>
    <w:p w14:paraId="6519F5CE" w14:textId="77777777" w:rsidR="0062530D" w:rsidRPr="003E5F69" w:rsidRDefault="0062530D" w:rsidP="0062530D">
      <w:pPr>
        <w:spacing w:line="480" w:lineRule="auto"/>
        <w:rPr>
          <w:rFonts w:ascii="Arial" w:hAnsi="Arial" w:cs="Arial"/>
          <w:lang w:val="en-US" w:eastAsia="ja-JP"/>
        </w:rPr>
      </w:pPr>
      <w:r>
        <w:rPr>
          <w:rFonts w:ascii="Arial" w:hAnsi="Arial" w:cs="Arial"/>
          <w:lang w:val="en-US" w:eastAsia="ja-JP"/>
        </w:rPr>
        <w:t>Patients</w:t>
      </w:r>
      <w:r w:rsidRPr="003E5F69">
        <w:rPr>
          <w:rFonts w:ascii="Arial" w:hAnsi="Arial" w:cs="Arial"/>
          <w:lang w:val="en-US" w:eastAsia="ja-JP"/>
        </w:rPr>
        <w:t xml:space="preserve"> who me</w:t>
      </w:r>
      <w:r>
        <w:rPr>
          <w:rFonts w:ascii="Arial" w:hAnsi="Arial" w:cs="Arial"/>
          <w:lang w:val="en-US" w:eastAsia="ja-JP"/>
        </w:rPr>
        <w:t>t</w:t>
      </w:r>
      <w:r w:rsidRPr="003E5F69">
        <w:rPr>
          <w:rFonts w:ascii="Arial" w:hAnsi="Arial" w:cs="Arial"/>
          <w:lang w:val="en-US" w:eastAsia="ja-JP"/>
        </w:rPr>
        <w:t xml:space="preserve"> the following criteria </w:t>
      </w:r>
      <w:r>
        <w:rPr>
          <w:rFonts w:ascii="Arial" w:hAnsi="Arial" w:cs="Arial"/>
          <w:lang w:val="en-US" w:eastAsia="ja-JP"/>
        </w:rPr>
        <w:t xml:space="preserve">were </w:t>
      </w:r>
      <w:r w:rsidRPr="003E5F69">
        <w:rPr>
          <w:rFonts w:ascii="Arial" w:hAnsi="Arial" w:cs="Arial"/>
          <w:lang w:val="en-US" w:eastAsia="ja-JP"/>
        </w:rPr>
        <w:t>included in the study:</w:t>
      </w:r>
    </w:p>
    <w:p w14:paraId="2FF7D447"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Have received a full explanation of the details of the study and given their written consent.</w:t>
      </w:r>
    </w:p>
    <w:p w14:paraId="5197659C"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Age at the time of informed consent 20 years or older.</w:t>
      </w:r>
    </w:p>
    <w:p w14:paraId="3821E5E4"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Eastern Cooperative Oncology Group </w:t>
      </w:r>
      <w:r>
        <w:rPr>
          <w:rFonts w:ascii="Arial" w:hAnsi="Arial" w:cs="Arial"/>
          <w:lang w:val="en-US" w:eastAsia="ja-JP"/>
        </w:rPr>
        <w:t>p</w:t>
      </w:r>
      <w:r w:rsidRPr="00112CAC">
        <w:rPr>
          <w:rFonts w:ascii="Arial" w:hAnsi="Arial" w:cs="Arial"/>
          <w:lang w:val="en-US" w:eastAsia="ja-JP"/>
        </w:rPr>
        <w:t xml:space="preserve">erformance </w:t>
      </w:r>
      <w:r>
        <w:rPr>
          <w:rFonts w:ascii="Arial" w:hAnsi="Arial" w:cs="Arial"/>
          <w:lang w:val="en-US" w:eastAsia="ja-JP"/>
        </w:rPr>
        <w:t>s</w:t>
      </w:r>
      <w:r w:rsidRPr="00112CAC">
        <w:rPr>
          <w:rFonts w:ascii="Arial" w:hAnsi="Arial" w:cs="Arial"/>
          <w:lang w:val="en-US" w:eastAsia="ja-JP"/>
        </w:rPr>
        <w:t>tatus</w:t>
      </w:r>
      <w:r>
        <w:rPr>
          <w:rFonts w:ascii="Arial" w:hAnsi="Arial" w:cs="Arial"/>
          <w:lang w:val="en-US" w:eastAsia="ja-JP"/>
        </w:rPr>
        <w:t xml:space="preserve"> (ECOG PS)</w:t>
      </w:r>
      <w:r w:rsidRPr="00112CAC">
        <w:rPr>
          <w:rFonts w:ascii="Arial" w:hAnsi="Arial" w:cs="Arial"/>
          <w:lang w:val="en-US" w:eastAsia="ja-JP"/>
        </w:rPr>
        <w:t xml:space="preserve"> of 0 or 1.</w:t>
      </w:r>
    </w:p>
    <w:p w14:paraId="077D3BF7"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Pr>
          <w:rFonts w:ascii="Arial" w:hAnsi="Arial" w:cs="Arial"/>
          <w:lang w:val="en-US" w:eastAsia="ja-JP"/>
        </w:rPr>
        <w:t>Patients are expected to survive for at least 12 weeks from the date of enrollment.</w:t>
      </w:r>
      <w:r w:rsidRPr="00112CAC">
        <w:rPr>
          <w:rFonts w:ascii="Arial" w:hAnsi="Arial" w:cs="Arial"/>
          <w:lang w:val="en-US" w:eastAsia="ja-JP"/>
        </w:rPr>
        <w:t xml:space="preserve"> </w:t>
      </w:r>
    </w:p>
    <w:p w14:paraId="6A7227ED" w14:textId="10A26126"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Histologically confirmed CD20-positive B-cell </w:t>
      </w:r>
      <w:r>
        <w:rPr>
          <w:rFonts w:ascii="Arial" w:hAnsi="Arial" w:cs="Arial"/>
          <w:lang w:val="en-US" w:eastAsia="ja-JP"/>
        </w:rPr>
        <w:t>non-Hodgkin lymphoma (B-</w:t>
      </w:r>
      <w:r w:rsidRPr="00112CAC">
        <w:rPr>
          <w:rFonts w:ascii="Arial" w:hAnsi="Arial" w:cs="Arial"/>
          <w:lang w:val="en-US" w:eastAsia="ja-JP"/>
        </w:rPr>
        <w:t>NHL</w:t>
      </w:r>
      <w:r>
        <w:rPr>
          <w:rFonts w:ascii="Arial" w:hAnsi="Arial" w:cs="Arial"/>
          <w:lang w:val="en-US" w:eastAsia="ja-JP"/>
        </w:rPr>
        <w:t>)</w:t>
      </w:r>
      <w:r w:rsidRPr="00112CAC">
        <w:rPr>
          <w:rFonts w:ascii="Arial" w:hAnsi="Arial" w:cs="Arial"/>
          <w:lang w:val="en-US" w:eastAsia="ja-JP"/>
        </w:rPr>
        <w:t xml:space="preserve"> including any of the following: </w:t>
      </w:r>
      <w:r>
        <w:rPr>
          <w:rFonts w:ascii="Arial" w:hAnsi="Arial" w:cs="Arial"/>
          <w:lang w:val="en-US" w:eastAsia="ja-JP"/>
        </w:rPr>
        <w:t>follicular lymphoma (</w:t>
      </w:r>
      <w:r w:rsidRPr="00112CAC">
        <w:rPr>
          <w:rFonts w:ascii="Arial" w:hAnsi="Arial" w:cs="Arial"/>
          <w:lang w:val="en-US" w:eastAsia="ja-JP"/>
        </w:rPr>
        <w:t>FL</w:t>
      </w:r>
      <w:r>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diffu</w:t>
      </w:r>
      <w:r w:rsidR="00733B88">
        <w:rPr>
          <w:rFonts w:ascii="Arial" w:hAnsi="Arial" w:cs="Arial"/>
          <w:lang w:val="en-US" w:eastAsia="ja-JP"/>
        </w:rPr>
        <w:t>s</w:t>
      </w:r>
      <w:r>
        <w:rPr>
          <w:rFonts w:ascii="Arial" w:hAnsi="Arial" w:cs="Arial"/>
          <w:lang w:val="en-US" w:eastAsia="ja-JP"/>
        </w:rPr>
        <w:t>e large B-cell lymphoma (</w:t>
      </w:r>
      <w:r w:rsidRPr="00112CAC">
        <w:rPr>
          <w:rFonts w:ascii="Arial" w:hAnsi="Arial" w:cs="Arial"/>
          <w:lang w:val="en-US" w:eastAsia="ja-JP"/>
        </w:rPr>
        <w:t>DLBCL</w:t>
      </w:r>
      <w:r>
        <w:rPr>
          <w:rFonts w:ascii="Arial" w:hAnsi="Arial" w:cs="Arial"/>
          <w:lang w:val="en-US" w:eastAsia="ja-JP"/>
        </w:rPr>
        <w:t>)</w:t>
      </w:r>
      <w:r w:rsidRPr="00112CAC">
        <w:rPr>
          <w:rFonts w:ascii="Arial" w:hAnsi="Arial" w:cs="Arial"/>
          <w:lang w:val="en-US" w:eastAsia="ja-JP"/>
        </w:rPr>
        <w:t>, marginal zone lymphoma, mantle cell lymphoma, primary mediastinal large B-cell lymphoma, or transformed FL.</w:t>
      </w:r>
    </w:p>
    <w:p w14:paraId="3872ADF4"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For relapsed or refractory</w:t>
      </w:r>
      <w:r>
        <w:rPr>
          <w:rFonts w:ascii="Arial" w:hAnsi="Arial" w:cs="Arial"/>
          <w:lang w:val="en-US" w:eastAsia="ja-JP"/>
        </w:rPr>
        <w:t xml:space="preserve"> (R/R)</w:t>
      </w:r>
      <w:r w:rsidRPr="00112CAC">
        <w:rPr>
          <w:rFonts w:ascii="Arial" w:hAnsi="Arial" w:cs="Arial"/>
          <w:lang w:val="en-US" w:eastAsia="ja-JP"/>
        </w:rPr>
        <w:t xml:space="preserve"> B-NHL, there is no alternative preferred standard treatment (</w:t>
      </w:r>
      <w:r>
        <w:rPr>
          <w:rFonts w:ascii="Arial" w:hAnsi="Arial" w:cs="Arial"/>
          <w:lang w:val="en-US" w:eastAsia="ja-JP"/>
        </w:rPr>
        <w:t>s</w:t>
      </w:r>
      <w:r w:rsidRPr="00112CAC">
        <w:rPr>
          <w:rFonts w:ascii="Arial" w:hAnsi="Arial" w:cs="Arial"/>
          <w:lang w:val="en-US" w:eastAsia="ja-JP"/>
        </w:rPr>
        <w:t>tandard chemotherapy, autologous hematopoietic stem cell transplantation, etc.).</w:t>
      </w:r>
    </w:p>
    <w:p w14:paraId="228830F9"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Able to provide tumor tissue samples that meet all of the following criteria:</w:t>
      </w:r>
    </w:p>
    <w:p w14:paraId="5DCB974C" w14:textId="77777777"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 xml:space="preserve">Tumor tissue samples treated with formalin-fixed paraffin block or unstained slides </w:t>
      </w:r>
    </w:p>
    <w:p w14:paraId="66782C74" w14:textId="77777777"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Samples collected after the last dose of prior treatment (</w:t>
      </w:r>
      <w:r>
        <w:rPr>
          <w:rFonts w:ascii="Arial" w:hAnsi="Arial" w:cs="Arial"/>
          <w:lang w:val="en-US" w:eastAsia="ja-JP"/>
        </w:rPr>
        <w:t>h</w:t>
      </w:r>
      <w:r w:rsidRPr="00112CAC">
        <w:rPr>
          <w:rFonts w:ascii="Arial" w:hAnsi="Arial" w:cs="Arial"/>
          <w:lang w:val="en-US" w:eastAsia="ja-JP"/>
        </w:rPr>
        <w:t>owever, even if this procedure cannot be performed, substitution with a sample before the last dose of the previous treatment may be accepted after prior discussion with the sponsor)</w:t>
      </w:r>
    </w:p>
    <w:p w14:paraId="2B4E42EC" w14:textId="77777777"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There should be no findings suggestive of transformation or histological type change from the time of tumor tissue sample collection.</w:t>
      </w:r>
    </w:p>
    <w:p w14:paraId="746A16F9"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lastRenderedPageBreak/>
        <w:t xml:space="preserve">Before enrollment major organ function within </w:t>
      </w:r>
      <w:r>
        <w:rPr>
          <w:rFonts w:ascii="Arial" w:hAnsi="Arial" w:cs="Arial"/>
          <w:lang w:val="en-US" w:eastAsia="ja-JP"/>
        </w:rPr>
        <w:t xml:space="preserve">two </w:t>
      </w:r>
      <w:r w:rsidRPr="00112CAC">
        <w:rPr>
          <w:rFonts w:ascii="Arial" w:hAnsi="Arial" w:cs="Arial"/>
          <w:lang w:val="en-US" w:eastAsia="ja-JP"/>
        </w:rPr>
        <w:t>weeks meets all of the following criteria. If more than one test result is available during this period, the latest one before enrollment will be adopted.</w:t>
      </w:r>
    </w:p>
    <w:p w14:paraId="250033FD" w14:textId="35AE66C9" w:rsidR="0062530D" w:rsidRPr="00112CAC" w:rsidRDefault="0062530D" w:rsidP="00FE0B80">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Neutrophil coun</w:t>
      </w:r>
      <w:r>
        <w:rPr>
          <w:rFonts w:ascii="Arial" w:hAnsi="Arial" w:cs="Arial"/>
          <w:lang w:val="en-US" w:eastAsia="ja-JP"/>
        </w:rPr>
        <w:t>t</w:t>
      </w:r>
      <w:r w:rsidRPr="00112CAC">
        <w:rPr>
          <w:rFonts w:ascii="Arial" w:hAnsi="Arial" w:cs="Arial"/>
          <w:lang w:val="en-US" w:eastAsia="ja-JP"/>
        </w:rPr>
        <w:t xml:space="preserve"> 1,500</w:t>
      </w:r>
      <w:r>
        <w:rPr>
          <w:rFonts w:ascii="Arial" w:hAnsi="Arial" w:cs="Arial"/>
          <w:lang w:val="en-US" w:eastAsia="ja-JP"/>
        </w:rPr>
        <w:t>/</w:t>
      </w:r>
      <w:r w:rsidRPr="00E246CC">
        <w:rPr>
          <w:rFonts w:ascii="Arial" w:hAnsi="Arial" w:cs="Arial"/>
          <w:lang w:eastAsia="ja-JP"/>
        </w:rPr>
        <w:t>μ</w:t>
      </w:r>
      <w:r w:rsidR="00AD751E">
        <w:rPr>
          <w:rFonts w:ascii="Arial" w:hAnsi="Arial" w:cs="Arial"/>
          <w:lang w:eastAsia="ja-JP"/>
        </w:rPr>
        <w:t>L</w:t>
      </w:r>
      <w:r>
        <w:rPr>
          <w:rFonts w:ascii="Arial" w:hAnsi="Arial" w:cs="Arial"/>
          <w:lang w:val="en-US" w:eastAsia="ja-JP"/>
        </w:rPr>
        <w:t xml:space="preserve"> or more</w:t>
      </w:r>
    </w:p>
    <w:p w14:paraId="13D7292F" w14:textId="55C564D3" w:rsidR="0062530D" w:rsidRPr="00112CAC" w:rsidRDefault="0062530D" w:rsidP="00FE0B80">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Platelet count 75,000/</w:t>
      </w:r>
      <w:r w:rsidRPr="00E74F3F">
        <w:rPr>
          <w:rFonts w:ascii="Arial" w:hAnsi="Arial" w:cs="Arial"/>
          <w:lang w:eastAsia="ja-JP"/>
        </w:rPr>
        <w:t>μ</w:t>
      </w:r>
      <w:r w:rsidR="00AD751E">
        <w:rPr>
          <w:rFonts w:ascii="Arial" w:hAnsi="Arial" w:cs="Arial"/>
          <w:lang w:eastAsia="ja-JP"/>
        </w:rPr>
        <w:t>L</w:t>
      </w:r>
      <w:r w:rsidRPr="00E74F3F">
        <w:rPr>
          <w:rFonts w:ascii="Arial" w:hAnsi="Arial" w:cs="Arial"/>
          <w:lang w:val="en-US" w:eastAsia="ja-JP"/>
        </w:rPr>
        <w:t xml:space="preserve"> </w:t>
      </w:r>
      <w:r w:rsidRPr="00112CAC">
        <w:rPr>
          <w:rFonts w:ascii="Arial" w:hAnsi="Arial" w:cs="Arial"/>
          <w:lang w:val="en-US" w:eastAsia="ja-JP"/>
        </w:rPr>
        <w:t>or more</w:t>
      </w:r>
    </w:p>
    <w:p w14:paraId="4053B35C" w14:textId="2EC5FD4E" w:rsidR="0062530D" w:rsidRPr="00112CAC" w:rsidRDefault="0062530D" w:rsidP="00FE0B80">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Hemoglobin</w:t>
      </w:r>
      <w:r>
        <w:rPr>
          <w:rFonts w:ascii="Arial" w:hAnsi="Arial" w:cs="Arial"/>
          <w:lang w:val="en-US" w:eastAsia="ja-JP"/>
        </w:rPr>
        <w:t xml:space="preserve"> </w:t>
      </w:r>
      <w:r w:rsidRPr="00112CAC">
        <w:rPr>
          <w:rFonts w:ascii="Arial" w:hAnsi="Arial" w:cs="Arial"/>
          <w:lang w:val="en-US" w:eastAsia="ja-JP"/>
        </w:rPr>
        <w:t>9</w:t>
      </w:r>
      <w:r w:rsidR="00F76CBD">
        <w:rPr>
          <w:rFonts w:ascii="Arial" w:hAnsi="Arial" w:cs="Arial"/>
          <w:lang w:val="en-US" w:eastAsia="ja-JP"/>
        </w:rPr>
        <w:t xml:space="preserve">.0 </w:t>
      </w:r>
      <w:r w:rsidRPr="00112CAC">
        <w:rPr>
          <w:rFonts w:ascii="Arial" w:hAnsi="Arial" w:cs="Arial"/>
          <w:lang w:val="en-US" w:eastAsia="ja-JP"/>
        </w:rPr>
        <w:t>g/dL or higher</w:t>
      </w:r>
    </w:p>
    <w:p w14:paraId="6614AE9B" w14:textId="27B80C1F" w:rsidR="0062530D" w:rsidRPr="00112CAC" w:rsidRDefault="0062530D" w:rsidP="00FE0B80">
      <w:pPr>
        <w:pStyle w:val="ListParagraph"/>
        <w:numPr>
          <w:ilvl w:val="1"/>
          <w:numId w:val="1"/>
        </w:numPr>
        <w:spacing w:line="480" w:lineRule="auto"/>
        <w:rPr>
          <w:rFonts w:ascii="Arial" w:hAnsi="Arial" w:cs="Arial"/>
          <w:lang w:val="en-US" w:eastAsia="ja-JP"/>
        </w:rPr>
      </w:pPr>
      <w:r>
        <w:rPr>
          <w:rFonts w:ascii="Arial" w:hAnsi="Arial" w:cs="Arial"/>
          <w:lang w:val="en-US" w:eastAsia="ja-JP"/>
        </w:rPr>
        <w:t>Aspartate aminotransferase (</w:t>
      </w:r>
      <w:r w:rsidRPr="00112CAC">
        <w:rPr>
          <w:rFonts w:ascii="Arial" w:hAnsi="Arial" w:cs="Arial"/>
          <w:lang w:val="en-US" w:eastAsia="ja-JP"/>
        </w:rPr>
        <w:t>AST</w:t>
      </w:r>
      <w:r>
        <w:rPr>
          <w:rFonts w:ascii="Arial" w:hAnsi="Arial" w:cs="Arial"/>
          <w:lang w:val="en-US" w:eastAsia="ja-JP"/>
        </w:rPr>
        <w:t>)</w:t>
      </w:r>
      <w:r w:rsidR="00AD751E">
        <w:rPr>
          <w:rFonts w:ascii="Arial" w:hAnsi="Arial" w:cs="Arial"/>
          <w:lang w:val="en-US" w:eastAsia="ja-JP"/>
        </w:rPr>
        <w:t xml:space="preserve"> and/or</w:t>
      </w:r>
      <w:r>
        <w:rPr>
          <w:rFonts w:ascii="Arial" w:hAnsi="Arial" w:cs="Arial"/>
          <w:lang w:val="en-US" w:eastAsia="ja-JP"/>
        </w:rPr>
        <w:t xml:space="preserve"> alanine aminotransferase</w:t>
      </w:r>
      <w:r w:rsidRPr="00112CAC">
        <w:rPr>
          <w:rFonts w:ascii="Arial" w:hAnsi="Arial" w:cs="Arial"/>
          <w:lang w:val="en-US" w:eastAsia="ja-JP"/>
        </w:rPr>
        <w:t xml:space="preserve"> </w:t>
      </w:r>
      <w:r>
        <w:rPr>
          <w:rFonts w:ascii="Arial" w:hAnsi="Arial" w:cs="Arial"/>
          <w:lang w:val="en-US" w:eastAsia="ja-JP"/>
        </w:rPr>
        <w:t>(</w:t>
      </w:r>
      <w:r w:rsidRPr="00112CAC">
        <w:rPr>
          <w:rFonts w:ascii="Arial" w:hAnsi="Arial" w:cs="Arial"/>
          <w:lang w:val="en-US" w:eastAsia="ja-JP"/>
        </w:rPr>
        <w:t>ALT</w:t>
      </w:r>
      <w:r>
        <w:rPr>
          <w:rFonts w:ascii="Arial" w:hAnsi="Arial" w:cs="Arial"/>
          <w:lang w:val="en-US" w:eastAsia="ja-JP"/>
        </w:rPr>
        <w:t>)</w:t>
      </w:r>
      <w:r w:rsidRPr="00112CAC">
        <w:rPr>
          <w:rFonts w:ascii="Arial" w:hAnsi="Arial" w:cs="Arial"/>
          <w:lang w:val="en-US" w:eastAsia="ja-JP"/>
        </w:rPr>
        <w:t xml:space="preserve"> </w:t>
      </w:r>
      <w:r w:rsidR="00C62D51">
        <w:rPr>
          <w:rFonts w:ascii="Arial" w:hAnsi="Arial" w:cs="Arial"/>
          <w:lang w:val="en" w:eastAsia="ja-JP"/>
        </w:rPr>
        <w:t>≤</w:t>
      </w:r>
      <w:r w:rsidRPr="003E5F69">
        <w:rPr>
          <w:rFonts w:ascii="Arial" w:hAnsi="Arial" w:cs="Arial"/>
          <w:lang w:val="en" w:eastAsia="ja-JP"/>
        </w:rPr>
        <w:t xml:space="preserve">3x </w:t>
      </w:r>
      <w:r>
        <w:rPr>
          <w:rFonts w:ascii="Arial" w:hAnsi="Arial" w:cs="Arial"/>
          <w:lang w:val="en" w:eastAsia="ja-JP"/>
        </w:rPr>
        <w:t>upper limit of normal (</w:t>
      </w:r>
      <w:r w:rsidRPr="003E5F69">
        <w:rPr>
          <w:rFonts w:ascii="Arial" w:hAnsi="Arial" w:cs="Arial"/>
          <w:lang w:val="en" w:eastAsia="ja-JP"/>
        </w:rPr>
        <w:t>ULN</w:t>
      </w:r>
      <w:r>
        <w:rPr>
          <w:rFonts w:ascii="Arial" w:hAnsi="Arial" w:cs="Arial"/>
          <w:lang w:val="en" w:eastAsia="ja-JP"/>
        </w:rPr>
        <w:t>)</w:t>
      </w:r>
    </w:p>
    <w:p w14:paraId="427B5683" w14:textId="5AB5C61F" w:rsidR="0062530D" w:rsidRPr="0034599D" w:rsidRDefault="0062530D" w:rsidP="00FE0B80">
      <w:pPr>
        <w:pStyle w:val="ListParagraph"/>
        <w:numPr>
          <w:ilvl w:val="1"/>
          <w:numId w:val="1"/>
        </w:numPr>
        <w:spacing w:line="480" w:lineRule="auto"/>
        <w:rPr>
          <w:rFonts w:ascii="Arial" w:hAnsi="Arial" w:cs="Arial"/>
          <w:lang w:val="en" w:eastAsia="ja-JP"/>
        </w:rPr>
      </w:pPr>
      <w:r w:rsidRPr="003E5F69">
        <w:rPr>
          <w:rFonts w:ascii="Arial" w:hAnsi="Arial" w:cs="Arial"/>
          <w:lang w:val="en-US" w:eastAsia="ja-JP"/>
        </w:rPr>
        <w:t xml:space="preserve">Total </w:t>
      </w:r>
      <w:r w:rsidRPr="0034599D">
        <w:rPr>
          <w:rFonts w:ascii="Arial" w:hAnsi="Arial" w:cs="Arial"/>
          <w:lang w:val="en-US" w:eastAsia="ja-JP"/>
        </w:rPr>
        <w:t>bilirubin</w:t>
      </w:r>
      <w:r w:rsidRPr="0034599D">
        <w:rPr>
          <w:rFonts w:ascii="Arial" w:hAnsi="Arial" w:cs="Arial"/>
          <w:lang w:val="en-US" w:eastAsia="ja-JP"/>
        </w:rPr>
        <w:tab/>
      </w:r>
      <w:r w:rsidR="00C62D51">
        <w:rPr>
          <w:rFonts w:ascii="Arial" w:hAnsi="Arial" w:cs="Arial"/>
          <w:lang w:val="en" w:eastAsia="ja-JP"/>
        </w:rPr>
        <w:t>≤</w:t>
      </w:r>
      <w:r w:rsidRPr="0034599D">
        <w:rPr>
          <w:rFonts w:ascii="Arial" w:hAnsi="Arial" w:cs="Arial"/>
          <w:lang w:val="en" w:eastAsia="ja-JP"/>
        </w:rPr>
        <w:t>1.5x ULN (</w:t>
      </w:r>
      <w:r w:rsidRPr="0034599D">
        <w:rPr>
          <w:rFonts w:ascii="Arial" w:hAnsi="Arial" w:cs="Arial"/>
          <w:lang w:val="en-US" w:eastAsia="ja-JP"/>
        </w:rPr>
        <w:t>if Gilbert's syndrome</w:t>
      </w:r>
      <w:r w:rsidR="00F76CBD">
        <w:rPr>
          <w:rFonts w:ascii="Arial" w:hAnsi="Arial" w:cs="Arial"/>
          <w:lang w:val="en-US" w:eastAsia="ja-JP"/>
        </w:rPr>
        <w:t xml:space="preserve">, </w:t>
      </w:r>
      <w:r w:rsidR="00F76CBD" w:rsidRPr="0034599D">
        <w:rPr>
          <w:rFonts w:ascii="Arial" w:hAnsi="Arial" w:cs="Arial"/>
          <w:lang w:val="en-US" w:eastAsia="ja-JP"/>
        </w:rPr>
        <w:t>≥3x ULN</w:t>
      </w:r>
      <w:r w:rsidRPr="0034599D">
        <w:rPr>
          <w:rFonts w:ascii="Arial" w:hAnsi="Arial" w:cs="Arial"/>
          <w:lang w:val="en-US" w:eastAsia="ja-JP"/>
        </w:rPr>
        <w:t>)</w:t>
      </w:r>
    </w:p>
    <w:p w14:paraId="321C12AC" w14:textId="0A7E6A55" w:rsidR="0062530D" w:rsidRPr="00FE0B80" w:rsidRDefault="0062530D" w:rsidP="00FE0B80">
      <w:pPr>
        <w:pStyle w:val="ListParagraph"/>
        <w:numPr>
          <w:ilvl w:val="1"/>
          <w:numId w:val="1"/>
        </w:numPr>
        <w:spacing w:line="480" w:lineRule="auto"/>
        <w:rPr>
          <w:rFonts w:ascii="Arial" w:hAnsi="Arial" w:cs="Arial"/>
          <w:lang w:val="en-US" w:eastAsia="ja-JP"/>
        </w:rPr>
      </w:pPr>
      <w:r w:rsidRPr="0034599D">
        <w:rPr>
          <w:rFonts w:ascii="Arial" w:hAnsi="Arial" w:cs="Arial"/>
          <w:lang w:val="en-US" w:eastAsia="ja-JP"/>
        </w:rPr>
        <w:t>Serum creatinine</w:t>
      </w:r>
      <w:r w:rsidR="00192F46" w:rsidRPr="0034599D">
        <w:rPr>
          <w:rFonts w:ascii="Arial" w:hAnsi="Arial" w:cs="Arial"/>
          <w:lang w:val="en-US" w:eastAsia="ja-JP"/>
        </w:rPr>
        <w:t xml:space="preserve"> </w:t>
      </w:r>
      <w:r w:rsidR="00C62D51">
        <w:rPr>
          <w:rFonts w:ascii="Arial" w:hAnsi="Arial" w:cs="Arial"/>
          <w:lang w:val="en" w:eastAsia="ja-JP"/>
        </w:rPr>
        <w:t>≤</w:t>
      </w:r>
      <w:r w:rsidRPr="0034599D">
        <w:rPr>
          <w:rFonts w:ascii="Arial" w:hAnsi="Arial" w:cs="Arial"/>
          <w:lang w:val="en" w:eastAsia="ja-JP"/>
        </w:rPr>
        <w:t>1.5x ULN</w:t>
      </w:r>
      <w:r>
        <w:rPr>
          <w:rFonts w:ascii="Arial" w:hAnsi="Arial" w:cs="Arial"/>
          <w:lang w:val="en" w:eastAsia="ja-JP"/>
        </w:rPr>
        <w:t xml:space="preserve"> </w:t>
      </w:r>
      <w:r w:rsidRPr="003E5F69">
        <w:rPr>
          <w:rFonts w:ascii="Arial" w:hAnsi="Arial" w:cs="Arial"/>
          <w:lang w:val="en-US" w:eastAsia="ja-JP"/>
        </w:rPr>
        <w:t xml:space="preserve">or creatinine clearance (Clearance, CL) 50mL/min more than that </w:t>
      </w:r>
      <w:r w:rsidR="00AD751E">
        <w:rPr>
          <w:rFonts w:ascii="Arial" w:hAnsi="Arial" w:cs="Arial"/>
          <w:lang w:val="en-US" w:eastAsia="ja-JP"/>
        </w:rPr>
        <w:t>(c</w:t>
      </w:r>
      <w:r w:rsidRPr="003E5F69">
        <w:rPr>
          <w:rFonts w:ascii="Arial" w:hAnsi="Arial" w:cs="Arial"/>
          <w:lang w:val="en-US" w:eastAsia="ja-JP"/>
        </w:rPr>
        <w:t>reatinine CL will be calculated either by actual measurement or by the Cockcroft-Gault formula</w:t>
      </w:r>
      <w:r w:rsidR="00AD751E">
        <w:rPr>
          <w:rFonts w:ascii="Arial" w:hAnsi="Arial" w:cs="Arial"/>
          <w:lang w:val="en-US" w:eastAsia="ja-JP"/>
        </w:rPr>
        <w:t>)</w:t>
      </w:r>
      <w:r w:rsidRPr="003E5F69">
        <w:rPr>
          <w:rFonts w:ascii="Arial" w:hAnsi="Arial" w:cs="Arial"/>
          <w:lang w:val="en-US" w:eastAsia="ja-JP"/>
        </w:rPr>
        <w:t>.</w:t>
      </w:r>
      <w:r w:rsidR="00F76CBD">
        <w:rPr>
          <w:rFonts w:ascii="Arial" w:hAnsi="Arial" w:cs="Arial"/>
          <w:lang w:val="en-US" w:eastAsia="ja-JP"/>
        </w:rPr>
        <w:br/>
      </w:r>
      <w:r w:rsidRPr="00FE0B80">
        <w:rPr>
          <w:rFonts w:ascii="Arial" w:hAnsi="Arial" w:cs="Arial"/>
          <w:lang w:val="en-US" w:eastAsia="ja-JP"/>
        </w:rPr>
        <w:t xml:space="preserve">Cockcroft-Gault </w:t>
      </w:r>
      <w:r w:rsidR="00F76CBD">
        <w:rPr>
          <w:rFonts w:ascii="Arial" w:hAnsi="Arial" w:cs="Arial"/>
          <w:lang w:val="en-US" w:eastAsia="ja-JP"/>
        </w:rPr>
        <w:t>formula</w:t>
      </w:r>
    </w:p>
    <w:p w14:paraId="7A050FCC" w14:textId="60137B93" w:rsidR="0062530D" w:rsidRPr="00112CAC" w:rsidRDefault="0062530D" w:rsidP="00FE0B80">
      <w:pPr>
        <w:pStyle w:val="ListParagraph"/>
        <w:numPr>
          <w:ilvl w:val="2"/>
          <w:numId w:val="1"/>
        </w:numPr>
        <w:spacing w:line="480" w:lineRule="auto"/>
        <w:rPr>
          <w:rFonts w:ascii="Arial" w:hAnsi="Arial" w:cs="Arial"/>
          <w:lang w:val="en-US" w:eastAsia="ja-JP"/>
        </w:rPr>
      </w:pPr>
      <w:r w:rsidRPr="00112CAC">
        <w:rPr>
          <w:rFonts w:ascii="Arial" w:hAnsi="Arial" w:cs="Arial"/>
          <w:lang w:val="en-US" w:eastAsia="ja-JP"/>
        </w:rPr>
        <w:t xml:space="preserve">Male: </w:t>
      </w:r>
      <w:r w:rsidR="00192F46">
        <w:rPr>
          <w:rFonts w:ascii="Arial" w:hAnsi="Arial" w:cs="Arial"/>
          <w:lang w:val="en-US" w:eastAsia="ja-JP"/>
        </w:rPr>
        <w:t>[</w:t>
      </w:r>
      <w:r w:rsidR="00F76CBD">
        <w:rPr>
          <w:rFonts w:ascii="Arial" w:hAnsi="Arial" w:cs="Arial"/>
          <w:lang w:val="en-US" w:eastAsia="ja-JP"/>
        </w:rPr>
        <w:t>(</w:t>
      </w:r>
      <w:r w:rsidRPr="00112CAC">
        <w:rPr>
          <w:rFonts w:ascii="Arial" w:hAnsi="Arial" w:cs="Arial"/>
          <w:lang w:val="en-US" w:eastAsia="ja-JP"/>
        </w:rPr>
        <w:t>140</w:t>
      </w:r>
      <w:r w:rsidR="00663195">
        <w:rPr>
          <w:rFonts w:ascii="Arial" w:hAnsi="Arial" w:cs="Arial"/>
          <w:lang w:val="en-US" w:eastAsia="ja-JP"/>
        </w:rPr>
        <w:t xml:space="preserve"> minus</w:t>
      </w:r>
      <w:r w:rsidRPr="00112CAC">
        <w:rPr>
          <w:rFonts w:ascii="Arial" w:hAnsi="Arial" w:cs="Arial"/>
          <w:lang w:val="en-US" w:eastAsia="ja-JP"/>
        </w:rPr>
        <w:t xml:space="preserve"> age</w:t>
      </w:r>
      <w:r w:rsidR="00F76CBD">
        <w:rPr>
          <w:rFonts w:ascii="Arial" w:hAnsi="Arial" w:cs="Arial"/>
          <w:lang w:val="en-US" w:eastAsia="ja-JP"/>
        </w:rPr>
        <w:t>)</w:t>
      </w:r>
      <w:r w:rsidRPr="00112CAC">
        <w:rPr>
          <w:rFonts w:ascii="Arial" w:hAnsi="Arial" w:cs="Arial"/>
          <w:lang w:val="en-US" w:eastAsia="ja-JP"/>
        </w:rPr>
        <w:t xml:space="preserve"> x weight (kg)</w:t>
      </w:r>
      <w:r w:rsidR="00F76CBD">
        <w:rPr>
          <w:rFonts w:ascii="Arial" w:hAnsi="Arial" w:cs="Arial"/>
          <w:lang w:val="en-US" w:eastAsia="ja-JP"/>
        </w:rPr>
        <w:t xml:space="preserve">] </w:t>
      </w:r>
      <w:r w:rsidRPr="00112CAC">
        <w:rPr>
          <w:rFonts w:ascii="Arial" w:hAnsi="Arial" w:cs="Arial"/>
          <w:lang w:val="en-US" w:eastAsia="ja-JP"/>
        </w:rPr>
        <w:t>/</w:t>
      </w:r>
      <w:r w:rsidR="00F76CBD">
        <w:rPr>
          <w:rFonts w:ascii="Arial" w:hAnsi="Arial" w:cs="Arial"/>
          <w:lang w:val="en-US" w:eastAsia="ja-JP"/>
        </w:rPr>
        <w:t xml:space="preserve"> [</w:t>
      </w:r>
      <w:r w:rsidRPr="00112CAC">
        <w:rPr>
          <w:rFonts w:ascii="Arial" w:hAnsi="Arial" w:cs="Arial"/>
          <w:lang w:val="en-US" w:eastAsia="ja-JP"/>
        </w:rPr>
        <w:t>72</w:t>
      </w:r>
      <w:r w:rsidR="00CF7E7D">
        <w:rPr>
          <w:rFonts w:ascii="Arial" w:hAnsi="Arial" w:cs="Arial"/>
          <w:lang w:val="en-US" w:eastAsia="ja-JP"/>
        </w:rPr>
        <w:t xml:space="preserve"> x</w:t>
      </w:r>
      <w:r w:rsidRPr="00112CAC">
        <w:rPr>
          <w:rFonts w:ascii="Arial" w:hAnsi="Arial" w:cs="Arial"/>
          <w:lang w:val="en-US" w:eastAsia="ja-JP"/>
        </w:rPr>
        <w:t xml:space="preserve"> serum creatinine (mg/dL)</w:t>
      </w:r>
      <w:r w:rsidR="00F76CBD">
        <w:rPr>
          <w:rFonts w:ascii="Arial" w:hAnsi="Arial" w:cs="Arial"/>
          <w:lang w:val="en-US" w:eastAsia="ja-JP"/>
        </w:rPr>
        <w:t>]</w:t>
      </w:r>
    </w:p>
    <w:p w14:paraId="2F3BF19B" w14:textId="301BD734" w:rsidR="0062530D" w:rsidRPr="00112CAC" w:rsidRDefault="0062530D" w:rsidP="00FE0B80">
      <w:pPr>
        <w:pStyle w:val="ListParagraph"/>
        <w:numPr>
          <w:ilvl w:val="2"/>
          <w:numId w:val="1"/>
        </w:numPr>
        <w:spacing w:line="480" w:lineRule="auto"/>
        <w:rPr>
          <w:rFonts w:ascii="Arial" w:hAnsi="Arial" w:cs="Arial"/>
          <w:lang w:val="en-US" w:eastAsia="ja-JP"/>
        </w:rPr>
      </w:pPr>
      <w:r w:rsidRPr="00112CAC">
        <w:rPr>
          <w:rFonts w:ascii="Arial" w:hAnsi="Arial" w:cs="Arial"/>
          <w:lang w:val="en-US" w:eastAsia="ja-JP"/>
        </w:rPr>
        <w:t xml:space="preserve">Female: </w:t>
      </w:r>
      <w:r w:rsidR="00F76CBD">
        <w:rPr>
          <w:rFonts w:ascii="Arial" w:hAnsi="Arial" w:cs="Arial"/>
          <w:lang w:val="en-US" w:eastAsia="ja-JP"/>
        </w:rPr>
        <w:t>[(</w:t>
      </w:r>
      <w:r w:rsidRPr="00112CAC">
        <w:rPr>
          <w:rFonts w:ascii="Arial" w:hAnsi="Arial" w:cs="Arial"/>
          <w:lang w:val="en-US" w:eastAsia="ja-JP"/>
        </w:rPr>
        <w:t xml:space="preserve">140 </w:t>
      </w:r>
      <w:r w:rsidR="00663195">
        <w:rPr>
          <w:rFonts w:ascii="Arial" w:hAnsi="Arial" w:cs="Arial"/>
          <w:lang w:val="en-US" w:eastAsia="ja-JP"/>
        </w:rPr>
        <w:t>minus</w:t>
      </w:r>
      <w:r w:rsidRPr="00112CAC">
        <w:rPr>
          <w:rFonts w:ascii="Arial" w:hAnsi="Arial" w:cs="Arial"/>
          <w:lang w:val="en-US" w:eastAsia="ja-JP"/>
        </w:rPr>
        <w:t xml:space="preserve"> age</w:t>
      </w:r>
      <w:r w:rsidR="00F76CBD">
        <w:rPr>
          <w:rFonts w:ascii="Arial" w:hAnsi="Arial" w:cs="Arial"/>
          <w:lang w:val="en-US" w:eastAsia="ja-JP"/>
        </w:rPr>
        <w:t>)</w:t>
      </w:r>
      <w:r w:rsidRPr="00112CAC">
        <w:rPr>
          <w:rFonts w:ascii="Arial" w:hAnsi="Arial" w:cs="Arial"/>
          <w:lang w:val="en-US" w:eastAsia="ja-JP"/>
        </w:rPr>
        <w:t xml:space="preserve"> </w:t>
      </w:r>
      <w:r w:rsidR="00CF7E7D">
        <w:rPr>
          <w:rFonts w:ascii="Arial" w:hAnsi="Arial" w:cs="Arial"/>
          <w:lang w:val="en-US" w:eastAsia="ja-JP"/>
        </w:rPr>
        <w:t>x</w:t>
      </w:r>
      <w:r w:rsidRPr="00112CAC">
        <w:rPr>
          <w:rFonts w:ascii="Arial" w:hAnsi="Arial" w:cs="Arial"/>
          <w:lang w:val="en-US" w:eastAsia="ja-JP"/>
        </w:rPr>
        <w:t xml:space="preserve"> weight (kg) x 0.85</w:t>
      </w:r>
      <w:r w:rsidR="00F76CBD">
        <w:rPr>
          <w:rFonts w:ascii="Arial" w:hAnsi="Arial" w:cs="Arial"/>
          <w:lang w:val="en-US" w:eastAsia="ja-JP"/>
        </w:rPr>
        <w:t xml:space="preserve">] </w:t>
      </w:r>
      <w:r w:rsidRPr="00112CAC">
        <w:rPr>
          <w:rFonts w:ascii="Arial" w:hAnsi="Arial" w:cs="Arial"/>
          <w:lang w:val="en-US" w:eastAsia="ja-JP"/>
        </w:rPr>
        <w:t>/</w:t>
      </w:r>
      <w:r w:rsidR="00F76CBD">
        <w:rPr>
          <w:rFonts w:ascii="Arial" w:hAnsi="Arial" w:cs="Arial"/>
          <w:lang w:val="en-US" w:eastAsia="ja-JP"/>
        </w:rPr>
        <w:t xml:space="preserve"> [</w:t>
      </w:r>
      <w:r w:rsidRPr="00112CAC">
        <w:rPr>
          <w:rFonts w:ascii="Arial" w:hAnsi="Arial" w:cs="Arial"/>
          <w:lang w:val="en-US" w:eastAsia="ja-JP"/>
        </w:rPr>
        <w:t xml:space="preserve">72 </w:t>
      </w:r>
      <w:r w:rsidR="00CF7E7D">
        <w:rPr>
          <w:rFonts w:ascii="Arial" w:hAnsi="Arial" w:cs="Arial"/>
          <w:lang w:val="en-US" w:eastAsia="ja-JP"/>
        </w:rPr>
        <w:t>x</w:t>
      </w:r>
      <w:r w:rsidRPr="00112CAC">
        <w:rPr>
          <w:rFonts w:ascii="Arial" w:hAnsi="Arial" w:cs="Arial"/>
          <w:lang w:val="en-US" w:eastAsia="ja-JP"/>
        </w:rPr>
        <w:t xml:space="preserve"> serum creatinine (mg/dL)</w:t>
      </w:r>
      <w:r w:rsidR="00F76CBD">
        <w:rPr>
          <w:rFonts w:ascii="Arial" w:hAnsi="Arial" w:cs="Arial"/>
          <w:lang w:val="en-US" w:eastAsia="ja-JP"/>
        </w:rPr>
        <w:t>]</w:t>
      </w:r>
    </w:p>
    <w:p w14:paraId="29B0A1C0"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Prior treatment or procedure must have been completed at least the following durations prior to the planned date of administration of obinutuzumab:</w:t>
      </w:r>
    </w:p>
    <w:p w14:paraId="7839FF70" w14:textId="3A86A96C"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Surgical procedures</w:t>
      </w:r>
      <w:r w:rsidR="00F76CBD">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four</w:t>
      </w:r>
      <w:r w:rsidRPr="00112CAC">
        <w:rPr>
          <w:rFonts w:ascii="Arial" w:hAnsi="Arial" w:cs="Arial"/>
          <w:lang w:val="en-US" w:eastAsia="ja-JP"/>
        </w:rPr>
        <w:t xml:space="preserve"> weeks</w:t>
      </w:r>
    </w:p>
    <w:p w14:paraId="640970D5" w14:textId="77777777" w:rsidR="0062530D" w:rsidRPr="00112CAC" w:rsidRDefault="0062530D" w:rsidP="0062530D">
      <w:pPr>
        <w:pStyle w:val="ListParagraph"/>
        <w:numPr>
          <w:ilvl w:val="2"/>
          <w:numId w:val="1"/>
        </w:numPr>
        <w:spacing w:line="480" w:lineRule="auto"/>
        <w:rPr>
          <w:rFonts w:ascii="Arial" w:hAnsi="Arial" w:cs="Arial"/>
          <w:lang w:val="en-US" w:eastAsia="ja-JP"/>
        </w:rPr>
      </w:pPr>
      <w:r w:rsidRPr="00112CAC">
        <w:rPr>
          <w:rFonts w:ascii="Arial" w:hAnsi="Arial" w:cs="Arial"/>
          <w:lang w:val="en-US" w:eastAsia="ja-JP"/>
        </w:rPr>
        <w:t>Major surgery requiring thoracotomy/laparotomy or laparoscopic organ resection. However, if a biopsy specified in the protocol (</w:t>
      </w:r>
      <w:r>
        <w:rPr>
          <w:rFonts w:ascii="Arial" w:hAnsi="Arial" w:cs="Arial"/>
          <w:lang w:val="en-US" w:eastAsia="ja-JP"/>
        </w:rPr>
        <w:t>t</w:t>
      </w:r>
      <w:r w:rsidRPr="00112CAC">
        <w:rPr>
          <w:rFonts w:ascii="Arial" w:hAnsi="Arial" w:cs="Arial"/>
          <w:lang w:val="en-US" w:eastAsia="ja-JP"/>
        </w:rPr>
        <w:t xml:space="preserve">umor biopsy, </w:t>
      </w:r>
      <w:r>
        <w:rPr>
          <w:rFonts w:ascii="Arial" w:hAnsi="Arial" w:cs="Arial"/>
          <w:lang w:val="en-US" w:eastAsia="ja-JP"/>
        </w:rPr>
        <w:t>b</w:t>
      </w:r>
      <w:r w:rsidRPr="00112CAC">
        <w:rPr>
          <w:rFonts w:ascii="Arial" w:hAnsi="Arial" w:cs="Arial"/>
          <w:lang w:val="en-US" w:eastAsia="ja-JP"/>
        </w:rPr>
        <w:t xml:space="preserve">one marrow biopsy) has been performed within the above period, the patient may be enrolled if the event has </w:t>
      </w:r>
      <w:r w:rsidRPr="00112CAC">
        <w:rPr>
          <w:rFonts w:ascii="Arial" w:hAnsi="Arial" w:cs="Arial"/>
          <w:lang w:val="en-US" w:eastAsia="ja-JP"/>
        </w:rPr>
        <w:lastRenderedPageBreak/>
        <w:t>resolved to the point where the investigator or sub</w:t>
      </w:r>
      <w:r>
        <w:rPr>
          <w:rFonts w:ascii="Arial" w:hAnsi="Arial" w:cs="Arial"/>
          <w:lang w:val="en-US" w:eastAsia="ja-JP"/>
        </w:rPr>
        <w:t>-</w:t>
      </w:r>
      <w:r w:rsidRPr="00112CAC">
        <w:rPr>
          <w:rFonts w:ascii="Arial" w:hAnsi="Arial" w:cs="Arial"/>
          <w:lang w:val="en-US" w:eastAsia="ja-JP"/>
        </w:rPr>
        <w:t>investigator can judge that there is no bleeding risk at the time of enrollment.</w:t>
      </w:r>
    </w:p>
    <w:p w14:paraId="01BBC8F8" w14:textId="38B9A8DA" w:rsidR="003D1F85"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Chemotherapy</w:t>
      </w:r>
      <w:r w:rsidR="003D1F85">
        <w:rPr>
          <w:rFonts w:ascii="Arial" w:hAnsi="Arial" w:cs="Arial"/>
          <w:lang w:val="en-US" w:eastAsia="ja-JP"/>
        </w:rPr>
        <w:t>: four weeks</w:t>
      </w:r>
    </w:p>
    <w:p w14:paraId="593A930A" w14:textId="2E592CFF" w:rsidR="0062530D" w:rsidRPr="003E5F69" w:rsidRDefault="003D1F85" w:rsidP="00FE0B80">
      <w:pPr>
        <w:pStyle w:val="ListParagraph"/>
        <w:numPr>
          <w:ilvl w:val="2"/>
          <w:numId w:val="1"/>
        </w:numPr>
        <w:spacing w:line="480" w:lineRule="auto"/>
        <w:rPr>
          <w:rFonts w:ascii="Arial" w:hAnsi="Arial" w:cs="Arial"/>
          <w:lang w:val="en-US" w:eastAsia="ja-JP"/>
        </w:rPr>
      </w:pPr>
      <w:r>
        <w:rPr>
          <w:rFonts w:ascii="Arial" w:hAnsi="Arial" w:cs="Arial"/>
          <w:lang w:val="en-US" w:eastAsia="ja-JP"/>
        </w:rPr>
        <w:t xml:space="preserve">Chemotherapy </w:t>
      </w:r>
      <w:r w:rsidR="0062530D">
        <w:rPr>
          <w:rFonts w:ascii="Arial" w:hAnsi="Arial" w:cs="Arial"/>
          <w:lang w:val="en-US" w:eastAsia="ja-JP"/>
        </w:rPr>
        <w:t>i</w:t>
      </w:r>
      <w:r w:rsidR="0062530D" w:rsidRPr="003E5F69">
        <w:rPr>
          <w:rFonts w:ascii="Arial" w:hAnsi="Arial" w:cs="Arial"/>
          <w:lang w:val="en-US" w:eastAsia="ja-JP"/>
        </w:rPr>
        <w:t>nclud</w:t>
      </w:r>
      <w:r>
        <w:rPr>
          <w:rFonts w:ascii="Arial" w:hAnsi="Arial" w:cs="Arial"/>
          <w:lang w:val="en-US" w:eastAsia="ja-JP"/>
        </w:rPr>
        <w:t>es</w:t>
      </w:r>
      <w:r w:rsidR="0062530D" w:rsidRPr="003E5F69">
        <w:rPr>
          <w:rFonts w:ascii="Arial" w:hAnsi="Arial" w:cs="Arial"/>
          <w:lang w:val="en-US" w:eastAsia="ja-JP"/>
        </w:rPr>
        <w:t xml:space="preserve"> molecularly targeted drugs.</w:t>
      </w:r>
    </w:p>
    <w:p w14:paraId="3727C38B" w14:textId="2E1FF998"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Antibody therapy</w:t>
      </w:r>
      <w:r w:rsidR="003D1F85">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four</w:t>
      </w:r>
      <w:r w:rsidRPr="00112CAC">
        <w:rPr>
          <w:rFonts w:ascii="Arial" w:hAnsi="Arial" w:cs="Arial"/>
          <w:lang w:val="en-US" w:eastAsia="ja-JP"/>
        </w:rPr>
        <w:t xml:space="preserve"> weeks</w:t>
      </w:r>
    </w:p>
    <w:p w14:paraId="0B858E54" w14:textId="59EA2E37" w:rsidR="0062530D" w:rsidRPr="004B4AF3" w:rsidRDefault="003D1F85" w:rsidP="0062530D">
      <w:pPr>
        <w:pStyle w:val="ListParagraph"/>
        <w:numPr>
          <w:ilvl w:val="2"/>
          <w:numId w:val="1"/>
        </w:numPr>
        <w:spacing w:line="480" w:lineRule="auto"/>
        <w:rPr>
          <w:rFonts w:ascii="Arial" w:hAnsi="Arial" w:cs="Arial"/>
          <w:lang w:val="en-US" w:eastAsia="ja-JP"/>
        </w:rPr>
      </w:pPr>
      <w:r>
        <w:rPr>
          <w:rFonts w:ascii="Arial" w:hAnsi="Arial" w:cs="Arial"/>
          <w:lang w:val="en-US" w:eastAsia="ja-JP"/>
        </w:rPr>
        <w:t xml:space="preserve">Antibody therapy includes </w:t>
      </w:r>
      <w:r w:rsidR="00442777">
        <w:rPr>
          <w:rFonts w:ascii="Arial" w:hAnsi="Arial" w:cs="Arial"/>
          <w:lang w:val="en-US" w:eastAsia="ja-JP"/>
        </w:rPr>
        <w:t>m</w:t>
      </w:r>
      <w:r w:rsidR="0062530D" w:rsidRPr="004B4AF3">
        <w:rPr>
          <w:rFonts w:ascii="Arial" w:hAnsi="Arial" w:cs="Arial"/>
          <w:lang w:val="en-US" w:eastAsia="ja-JP"/>
        </w:rPr>
        <w:t xml:space="preserve">onoclonal antibodies, radioimmunoconjugates </w:t>
      </w:r>
      <w:r w:rsidR="0037509A">
        <w:rPr>
          <w:rFonts w:ascii="Arial" w:hAnsi="Arial" w:cs="Arial"/>
          <w:lang w:val="en-US" w:eastAsia="ja-JP"/>
        </w:rPr>
        <w:t xml:space="preserve">and </w:t>
      </w:r>
      <w:r w:rsidR="0062530D" w:rsidRPr="004B4AF3">
        <w:rPr>
          <w:rFonts w:ascii="Arial" w:hAnsi="Arial" w:cs="Arial"/>
          <w:lang w:val="en-US" w:eastAsia="ja-JP"/>
        </w:rPr>
        <w:t>antibody-drug conjugates.</w:t>
      </w:r>
    </w:p>
    <w:p w14:paraId="1DB1F666" w14:textId="07FBD6E4"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 xml:space="preserve">Immunotherapy in </w:t>
      </w:r>
      <w:r>
        <w:rPr>
          <w:rFonts w:ascii="Arial" w:hAnsi="Arial" w:cs="Arial"/>
          <w:lang w:val="en-US" w:eastAsia="ja-JP"/>
        </w:rPr>
        <w:t>o</w:t>
      </w:r>
      <w:r w:rsidRPr="00112CAC">
        <w:rPr>
          <w:rFonts w:ascii="Arial" w:hAnsi="Arial" w:cs="Arial"/>
          <w:lang w:val="en-US" w:eastAsia="ja-JP"/>
        </w:rPr>
        <w:t>ncology</w:t>
      </w:r>
      <w:r w:rsidR="003D1F85">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four</w:t>
      </w:r>
      <w:r w:rsidRPr="00112CAC">
        <w:rPr>
          <w:rFonts w:ascii="Arial" w:hAnsi="Arial" w:cs="Arial"/>
          <w:lang w:val="en-US" w:eastAsia="ja-JP"/>
        </w:rPr>
        <w:t xml:space="preserve"> weeks</w:t>
      </w:r>
    </w:p>
    <w:p w14:paraId="4F465E47" w14:textId="4A733D87" w:rsidR="0062530D" w:rsidRPr="00C70D6A" w:rsidRDefault="00442777" w:rsidP="0062530D">
      <w:pPr>
        <w:pStyle w:val="ListParagraph"/>
        <w:numPr>
          <w:ilvl w:val="2"/>
          <w:numId w:val="1"/>
        </w:numPr>
        <w:spacing w:line="480" w:lineRule="auto"/>
        <w:rPr>
          <w:rFonts w:ascii="Arial" w:hAnsi="Arial" w:cs="Arial"/>
          <w:lang w:val="en-US" w:eastAsia="ja-JP"/>
        </w:rPr>
      </w:pPr>
      <w:r>
        <w:rPr>
          <w:rFonts w:ascii="Arial" w:hAnsi="Arial" w:cs="Arial"/>
          <w:lang w:val="en-US" w:eastAsia="ja-JP"/>
        </w:rPr>
        <w:t>Including i</w:t>
      </w:r>
      <w:r w:rsidR="0062530D" w:rsidRPr="00112CAC">
        <w:rPr>
          <w:rFonts w:ascii="Arial" w:hAnsi="Arial" w:cs="Arial"/>
          <w:lang w:val="en-US" w:eastAsia="ja-JP"/>
        </w:rPr>
        <w:t>mmune checkpoint inhibitors (</w:t>
      </w:r>
      <w:r w:rsidR="0062530D">
        <w:rPr>
          <w:rFonts w:ascii="Arial" w:hAnsi="Arial" w:cs="Arial"/>
          <w:lang w:val="en-US" w:eastAsia="ja-JP"/>
        </w:rPr>
        <w:t>a</w:t>
      </w:r>
      <w:r w:rsidR="0062530D" w:rsidRPr="00112CAC">
        <w:rPr>
          <w:rFonts w:ascii="Arial" w:hAnsi="Arial" w:cs="Arial"/>
          <w:lang w:val="en-US" w:eastAsia="ja-JP"/>
        </w:rPr>
        <w:t xml:space="preserve">nti-programmed cell death protein 1 / programmed cell death ligand 1 antibody drugs, anti-cytotoxic T lymphocyte-associated antigen 4 antibody drugs, etc.) and co-stimulatory agonists </w:t>
      </w:r>
      <w:r w:rsidR="003D1F85">
        <w:rPr>
          <w:rFonts w:ascii="Arial" w:hAnsi="Arial" w:cs="Arial"/>
          <w:lang w:val="en-US" w:eastAsia="ja-JP"/>
        </w:rPr>
        <w:t>(</w:t>
      </w:r>
      <w:r w:rsidR="0062530D">
        <w:rPr>
          <w:rFonts w:ascii="Arial" w:hAnsi="Arial" w:cs="Arial"/>
          <w:lang w:val="en-US" w:eastAsia="ja-JP"/>
        </w:rPr>
        <w:t>a</w:t>
      </w:r>
      <w:r w:rsidR="0062530D" w:rsidRPr="00112CAC">
        <w:rPr>
          <w:rFonts w:ascii="Arial" w:hAnsi="Arial" w:cs="Arial"/>
          <w:lang w:val="en-US" w:eastAsia="ja-JP"/>
        </w:rPr>
        <w:t xml:space="preserve">nti-CD 137 antibody drugs, anti-CD 27 antibody drugs, anti-glucocorticoid-induced tumor necrosis factor </w:t>
      </w:r>
      <w:r w:rsidR="003D1F85">
        <w:rPr>
          <w:rFonts w:ascii="Arial" w:hAnsi="Arial" w:cs="Arial"/>
          <w:lang w:val="en-US" w:eastAsia="ja-JP"/>
        </w:rPr>
        <w:t>[</w:t>
      </w:r>
      <w:r w:rsidR="0062530D" w:rsidRPr="00112CAC">
        <w:rPr>
          <w:rFonts w:ascii="Arial" w:hAnsi="Arial" w:cs="Arial"/>
          <w:lang w:val="en-US" w:eastAsia="ja-JP"/>
        </w:rPr>
        <w:t>TNF</w:t>
      </w:r>
      <w:r w:rsidR="003D1F85">
        <w:rPr>
          <w:rFonts w:ascii="Arial" w:hAnsi="Arial" w:cs="Arial"/>
          <w:lang w:val="en-US" w:eastAsia="ja-JP"/>
        </w:rPr>
        <w:t>]</w:t>
      </w:r>
      <w:r w:rsidR="0062530D" w:rsidRPr="00112CAC">
        <w:rPr>
          <w:rFonts w:ascii="Arial" w:hAnsi="Arial" w:cs="Arial"/>
          <w:lang w:val="en-US" w:eastAsia="ja-JP"/>
        </w:rPr>
        <w:t xml:space="preserve"> receptor-associated protein antibody drugs, anti-CD 40 antibody drugs, etc.)</w:t>
      </w:r>
      <w:r w:rsidR="00403A92">
        <w:rPr>
          <w:rFonts w:ascii="Arial" w:hAnsi="Arial" w:cs="Arial"/>
          <w:lang w:val="en-US" w:eastAsia="ja-JP"/>
        </w:rPr>
        <w:t>,</w:t>
      </w:r>
      <w:r w:rsidR="0062530D" w:rsidRPr="00112CAC">
        <w:rPr>
          <w:rFonts w:ascii="Arial" w:hAnsi="Arial" w:cs="Arial"/>
          <w:lang w:val="en-US" w:eastAsia="ja-JP"/>
        </w:rPr>
        <w:t xml:space="preserve"> and all other cancer immunotherapy (</w:t>
      </w:r>
      <w:r w:rsidR="0062530D">
        <w:rPr>
          <w:rFonts w:ascii="Arial" w:hAnsi="Arial" w:cs="Arial"/>
          <w:lang w:val="en-US" w:eastAsia="ja-JP"/>
        </w:rPr>
        <w:t>i</w:t>
      </w:r>
      <w:r w:rsidR="0062530D" w:rsidRPr="00112CAC">
        <w:rPr>
          <w:rFonts w:ascii="Arial" w:hAnsi="Arial" w:cs="Arial"/>
          <w:lang w:val="en-US" w:eastAsia="ja-JP"/>
        </w:rPr>
        <w:t xml:space="preserve">mmunomodulators such as interferon </w:t>
      </w:r>
      <w:r w:rsidR="0062530D">
        <w:rPr>
          <w:rFonts w:ascii="Arial" w:hAnsi="Arial" w:cs="Arial"/>
          <w:lang w:val="en-US" w:eastAsia="ja-JP"/>
        </w:rPr>
        <w:t>[</w:t>
      </w:r>
      <w:r w:rsidR="0062530D" w:rsidRPr="00112CAC">
        <w:rPr>
          <w:rFonts w:ascii="Arial" w:hAnsi="Arial" w:cs="Arial"/>
          <w:lang w:val="en-US" w:eastAsia="ja-JP"/>
        </w:rPr>
        <w:t>IFN</w:t>
      </w:r>
      <w:r w:rsidR="0062530D">
        <w:rPr>
          <w:rFonts w:ascii="Arial" w:hAnsi="Arial" w:cs="Arial"/>
          <w:lang w:val="en-US" w:eastAsia="ja-JP"/>
        </w:rPr>
        <w:t>]</w:t>
      </w:r>
      <w:r w:rsidR="0062530D" w:rsidRPr="00112CAC">
        <w:rPr>
          <w:rFonts w:ascii="Arial" w:hAnsi="Arial" w:cs="Arial"/>
          <w:lang w:val="en-US" w:eastAsia="ja-JP"/>
        </w:rPr>
        <w:t xml:space="preserve">-α, IFN-y, interleukin </w:t>
      </w:r>
      <w:r w:rsidR="0062530D">
        <w:rPr>
          <w:rFonts w:ascii="Arial" w:hAnsi="Arial" w:cs="Arial"/>
          <w:lang w:val="en-US" w:eastAsia="ja-JP"/>
        </w:rPr>
        <w:t>[</w:t>
      </w:r>
      <w:r w:rsidR="0062530D" w:rsidRPr="00112CAC">
        <w:rPr>
          <w:rFonts w:ascii="Arial" w:hAnsi="Arial" w:cs="Arial"/>
          <w:lang w:val="en-US" w:eastAsia="ja-JP"/>
        </w:rPr>
        <w:t>IL</w:t>
      </w:r>
      <w:r w:rsidR="0062530D">
        <w:rPr>
          <w:rFonts w:ascii="Arial" w:hAnsi="Arial" w:cs="Arial"/>
          <w:lang w:val="en-US" w:eastAsia="ja-JP"/>
        </w:rPr>
        <w:t>]</w:t>
      </w:r>
      <w:r w:rsidR="0062530D" w:rsidRPr="00112CAC">
        <w:rPr>
          <w:rFonts w:ascii="Arial" w:hAnsi="Arial" w:cs="Arial"/>
          <w:lang w:val="en-US" w:eastAsia="ja-JP"/>
        </w:rPr>
        <w:t>-2, bioresponse modulator therapy, cancer vaccine therapy, oncology specific drugs</w:t>
      </w:r>
      <w:r w:rsidR="0062530D">
        <w:rPr>
          <w:rFonts w:ascii="Arial" w:hAnsi="Arial" w:cs="Arial"/>
          <w:lang w:val="en-US" w:eastAsia="ja-JP"/>
        </w:rPr>
        <w:t xml:space="preserve"> including tumor-specific T</w:t>
      </w:r>
      <w:r>
        <w:rPr>
          <w:rFonts w:ascii="Arial" w:hAnsi="Arial" w:cs="Arial"/>
          <w:lang w:val="en-US" w:eastAsia="ja-JP"/>
        </w:rPr>
        <w:t>-</w:t>
      </w:r>
      <w:r w:rsidR="0062530D">
        <w:rPr>
          <w:rFonts w:ascii="Arial" w:hAnsi="Arial" w:cs="Arial"/>
          <w:lang w:val="en-US" w:eastAsia="ja-JP"/>
        </w:rPr>
        <w:t xml:space="preserve">cell </w:t>
      </w:r>
      <w:r w:rsidR="0062530D" w:rsidRPr="00C70D6A">
        <w:rPr>
          <w:rFonts w:ascii="Arial" w:hAnsi="Arial" w:cs="Arial"/>
          <w:lang w:val="en-US" w:eastAsia="ja-JP"/>
        </w:rPr>
        <w:t>infusion therapy</w:t>
      </w:r>
      <w:r w:rsidR="0062530D">
        <w:rPr>
          <w:rFonts w:ascii="Arial" w:hAnsi="Arial" w:cs="Arial"/>
          <w:lang w:val="en-US" w:eastAsia="ja-JP"/>
        </w:rPr>
        <w:t>)</w:t>
      </w:r>
    </w:p>
    <w:p w14:paraId="599B9E9C" w14:textId="420C393D"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Radiotherapy</w:t>
      </w:r>
      <w:r w:rsidR="003D1F85">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four</w:t>
      </w:r>
      <w:r w:rsidRPr="00112CAC">
        <w:rPr>
          <w:rFonts w:ascii="Arial" w:hAnsi="Arial" w:cs="Arial"/>
          <w:lang w:val="en-US" w:eastAsia="ja-JP"/>
        </w:rPr>
        <w:t xml:space="preserve"> weeks</w:t>
      </w:r>
    </w:p>
    <w:p w14:paraId="4220B830" w14:textId="77777777" w:rsidR="0062530D" w:rsidRPr="00112CAC" w:rsidRDefault="0062530D" w:rsidP="00FE0B80">
      <w:pPr>
        <w:pStyle w:val="ListParagraph"/>
        <w:numPr>
          <w:ilvl w:val="2"/>
          <w:numId w:val="1"/>
        </w:numPr>
        <w:spacing w:line="480" w:lineRule="auto"/>
        <w:rPr>
          <w:rFonts w:ascii="Arial" w:hAnsi="Arial" w:cs="Arial"/>
          <w:lang w:val="en-US" w:eastAsia="ja-JP"/>
        </w:rPr>
      </w:pPr>
      <w:r w:rsidRPr="00112CAC">
        <w:rPr>
          <w:rFonts w:ascii="Arial" w:hAnsi="Arial" w:cs="Arial"/>
          <w:lang w:val="en-US" w:eastAsia="ja-JP"/>
        </w:rPr>
        <w:t>After completion of palliative radiotherapy for pain relief</w:t>
      </w:r>
      <w:r>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e</w:t>
      </w:r>
      <w:r w:rsidRPr="00112CAC">
        <w:rPr>
          <w:rFonts w:ascii="Arial" w:hAnsi="Arial" w:cs="Arial"/>
          <w:lang w:val="en-US" w:eastAsia="ja-JP"/>
        </w:rPr>
        <w:t xml:space="preserve">nrollment is allowed if at least </w:t>
      </w:r>
      <w:r>
        <w:rPr>
          <w:rFonts w:ascii="Arial" w:hAnsi="Arial" w:cs="Arial"/>
          <w:lang w:val="en-US" w:eastAsia="ja-JP"/>
        </w:rPr>
        <w:t>two</w:t>
      </w:r>
      <w:r w:rsidRPr="00112CAC">
        <w:rPr>
          <w:rFonts w:ascii="Arial" w:hAnsi="Arial" w:cs="Arial"/>
          <w:lang w:val="en-US" w:eastAsia="ja-JP"/>
        </w:rPr>
        <w:t xml:space="preserve"> week</w:t>
      </w:r>
      <w:r>
        <w:rPr>
          <w:rFonts w:ascii="Arial" w:hAnsi="Arial" w:cs="Arial"/>
          <w:lang w:val="en-US" w:eastAsia="ja-JP"/>
        </w:rPr>
        <w:t>s</w:t>
      </w:r>
      <w:r w:rsidRPr="00112CAC">
        <w:rPr>
          <w:rFonts w:ascii="Arial" w:hAnsi="Arial" w:cs="Arial"/>
          <w:lang w:val="en-US" w:eastAsia="ja-JP"/>
        </w:rPr>
        <w:t xml:space="preserve"> ha</w:t>
      </w:r>
      <w:r>
        <w:rPr>
          <w:rFonts w:ascii="Arial" w:hAnsi="Arial" w:cs="Arial"/>
          <w:lang w:val="en-US" w:eastAsia="ja-JP"/>
        </w:rPr>
        <w:t>ve</w:t>
      </w:r>
      <w:r w:rsidRPr="00112CAC">
        <w:rPr>
          <w:rFonts w:ascii="Arial" w:hAnsi="Arial" w:cs="Arial"/>
          <w:lang w:val="en-US" w:eastAsia="ja-JP"/>
        </w:rPr>
        <w:t xml:space="preserve"> passed</w:t>
      </w:r>
    </w:p>
    <w:p w14:paraId="7C46EA64" w14:textId="69FCA0CA" w:rsidR="0062530D" w:rsidRPr="00112CAC" w:rsidRDefault="0062530D" w:rsidP="0062530D">
      <w:pPr>
        <w:pStyle w:val="ListParagraph"/>
        <w:numPr>
          <w:ilvl w:val="1"/>
          <w:numId w:val="1"/>
        </w:numPr>
        <w:spacing w:line="480" w:lineRule="auto"/>
        <w:rPr>
          <w:rFonts w:ascii="Arial" w:hAnsi="Arial" w:cs="Arial"/>
          <w:lang w:val="en-US" w:eastAsia="ja-JP"/>
        </w:rPr>
      </w:pPr>
      <w:r>
        <w:rPr>
          <w:rFonts w:ascii="Arial" w:hAnsi="Arial" w:cs="Arial"/>
          <w:lang w:val="en-US" w:eastAsia="ja-JP"/>
        </w:rPr>
        <w:t>A</w:t>
      </w:r>
      <w:r w:rsidRPr="00112CAC">
        <w:rPr>
          <w:rFonts w:ascii="Arial" w:hAnsi="Arial" w:cs="Arial"/>
          <w:lang w:val="en-US" w:eastAsia="ja-JP"/>
        </w:rPr>
        <w:t>utologous stem cell transplant</w:t>
      </w:r>
      <w:r w:rsidR="003D1F85">
        <w:rPr>
          <w:rFonts w:ascii="Arial" w:hAnsi="Arial" w:cs="Arial"/>
          <w:lang w:val="en-US" w:eastAsia="ja-JP"/>
        </w:rPr>
        <w:t>:</w:t>
      </w:r>
      <w:r w:rsidR="005E69B3">
        <w:rPr>
          <w:rFonts w:ascii="Arial" w:hAnsi="Arial" w:cs="Arial"/>
          <w:lang w:val="en-US" w:eastAsia="ja-JP"/>
        </w:rPr>
        <w:t xml:space="preserve"> </w:t>
      </w:r>
      <w:r w:rsidRPr="00112CAC">
        <w:rPr>
          <w:rFonts w:ascii="Arial" w:hAnsi="Arial" w:cs="Arial"/>
          <w:lang w:val="en-US" w:eastAsia="ja-JP"/>
        </w:rPr>
        <w:t>12 weeks</w:t>
      </w:r>
    </w:p>
    <w:p w14:paraId="479B002E" w14:textId="70E5FD47"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Transfusions</w:t>
      </w:r>
      <w:r w:rsidR="008835A7">
        <w:rPr>
          <w:rFonts w:ascii="Arial" w:hAnsi="Arial" w:cs="Arial"/>
          <w:lang w:val="en-US" w:eastAsia="ja-JP"/>
        </w:rPr>
        <w:t>:</w:t>
      </w:r>
      <w:r w:rsidR="008835A7" w:rsidRPr="00112CAC">
        <w:rPr>
          <w:rFonts w:ascii="Arial" w:hAnsi="Arial" w:cs="Arial"/>
          <w:lang w:val="en-US" w:eastAsia="ja-JP"/>
        </w:rPr>
        <w:t xml:space="preserve"> two</w:t>
      </w:r>
      <w:r w:rsidRPr="00112CAC">
        <w:rPr>
          <w:rFonts w:ascii="Arial" w:hAnsi="Arial" w:cs="Arial"/>
          <w:lang w:val="en-US" w:eastAsia="ja-JP"/>
        </w:rPr>
        <w:t xml:space="preserve"> weeks</w:t>
      </w:r>
    </w:p>
    <w:p w14:paraId="2062B64F" w14:textId="7D8D9470"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Platelet transfusion</w:t>
      </w:r>
      <w:r w:rsidR="003D1F85">
        <w:rPr>
          <w:rFonts w:ascii="Arial" w:hAnsi="Arial" w:cs="Arial"/>
          <w:lang w:val="en-US" w:eastAsia="ja-JP"/>
        </w:rPr>
        <w:t>:</w:t>
      </w:r>
      <w:r>
        <w:rPr>
          <w:rFonts w:ascii="Arial" w:hAnsi="Arial" w:cs="Arial"/>
          <w:lang w:val="en-US" w:eastAsia="ja-JP"/>
        </w:rPr>
        <w:t xml:space="preserve"> two</w:t>
      </w:r>
      <w:r w:rsidRPr="00112CAC">
        <w:rPr>
          <w:rFonts w:ascii="Arial" w:hAnsi="Arial" w:cs="Arial"/>
          <w:lang w:val="en-US" w:eastAsia="ja-JP"/>
        </w:rPr>
        <w:t xml:space="preserve"> weeks</w:t>
      </w:r>
    </w:p>
    <w:p w14:paraId="05F8C720" w14:textId="755E3F6B"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lastRenderedPageBreak/>
        <w:t>Immunosuppressive therapy</w:t>
      </w:r>
      <w:r w:rsidR="005E69B3">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two</w:t>
      </w:r>
      <w:r w:rsidRPr="00112CAC">
        <w:rPr>
          <w:rFonts w:ascii="Arial" w:hAnsi="Arial" w:cs="Arial"/>
          <w:lang w:val="en-US" w:eastAsia="ja-JP"/>
        </w:rPr>
        <w:t xml:space="preserve"> weeks</w:t>
      </w:r>
    </w:p>
    <w:p w14:paraId="33FBC29C" w14:textId="68892DF2" w:rsidR="0062530D" w:rsidRPr="00112CAC" w:rsidRDefault="0062530D" w:rsidP="00FE0B80">
      <w:pPr>
        <w:pStyle w:val="ListParagraph"/>
        <w:numPr>
          <w:ilvl w:val="2"/>
          <w:numId w:val="1"/>
        </w:numPr>
        <w:spacing w:line="480" w:lineRule="auto"/>
        <w:rPr>
          <w:rFonts w:ascii="Arial" w:hAnsi="Arial" w:cs="Arial"/>
          <w:lang w:val="en-US" w:eastAsia="ja-JP"/>
        </w:rPr>
      </w:pPr>
      <w:r w:rsidRPr="00112CAC">
        <w:rPr>
          <w:rFonts w:ascii="Arial" w:hAnsi="Arial" w:cs="Arial"/>
          <w:lang w:val="en-US" w:eastAsia="ja-JP"/>
        </w:rPr>
        <w:t xml:space="preserve">Prednisolone, cyclophosphamide, azathioprine, methotrexate, thalidomide, TNF-α and antagonists are </w:t>
      </w:r>
      <w:r w:rsidR="00192F46">
        <w:rPr>
          <w:rFonts w:ascii="Arial" w:hAnsi="Arial" w:cs="Arial"/>
          <w:lang w:val="en-US" w:eastAsia="ja-JP"/>
        </w:rPr>
        <w:t>permitted</w:t>
      </w:r>
      <w:r w:rsidRPr="00112CAC">
        <w:rPr>
          <w:rFonts w:ascii="Arial" w:hAnsi="Arial" w:cs="Arial"/>
          <w:lang w:val="en-US" w:eastAsia="ja-JP"/>
        </w:rPr>
        <w:t>. Topical, inhaled corticosteroids, or 25mg/</w:t>
      </w:r>
      <w:r>
        <w:rPr>
          <w:rFonts w:ascii="Arial" w:hAnsi="Arial" w:cs="Arial"/>
          <w:lang w:val="en-US" w:eastAsia="ja-JP"/>
        </w:rPr>
        <w:t>Day</w:t>
      </w:r>
      <w:r w:rsidRPr="00112CAC">
        <w:rPr>
          <w:rFonts w:ascii="Arial" w:hAnsi="Arial" w:cs="Arial"/>
          <w:lang w:val="en-US" w:eastAsia="ja-JP"/>
        </w:rPr>
        <w:t xml:space="preserve"> prednisolone or equivalent doses are permitted.</w:t>
      </w:r>
    </w:p>
    <w:p w14:paraId="5C65A60C" w14:textId="68FB031B"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Live vaccine</w:t>
      </w:r>
      <w:r w:rsidR="003D1F85">
        <w:rPr>
          <w:rFonts w:ascii="Arial" w:hAnsi="Arial" w:cs="Arial"/>
          <w:lang w:val="en-US" w:eastAsia="ja-JP"/>
        </w:rPr>
        <w:t xml:space="preserve"> and</w:t>
      </w:r>
      <w:r w:rsidRPr="00112CAC">
        <w:rPr>
          <w:rFonts w:ascii="Arial" w:hAnsi="Arial" w:cs="Arial"/>
          <w:lang w:val="en-US" w:eastAsia="ja-JP"/>
        </w:rPr>
        <w:t xml:space="preserve"> attenuated vaccine</w:t>
      </w:r>
      <w:r w:rsidR="003D1F85">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four</w:t>
      </w:r>
      <w:r w:rsidRPr="00112CAC">
        <w:rPr>
          <w:rFonts w:ascii="Arial" w:hAnsi="Arial" w:cs="Arial"/>
          <w:lang w:val="en-US" w:eastAsia="ja-JP"/>
        </w:rPr>
        <w:t xml:space="preserve"> </w:t>
      </w:r>
      <w:r>
        <w:rPr>
          <w:rFonts w:ascii="Arial" w:hAnsi="Arial" w:cs="Arial"/>
          <w:lang w:val="en-US" w:eastAsia="ja-JP"/>
        </w:rPr>
        <w:t>w</w:t>
      </w:r>
      <w:r w:rsidRPr="00112CAC">
        <w:rPr>
          <w:rFonts w:ascii="Arial" w:hAnsi="Arial" w:cs="Arial"/>
          <w:lang w:val="en-US" w:eastAsia="ja-JP"/>
        </w:rPr>
        <w:t>eek</w:t>
      </w:r>
      <w:r>
        <w:rPr>
          <w:rFonts w:ascii="Arial" w:hAnsi="Arial" w:cs="Arial"/>
          <w:lang w:val="en-US" w:eastAsia="ja-JP"/>
        </w:rPr>
        <w:t>s</w:t>
      </w:r>
    </w:p>
    <w:p w14:paraId="42A01039" w14:textId="00B3099D"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Other investigational product</w:t>
      </w:r>
      <w:r w:rsidR="003D1F85">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four</w:t>
      </w:r>
      <w:r w:rsidRPr="00112CAC">
        <w:rPr>
          <w:rFonts w:ascii="Arial" w:hAnsi="Arial" w:cs="Arial"/>
          <w:lang w:val="en-US" w:eastAsia="ja-JP"/>
        </w:rPr>
        <w:t xml:space="preserve"> weeks</w:t>
      </w:r>
    </w:p>
    <w:p w14:paraId="119B29D6" w14:textId="77777777" w:rsidR="0062530D" w:rsidRPr="003351B4" w:rsidRDefault="0062530D" w:rsidP="0062530D">
      <w:pPr>
        <w:spacing w:line="480" w:lineRule="auto"/>
        <w:rPr>
          <w:rFonts w:ascii="Arial" w:hAnsi="Arial" w:cs="Arial"/>
          <w:i/>
          <w:iCs/>
          <w:lang w:val="en-US" w:eastAsia="ja-JP"/>
        </w:rPr>
      </w:pPr>
      <w:r w:rsidRPr="003351B4">
        <w:rPr>
          <w:rFonts w:ascii="Arial" w:hAnsi="Arial" w:cs="Arial"/>
          <w:i/>
          <w:iCs/>
          <w:lang w:val="en-US" w:eastAsia="ja-JP"/>
        </w:rPr>
        <w:t xml:space="preserve">Exclusion criteria </w:t>
      </w:r>
    </w:p>
    <w:p w14:paraId="08A0A307" w14:textId="77777777" w:rsidR="0062530D" w:rsidRPr="003E5F69" w:rsidRDefault="0062530D" w:rsidP="0062530D">
      <w:pPr>
        <w:spacing w:line="480" w:lineRule="auto"/>
        <w:rPr>
          <w:rFonts w:ascii="Arial" w:hAnsi="Arial" w:cs="Arial"/>
          <w:lang w:val="en-US" w:eastAsia="ja-JP"/>
        </w:rPr>
      </w:pPr>
      <w:r w:rsidRPr="003E5F69">
        <w:rPr>
          <w:rFonts w:ascii="Arial" w:hAnsi="Arial" w:cs="Arial"/>
          <w:lang w:val="en-US" w:eastAsia="ja-JP"/>
        </w:rPr>
        <w:t xml:space="preserve">The presence of any of the following will exclude a </w:t>
      </w:r>
      <w:r>
        <w:rPr>
          <w:rFonts w:ascii="Arial" w:hAnsi="Arial" w:cs="Arial"/>
          <w:lang w:val="en-US" w:eastAsia="ja-JP"/>
        </w:rPr>
        <w:t>patient</w:t>
      </w:r>
      <w:r w:rsidRPr="003E5F69">
        <w:rPr>
          <w:rFonts w:ascii="Arial" w:hAnsi="Arial" w:cs="Arial"/>
          <w:lang w:val="en-US" w:eastAsia="ja-JP"/>
        </w:rPr>
        <w:t xml:space="preserve"> from enrollment:</w:t>
      </w:r>
    </w:p>
    <w:p w14:paraId="159B046F" w14:textId="6D6DDF4D"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The </w:t>
      </w:r>
      <w:r>
        <w:rPr>
          <w:rFonts w:ascii="Arial" w:hAnsi="Arial" w:cs="Arial"/>
          <w:lang w:val="en-US" w:eastAsia="ja-JP"/>
        </w:rPr>
        <w:t>patient</w:t>
      </w:r>
      <w:r w:rsidRPr="00112CAC">
        <w:rPr>
          <w:rFonts w:ascii="Arial" w:hAnsi="Arial" w:cs="Arial"/>
          <w:lang w:val="en-US" w:eastAsia="ja-JP"/>
        </w:rPr>
        <w:t xml:space="preserve"> has a history of hypersensitivity to the excipients of obinutuzumab </w:t>
      </w:r>
      <w:r w:rsidR="002E673C">
        <w:rPr>
          <w:rFonts w:ascii="Arial" w:hAnsi="Arial" w:cs="Arial"/>
          <w:lang w:val="en-US" w:eastAsia="ja-JP"/>
        </w:rPr>
        <w:t>(</w:t>
      </w:r>
      <w:r w:rsidRPr="00112CAC">
        <w:rPr>
          <w:rFonts w:ascii="Arial" w:hAnsi="Arial" w:cs="Arial"/>
          <w:lang w:val="en-US" w:eastAsia="ja-JP"/>
        </w:rPr>
        <w:t>histidine, trehalose, poloxamer 188</w:t>
      </w:r>
      <w:r w:rsidR="002E673C">
        <w:rPr>
          <w:rFonts w:ascii="Arial" w:hAnsi="Arial" w:cs="Arial"/>
          <w:lang w:val="en-US" w:eastAsia="ja-JP"/>
        </w:rPr>
        <w:t>)</w:t>
      </w:r>
      <w:r w:rsidRPr="00112CAC">
        <w:rPr>
          <w:rFonts w:ascii="Arial" w:hAnsi="Arial" w:cs="Arial"/>
          <w:lang w:val="en-US" w:eastAsia="ja-JP"/>
        </w:rPr>
        <w:t xml:space="preserve">, and the excipients of </w:t>
      </w:r>
      <w:r>
        <w:rPr>
          <w:rFonts w:ascii="Arial" w:hAnsi="Arial" w:cs="Arial"/>
          <w:lang w:val="en-US" w:eastAsia="ja-JP"/>
        </w:rPr>
        <w:t>glofitamab</w:t>
      </w:r>
      <w:r w:rsidRPr="00112CAC">
        <w:rPr>
          <w:rFonts w:ascii="Arial" w:hAnsi="Arial" w:cs="Arial"/>
          <w:lang w:val="en-US" w:eastAsia="ja-JP"/>
        </w:rPr>
        <w:t xml:space="preserve"> </w:t>
      </w:r>
      <w:r w:rsidR="002E673C">
        <w:rPr>
          <w:rFonts w:ascii="Arial" w:hAnsi="Arial" w:cs="Arial"/>
          <w:lang w:val="en-US" w:eastAsia="ja-JP"/>
        </w:rPr>
        <w:t>(</w:t>
      </w:r>
      <w:r w:rsidRPr="00112CAC">
        <w:rPr>
          <w:rFonts w:ascii="Arial" w:hAnsi="Arial" w:cs="Arial"/>
          <w:lang w:val="en-US" w:eastAsia="ja-JP"/>
        </w:rPr>
        <w:t>sucrose, methionine, and polysorbate 20</w:t>
      </w:r>
      <w:r w:rsidR="002E673C">
        <w:rPr>
          <w:rFonts w:ascii="Arial" w:hAnsi="Arial" w:cs="Arial"/>
          <w:lang w:val="en-US" w:eastAsia="ja-JP"/>
        </w:rPr>
        <w:t>)</w:t>
      </w:r>
      <w:r w:rsidRPr="00112CAC">
        <w:rPr>
          <w:rFonts w:ascii="Arial" w:hAnsi="Arial" w:cs="Arial"/>
          <w:lang w:val="en-US" w:eastAsia="ja-JP"/>
        </w:rPr>
        <w:t>.</w:t>
      </w:r>
    </w:p>
    <w:p w14:paraId="7705D556"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Known history of severe allergic or anaphylactic reactions to monoclonal antibody therapy (</w:t>
      </w:r>
      <w:r>
        <w:rPr>
          <w:rFonts w:ascii="Arial" w:hAnsi="Arial" w:cs="Arial"/>
          <w:lang w:val="en-US" w:eastAsia="ja-JP"/>
        </w:rPr>
        <w:t>c</w:t>
      </w:r>
      <w:r w:rsidRPr="00112CAC">
        <w:rPr>
          <w:rFonts w:ascii="Arial" w:hAnsi="Arial" w:cs="Arial"/>
          <w:lang w:val="en-US" w:eastAsia="ja-JP"/>
        </w:rPr>
        <w:t xml:space="preserve">himeric </w:t>
      </w:r>
      <w:r>
        <w:rPr>
          <w:rFonts w:ascii="Arial" w:hAnsi="Arial" w:cs="Arial"/>
          <w:lang w:val="en-US" w:eastAsia="ja-JP"/>
        </w:rPr>
        <w:t>a</w:t>
      </w:r>
      <w:r w:rsidRPr="00112CAC">
        <w:rPr>
          <w:rFonts w:ascii="Arial" w:hAnsi="Arial" w:cs="Arial"/>
          <w:lang w:val="en-US" w:eastAsia="ja-JP"/>
        </w:rPr>
        <w:t xml:space="preserve">ntibodies, </w:t>
      </w:r>
      <w:r>
        <w:rPr>
          <w:rFonts w:ascii="Arial" w:hAnsi="Arial" w:cs="Arial"/>
          <w:lang w:val="en-US" w:eastAsia="ja-JP"/>
        </w:rPr>
        <w:t>h</w:t>
      </w:r>
      <w:r w:rsidRPr="00112CAC">
        <w:rPr>
          <w:rFonts w:ascii="Arial" w:hAnsi="Arial" w:cs="Arial"/>
          <w:lang w:val="en-US" w:eastAsia="ja-JP"/>
        </w:rPr>
        <w:t xml:space="preserve">umanized </w:t>
      </w:r>
      <w:r>
        <w:rPr>
          <w:rFonts w:ascii="Arial" w:hAnsi="Arial" w:cs="Arial"/>
          <w:lang w:val="en-US" w:eastAsia="ja-JP"/>
        </w:rPr>
        <w:t>a</w:t>
      </w:r>
      <w:r w:rsidRPr="00112CAC">
        <w:rPr>
          <w:rFonts w:ascii="Arial" w:hAnsi="Arial" w:cs="Arial"/>
          <w:lang w:val="en-US" w:eastAsia="ja-JP"/>
        </w:rPr>
        <w:t xml:space="preserve">ntibodies, and </w:t>
      </w:r>
      <w:r>
        <w:rPr>
          <w:rFonts w:ascii="Arial" w:hAnsi="Arial" w:cs="Arial"/>
          <w:lang w:val="en-US" w:eastAsia="ja-JP"/>
        </w:rPr>
        <w:t>h</w:t>
      </w:r>
      <w:r w:rsidRPr="00112CAC">
        <w:rPr>
          <w:rFonts w:ascii="Arial" w:hAnsi="Arial" w:cs="Arial"/>
          <w:lang w:val="en-US" w:eastAsia="ja-JP"/>
        </w:rPr>
        <w:t xml:space="preserve">uman </w:t>
      </w:r>
      <w:r>
        <w:rPr>
          <w:rFonts w:ascii="Arial" w:hAnsi="Arial" w:cs="Arial"/>
          <w:lang w:val="en-US" w:eastAsia="ja-JP"/>
        </w:rPr>
        <w:t>a</w:t>
      </w:r>
      <w:r w:rsidRPr="00112CAC">
        <w:rPr>
          <w:rFonts w:ascii="Arial" w:hAnsi="Arial" w:cs="Arial"/>
          <w:lang w:val="en-US" w:eastAsia="ja-JP"/>
        </w:rPr>
        <w:t>ntibodies) or fusion proteins.</w:t>
      </w:r>
    </w:p>
    <w:p w14:paraId="35D63B3B"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Has a current or past history of central nervous system lymphoma, metastases to the central nervous system, or metastases to meninges.</w:t>
      </w:r>
    </w:p>
    <w:p w14:paraId="76AB0AFD" w14:textId="6F84879A" w:rsidR="0062530D"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The patient had multiple cancers with a disease-free interval of less than </w:t>
      </w:r>
      <w:r>
        <w:rPr>
          <w:rFonts w:ascii="Arial" w:hAnsi="Arial" w:cs="Arial"/>
          <w:lang w:val="en-US" w:eastAsia="ja-JP"/>
        </w:rPr>
        <w:t>two</w:t>
      </w:r>
      <w:r w:rsidRPr="00112CAC">
        <w:rPr>
          <w:rFonts w:ascii="Arial" w:hAnsi="Arial" w:cs="Arial"/>
          <w:lang w:val="en-US" w:eastAsia="ja-JP"/>
        </w:rPr>
        <w:t xml:space="preserve"> years. However, malignancies that are considered unlikely to recur, such as completely resected basal cell carcinoma of the skin and </w:t>
      </w:r>
      <w:r w:rsidR="003D1F85">
        <w:rPr>
          <w:rFonts w:ascii="Arial" w:hAnsi="Arial" w:cs="Arial"/>
          <w:lang w:val="en-US" w:eastAsia="ja-JP"/>
        </w:rPr>
        <w:t xml:space="preserve">cervical intraepithelial neoplasia, </w:t>
      </w:r>
      <w:r w:rsidRPr="00112CAC">
        <w:rPr>
          <w:rFonts w:ascii="Arial" w:hAnsi="Arial" w:cs="Arial"/>
          <w:lang w:val="en-US" w:eastAsia="ja-JP"/>
        </w:rPr>
        <w:t>gastrointestinal cancers that have been completely resected by endoscopic mucosal resection, or malignancies that do not require treatment, such as early prostate cancer, are excluded.</w:t>
      </w:r>
      <w:r w:rsidRPr="00112CAC">
        <w:rPr>
          <w:lang w:val="en-US"/>
        </w:rPr>
        <w:t xml:space="preserve"> </w:t>
      </w:r>
    </w:p>
    <w:p w14:paraId="1AD193D5"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lastRenderedPageBreak/>
        <w:t>A serious adverse event related to obinutuzumab that was associated with a previous dose of obinutuzumab was reported, which led to discontinuation of the obinutuzumab.</w:t>
      </w:r>
    </w:p>
    <w:p w14:paraId="75211909" w14:textId="2661DB4F"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Persistent adverse reactions associated with prior treatment of </w:t>
      </w:r>
      <w:r w:rsidR="00D539A5">
        <w:rPr>
          <w:rFonts w:ascii="Arial" w:hAnsi="Arial" w:cs="Arial"/>
          <w:lang w:val="en-US" w:eastAsia="ja-JP"/>
        </w:rPr>
        <w:t>g</w:t>
      </w:r>
      <w:r w:rsidRPr="00112CAC">
        <w:rPr>
          <w:rFonts w:ascii="Arial" w:hAnsi="Arial" w:cs="Arial"/>
          <w:lang w:val="en-US" w:eastAsia="ja-JP"/>
        </w:rPr>
        <w:t>rade 2 or higher as defined in the NCI CTCAE (v 5.0). However, alopecia and lymphocyte count decreased will be permitted.</w:t>
      </w:r>
    </w:p>
    <w:p w14:paraId="11CA5320" w14:textId="2B1C8695"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History or presence of any of the following adverse reactions to prior immunotherapy (excluding endocrinopathies manageable with hormone replacement therapy)</w:t>
      </w:r>
      <w:r w:rsidR="0004469F">
        <w:rPr>
          <w:rFonts w:ascii="Arial" w:hAnsi="Arial" w:cs="Arial"/>
          <w:lang w:val="en-US" w:eastAsia="ja-JP"/>
        </w:rPr>
        <w:t>:</w:t>
      </w:r>
    </w:p>
    <w:p w14:paraId="19E3B8FC" w14:textId="4A53084C"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NCI CTCAE (v5.</w:t>
      </w:r>
      <w:r w:rsidR="003D1F85">
        <w:rPr>
          <w:rFonts w:ascii="Arial" w:hAnsi="Arial" w:cs="Arial"/>
          <w:lang w:val="en-US" w:eastAsia="ja-JP"/>
        </w:rPr>
        <w:t>0</w:t>
      </w:r>
      <w:r w:rsidRPr="00112CAC">
        <w:rPr>
          <w:rFonts w:ascii="Arial" w:hAnsi="Arial" w:cs="Arial"/>
          <w:lang w:val="en-US" w:eastAsia="ja-JP"/>
        </w:rPr>
        <w:t xml:space="preserve">) </w:t>
      </w:r>
      <w:r w:rsidR="00F20F2B">
        <w:rPr>
          <w:rFonts w:ascii="Arial" w:hAnsi="Arial" w:cs="Arial"/>
          <w:lang w:val="en-US" w:eastAsia="ja-JP"/>
        </w:rPr>
        <w:t>g</w:t>
      </w:r>
      <w:r w:rsidRPr="00112CAC">
        <w:rPr>
          <w:rFonts w:ascii="Arial" w:hAnsi="Arial" w:cs="Arial"/>
          <w:lang w:val="en-US" w:eastAsia="ja-JP"/>
        </w:rPr>
        <w:t xml:space="preserve">rade 3 </w:t>
      </w:r>
      <w:r w:rsidR="003D1F85">
        <w:rPr>
          <w:rFonts w:ascii="Arial" w:hAnsi="Arial" w:cs="Arial"/>
          <w:lang w:val="en-US" w:eastAsia="ja-JP"/>
        </w:rPr>
        <w:t xml:space="preserve">or higher </w:t>
      </w:r>
      <w:r>
        <w:rPr>
          <w:rFonts w:ascii="Arial" w:hAnsi="Arial" w:cs="Arial"/>
          <w:lang w:val="en-US" w:eastAsia="ja-JP"/>
        </w:rPr>
        <w:t>a</w:t>
      </w:r>
      <w:r w:rsidRPr="00112CAC">
        <w:rPr>
          <w:rFonts w:ascii="Arial" w:hAnsi="Arial" w:cs="Arial"/>
          <w:lang w:val="en-US" w:eastAsia="ja-JP"/>
        </w:rPr>
        <w:t>dverse reactions</w:t>
      </w:r>
    </w:p>
    <w:p w14:paraId="503C6487" w14:textId="6E721975"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Adverse reactions of NCI CTCAE (v5.</w:t>
      </w:r>
      <w:r w:rsidR="003D1F85">
        <w:rPr>
          <w:rFonts w:ascii="Arial" w:hAnsi="Arial" w:cs="Arial"/>
          <w:lang w:val="en-US" w:eastAsia="ja-JP"/>
        </w:rPr>
        <w:t>0</w:t>
      </w:r>
      <w:r w:rsidRPr="00112CAC">
        <w:rPr>
          <w:rFonts w:ascii="Arial" w:hAnsi="Arial" w:cs="Arial"/>
          <w:lang w:val="en-US" w:eastAsia="ja-JP"/>
        </w:rPr>
        <w:t xml:space="preserve">) </w:t>
      </w:r>
      <w:r w:rsidR="00F20F2B">
        <w:rPr>
          <w:rFonts w:ascii="Arial" w:hAnsi="Arial" w:cs="Arial"/>
          <w:lang w:val="en-US" w:eastAsia="ja-JP"/>
        </w:rPr>
        <w:t>g</w:t>
      </w:r>
      <w:r w:rsidRPr="00112CAC">
        <w:rPr>
          <w:rFonts w:ascii="Arial" w:hAnsi="Arial" w:cs="Arial"/>
          <w:lang w:val="en-US" w:eastAsia="ja-JP"/>
        </w:rPr>
        <w:t xml:space="preserve">rade 1, </w:t>
      </w:r>
      <w:r w:rsidR="00F20F2B">
        <w:rPr>
          <w:rFonts w:ascii="Arial" w:hAnsi="Arial" w:cs="Arial"/>
          <w:lang w:val="en-US" w:eastAsia="ja-JP"/>
        </w:rPr>
        <w:t>g</w:t>
      </w:r>
      <w:r w:rsidRPr="00112CAC">
        <w:rPr>
          <w:rFonts w:ascii="Arial" w:hAnsi="Arial" w:cs="Arial"/>
          <w:lang w:val="en-US" w:eastAsia="ja-JP"/>
        </w:rPr>
        <w:t>rade 2 not expected to resolve by the time of enrollment in this study</w:t>
      </w:r>
      <w:r>
        <w:rPr>
          <w:rFonts w:ascii="Arial" w:hAnsi="Arial" w:cs="Arial"/>
          <w:lang w:val="en-US" w:eastAsia="ja-JP"/>
        </w:rPr>
        <w:t>.</w:t>
      </w:r>
    </w:p>
    <w:p w14:paraId="37E965BC" w14:textId="0063D47B" w:rsidR="0062530D"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Active infection (</w:t>
      </w:r>
      <w:r>
        <w:rPr>
          <w:rFonts w:ascii="Arial" w:hAnsi="Arial" w:cs="Arial"/>
          <w:lang w:val="en-US" w:eastAsia="ja-JP"/>
        </w:rPr>
        <w:t>i</w:t>
      </w:r>
      <w:r w:rsidRPr="00112CAC">
        <w:rPr>
          <w:rFonts w:ascii="Arial" w:hAnsi="Arial" w:cs="Arial"/>
          <w:lang w:val="en-US" w:eastAsia="ja-JP"/>
        </w:rPr>
        <w:t xml:space="preserve">ncludes bacterial, viral, fungal, mycobacterial, Epstein-Barr virus (EBV), hepatitis B, hepatitis C, human immunodeficiency virus (HIV), tuberculosis, and other infections. Exclude fungal infection of nail bed within 4 weeks prior to dosing with obinutuzumab in this study. </w:t>
      </w:r>
    </w:p>
    <w:p w14:paraId="0FF0BD35" w14:textId="10DB17B4" w:rsidR="0062530D" w:rsidRPr="00112CAC" w:rsidRDefault="00416FC5" w:rsidP="0062530D">
      <w:pPr>
        <w:pStyle w:val="ListParagraph"/>
        <w:numPr>
          <w:ilvl w:val="0"/>
          <w:numId w:val="1"/>
        </w:numPr>
        <w:spacing w:line="480" w:lineRule="auto"/>
        <w:rPr>
          <w:rFonts w:ascii="Arial" w:hAnsi="Arial" w:cs="Arial"/>
          <w:lang w:val="en-US" w:eastAsia="ja-JP"/>
        </w:rPr>
      </w:pPr>
      <w:r>
        <w:rPr>
          <w:rFonts w:ascii="Arial" w:hAnsi="Arial" w:cs="Arial"/>
          <w:lang w:val="en-US" w:eastAsia="ja-JP"/>
        </w:rPr>
        <w:t>P</w:t>
      </w:r>
      <w:r w:rsidR="0062530D" w:rsidRPr="00112CAC">
        <w:rPr>
          <w:rFonts w:ascii="Arial" w:hAnsi="Arial" w:cs="Arial"/>
          <w:lang w:val="en-US" w:eastAsia="ja-JP"/>
        </w:rPr>
        <w:t xml:space="preserve">rior to the administration of obinutuzumab in this study </w:t>
      </w:r>
      <w:r w:rsidR="0062530D">
        <w:rPr>
          <w:rFonts w:ascii="Arial" w:hAnsi="Arial" w:cs="Arial"/>
          <w:lang w:val="en-US" w:eastAsia="ja-JP"/>
        </w:rPr>
        <w:t>p</w:t>
      </w:r>
      <w:r w:rsidR="0062530D" w:rsidRPr="00112CAC">
        <w:rPr>
          <w:rFonts w:ascii="Arial" w:hAnsi="Arial" w:cs="Arial"/>
          <w:lang w:val="en-US" w:eastAsia="ja-JP"/>
        </w:rPr>
        <w:t>resence (including history) of infection requiring intravenous antibiotic therapy or hospitalization within</w:t>
      </w:r>
      <w:r w:rsidR="0062530D">
        <w:rPr>
          <w:rFonts w:ascii="Arial" w:hAnsi="Arial" w:cs="Arial"/>
          <w:lang w:val="en-US" w:eastAsia="ja-JP"/>
        </w:rPr>
        <w:t xml:space="preserve"> four</w:t>
      </w:r>
      <w:r w:rsidR="0062530D" w:rsidRPr="00112CAC">
        <w:rPr>
          <w:rFonts w:ascii="Arial" w:hAnsi="Arial" w:cs="Arial"/>
          <w:lang w:val="en-US" w:eastAsia="ja-JP"/>
        </w:rPr>
        <w:t xml:space="preserve"> weeks. A positive result for EBV, cytomegalovirus (CMV), human T-lymphotropic virus type 1 precludes enrollment, even if the infection is inactive.</w:t>
      </w:r>
    </w:p>
    <w:p w14:paraId="219760EA" w14:textId="4028FD8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Presence or history of autoimmune disease. However, the following cases are allowed</w:t>
      </w:r>
      <w:r w:rsidR="00416FC5">
        <w:rPr>
          <w:rFonts w:ascii="Arial" w:hAnsi="Arial" w:cs="Arial"/>
          <w:lang w:val="en-US" w:eastAsia="ja-JP"/>
        </w:rPr>
        <w:t>:</w:t>
      </w:r>
    </w:p>
    <w:p w14:paraId="476DAF7F" w14:textId="77777777"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Presence or history of hypothyroidism that is controlled with stable thyroid hormone replacement therapy</w:t>
      </w:r>
    </w:p>
    <w:p w14:paraId="55F287B5" w14:textId="77777777" w:rsidR="0062530D" w:rsidRPr="00112CAC"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lastRenderedPageBreak/>
        <w:t>Presence or history of immune thrombocytopenic purpura or autoimmune hemolytic anemia</w:t>
      </w:r>
    </w:p>
    <w:p w14:paraId="544D0C29" w14:textId="6C6EB680" w:rsidR="0062530D" w:rsidRPr="003E5F69"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t xml:space="preserve">Controllable </w:t>
      </w:r>
      <w:r>
        <w:rPr>
          <w:rFonts w:ascii="Arial" w:hAnsi="Arial" w:cs="Arial"/>
          <w:lang w:val="en-US" w:eastAsia="ja-JP"/>
        </w:rPr>
        <w:t>c</w:t>
      </w:r>
      <w:r w:rsidRPr="00112CAC">
        <w:rPr>
          <w:rFonts w:ascii="Arial" w:hAnsi="Arial" w:cs="Arial"/>
          <w:lang w:val="en-US" w:eastAsia="ja-JP"/>
        </w:rPr>
        <w:t xml:space="preserve">oncurrent or previous type </w:t>
      </w:r>
      <w:r>
        <w:rPr>
          <w:rFonts w:ascii="Arial" w:hAnsi="Arial" w:cs="Arial"/>
          <w:lang w:val="en-US" w:eastAsia="ja-JP"/>
        </w:rPr>
        <w:t xml:space="preserve">1 </w:t>
      </w:r>
      <w:r w:rsidRPr="00112CAC">
        <w:rPr>
          <w:rFonts w:ascii="Arial" w:hAnsi="Arial" w:cs="Arial"/>
          <w:lang w:val="en-US" w:eastAsia="ja-JP"/>
        </w:rPr>
        <w:t>diabetes mellitus</w:t>
      </w:r>
      <w:r>
        <w:rPr>
          <w:rFonts w:ascii="Arial" w:hAnsi="Arial" w:cs="Arial"/>
          <w:lang w:val="en-US" w:eastAsia="ja-JP"/>
        </w:rPr>
        <w:t xml:space="preserve"> </w:t>
      </w:r>
      <w:r w:rsidRPr="003E5F69">
        <w:rPr>
          <w:rFonts w:ascii="Arial" w:hAnsi="Arial" w:cs="Arial"/>
          <w:lang w:val="en-US" w:eastAsia="ja-JP"/>
        </w:rPr>
        <w:t>(</w:t>
      </w:r>
      <w:r w:rsidR="00E03FBE">
        <w:rPr>
          <w:rFonts w:ascii="Arial" w:hAnsi="Arial" w:cs="Arial"/>
          <w:lang w:val="en-US" w:eastAsia="ja-JP"/>
        </w:rPr>
        <w:t>HbA1c</w:t>
      </w:r>
      <w:r w:rsidR="00192F46">
        <w:rPr>
          <w:rFonts w:ascii="Arial" w:hAnsi="Arial" w:cs="Arial"/>
          <w:lang w:val="en-US" w:eastAsia="ja-JP"/>
        </w:rPr>
        <w:t xml:space="preserve"> </w:t>
      </w:r>
      <w:r w:rsidR="00E03FBE">
        <w:rPr>
          <w:rFonts w:ascii="Arial" w:hAnsi="Arial" w:cs="Arial"/>
          <w:lang w:val="en-US" w:eastAsia="ja-JP"/>
        </w:rPr>
        <w:t>&lt;8%</w:t>
      </w:r>
      <w:r w:rsidRPr="003E5F69">
        <w:rPr>
          <w:rFonts w:ascii="Arial" w:hAnsi="Arial" w:cs="Arial"/>
          <w:lang w:val="en-US" w:eastAsia="ja-JP"/>
        </w:rPr>
        <w:t xml:space="preserve"> and no ketoacidosis at screening)</w:t>
      </w:r>
    </w:p>
    <w:p w14:paraId="2AD85FD5"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Prior allogeneic hematopoietic stem cell transplantation or organ transplantation.</w:t>
      </w:r>
    </w:p>
    <w:p w14:paraId="49E1272D" w14:textId="28F6BB5E"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HIV</w:t>
      </w:r>
      <w:r w:rsidR="00FB4BCA">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p</w:t>
      </w:r>
      <w:r w:rsidRPr="00112CAC">
        <w:rPr>
          <w:rFonts w:ascii="Arial" w:hAnsi="Arial" w:cs="Arial"/>
          <w:lang w:val="en-US" w:eastAsia="ja-JP"/>
        </w:rPr>
        <w:t>ositive for antibodies.</w:t>
      </w:r>
    </w:p>
    <w:p w14:paraId="5DA8B70C" w14:textId="61823A8E" w:rsidR="0062530D" w:rsidRPr="00112CAC" w:rsidRDefault="0062530D" w:rsidP="0062530D">
      <w:pPr>
        <w:pStyle w:val="ListParagraph"/>
        <w:numPr>
          <w:ilvl w:val="0"/>
          <w:numId w:val="1"/>
        </w:numPr>
        <w:spacing w:line="480" w:lineRule="auto"/>
        <w:rPr>
          <w:rFonts w:ascii="Arial" w:hAnsi="Arial" w:cs="Arial"/>
          <w:lang w:val="en-US" w:eastAsia="ja-JP"/>
        </w:rPr>
      </w:pPr>
      <w:r w:rsidRPr="00AD751E">
        <w:rPr>
          <w:rFonts w:ascii="Arial" w:hAnsi="Arial" w:cs="Arial"/>
          <w:lang w:val="fr-FR" w:eastAsia="ja-JP"/>
        </w:rPr>
        <w:t xml:space="preserve">Hepatitis </w:t>
      </w:r>
      <w:r w:rsidR="00901DBB">
        <w:rPr>
          <w:rFonts w:ascii="Arial" w:hAnsi="Arial" w:cs="Arial"/>
          <w:lang w:val="fr-FR" w:eastAsia="ja-JP"/>
        </w:rPr>
        <w:t xml:space="preserve">B </w:t>
      </w:r>
      <w:r w:rsidRPr="00AD751E">
        <w:rPr>
          <w:rFonts w:ascii="Arial" w:hAnsi="Arial" w:cs="Arial"/>
          <w:lang w:val="fr-FR" w:eastAsia="ja-JP"/>
        </w:rPr>
        <w:t xml:space="preserve">surface (HBs) antigen positive. </w:t>
      </w:r>
      <w:r w:rsidRPr="00112CAC">
        <w:rPr>
          <w:rFonts w:ascii="Arial" w:hAnsi="Arial" w:cs="Arial"/>
          <w:lang w:val="en-US" w:eastAsia="ja-JP"/>
        </w:rPr>
        <w:t>However, patients who are negative for HBs antigen and show only positive for HBs antibody and have a clear history of vaccination for hepatitis B virus (HBV), and patients who are negative for HBs antigen and show positive for HBs antibody and/or positive for Hepatitis B core</w:t>
      </w:r>
      <w:r w:rsidR="00E03FBE">
        <w:rPr>
          <w:rFonts w:ascii="Arial" w:hAnsi="Arial" w:cs="Arial"/>
          <w:lang w:val="en-US" w:eastAsia="ja-JP"/>
        </w:rPr>
        <w:t xml:space="preserve"> (</w:t>
      </w:r>
      <w:r w:rsidRPr="00112CAC">
        <w:rPr>
          <w:rFonts w:ascii="Arial" w:hAnsi="Arial" w:cs="Arial"/>
          <w:lang w:val="en-US" w:eastAsia="ja-JP"/>
        </w:rPr>
        <w:t>HBc) antibody and do not have detectable HBV-DNA are eligible for enrollment.</w:t>
      </w:r>
    </w:p>
    <w:p w14:paraId="2C832F10" w14:textId="45AEBA7D"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Hepatitis </w:t>
      </w:r>
      <w:r w:rsidR="006F4A46">
        <w:rPr>
          <w:rFonts w:ascii="Arial" w:hAnsi="Arial" w:cs="Arial"/>
          <w:lang w:val="en-US" w:eastAsia="ja-JP"/>
        </w:rPr>
        <w:t xml:space="preserve">C </w:t>
      </w:r>
      <w:r w:rsidRPr="00112CAC">
        <w:rPr>
          <w:rFonts w:ascii="Arial" w:hAnsi="Arial" w:cs="Arial"/>
          <w:lang w:val="en-US" w:eastAsia="ja-JP"/>
        </w:rPr>
        <w:t>virus (HCV)</w:t>
      </w:r>
      <w:r w:rsidR="006F4A46">
        <w:rPr>
          <w:rFonts w:ascii="Arial" w:hAnsi="Arial" w:cs="Arial"/>
          <w:lang w:val="en-US" w:eastAsia="ja-JP"/>
        </w:rPr>
        <w:t>,</w:t>
      </w:r>
      <w:r w:rsidRPr="00112CAC">
        <w:rPr>
          <w:rFonts w:ascii="Arial" w:hAnsi="Arial" w:cs="Arial"/>
          <w:lang w:val="en-US" w:eastAsia="ja-JP"/>
        </w:rPr>
        <w:t xml:space="preserve"> </w:t>
      </w:r>
      <w:r>
        <w:rPr>
          <w:rFonts w:ascii="Arial" w:hAnsi="Arial" w:cs="Arial"/>
          <w:lang w:val="en-US" w:eastAsia="ja-JP"/>
        </w:rPr>
        <w:t>p</w:t>
      </w:r>
      <w:r w:rsidRPr="00112CAC">
        <w:rPr>
          <w:rFonts w:ascii="Arial" w:hAnsi="Arial" w:cs="Arial"/>
          <w:lang w:val="en-US" w:eastAsia="ja-JP"/>
        </w:rPr>
        <w:t>ositive for antibody. However, patients who are positive for HCV antibody and negative for HCV-RNA can be enrolled.</w:t>
      </w:r>
    </w:p>
    <w:p w14:paraId="3FB13B46"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The patient had a history or complication of progressive multifocal leukoencephalopathy (PML).</w:t>
      </w:r>
    </w:p>
    <w:p w14:paraId="0D3BCAB1"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Presence or history of macrophage activation syndrome/hemophagocytic lymphohistiocytosis.</w:t>
      </w:r>
    </w:p>
    <w:p w14:paraId="49DBAF1C"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History or presence of significant pulmonary disease, including severe obstructive pulmonary disease.</w:t>
      </w:r>
    </w:p>
    <w:p w14:paraId="0BD9919A"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Have New York Heart Association Class III or greater cardiac disease, arrhythmia, or unstable angina, and a history or complication of myocardial infarction within</w:t>
      </w:r>
      <w:r>
        <w:rPr>
          <w:rFonts w:ascii="Arial" w:hAnsi="Arial" w:cs="Arial"/>
          <w:lang w:val="en-US" w:eastAsia="ja-JP"/>
        </w:rPr>
        <w:t xml:space="preserve"> six</w:t>
      </w:r>
      <w:r w:rsidRPr="00112CAC">
        <w:rPr>
          <w:rFonts w:ascii="Arial" w:hAnsi="Arial" w:cs="Arial"/>
          <w:lang w:val="en-US" w:eastAsia="ja-JP"/>
        </w:rPr>
        <w:t xml:space="preserve"> months before enrollment.</w:t>
      </w:r>
    </w:p>
    <w:p w14:paraId="34B37EE9"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lastRenderedPageBreak/>
        <w:t>Patients with current or previous central nervous system disease (</w:t>
      </w:r>
      <w:r>
        <w:rPr>
          <w:rFonts w:ascii="Arial" w:hAnsi="Arial" w:cs="Arial"/>
          <w:lang w:val="en-US" w:eastAsia="ja-JP"/>
        </w:rPr>
        <w:t>s</w:t>
      </w:r>
      <w:r w:rsidRPr="00112CAC">
        <w:rPr>
          <w:rFonts w:ascii="Arial" w:hAnsi="Arial" w:cs="Arial"/>
          <w:lang w:val="en-US" w:eastAsia="ja-JP"/>
        </w:rPr>
        <w:t xml:space="preserve">troke, epilepsy, central nervous system vasculitis, neurodegenerative disease, etc.). </w:t>
      </w:r>
      <w:r>
        <w:rPr>
          <w:rFonts w:ascii="Arial" w:hAnsi="Arial" w:cs="Arial"/>
          <w:lang w:val="en-US" w:eastAsia="ja-JP"/>
        </w:rPr>
        <w:t>However, p</w:t>
      </w:r>
      <w:r w:rsidRPr="00112CAC">
        <w:rPr>
          <w:rFonts w:ascii="Arial" w:hAnsi="Arial" w:cs="Arial"/>
          <w:lang w:val="en-US" w:eastAsia="ja-JP"/>
        </w:rPr>
        <w:t xml:space="preserve">atients with a history of stroke, </w:t>
      </w:r>
      <w:r>
        <w:rPr>
          <w:rFonts w:ascii="Arial" w:hAnsi="Arial" w:cs="Arial"/>
          <w:lang w:val="en-US" w:eastAsia="ja-JP"/>
        </w:rPr>
        <w:t>may be enrolled if the investigator or sub-investigator determines that they have not had a stroke or transient ischemic attack in the past two years and have no residual neurological deficits.</w:t>
      </w:r>
    </w:p>
    <w:p w14:paraId="651892CC"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Clinically significant hepatic disease (</w:t>
      </w:r>
      <w:r>
        <w:rPr>
          <w:rFonts w:ascii="Arial" w:hAnsi="Arial" w:cs="Arial"/>
          <w:lang w:val="en-US" w:eastAsia="ja-JP"/>
        </w:rPr>
        <w:t>v</w:t>
      </w:r>
      <w:r w:rsidRPr="00112CAC">
        <w:rPr>
          <w:rFonts w:ascii="Arial" w:hAnsi="Arial" w:cs="Arial"/>
          <w:lang w:val="en-US" w:eastAsia="ja-JP"/>
        </w:rPr>
        <w:t>iral, alcoholic or other hepatitis, hepatic cirrhosis, etc.).</w:t>
      </w:r>
    </w:p>
    <w:p w14:paraId="7AC49A5C" w14:textId="017AAE46"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Uncontrollable hypertension (systolic blood pressure </w:t>
      </w:r>
      <w:r w:rsidR="00E03FBE">
        <w:rPr>
          <w:rFonts w:ascii="Arial" w:hAnsi="Arial" w:cs="Arial"/>
          <w:lang w:val="en-US" w:eastAsia="ja-JP"/>
        </w:rPr>
        <w:t>≥</w:t>
      </w:r>
      <w:r w:rsidRPr="00112CAC">
        <w:rPr>
          <w:rFonts w:ascii="Arial" w:hAnsi="Arial" w:cs="Arial"/>
          <w:lang w:val="en-US" w:eastAsia="ja-JP"/>
        </w:rPr>
        <w:t xml:space="preserve">140mmHg or diastolic blood pressure </w:t>
      </w:r>
      <w:r w:rsidR="00E03FBE">
        <w:rPr>
          <w:rFonts w:ascii="Arial" w:hAnsi="Arial" w:cs="Arial"/>
          <w:lang w:val="en-US" w:eastAsia="ja-JP"/>
        </w:rPr>
        <w:t>≥</w:t>
      </w:r>
      <w:r w:rsidRPr="00112CAC">
        <w:rPr>
          <w:rFonts w:ascii="Arial" w:hAnsi="Arial" w:cs="Arial"/>
          <w:lang w:val="en-US" w:eastAsia="ja-JP"/>
        </w:rPr>
        <w:t>90mmHg).</w:t>
      </w:r>
    </w:p>
    <w:p w14:paraId="6362BE18"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Uncontrolled diabetes mellitus.</w:t>
      </w:r>
    </w:p>
    <w:p w14:paraId="5E239687" w14:textId="77777777" w:rsidR="0062530D" w:rsidRPr="00CE53EB"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Pregnant or lactating women (</w:t>
      </w:r>
      <w:r>
        <w:rPr>
          <w:rFonts w:ascii="Arial" w:hAnsi="Arial" w:cs="Arial"/>
          <w:lang w:val="en-US" w:eastAsia="ja-JP"/>
        </w:rPr>
        <w:t>l</w:t>
      </w:r>
      <w:r w:rsidRPr="00112CAC">
        <w:rPr>
          <w:rFonts w:ascii="Arial" w:hAnsi="Arial" w:cs="Arial"/>
          <w:lang w:val="en-US" w:eastAsia="ja-JP"/>
        </w:rPr>
        <w:t xml:space="preserve">actating females can be enrolled if they agree to discontinue breastfeeding for the duration of the study and for 18 months after the last dose of obinutuzumab, </w:t>
      </w:r>
      <w:r>
        <w:rPr>
          <w:rFonts w:ascii="Arial" w:hAnsi="Arial" w:cs="Arial"/>
          <w:lang w:val="en-US" w:eastAsia="ja-JP"/>
        </w:rPr>
        <w:t>two</w:t>
      </w:r>
      <w:r w:rsidRPr="00112CAC">
        <w:rPr>
          <w:rFonts w:ascii="Arial" w:hAnsi="Arial" w:cs="Arial"/>
          <w:lang w:val="en-US" w:eastAsia="ja-JP"/>
        </w:rPr>
        <w:t xml:space="preserve"> months after the last dose of </w:t>
      </w:r>
      <w:r>
        <w:rPr>
          <w:rFonts w:ascii="Arial" w:hAnsi="Arial" w:cs="Arial"/>
          <w:lang w:val="en-US" w:eastAsia="ja-JP"/>
        </w:rPr>
        <w:t>glofitamab</w:t>
      </w:r>
      <w:r w:rsidRPr="00112CAC">
        <w:rPr>
          <w:rFonts w:ascii="Arial" w:hAnsi="Arial" w:cs="Arial"/>
          <w:lang w:val="en-US" w:eastAsia="ja-JP"/>
        </w:rPr>
        <w:t xml:space="preserve">, or </w:t>
      </w:r>
      <w:r>
        <w:rPr>
          <w:rFonts w:ascii="Arial" w:hAnsi="Arial" w:cs="Arial"/>
          <w:lang w:val="en-US" w:eastAsia="ja-JP"/>
        </w:rPr>
        <w:t>three</w:t>
      </w:r>
      <w:r w:rsidRPr="00CE53EB">
        <w:rPr>
          <w:rFonts w:ascii="Arial" w:hAnsi="Arial" w:cs="Arial"/>
          <w:lang w:val="en-US" w:eastAsia="ja-JP"/>
        </w:rPr>
        <w:t xml:space="preserve"> months after the last dose of tocilizumab, whichever is longer).</w:t>
      </w:r>
    </w:p>
    <w:p w14:paraId="1652A3E5"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Women with a positive pregnancy test </w:t>
      </w:r>
      <w:r>
        <w:rPr>
          <w:rFonts w:ascii="Arial" w:hAnsi="Arial" w:cs="Arial"/>
          <w:lang w:val="en-US" w:eastAsia="ja-JP"/>
        </w:rPr>
        <w:t>(a</w:t>
      </w:r>
      <w:r w:rsidRPr="00112CAC">
        <w:rPr>
          <w:rFonts w:ascii="Arial" w:hAnsi="Arial" w:cs="Arial"/>
          <w:lang w:val="en-US" w:eastAsia="ja-JP"/>
        </w:rPr>
        <w:t xml:space="preserve"> woman who has not been in a postmenopausal state </w:t>
      </w:r>
      <w:r>
        <w:rPr>
          <w:rFonts w:ascii="Arial" w:hAnsi="Arial" w:cs="Arial"/>
          <w:lang w:val="en-US" w:eastAsia="ja-JP"/>
        </w:rPr>
        <w:t>[</w:t>
      </w:r>
      <w:r w:rsidRPr="00112CAC">
        <w:rPr>
          <w:rFonts w:ascii="Arial" w:hAnsi="Arial" w:cs="Arial"/>
          <w:lang w:val="en-US" w:eastAsia="ja-JP"/>
        </w:rPr>
        <w:t>≥12 months of amenorrhea without an identified cause other than menopause</w:t>
      </w:r>
      <w:r>
        <w:rPr>
          <w:rFonts w:ascii="Arial" w:hAnsi="Arial" w:cs="Arial"/>
          <w:lang w:val="en-US" w:eastAsia="ja-JP"/>
        </w:rPr>
        <w:t>]</w:t>
      </w:r>
      <w:r w:rsidRPr="00112CAC">
        <w:rPr>
          <w:rFonts w:ascii="Arial" w:hAnsi="Arial" w:cs="Arial"/>
          <w:lang w:val="en-US" w:eastAsia="ja-JP"/>
        </w:rPr>
        <w:t xml:space="preserve"> and has not undergone an oophorectomy and/or hysterectomy is considered a woman of childbearing potential and will undergo pregnancy testing. However, even if the patient has no menstruation within 12 months, a pregnancy test will be performed in women for whom the possibility of pregnancy cannot be ruled out for reasons such as chemical menopause</w:t>
      </w:r>
      <w:r>
        <w:rPr>
          <w:rFonts w:ascii="Arial" w:hAnsi="Arial" w:cs="Arial"/>
          <w:lang w:val="en-US" w:eastAsia="ja-JP"/>
        </w:rPr>
        <w:t>)</w:t>
      </w:r>
      <w:r w:rsidRPr="00112CAC">
        <w:rPr>
          <w:rFonts w:ascii="Arial" w:hAnsi="Arial" w:cs="Arial"/>
          <w:lang w:val="en-US" w:eastAsia="ja-JP"/>
        </w:rPr>
        <w:t>.</w:t>
      </w:r>
    </w:p>
    <w:p w14:paraId="7B663C6A"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lastRenderedPageBreak/>
        <w:t xml:space="preserve">A female of childbearing potential who is not willing to use adequate contraception or not donate eggs during the study and for 18 months after the last dose of obinutuzumab, </w:t>
      </w:r>
      <w:r>
        <w:rPr>
          <w:rFonts w:ascii="Arial" w:hAnsi="Arial" w:cs="Arial"/>
          <w:lang w:val="en-US" w:eastAsia="ja-JP"/>
        </w:rPr>
        <w:t>two</w:t>
      </w:r>
      <w:r w:rsidRPr="00112CAC">
        <w:rPr>
          <w:rFonts w:ascii="Arial" w:hAnsi="Arial" w:cs="Arial"/>
          <w:lang w:val="en-US" w:eastAsia="ja-JP"/>
        </w:rPr>
        <w:t xml:space="preserve"> months after the last dose of </w:t>
      </w:r>
      <w:r>
        <w:rPr>
          <w:rFonts w:ascii="Arial" w:hAnsi="Arial" w:cs="Arial"/>
          <w:lang w:val="en-US" w:eastAsia="ja-JP"/>
        </w:rPr>
        <w:t>glofitamab</w:t>
      </w:r>
      <w:r w:rsidRPr="00112CAC">
        <w:rPr>
          <w:rFonts w:ascii="Arial" w:hAnsi="Arial" w:cs="Arial"/>
          <w:lang w:val="en-US" w:eastAsia="ja-JP"/>
        </w:rPr>
        <w:t xml:space="preserve">, or </w:t>
      </w:r>
      <w:r>
        <w:rPr>
          <w:rFonts w:ascii="Arial" w:hAnsi="Arial" w:cs="Arial"/>
          <w:lang w:val="en-US" w:eastAsia="ja-JP"/>
        </w:rPr>
        <w:t>three</w:t>
      </w:r>
      <w:r w:rsidRPr="00112CAC">
        <w:rPr>
          <w:rFonts w:ascii="Arial" w:hAnsi="Arial" w:cs="Arial"/>
          <w:lang w:val="en-US" w:eastAsia="ja-JP"/>
        </w:rPr>
        <w:t xml:space="preserve"> months after the last dose of tocilizumab, whichever is longer.</w:t>
      </w:r>
    </w:p>
    <w:p w14:paraId="1C289F81"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A male who is not willing to use adequate contraception or not donate sperm for the duration of the study and for </w:t>
      </w:r>
      <w:r>
        <w:rPr>
          <w:rFonts w:ascii="Arial" w:hAnsi="Arial" w:cs="Arial"/>
          <w:lang w:val="en-US" w:eastAsia="ja-JP"/>
        </w:rPr>
        <w:t>three</w:t>
      </w:r>
      <w:r w:rsidRPr="00112CAC">
        <w:rPr>
          <w:rFonts w:ascii="Arial" w:hAnsi="Arial" w:cs="Arial"/>
          <w:lang w:val="en-US" w:eastAsia="ja-JP"/>
        </w:rPr>
        <w:t xml:space="preserve"> months after receiving obinutuzumab, </w:t>
      </w:r>
      <w:r>
        <w:rPr>
          <w:rFonts w:ascii="Arial" w:hAnsi="Arial" w:cs="Arial"/>
          <w:lang w:val="en-US" w:eastAsia="ja-JP"/>
        </w:rPr>
        <w:t>two</w:t>
      </w:r>
      <w:r w:rsidRPr="00112CAC">
        <w:rPr>
          <w:rFonts w:ascii="Arial" w:hAnsi="Arial" w:cs="Arial"/>
          <w:lang w:val="en-US" w:eastAsia="ja-JP"/>
        </w:rPr>
        <w:t xml:space="preserve"> months after the last dose of </w:t>
      </w:r>
      <w:r>
        <w:rPr>
          <w:rFonts w:ascii="Arial" w:hAnsi="Arial" w:cs="Arial"/>
          <w:lang w:val="en-US" w:eastAsia="ja-JP"/>
        </w:rPr>
        <w:t>glofitamab</w:t>
      </w:r>
      <w:r w:rsidRPr="00112CAC">
        <w:rPr>
          <w:rFonts w:ascii="Arial" w:hAnsi="Arial" w:cs="Arial"/>
          <w:lang w:val="en-US" w:eastAsia="ja-JP"/>
        </w:rPr>
        <w:t xml:space="preserve">, or </w:t>
      </w:r>
      <w:r>
        <w:rPr>
          <w:rFonts w:ascii="Arial" w:hAnsi="Arial" w:cs="Arial"/>
          <w:lang w:val="en-US" w:eastAsia="ja-JP"/>
        </w:rPr>
        <w:t>two</w:t>
      </w:r>
      <w:r w:rsidRPr="00112CAC">
        <w:rPr>
          <w:rFonts w:ascii="Arial" w:hAnsi="Arial" w:cs="Arial"/>
          <w:lang w:val="en-US" w:eastAsia="ja-JP"/>
        </w:rPr>
        <w:t xml:space="preserve"> months after the last dose of tocilizumab, whichever is longer.</w:t>
      </w:r>
    </w:p>
    <w:p w14:paraId="5D7BC80A"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Previously treated with a bispecific anti</w:t>
      </w:r>
      <w:r>
        <w:rPr>
          <w:rFonts w:ascii="Arial" w:hAnsi="Arial" w:cs="Arial"/>
          <w:lang w:val="en-US" w:eastAsia="ja-JP"/>
        </w:rPr>
        <w:t>-</w:t>
      </w:r>
      <w:r w:rsidRPr="00112CAC">
        <w:rPr>
          <w:rFonts w:ascii="Arial" w:hAnsi="Arial" w:cs="Arial"/>
          <w:lang w:val="en-US" w:eastAsia="ja-JP"/>
        </w:rPr>
        <w:t>CD20 antibody targeting both CD20 and CD3.</w:t>
      </w:r>
    </w:p>
    <w:p w14:paraId="70B61FF7"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The investigator or sub</w:t>
      </w:r>
      <w:r>
        <w:rPr>
          <w:rFonts w:ascii="Arial" w:hAnsi="Arial" w:cs="Arial"/>
          <w:lang w:val="en-US" w:eastAsia="ja-JP"/>
        </w:rPr>
        <w:t>-</w:t>
      </w:r>
      <w:r w:rsidRPr="00112CAC">
        <w:rPr>
          <w:rFonts w:ascii="Arial" w:hAnsi="Arial" w:cs="Arial"/>
          <w:lang w:val="en-US" w:eastAsia="ja-JP"/>
        </w:rPr>
        <w:t>investigator judges that participation in this study is inappropriate for any other reason.</w:t>
      </w:r>
    </w:p>
    <w:p w14:paraId="15F53BFF" w14:textId="5B351F75" w:rsidR="0062530D" w:rsidRPr="003351B4" w:rsidRDefault="00AD007C" w:rsidP="0062530D">
      <w:pPr>
        <w:spacing w:line="480" w:lineRule="auto"/>
        <w:rPr>
          <w:rFonts w:ascii="Arial" w:hAnsi="Arial" w:cs="Arial"/>
          <w:i/>
          <w:iCs/>
          <w:lang w:val="en-US" w:eastAsia="ja-JP"/>
        </w:rPr>
      </w:pPr>
      <w:r>
        <w:rPr>
          <w:rFonts w:ascii="Arial" w:hAnsi="Arial" w:cs="Arial"/>
          <w:i/>
          <w:iCs/>
          <w:lang w:val="en-US" w:eastAsia="ja-JP"/>
        </w:rPr>
        <w:t>Treatment</w:t>
      </w:r>
      <w:r w:rsidR="0062530D" w:rsidRPr="003351B4">
        <w:rPr>
          <w:rFonts w:ascii="Arial" w:hAnsi="Arial" w:cs="Arial"/>
          <w:i/>
          <w:iCs/>
          <w:lang w:val="en-US" w:eastAsia="ja-JP"/>
        </w:rPr>
        <w:t xml:space="preserve"> discontinuation criteria</w:t>
      </w:r>
    </w:p>
    <w:p w14:paraId="7C0B6373" w14:textId="77777777" w:rsidR="0062530D" w:rsidRDefault="0062530D" w:rsidP="0062530D">
      <w:pPr>
        <w:spacing w:line="480" w:lineRule="auto"/>
        <w:rPr>
          <w:rFonts w:ascii="Arial" w:hAnsi="Arial" w:cs="Arial"/>
          <w:lang w:val="en-US"/>
        </w:rPr>
      </w:pPr>
      <w:r w:rsidRPr="00C90DC2">
        <w:rPr>
          <w:rFonts w:ascii="Arial" w:hAnsi="Arial" w:cs="Arial"/>
          <w:lang w:val="en-US"/>
        </w:rPr>
        <w:t>Decisions on treatment discontinuation were made using thorough benefit-risk evaluation based on the most up to date clinical trial information available.</w:t>
      </w:r>
      <w:r w:rsidRPr="00D83BEE">
        <w:rPr>
          <w:rFonts w:ascii="Arial" w:hAnsi="Arial" w:cs="Arial"/>
          <w:lang w:val="en-US"/>
        </w:rPr>
        <w:t xml:space="preserve"> </w:t>
      </w:r>
    </w:p>
    <w:p w14:paraId="5BF32D5C" w14:textId="77777777" w:rsidR="0062530D" w:rsidRPr="003E5F69" w:rsidRDefault="0062530D" w:rsidP="0062530D">
      <w:pPr>
        <w:spacing w:line="480" w:lineRule="auto"/>
        <w:rPr>
          <w:rFonts w:ascii="Arial" w:hAnsi="Arial" w:cs="Arial"/>
          <w:lang w:val="en-US" w:eastAsia="ja-JP"/>
        </w:rPr>
      </w:pPr>
      <w:r w:rsidRPr="003E5F69">
        <w:rPr>
          <w:rFonts w:ascii="Arial" w:hAnsi="Arial" w:cs="Arial"/>
          <w:lang w:val="en-US" w:eastAsia="ja-JP"/>
        </w:rPr>
        <w:t xml:space="preserve">The following events are considered sufficient reasons for discontinuing a </w:t>
      </w:r>
      <w:r>
        <w:rPr>
          <w:rFonts w:ascii="Arial" w:hAnsi="Arial" w:cs="Arial"/>
          <w:lang w:val="en-US" w:eastAsia="ja-JP"/>
        </w:rPr>
        <w:t>patient</w:t>
      </w:r>
      <w:r w:rsidRPr="003E5F69">
        <w:rPr>
          <w:rFonts w:ascii="Arial" w:hAnsi="Arial" w:cs="Arial"/>
          <w:lang w:val="en-US" w:eastAsia="ja-JP"/>
        </w:rPr>
        <w:t xml:space="preserve"> from the investigational product: </w:t>
      </w:r>
      <w:r>
        <w:rPr>
          <w:rFonts w:ascii="Arial" w:hAnsi="Arial" w:cs="Arial"/>
          <w:lang w:val="en-US" w:eastAsia="ja-JP"/>
        </w:rPr>
        <w:t>r</w:t>
      </w:r>
      <w:r w:rsidRPr="003E5F69">
        <w:rPr>
          <w:rFonts w:ascii="Arial" w:hAnsi="Arial" w:cs="Arial"/>
          <w:lang w:val="en-US" w:eastAsia="ja-JP"/>
        </w:rPr>
        <w:t>e-enrollment in this study will not be allowed.</w:t>
      </w:r>
    </w:p>
    <w:p w14:paraId="1B20028F"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The </w:t>
      </w:r>
      <w:r>
        <w:rPr>
          <w:rFonts w:ascii="Arial" w:hAnsi="Arial" w:cs="Arial"/>
          <w:lang w:val="en-US" w:eastAsia="ja-JP"/>
        </w:rPr>
        <w:t>patient</w:t>
      </w:r>
      <w:r w:rsidRPr="00112CAC">
        <w:rPr>
          <w:rFonts w:ascii="Arial" w:hAnsi="Arial" w:cs="Arial"/>
          <w:lang w:val="en-US" w:eastAsia="ja-JP"/>
        </w:rPr>
        <w:t xml:space="preserve"> becomes pregnant.</w:t>
      </w:r>
    </w:p>
    <w:p w14:paraId="360EDD26"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The </w:t>
      </w:r>
      <w:r>
        <w:rPr>
          <w:rFonts w:ascii="Arial" w:hAnsi="Arial" w:cs="Arial"/>
          <w:lang w:val="en-US" w:eastAsia="ja-JP"/>
        </w:rPr>
        <w:t>patient</w:t>
      </w:r>
      <w:r w:rsidRPr="00112CAC">
        <w:rPr>
          <w:rFonts w:ascii="Arial" w:hAnsi="Arial" w:cs="Arial"/>
          <w:lang w:val="en-US" w:eastAsia="ja-JP"/>
        </w:rPr>
        <w:t xml:space="preserve"> has progressive disease</w:t>
      </w:r>
      <w:r>
        <w:rPr>
          <w:rFonts w:ascii="Arial" w:hAnsi="Arial" w:cs="Arial"/>
          <w:lang w:val="en-US" w:eastAsia="ja-JP"/>
        </w:rPr>
        <w:t xml:space="preserve"> </w:t>
      </w:r>
      <w:r w:rsidRPr="00112CAC">
        <w:rPr>
          <w:rFonts w:ascii="Arial" w:hAnsi="Arial" w:cs="Arial"/>
          <w:lang w:val="en-US" w:eastAsia="ja-JP"/>
        </w:rPr>
        <w:t xml:space="preserve">(PD). Even if the </w:t>
      </w:r>
      <w:r>
        <w:rPr>
          <w:rFonts w:ascii="Arial" w:hAnsi="Arial" w:cs="Arial"/>
          <w:lang w:val="en-US" w:eastAsia="ja-JP"/>
        </w:rPr>
        <w:t xml:space="preserve">PD </w:t>
      </w:r>
      <w:r w:rsidRPr="00112CAC">
        <w:rPr>
          <w:rFonts w:ascii="Arial" w:hAnsi="Arial" w:cs="Arial"/>
          <w:lang w:val="en-US" w:eastAsia="ja-JP"/>
        </w:rPr>
        <w:t>is assessed according to the Lugano Response Criteria (with modification), the continuation of treatment will be permitted as long as all of the following criteria are met and the investigator or sub</w:t>
      </w:r>
      <w:r>
        <w:rPr>
          <w:rFonts w:ascii="Arial" w:hAnsi="Arial" w:cs="Arial"/>
          <w:lang w:val="en-US" w:eastAsia="ja-JP"/>
        </w:rPr>
        <w:t>-</w:t>
      </w:r>
      <w:r w:rsidRPr="00112CAC">
        <w:rPr>
          <w:rFonts w:ascii="Arial" w:hAnsi="Arial" w:cs="Arial"/>
          <w:lang w:val="en-US" w:eastAsia="ja-JP"/>
        </w:rPr>
        <w:t xml:space="preserve">investigator judges it appropriate to continue the treatment with </w:t>
      </w:r>
      <w:r>
        <w:rPr>
          <w:rFonts w:ascii="Arial" w:hAnsi="Arial" w:cs="Arial"/>
          <w:lang w:val="en-US" w:eastAsia="ja-JP"/>
        </w:rPr>
        <w:t>glofitamab</w:t>
      </w:r>
      <w:r w:rsidRPr="00112CAC">
        <w:rPr>
          <w:rFonts w:ascii="Arial" w:hAnsi="Arial" w:cs="Arial"/>
          <w:lang w:val="en-US" w:eastAsia="ja-JP"/>
        </w:rPr>
        <w:t xml:space="preserve"> after considering the benefits and risks for the </w:t>
      </w:r>
      <w:r>
        <w:rPr>
          <w:rFonts w:ascii="Arial" w:hAnsi="Arial" w:cs="Arial"/>
          <w:lang w:val="en-US" w:eastAsia="ja-JP"/>
        </w:rPr>
        <w:t>patient:</w:t>
      </w:r>
    </w:p>
    <w:p w14:paraId="320FB811" w14:textId="56E7E428" w:rsidR="00E03FBE" w:rsidRDefault="0062530D" w:rsidP="0062530D">
      <w:pPr>
        <w:pStyle w:val="ListParagraph"/>
        <w:numPr>
          <w:ilvl w:val="1"/>
          <w:numId w:val="1"/>
        </w:numPr>
        <w:spacing w:line="480" w:lineRule="auto"/>
        <w:rPr>
          <w:rFonts w:ascii="Arial" w:hAnsi="Arial" w:cs="Arial"/>
          <w:lang w:val="en-US" w:eastAsia="ja-JP"/>
        </w:rPr>
      </w:pPr>
      <w:r w:rsidRPr="00112CAC">
        <w:rPr>
          <w:rFonts w:ascii="Arial" w:hAnsi="Arial" w:cs="Arial"/>
          <w:lang w:val="en-US" w:eastAsia="ja-JP"/>
        </w:rPr>
        <w:lastRenderedPageBreak/>
        <w:t xml:space="preserve">No clinical symptoms or signs indicating </w:t>
      </w:r>
      <w:r>
        <w:rPr>
          <w:rFonts w:ascii="Arial" w:hAnsi="Arial" w:cs="Arial"/>
          <w:lang w:val="en-US" w:eastAsia="ja-JP"/>
        </w:rPr>
        <w:t>PD</w:t>
      </w:r>
    </w:p>
    <w:p w14:paraId="7346D34B" w14:textId="72EC3126" w:rsidR="0062530D" w:rsidRDefault="00E03FBE" w:rsidP="0062530D">
      <w:pPr>
        <w:pStyle w:val="ListParagraph"/>
        <w:numPr>
          <w:ilvl w:val="1"/>
          <w:numId w:val="1"/>
        </w:numPr>
        <w:spacing w:line="480" w:lineRule="auto"/>
        <w:rPr>
          <w:rFonts w:ascii="Arial" w:hAnsi="Arial" w:cs="Arial"/>
          <w:lang w:val="en-US" w:eastAsia="ja-JP"/>
        </w:rPr>
      </w:pPr>
      <w:r>
        <w:rPr>
          <w:rFonts w:ascii="Arial" w:hAnsi="Arial" w:cs="Arial"/>
          <w:lang w:val="en-US" w:eastAsia="ja-JP"/>
        </w:rPr>
        <w:t xml:space="preserve">No worsening of </w:t>
      </w:r>
      <w:r w:rsidR="0062530D" w:rsidRPr="00112CAC">
        <w:rPr>
          <w:rFonts w:ascii="Arial" w:hAnsi="Arial" w:cs="Arial"/>
          <w:lang w:val="en-US" w:eastAsia="ja-JP"/>
        </w:rPr>
        <w:t>ECOG PS</w:t>
      </w:r>
      <w:r w:rsidR="00FE0B80">
        <w:rPr>
          <w:rFonts w:ascii="Arial" w:hAnsi="Arial" w:cs="Arial"/>
          <w:lang w:val="en-US" w:eastAsia="ja-JP"/>
        </w:rPr>
        <w:t xml:space="preserve"> from baseline</w:t>
      </w:r>
    </w:p>
    <w:p w14:paraId="7F24D1F0" w14:textId="0B1845F2" w:rsidR="0062530D" w:rsidRPr="0066547B" w:rsidRDefault="0062530D" w:rsidP="0062530D">
      <w:pPr>
        <w:pStyle w:val="ListParagraph"/>
        <w:numPr>
          <w:ilvl w:val="0"/>
          <w:numId w:val="1"/>
        </w:numPr>
        <w:spacing w:line="480" w:lineRule="auto"/>
        <w:rPr>
          <w:rFonts w:ascii="Arial" w:hAnsi="Arial" w:cs="Arial"/>
          <w:lang w:val="en-US" w:eastAsia="ja-JP"/>
        </w:rPr>
      </w:pPr>
      <w:r w:rsidRPr="0066547B">
        <w:rPr>
          <w:rFonts w:ascii="Arial" w:hAnsi="Arial" w:cs="Arial"/>
          <w:lang w:val="en-US" w:eastAsia="ja-JP"/>
        </w:rPr>
        <w:t>If</w:t>
      </w:r>
      <w:r>
        <w:rPr>
          <w:rFonts w:ascii="Arial" w:hAnsi="Arial" w:cs="Arial"/>
          <w:lang w:val="en-US" w:eastAsia="ja-JP"/>
        </w:rPr>
        <w:t xml:space="preserve"> dose-limiting toxicity</w:t>
      </w:r>
      <w:r w:rsidRPr="0066547B">
        <w:rPr>
          <w:rFonts w:ascii="Arial" w:hAnsi="Arial" w:cs="Arial"/>
          <w:lang w:val="en-US" w:eastAsia="ja-JP"/>
        </w:rPr>
        <w:t xml:space="preserve"> </w:t>
      </w:r>
      <w:r>
        <w:rPr>
          <w:rFonts w:ascii="Arial" w:hAnsi="Arial" w:cs="Arial"/>
          <w:lang w:val="en-US" w:eastAsia="ja-JP"/>
        </w:rPr>
        <w:t>(</w:t>
      </w:r>
      <w:r w:rsidRPr="0066547B">
        <w:rPr>
          <w:rFonts w:ascii="Arial" w:hAnsi="Arial" w:cs="Arial"/>
          <w:lang w:val="en-US" w:eastAsia="ja-JP"/>
        </w:rPr>
        <w:t>DLT</w:t>
      </w:r>
      <w:r>
        <w:rPr>
          <w:rFonts w:ascii="Arial" w:hAnsi="Arial" w:cs="Arial"/>
          <w:lang w:val="en-US" w:eastAsia="ja-JP"/>
        </w:rPr>
        <w:t>)</w:t>
      </w:r>
      <w:r w:rsidRPr="0066547B">
        <w:rPr>
          <w:rFonts w:ascii="Arial" w:hAnsi="Arial" w:cs="Arial"/>
          <w:lang w:val="en-US" w:eastAsia="ja-JP"/>
        </w:rPr>
        <w:t xml:space="preserve"> occurs during the DLT evaluation period. However, even if DLT occurs, if the event occurs early in the treatment phase for which a causal relationship is recognized only to glofitamab (CRS, tumor flare, etc.) and the event resolves/improves to </w:t>
      </w:r>
      <w:r w:rsidR="00F20F2B">
        <w:rPr>
          <w:rFonts w:ascii="Arial" w:hAnsi="Arial" w:cs="Arial"/>
          <w:lang w:val="en-US" w:eastAsia="ja-JP"/>
        </w:rPr>
        <w:t>g</w:t>
      </w:r>
      <w:r w:rsidRPr="0066547B">
        <w:rPr>
          <w:rFonts w:ascii="Arial" w:hAnsi="Arial" w:cs="Arial"/>
          <w:lang w:val="en-US" w:eastAsia="ja-JP"/>
        </w:rPr>
        <w:t xml:space="preserve">rade 1 or lower, the continuation of administration at a dose not exceeding the specified dose of glofitamab on the next scheduled </w:t>
      </w:r>
      <w:r w:rsidR="00773EB4">
        <w:rPr>
          <w:rFonts w:ascii="Arial" w:hAnsi="Arial" w:cs="Arial"/>
          <w:lang w:val="en-US" w:eastAsia="ja-JP"/>
        </w:rPr>
        <w:t>d</w:t>
      </w:r>
      <w:r w:rsidRPr="0066547B">
        <w:rPr>
          <w:rFonts w:ascii="Arial" w:hAnsi="Arial" w:cs="Arial"/>
          <w:lang w:val="en-US" w:eastAsia="ja-JP"/>
        </w:rPr>
        <w:t xml:space="preserve">ay will be permitted after discussion with the sponsor if the investigator or sub-investigator judges it appropriate to continue administration of glofitamab after considering the benefits/risks for </w:t>
      </w:r>
      <w:r>
        <w:rPr>
          <w:rFonts w:ascii="Arial" w:hAnsi="Arial" w:cs="Arial"/>
          <w:lang w:val="en-US" w:eastAsia="ja-JP"/>
        </w:rPr>
        <w:t>patients</w:t>
      </w:r>
      <w:r w:rsidRPr="0066547B">
        <w:rPr>
          <w:rFonts w:ascii="Arial" w:hAnsi="Arial" w:cs="Arial"/>
          <w:lang w:val="en-US" w:eastAsia="ja-JP"/>
        </w:rPr>
        <w:t xml:space="preserve">. If the study treatment is to be continued, the </w:t>
      </w:r>
      <w:r>
        <w:rPr>
          <w:rFonts w:ascii="Arial" w:hAnsi="Arial" w:cs="Arial"/>
          <w:lang w:val="en-US" w:eastAsia="ja-JP"/>
        </w:rPr>
        <w:t>patient</w:t>
      </w:r>
      <w:r w:rsidRPr="0066547B">
        <w:rPr>
          <w:rFonts w:ascii="Arial" w:hAnsi="Arial" w:cs="Arial"/>
          <w:lang w:val="en-US" w:eastAsia="ja-JP"/>
        </w:rPr>
        <w:t xml:space="preserve"> should be fully informed of the potential risks associated with continued study treatment and written consent to continue study treatment should be obtained from the </w:t>
      </w:r>
      <w:r>
        <w:rPr>
          <w:rFonts w:ascii="Arial" w:hAnsi="Arial" w:cs="Arial"/>
          <w:lang w:val="en-US" w:eastAsia="ja-JP"/>
        </w:rPr>
        <w:t>patient</w:t>
      </w:r>
      <w:r w:rsidRPr="0066547B">
        <w:rPr>
          <w:rFonts w:ascii="Arial" w:hAnsi="Arial" w:cs="Arial"/>
          <w:lang w:val="en-US" w:eastAsia="ja-JP"/>
        </w:rPr>
        <w:t>.</w:t>
      </w:r>
    </w:p>
    <w:p w14:paraId="4296E165"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If any adverse event corresponding to discontinuation as specified is observed.</w:t>
      </w:r>
    </w:p>
    <w:p w14:paraId="3151A740" w14:textId="5E9BE73C"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The </w:t>
      </w:r>
      <w:r>
        <w:rPr>
          <w:rFonts w:ascii="Arial" w:hAnsi="Arial" w:cs="Arial"/>
          <w:lang w:val="en-US" w:eastAsia="ja-JP"/>
        </w:rPr>
        <w:t>patient</w:t>
      </w:r>
      <w:r w:rsidRPr="00112CAC">
        <w:rPr>
          <w:rFonts w:ascii="Arial" w:hAnsi="Arial" w:cs="Arial"/>
          <w:lang w:val="en-US" w:eastAsia="ja-JP"/>
        </w:rPr>
        <w:t xml:space="preserve"> experiences an adverse event (including aggravation of a concurrent medical condition) that makes it difficult for </w:t>
      </w:r>
      <w:r>
        <w:rPr>
          <w:rFonts w:ascii="Arial" w:hAnsi="Arial" w:cs="Arial"/>
          <w:lang w:val="en-US" w:eastAsia="ja-JP"/>
        </w:rPr>
        <w:t>them</w:t>
      </w:r>
      <w:r w:rsidRPr="00112CAC">
        <w:rPr>
          <w:rFonts w:ascii="Arial" w:hAnsi="Arial" w:cs="Arial"/>
          <w:lang w:val="en-US" w:eastAsia="ja-JP"/>
        </w:rPr>
        <w:t xml:space="preserve"> to continue the</w:t>
      </w:r>
      <w:r w:rsidR="00E03FBE">
        <w:rPr>
          <w:rFonts w:ascii="Arial" w:hAnsi="Arial" w:cs="Arial"/>
          <w:lang w:val="en-US" w:eastAsia="ja-JP"/>
        </w:rPr>
        <w:t xml:space="preserve"> </w:t>
      </w:r>
      <w:r w:rsidRPr="00112CAC">
        <w:rPr>
          <w:rFonts w:ascii="Arial" w:hAnsi="Arial" w:cs="Arial"/>
          <w:lang w:val="en-US" w:eastAsia="ja-JP"/>
        </w:rPr>
        <w:t>study.</w:t>
      </w:r>
    </w:p>
    <w:p w14:paraId="248A07A3"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Administration of antineoplastic therapy other than the study </w:t>
      </w:r>
      <w:r>
        <w:rPr>
          <w:rFonts w:ascii="Arial" w:hAnsi="Arial" w:cs="Arial"/>
          <w:lang w:val="en-US" w:eastAsia="ja-JP"/>
        </w:rPr>
        <w:t>treatment</w:t>
      </w:r>
      <w:r w:rsidRPr="00112CAC">
        <w:rPr>
          <w:rFonts w:ascii="Arial" w:hAnsi="Arial" w:cs="Arial"/>
          <w:lang w:val="en-US" w:eastAsia="ja-JP"/>
        </w:rPr>
        <w:t>.</w:t>
      </w:r>
    </w:p>
    <w:p w14:paraId="5E53B355"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The </w:t>
      </w:r>
      <w:r>
        <w:rPr>
          <w:rFonts w:ascii="Arial" w:hAnsi="Arial" w:cs="Arial"/>
          <w:lang w:val="en-US" w:eastAsia="ja-JP"/>
        </w:rPr>
        <w:t>patient</w:t>
      </w:r>
      <w:r w:rsidRPr="00112CAC">
        <w:rPr>
          <w:rFonts w:ascii="Arial" w:hAnsi="Arial" w:cs="Arial"/>
          <w:lang w:val="en-US" w:eastAsia="ja-JP"/>
        </w:rPr>
        <w:t xml:space="preserve"> wishe</w:t>
      </w:r>
      <w:r>
        <w:rPr>
          <w:rFonts w:ascii="Arial" w:hAnsi="Arial" w:cs="Arial"/>
          <w:lang w:val="en-US" w:eastAsia="ja-JP"/>
        </w:rPr>
        <w:t>s</w:t>
      </w:r>
      <w:r w:rsidRPr="00112CAC">
        <w:rPr>
          <w:rFonts w:ascii="Arial" w:hAnsi="Arial" w:cs="Arial"/>
          <w:lang w:val="en-US" w:eastAsia="ja-JP"/>
        </w:rPr>
        <w:t xml:space="preserve"> to discontinue the study drug.</w:t>
      </w:r>
    </w:p>
    <w:p w14:paraId="4C13A9C8"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Significant violation of eligibility criteria was found after enrollment.</w:t>
      </w:r>
    </w:p>
    <w:p w14:paraId="296538B2"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 xml:space="preserve">The </w:t>
      </w:r>
      <w:r>
        <w:rPr>
          <w:rFonts w:ascii="Arial" w:hAnsi="Arial" w:cs="Arial"/>
          <w:lang w:val="en-US" w:eastAsia="ja-JP"/>
        </w:rPr>
        <w:t>C</w:t>
      </w:r>
      <w:r w:rsidRPr="00112CAC">
        <w:rPr>
          <w:rFonts w:ascii="Arial" w:hAnsi="Arial" w:cs="Arial"/>
          <w:lang w:val="en-US" w:eastAsia="ja-JP"/>
        </w:rPr>
        <w:t xml:space="preserve">ycle </w:t>
      </w:r>
      <w:r>
        <w:rPr>
          <w:rFonts w:ascii="Arial" w:hAnsi="Arial" w:cs="Arial"/>
          <w:lang w:val="en-US" w:eastAsia="ja-JP"/>
        </w:rPr>
        <w:t>(C)</w:t>
      </w:r>
      <w:r w:rsidRPr="00112CAC">
        <w:rPr>
          <w:rFonts w:ascii="Arial" w:hAnsi="Arial" w:cs="Arial"/>
          <w:lang w:val="en-US" w:eastAsia="ja-JP"/>
        </w:rPr>
        <w:t>1</w:t>
      </w:r>
      <w:r>
        <w:rPr>
          <w:rFonts w:ascii="Arial" w:hAnsi="Arial" w:cs="Arial"/>
          <w:lang w:val="en-US" w:eastAsia="ja-JP"/>
        </w:rPr>
        <w:t xml:space="preserve"> Day</w:t>
      </w:r>
      <w:r w:rsidRPr="00112CAC">
        <w:rPr>
          <w:rFonts w:ascii="Arial" w:hAnsi="Arial" w:cs="Arial"/>
          <w:lang w:val="en-US" w:eastAsia="ja-JP"/>
        </w:rPr>
        <w:t xml:space="preserve"> </w:t>
      </w:r>
      <w:r>
        <w:rPr>
          <w:rFonts w:ascii="Arial" w:hAnsi="Arial" w:cs="Arial"/>
          <w:lang w:val="en-US" w:eastAsia="ja-JP"/>
        </w:rPr>
        <w:t>(D)</w:t>
      </w:r>
      <w:r w:rsidRPr="00112CAC">
        <w:rPr>
          <w:rFonts w:ascii="Arial" w:hAnsi="Arial" w:cs="Arial"/>
          <w:lang w:val="en-US" w:eastAsia="ja-JP"/>
        </w:rPr>
        <w:t xml:space="preserve">1 dosing criteria for </w:t>
      </w:r>
      <w:r>
        <w:rPr>
          <w:rFonts w:ascii="Arial" w:hAnsi="Arial" w:cs="Arial"/>
          <w:lang w:val="en-US" w:eastAsia="ja-JP"/>
        </w:rPr>
        <w:t>glofitamab</w:t>
      </w:r>
      <w:r w:rsidRPr="00112CAC">
        <w:rPr>
          <w:rFonts w:ascii="Arial" w:hAnsi="Arial" w:cs="Arial"/>
          <w:lang w:val="en-US" w:eastAsia="ja-JP"/>
        </w:rPr>
        <w:t xml:space="preserve"> are not met.</w:t>
      </w:r>
    </w:p>
    <w:p w14:paraId="2B3CD2BE" w14:textId="77777777" w:rsidR="0062530D" w:rsidRPr="00112CAC"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lastRenderedPageBreak/>
        <w:t xml:space="preserve">The dose of </w:t>
      </w:r>
      <w:r>
        <w:rPr>
          <w:rFonts w:ascii="Arial" w:hAnsi="Arial" w:cs="Arial"/>
          <w:lang w:val="en-US" w:eastAsia="ja-JP"/>
        </w:rPr>
        <w:t>glofitamab</w:t>
      </w:r>
      <w:r w:rsidRPr="00112CAC">
        <w:rPr>
          <w:rFonts w:ascii="Arial" w:hAnsi="Arial" w:cs="Arial"/>
          <w:lang w:val="en-US" w:eastAsia="ja-JP"/>
        </w:rPr>
        <w:t xml:space="preserve"> is missed for more than </w:t>
      </w:r>
      <w:r>
        <w:rPr>
          <w:rFonts w:ascii="Arial" w:hAnsi="Arial" w:cs="Arial"/>
          <w:lang w:val="en-US" w:eastAsia="ja-JP"/>
        </w:rPr>
        <w:t>six</w:t>
      </w:r>
      <w:r w:rsidRPr="00112CAC">
        <w:rPr>
          <w:rFonts w:ascii="Arial" w:hAnsi="Arial" w:cs="Arial"/>
          <w:lang w:val="en-US" w:eastAsia="ja-JP"/>
        </w:rPr>
        <w:t xml:space="preserve"> weeks (</w:t>
      </w:r>
      <w:r>
        <w:rPr>
          <w:rFonts w:ascii="Arial" w:hAnsi="Arial" w:cs="Arial"/>
          <w:lang w:val="en-US" w:eastAsia="ja-JP"/>
        </w:rPr>
        <w:t>two</w:t>
      </w:r>
      <w:r w:rsidRPr="00112CAC">
        <w:rPr>
          <w:rFonts w:ascii="Arial" w:hAnsi="Arial" w:cs="Arial"/>
          <w:lang w:val="en-US" w:eastAsia="ja-JP"/>
        </w:rPr>
        <w:t xml:space="preserve"> weeks for </w:t>
      </w:r>
      <w:r>
        <w:rPr>
          <w:rFonts w:ascii="Arial" w:hAnsi="Arial" w:cs="Arial"/>
          <w:lang w:val="en-US" w:eastAsia="ja-JP"/>
        </w:rPr>
        <w:t>C</w:t>
      </w:r>
      <w:r w:rsidRPr="00112CAC">
        <w:rPr>
          <w:rFonts w:ascii="Arial" w:hAnsi="Arial" w:cs="Arial"/>
          <w:lang w:val="en-US" w:eastAsia="ja-JP"/>
        </w:rPr>
        <w:t>1</w:t>
      </w:r>
      <w:r>
        <w:rPr>
          <w:rFonts w:ascii="Arial" w:hAnsi="Arial" w:cs="Arial"/>
          <w:lang w:val="en-US" w:eastAsia="ja-JP"/>
        </w:rPr>
        <w:t>D</w:t>
      </w:r>
      <w:r w:rsidRPr="00112CAC">
        <w:rPr>
          <w:rFonts w:ascii="Arial" w:hAnsi="Arial" w:cs="Arial"/>
          <w:lang w:val="en-US" w:eastAsia="ja-JP"/>
        </w:rPr>
        <w:t xml:space="preserve">8, </w:t>
      </w:r>
      <w:r>
        <w:rPr>
          <w:rFonts w:ascii="Arial" w:hAnsi="Arial" w:cs="Arial"/>
          <w:lang w:val="en-US" w:eastAsia="ja-JP"/>
        </w:rPr>
        <w:t>C</w:t>
      </w:r>
      <w:r w:rsidRPr="00112CAC">
        <w:rPr>
          <w:rFonts w:ascii="Arial" w:hAnsi="Arial" w:cs="Arial"/>
          <w:lang w:val="en-US" w:eastAsia="ja-JP"/>
        </w:rPr>
        <w:t>2</w:t>
      </w:r>
      <w:r>
        <w:rPr>
          <w:rFonts w:ascii="Arial" w:hAnsi="Arial" w:cs="Arial"/>
          <w:lang w:val="en-US" w:eastAsia="ja-JP"/>
        </w:rPr>
        <w:t>D</w:t>
      </w:r>
      <w:r w:rsidRPr="00112CAC">
        <w:rPr>
          <w:rFonts w:ascii="Arial" w:hAnsi="Arial" w:cs="Arial"/>
          <w:lang w:val="en-US" w:eastAsia="ja-JP"/>
        </w:rPr>
        <w:t xml:space="preserve">1, </w:t>
      </w:r>
      <w:r>
        <w:rPr>
          <w:rFonts w:ascii="Arial" w:hAnsi="Arial" w:cs="Arial"/>
          <w:lang w:val="en-US" w:eastAsia="ja-JP"/>
        </w:rPr>
        <w:t>four</w:t>
      </w:r>
      <w:r w:rsidRPr="00112CAC">
        <w:rPr>
          <w:rFonts w:ascii="Arial" w:hAnsi="Arial" w:cs="Arial"/>
          <w:lang w:val="en-US" w:eastAsia="ja-JP"/>
        </w:rPr>
        <w:t xml:space="preserve"> weeks for </w:t>
      </w:r>
      <w:r>
        <w:rPr>
          <w:rFonts w:ascii="Arial" w:hAnsi="Arial" w:cs="Arial"/>
          <w:lang w:val="en-US" w:eastAsia="ja-JP"/>
        </w:rPr>
        <w:t>C</w:t>
      </w:r>
      <w:r w:rsidRPr="00112CAC">
        <w:rPr>
          <w:rFonts w:ascii="Arial" w:hAnsi="Arial" w:cs="Arial"/>
          <w:lang w:val="en-US" w:eastAsia="ja-JP"/>
        </w:rPr>
        <w:t>3</w:t>
      </w:r>
      <w:r>
        <w:rPr>
          <w:rFonts w:ascii="Arial" w:hAnsi="Arial" w:cs="Arial"/>
          <w:lang w:val="en-US" w:eastAsia="ja-JP"/>
        </w:rPr>
        <w:t>D</w:t>
      </w:r>
      <w:r w:rsidRPr="00112CAC">
        <w:rPr>
          <w:rFonts w:ascii="Arial" w:hAnsi="Arial" w:cs="Arial"/>
          <w:lang w:val="en-US" w:eastAsia="ja-JP"/>
        </w:rPr>
        <w:t>1) after the last dose due to reasons such as patient's convenience or adverse events.</w:t>
      </w:r>
    </w:p>
    <w:p w14:paraId="576D80D7" w14:textId="77777777" w:rsidR="0062530D" w:rsidRDefault="0062530D" w:rsidP="0062530D">
      <w:pPr>
        <w:pStyle w:val="ListParagraph"/>
        <w:numPr>
          <w:ilvl w:val="0"/>
          <w:numId w:val="1"/>
        </w:numPr>
        <w:spacing w:line="480" w:lineRule="auto"/>
        <w:rPr>
          <w:rFonts w:ascii="Arial" w:hAnsi="Arial" w:cs="Arial"/>
          <w:lang w:val="en-US" w:eastAsia="ja-JP"/>
        </w:rPr>
      </w:pPr>
      <w:r w:rsidRPr="00112CAC">
        <w:rPr>
          <w:rFonts w:ascii="Arial" w:hAnsi="Arial" w:cs="Arial"/>
          <w:lang w:val="en-US" w:eastAsia="ja-JP"/>
        </w:rPr>
        <w:t>The investigator or sub</w:t>
      </w:r>
      <w:r>
        <w:rPr>
          <w:rFonts w:ascii="Arial" w:hAnsi="Arial" w:cs="Arial"/>
          <w:lang w:val="en-US" w:eastAsia="ja-JP"/>
        </w:rPr>
        <w:t>-</w:t>
      </w:r>
      <w:r w:rsidRPr="00112CAC">
        <w:rPr>
          <w:rFonts w:ascii="Arial" w:hAnsi="Arial" w:cs="Arial"/>
          <w:lang w:val="en-US" w:eastAsia="ja-JP"/>
        </w:rPr>
        <w:t>investigator judges that continuation of the study is inappropriate for any other reason.</w:t>
      </w:r>
    </w:p>
    <w:p w14:paraId="1EF48C54" w14:textId="77777777" w:rsidR="0062530D" w:rsidRPr="003351B4" w:rsidRDefault="0062530D" w:rsidP="0062530D">
      <w:pPr>
        <w:rPr>
          <w:i/>
          <w:iCs/>
          <w:lang w:val="en-US"/>
        </w:rPr>
      </w:pPr>
    </w:p>
    <w:p w14:paraId="26B82C4A" w14:textId="445CADE3" w:rsidR="0062530D" w:rsidRPr="00C90DC2" w:rsidRDefault="00773EB4" w:rsidP="0062530D">
      <w:pPr>
        <w:spacing w:line="480" w:lineRule="auto"/>
        <w:rPr>
          <w:rFonts w:ascii="Arial" w:hAnsi="Arial" w:cs="Arial"/>
          <w:lang w:val="en-US"/>
        </w:rPr>
      </w:pPr>
      <w:r>
        <w:rPr>
          <w:rFonts w:ascii="Arial" w:hAnsi="Arial" w:cs="Arial"/>
          <w:i/>
          <w:iCs/>
          <w:lang w:val="en-US"/>
        </w:rPr>
        <w:t>Pharmacokinetic (</w:t>
      </w:r>
      <w:r w:rsidR="0062530D" w:rsidRPr="00C90DC2">
        <w:rPr>
          <w:rFonts w:ascii="Arial" w:hAnsi="Arial" w:cs="Arial"/>
          <w:i/>
          <w:iCs/>
          <w:lang w:val="en-US"/>
        </w:rPr>
        <w:t>PK</w:t>
      </w:r>
      <w:r>
        <w:rPr>
          <w:rFonts w:ascii="Arial" w:hAnsi="Arial" w:cs="Arial"/>
          <w:i/>
          <w:iCs/>
          <w:lang w:val="en-US"/>
        </w:rPr>
        <w:t>)</w:t>
      </w:r>
      <w:r w:rsidR="0062530D" w:rsidRPr="00C90DC2">
        <w:rPr>
          <w:rFonts w:ascii="Arial" w:hAnsi="Arial" w:cs="Arial"/>
          <w:i/>
          <w:iCs/>
          <w:lang w:val="en-US"/>
        </w:rPr>
        <w:t xml:space="preserve"> analysis population</w:t>
      </w:r>
    </w:p>
    <w:p w14:paraId="2E13A61F" w14:textId="034197AD" w:rsidR="0062530D" w:rsidRDefault="0062530D" w:rsidP="0062530D">
      <w:pPr>
        <w:spacing w:line="480" w:lineRule="auto"/>
        <w:rPr>
          <w:rFonts w:ascii="Arial" w:hAnsi="Arial" w:cs="Arial"/>
          <w:lang w:val="en-US"/>
        </w:rPr>
      </w:pPr>
      <w:r w:rsidRPr="00C90DC2">
        <w:rPr>
          <w:rFonts w:ascii="Arial" w:hAnsi="Arial" w:cs="Arial"/>
          <w:lang w:val="en-US"/>
        </w:rPr>
        <w:t>Patients who received one dose of glofitamab and had at least one serum glofitamab concentration measurement or received at least one dose of obinutuzumab and had at least one serum obinutuzumab concentration measurement were included in the PK analysis.</w:t>
      </w:r>
    </w:p>
    <w:p w14:paraId="42D8BA99" w14:textId="77777777" w:rsidR="0062530D" w:rsidRPr="003351B4" w:rsidRDefault="0062530D" w:rsidP="0062530D">
      <w:pPr>
        <w:spacing w:line="480" w:lineRule="auto"/>
        <w:rPr>
          <w:rFonts w:ascii="Arial" w:hAnsi="Arial" w:cs="Arial"/>
          <w:i/>
          <w:iCs/>
          <w:lang w:val="en-US"/>
        </w:rPr>
      </w:pPr>
      <w:r w:rsidRPr="003351B4">
        <w:rPr>
          <w:rFonts w:ascii="Arial" w:hAnsi="Arial" w:cs="Arial"/>
          <w:i/>
          <w:iCs/>
          <w:lang w:val="en-US"/>
        </w:rPr>
        <w:t xml:space="preserve">Definitions of secondary efficacy endpoints </w:t>
      </w:r>
    </w:p>
    <w:p w14:paraId="0F7B4711" w14:textId="77777777" w:rsidR="0062530D" w:rsidRDefault="0062530D" w:rsidP="0062530D">
      <w:pPr>
        <w:spacing w:line="480" w:lineRule="auto"/>
        <w:rPr>
          <w:rFonts w:ascii="Arial" w:hAnsi="Arial" w:cs="Arial"/>
          <w:lang w:val="en-US"/>
        </w:rPr>
      </w:pPr>
      <w:r>
        <w:rPr>
          <w:rFonts w:ascii="Arial" w:hAnsi="Arial" w:cs="Arial"/>
          <w:lang w:val="en-US"/>
        </w:rPr>
        <w:t>I</w:t>
      </w:r>
      <w:r w:rsidRPr="00A55F08">
        <w:rPr>
          <w:rFonts w:ascii="Arial" w:hAnsi="Arial" w:cs="Arial"/>
          <w:lang w:val="en-US"/>
        </w:rPr>
        <w:t>nvestigator-assessed ORR</w:t>
      </w:r>
      <w:r>
        <w:rPr>
          <w:rFonts w:ascii="Arial" w:hAnsi="Arial" w:cs="Arial"/>
          <w:lang w:val="en-US"/>
        </w:rPr>
        <w:t>,</w:t>
      </w:r>
      <w:r w:rsidRPr="00BD34D4">
        <w:rPr>
          <w:rFonts w:ascii="Arial" w:hAnsi="Arial" w:cs="Arial"/>
          <w:lang w:val="en-US"/>
        </w:rPr>
        <w:t xml:space="preserve"> </w:t>
      </w:r>
      <w:r>
        <w:rPr>
          <w:rFonts w:ascii="Arial" w:hAnsi="Arial" w:cs="Arial"/>
          <w:lang w:val="en-US"/>
        </w:rPr>
        <w:t xml:space="preserve">defined as </w:t>
      </w:r>
      <w:r w:rsidRPr="00BD34D4">
        <w:rPr>
          <w:rFonts w:ascii="Arial" w:hAnsi="Arial" w:cs="Arial"/>
          <w:lang w:val="en-US"/>
        </w:rPr>
        <w:t xml:space="preserve">the proportion of responders </w:t>
      </w:r>
      <w:r>
        <w:rPr>
          <w:rFonts w:ascii="Arial" w:hAnsi="Arial" w:cs="Arial"/>
          <w:lang w:val="en-US"/>
        </w:rPr>
        <w:t>in</w:t>
      </w:r>
      <w:r w:rsidRPr="00BD34D4">
        <w:rPr>
          <w:rFonts w:ascii="Arial" w:hAnsi="Arial" w:cs="Arial"/>
          <w:lang w:val="en-US"/>
        </w:rPr>
        <w:t xml:space="preserve"> the </w:t>
      </w:r>
      <w:r>
        <w:rPr>
          <w:rFonts w:ascii="Arial" w:hAnsi="Arial" w:cs="Arial"/>
          <w:lang w:val="en-US"/>
        </w:rPr>
        <w:t xml:space="preserve">overall </w:t>
      </w:r>
      <w:r w:rsidRPr="00BD34D4">
        <w:rPr>
          <w:rFonts w:ascii="Arial" w:hAnsi="Arial" w:cs="Arial"/>
          <w:lang w:val="en-US"/>
        </w:rPr>
        <w:t>population</w:t>
      </w:r>
      <w:r>
        <w:rPr>
          <w:rFonts w:ascii="Arial" w:hAnsi="Arial" w:cs="Arial"/>
          <w:lang w:val="en-US"/>
        </w:rPr>
        <w:t>.</w:t>
      </w:r>
    </w:p>
    <w:p w14:paraId="07621598" w14:textId="77777777" w:rsidR="0062530D" w:rsidRDefault="0062530D" w:rsidP="0062530D">
      <w:pPr>
        <w:spacing w:line="480" w:lineRule="auto"/>
        <w:rPr>
          <w:rFonts w:ascii="Arial" w:hAnsi="Arial" w:cs="Arial"/>
          <w:lang w:val="en-US"/>
        </w:rPr>
      </w:pPr>
      <w:r>
        <w:rPr>
          <w:rFonts w:ascii="Arial" w:hAnsi="Arial" w:cs="Arial"/>
          <w:lang w:val="en-US"/>
        </w:rPr>
        <w:t>D</w:t>
      </w:r>
      <w:r w:rsidRPr="00A55F08">
        <w:rPr>
          <w:rFonts w:ascii="Arial" w:hAnsi="Arial" w:cs="Arial"/>
          <w:lang w:val="en-US"/>
        </w:rPr>
        <w:t xml:space="preserve">uration of response </w:t>
      </w:r>
      <w:r>
        <w:rPr>
          <w:rFonts w:ascii="Arial" w:hAnsi="Arial" w:cs="Arial"/>
          <w:lang w:val="en-US"/>
        </w:rPr>
        <w:t>[</w:t>
      </w:r>
      <w:r w:rsidRPr="00A55F08">
        <w:rPr>
          <w:rFonts w:ascii="Arial" w:hAnsi="Arial" w:cs="Arial"/>
          <w:lang w:val="en-US"/>
        </w:rPr>
        <w:t>DOR</w:t>
      </w:r>
      <w:r>
        <w:rPr>
          <w:rFonts w:ascii="Arial" w:hAnsi="Arial" w:cs="Arial"/>
          <w:lang w:val="en-US"/>
        </w:rPr>
        <w:t xml:space="preserve">], </w:t>
      </w:r>
      <w:r w:rsidRPr="006A6AF7">
        <w:rPr>
          <w:rFonts w:ascii="Arial" w:hAnsi="Arial" w:cs="Arial"/>
          <w:lang w:val="en-US"/>
        </w:rPr>
        <w:t xml:space="preserve">defined as the time from </w:t>
      </w:r>
      <w:r>
        <w:rPr>
          <w:rFonts w:ascii="Arial" w:hAnsi="Arial" w:cs="Arial"/>
          <w:lang w:val="en-US"/>
        </w:rPr>
        <w:t>the earliest occurrence of</w:t>
      </w:r>
      <w:r w:rsidRPr="006A6AF7">
        <w:rPr>
          <w:rFonts w:ascii="Arial" w:hAnsi="Arial" w:cs="Arial"/>
          <w:lang w:val="en-US"/>
        </w:rPr>
        <w:t xml:space="preserve"> CR or </w:t>
      </w:r>
      <w:r>
        <w:rPr>
          <w:rFonts w:ascii="Arial" w:hAnsi="Arial" w:cs="Arial"/>
          <w:lang w:val="en-US"/>
        </w:rPr>
        <w:t>partial response [</w:t>
      </w:r>
      <w:r w:rsidRPr="006A6AF7">
        <w:rPr>
          <w:rFonts w:ascii="Arial" w:hAnsi="Arial" w:cs="Arial"/>
          <w:lang w:val="en-US"/>
        </w:rPr>
        <w:t>PR</w:t>
      </w:r>
      <w:r>
        <w:rPr>
          <w:rFonts w:ascii="Arial" w:hAnsi="Arial" w:cs="Arial"/>
          <w:lang w:val="en-US"/>
        </w:rPr>
        <w:t>]</w:t>
      </w:r>
      <w:r w:rsidRPr="006A6AF7">
        <w:rPr>
          <w:rFonts w:ascii="Arial" w:hAnsi="Arial" w:cs="Arial"/>
          <w:lang w:val="en-US"/>
        </w:rPr>
        <w:t xml:space="preserve"> to the date of </w:t>
      </w:r>
      <w:r w:rsidRPr="00BD34D4">
        <w:rPr>
          <w:rFonts w:ascii="Arial" w:hAnsi="Arial" w:cs="Arial"/>
          <w:lang w:val="en-US"/>
        </w:rPr>
        <w:t>PD</w:t>
      </w:r>
      <w:r w:rsidRPr="006A6AF7">
        <w:rPr>
          <w:rFonts w:ascii="Arial" w:hAnsi="Arial" w:cs="Arial"/>
          <w:lang w:val="en-US"/>
        </w:rPr>
        <w:t xml:space="preserve"> or death</w:t>
      </w:r>
      <w:r>
        <w:rPr>
          <w:rFonts w:ascii="Arial" w:hAnsi="Arial" w:cs="Arial"/>
          <w:lang w:val="en-US"/>
        </w:rPr>
        <w:t>.</w:t>
      </w:r>
    </w:p>
    <w:p w14:paraId="58E32775" w14:textId="77777777" w:rsidR="0062530D" w:rsidRDefault="0062530D" w:rsidP="0062530D">
      <w:pPr>
        <w:spacing w:line="480" w:lineRule="auto"/>
        <w:rPr>
          <w:rFonts w:ascii="Arial" w:hAnsi="Arial" w:cs="Arial"/>
          <w:lang w:val="en-US"/>
        </w:rPr>
      </w:pPr>
      <w:r>
        <w:rPr>
          <w:rFonts w:ascii="Arial" w:hAnsi="Arial" w:cs="Arial"/>
          <w:lang w:val="en-US"/>
        </w:rPr>
        <w:t>P</w:t>
      </w:r>
      <w:r w:rsidRPr="00A55F08">
        <w:rPr>
          <w:rFonts w:ascii="Arial" w:hAnsi="Arial" w:cs="Arial"/>
          <w:lang w:val="en-US"/>
        </w:rPr>
        <w:t xml:space="preserve">rogression-free survival </w:t>
      </w:r>
      <w:r>
        <w:rPr>
          <w:rFonts w:ascii="Arial" w:hAnsi="Arial" w:cs="Arial"/>
          <w:lang w:val="en-US"/>
        </w:rPr>
        <w:t>[</w:t>
      </w:r>
      <w:r w:rsidRPr="00A55F08">
        <w:rPr>
          <w:rFonts w:ascii="Arial" w:hAnsi="Arial" w:cs="Arial"/>
          <w:lang w:val="en-US"/>
        </w:rPr>
        <w:t>PFS</w:t>
      </w:r>
      <w:r>
        <w:rPr>
          <w:rFonts w:ascii="Arial" w:hAnsi="Arial" w:cs="Arial"/>
          <w:lang w:val="en-US"/>
        </w:rPr>
        <w:t xml:space="preserve">], </w:t>
      </w:r>
      <w:r w:rsidRPr="00BD34D4">
        <w:rPr>
          <w:rFonts w:ascii="Arial" w:hAnsi="Arial" w:cs="Arial"/>
          <w:lang w:val="en-US"/>
        </w:rPr>
        <w:t xml:space="preserve">defined as the time from the </w:t>
      </w:r>
      <w:r>
        <w:rPr>
          <w:rFonts w:ascii="Arial" w:hAnsi="Arial" w:cs="Arial"/>
          <w:lang w:val="en-US"/>
        </w:rPr>
        <w:t>study</w:t>
      </w:r>
      <w:r w:rsidRPr="00BD34D4">
        <w:rPr>
          <w:rFonts w:ascii="Arial" w:hAnsi="Arial" w:cs="Arial"/>
          <w:lang w:val="en-US"/>
        </w:rPr>
        <w:t xml:space="preserve"> </w:t>
      </w:r>
      <w:r>
        <w:rPr>
          <w:rFonts w:ascii="Arial" w:hAnsi="Arial" w:cs="Arial"/>
          <w:lang w:val="en-US"/>
        </w:rPr>
        <w:t xml:space="preserve">start </w:t>
      </w:r>
      <w:r w:rsidRPr="00BD34D4">
        <w:rPr>
          <w:rFonts w:ascii="Arial" w:hAnsi="Arial" w:cs="Arial"/>
          <w:lang w:val="en-US"/>
        </w:rPr>
        <w:t xml:space="preserve">date </w:t>
      </w:r>
      <w:r>
        <w:rPr>
          <w:rFonts w:ascii="Arial" w:hAnsi="Arial" w:cs="Arial"/>
          <w:lang w:val="en-US"/>
        </w:rPr>
        <w:t xml:space="preserve">to the earliest occurrence of </w:t>
      </w:r>
      <w:r w:rsidRPr="00BD34D4">
        <w:rPr>
          <w:rFonts w:ascii="Arial" w:hAnsi="Arial" w:cs="Arial"/>
          <w:lang w:val="en-US"/>
        </w:rPr>
        <w:t>PD or death, whichever occur</w:t>
      </w:r>
      <w:r>
        <w:rPr>
          <w:rFonts w:ascii="Arial" w:hAnsi="Arial" w:cs="Arial"/>
          <w:lang w:val="en-US"/>
        </w:rPr>
        <w:t>red</w:t>
      </w:r>
      <w:r w:rsidRPr="00BD34D4">
        <w:rPr>
          <w:rFonts w:ascii="Arial" w:hAnsi="Arial" w:cs="Arial"/>
          <w:lang w:val="en-US"/>
        </w:rPr>
        <w:t xml:space="preserve"> first</w:t>
      </w:r>
      <w:r>
        <w:rPr>
          <w:rFonts w:ascii="Arial" w:hAnsi="Arial" w:cs="Arial"/>
          <w:lang w:val="en-US"/>
        </w:rPr>
        <w:t>.</w:t>
      </w:r>
    </w:p>
    <w:p w14:paraId="1D6D9909" w14:textId="77777777" w:rsidR="0062530D" w:rsidRPr="00C90DC2" w:rsidRDefault="0062530D" w:rsidP="0062530D">
      <w:pPr>
        <w:spacing w:line="480" w:lineRule="auto"/>
        <w:rPr>
          <w:rFonts w:ascii="Arial" w:hAnsi="Arial" w:cs="Arial"/>
          <w:lang w:val="en-US" w:eastAsia="ja-JP"/>
        </w:rPr>
      </w:pPr>
    </w:p>
    <w:p w14:paraId="24DE90CC" w14:textId="77777777" w:rsidR="00195046" w:rsidRDefault="00195046">
      <w:pPr>
        <w:rPr>
          <w:rFonts w:ascii="Arial" w:hAnsi="Arial" w:cs="Arial"/>
          <w:b/>
          <w:bCs/>
          <w:lang w:val="en-US" w:eastAsia="ja-JP"/>
        </w:rPr>
      </w:pPr>
      <w:r>
        <w:rPr>
          <w:rFonts w:ascii="Arial" w:hAnsi="Arial" w:cs="Arial"/>
          <w:b/>
          <w:bCs/>
          <w:lang w:val="en-US" w:eastAsia="ja-JP"/>
        </w:rPr>
        <w:br w:type="page"/>
      </w:r>
    </w:p>
    <w:p w14:paraId="1094A678" w14:textId="5BA004A2" w:rsidR="0062530D" w:rsidRDefault="0062530D" w:rsidP="0062530D">
      <w:pPr>
        <w:spacing w:line="480" w:lineRule="auto"/>
        <w:rPr>
          <w:rFonts w:ascii="Arial" w:hAnsi="Arial" w:cs="Arial"/>
          <w:b/>
          <w:bCs/>
          <w:lang w:val="en-US" w:eastAsia="ja-JP"/>
        </w:rPr>
      </w:pPr>
      <w:r w:rsidRPr="00C90DC2">
        <w:rPr>
          <w:rFonts w:ascii="Arial" w:hAnsi="Arial" w:cs="Arial"/>
          <w:b/>
          <w:bCs/>
          <w:lang w:val="en-US" w:eastAsia="ja-JP"/>
        </w:rPr>
        <w:lastRenderedPageBreak/>
        <w:t>Supplementary Results</w:t>
      </w:r>
    </w:p>
    <w:p w14:paraId="5EEE1734" w14:textId="77777777" w:rsidR="00C60F42" w:rsidRPr="00F26D8D" w:rsidRDefault="00C60F42" w:rsidP="00C60F42">
      <w:pPr>
        <w:spacing w:line="480" w:lineRule="auto"/>
        <w:rPr>
          <w:rFonts w:ascii="Arial" w:hAnsi="Arial" w:cs="Arial"/>
          <w:i/>
          <w:iCs/>
          <w:lang w:val="en-US" w:eastAsia="ja-JP"/>
        </w:rPr>
      </w:pPr>
      <w:r w:rsidRPr="00F26D8D">
        <w:rPr>
          <w:rFonts w:ascii="Arial" w:hAnsi="Arial" w:cs="Arial"/>
          <w:i/>
          <w:iCs/>
          <w:lang w:val="en-US" w:eastAsia="ja-JP"/>
        </w:rPr>
        <w:t xml:space="preserve">Exploratory efficacy analysis of glofitamab-treated patients </w:t>
      </w:r>
    </w:p>
    <w:p w14:paraId="3AA8205B" w14:textId="423EC717" w:rsidR="00C60F42" w:rsidRPr="00F26D8D" w:rsidRDefault="00C60F42" w:rsidP="0062530D">
      <w:pPr>
        <w:spacing w:line="480" w:lineRule="auto"/>
        <w:rPr>
          <w:rFonts w:ascii="Arial" w:hAnsi="Arial" w:cs="Arial"/>
          <w:lang w:val="en-US" w:eastAsia="ja-JP"/>
        </w:rPr>
      </w:pPr>
      <w:r w:rsidRPr="00F26D8D">
        <w:rPr>
          <w:rFonts w:ascii="Arial" w:hAnsi="Arial" w:cs="Arial"/>
          <w:lang w:val="en-US" w:eastAsia="ja-JP"/>
        </w:rPr>
        <w:t>In the efficacy analysis of glofitamab-treated patients (Cohort 1, n=3; Cohort 2, n=3), the CR rate was 100% (95% CI: 29.24–100</w:t>
      </w:r>
      <w:r w:rsidR="00F26D8D">
        <w:rPr>
          <w:rFonts w:ascii="Arial" w:hAnsi="Arial" w:cs="Arial"/>
          <w:lang w:val="en-US" w:eastAsia="ja-JP"/>
        </w:rPr>
        <w:t>.0</w:t>
      </w:r>
      <w:r w:rsidRPr="00F26D8D">
        <w:rPr>
          <w:rFonts w:ascii="Arial" w:hAnsi="Arial" w:cs="Arial"/>
          <w:lang w:val="en-US" w:eastAsia="ja-JP"/>
        </w:rPr>
        <w:t>) in Cohort 1, and 100% (95% CI: 54.07–100</w:t>
      </w:r>
      <w:r w:rsidR="00F26D8D">
        <w:rPr>
          <w:rFonts w:ascii="Arial" w:hAnsi="Arial" w:cs="Arial"/>
          <w:lang w:val="en-US" w:eastAsia="ja-JP"/>
        </w:rPr>
        <w:t>.0</w:t>
      </w:r>
      <w:r w:rsidRPr="00F26D8D">
        <w:rPr>
          <w:rFonts w:ascii="Arial" w:hAnsi="Arial" w:cs="Arial"/>
          <w:lang w:val="en-US" w:eastAsia="ja-JP"/>
        </w:rPr>
        <w:t xml:space="preserve">) across both cohorts. PFS ranged from 27.2–40.1 months (Cohorts 1 and 2) and DOR was 24.9–35.1 months (Cohorts 1 and 2). </w:t>
      </w:r>
    </w:p>
    <w:p w14:paraId="31C305EA" w14:textId="77777777" w:rsidR="0062530D" w:rsidRPr="00F26D8D" w:rsidRDefault="0062530D" w:rsidP="0062530D">
      <w:pPr>
        <w:spacing w:line="480" w:lineRule="auto"/>
        <w:rPr>
          <w:rFonts w:ascii="Arial" w:hAnsi="Arial" w:cs="Arial"/>
          <w:i/>
          <w:iCs/>
          <w:lang w:val="en-US" w:eastAsia="ja-JP"/>
        </w:rPr>
      </w:pPr>
      <w:r w:rsidRPr="00F26D8D">
        <w:rPr>
          <w:rFonts w:ascii="Arial" w:hAnsi="Arial" w:cs="Arial"/>
          <w:i/>
          <w:iCs/>
          <w:lang w:val="en-US" w:eastAsia="ja-JP"/>
        </w:rPr>
        <w:t xml:space="preserve">Immunogenicity </w:t>
      </w:r>
    </w:p>
    <w:p w14:paraId="21C69DF4" w14:textId="6F52A180" w:rsidR="0062530D" w:rsidRPr="00F26D8D" w:rsidRDefault="004E3143" w:rsidP="0062530D">
      <w:pPr>
        <w:spacing w:line="480" w:lineRule="auto"/>
        <w:rPr>
          <w:rFonts w:ascii="Arial" w:hAnsi="Arial" w:cs="Arial"/>
          <w:lang w:val="en-US"/>
        </w:rPr>
      </w:pPr>
      <w:r w:rsidRPr="00F26D8D">
        <w:rPr>
          <w:rFonts w:ascii="Arial" w:hAnsi="Arial" w:cs="Arial"/>
          <w:lang w:val="en-US"/>
        </w:rPr>
        <w:t xml:space="preserve">Anti-drug antibodies (ADAs) were evaluated in all patients (n=8) before obinutuzumab treatment and in six patients after obinutuzumab treatment. Samples for ADA assessment were collected every cycle up to C8 and every </w:t>
      </w:r>
      <w:r w:rsidR="00AA3AC5" w:rsidRPr="00F26D8D">
        <w:rPr>
          <w:rFonts w:ascii="Arial" w:hAnsi="Arial" w:cs="Arial"/>
          <w:lang w:val="en-US"/>
        </w:rPr>
        <w:t>eight</w:t>
      </w:r>
      <w:r w:rsidRPr="00F26D8D">
        <w:rPr>
          <w:rFonts w:ascii="Arial" w:hAnsi="Arial" w:cs="Arial"/>
          <w:lang w:val="en-US"/>
        </w:rPr>
        <w:t xml:space="preserve"> cycles thereafter</w:t>
      </w:r>
      <w:r w:rsidR="0062530D" w:rsidRPr="00F26D8D">
        <w:rPr>
          <w:rFonts w:ascii="Arial" w:hAnsi="Arial" w:cs="Arial"/>
          <w:lang w:val="en-US"/>
        </w:rPr>
        <w:t>. No patient</w:t>
      </w:r>
      <w:r w:rsidR="00F259B3" w:rsidRPr="00F26D8D">
        <w:rPr>
          <w:rFonts w:ascii="Arial" w:hAnsi="Arial" w:cs="Arial"/>
          <w:lang w:val="en-US"/>
        </w:rPr>
        <w:t>s</w:t>
      </w:r>
      <w:r w:rsidR="0062530D" w:rsidRPr="00F26D8D">
        <w:rPr>
          <w:rFonts w:ascii="Arial" w:hAnsi="Arial" w:cs="Arial"/>
          <w:lang w:val="en-US"/>
        </w:rPr>
        <w:t xml:space="preserve"> tested positive for antibody to glofitamab at any time before or after administration of obinutuzumab. </w:t>
      </w:r>
    </w:p>
    <w:p w14:paraId="4EFB710B" w14:textId="224A7F33" w:rsidR="00773EB4" w:rsidRDefault="00773EB4">
      <w:pPr>
        <w:rPr>
          <w:lang w:val="en-US"/>
        </w:rPr>
      </w:pPr>
      <w:r>
        <w:rPr>
          <w:lang w:val="en-US"/>
        </w:rPr>
        <w:br w:type="page"/>
      </w:r>
    </w:p>
    <w:p w14:paraId="31B5D78A" w14:textId="38C1AFC1" w:rsidR="0034599D" w:rsidRPr="001B28FC" w:rsidRDefault="00F20F2B" w:rsidP="00773EB4">
      <w:pPr>
        <w:spacing w:line="480" w:lineRule="auto"/>
        <w:rPr>
          <w:rFonts w:ascii="Arial" w:hAnsi="Arial" w:cs="Arial"/>
          <w:b/>
          <w:bCs/>
          <w:noProof/>
          <w:lang w:val="en-US"/>
        </w:rPr>
      </w:pPr>
      <w:r w:rsidRPr="001B28FC">
        <w:rPr>
          <w:rFonts w:ascii="Arial" w:hAnsi="Arial" w:cs="Arial"/>
          <w:b/>
          <w:bCs/>
          <w:noProof/>
          <w:lang w:val="en-US"/>
        </w:rPr>
        <w:lastRenderedPageBreak/>
        <w:t>Reference</w:t>
      </w:r>
    </w:p>
    <w:p w14:paraId="07579461" w14:textId="77777777" w:rsidR="00120BCE" w:rsidRPr="001B28FC" w:rsidRDefault="0034599D" w:rsidP="00120BCE">
      <w:pPr>
        <w:pStyle w:val="EndNoteBibliography"/>
        <w:spacing w:line="480" w:lineRule="auto"/>
        <w:rPr>
          <w:rFonts w:ascii="Arial" w:hAnsi="Arial" w:cs="Arial"/>
        </w:rPr>
      </w:pPr>
      <w:r w:rsidRPr="001B28FC">
        <w:rPr>
          <w:rFonts w:ascii="Arial" w:hAnsi="Arial" w:cs="Arial"/>
        </w:rPr>
        <w:fldChar w:fldCharType="begin"/>
      </w:r>
      <w:r w:rsidRPr="001B28FC">
        <w:rPr>
          <w:rFonts w:ascii="Arial" w:hAnsi="Arial" w:cs="Arial"/>
        </w:rPr>
        <w:instrText xml:space="preserve"> ADDIN EN.REFLIST </w:instrText>
      </w:r>
      <w:r w:rsidRPr="001B28FC">
        <w:rPr>
          <w:rFonts w:ascii="Arial" w:hAnsi="Arial" w:cs="Arial"/>
        </w:rPr>
        <w:fldChar w:fldCharType="separate"/>
      </w:r>
      <w:r w:rsidR="00120BCE" w:rsidRPr="001B28FC">
        <w:rPr>
          <w:rFonts w:ascii="Arial" w:hAnsi="Arial" w:cs="Arial"/>
        </w:rPr>
        <w:t>1. Hutchings M, Morschhauser F, Iacoboni G, Carlo-Stella C, Offner FC, Sureda A, Salles G, Martínez-Lopez J, Crump M, Thomas DN, Morcos PN, Ferlini C, Bröske AE, Belousov A, Bacac M, Dimier N, Carlile DJ, Lundberg L, Perez-Callejo D, Umaña P, Moore T, Weisser M, Dickinson MJ (2021) Glofitamab, a novel, bivalent CD20-targeting T-cell-engaging bispecific antibody, induces durable complete remissions in relapsed or refractory B-cell lymphoma: a phase I trial. J Clin Oncol 39 (18):1959-1970. doi:10.1200/jco.20.03175</w:t>
      </w:r>
    </w:p>
    <w:p w14:paraId="68C4689A" w14:textId="0AEB7E43" w:rsidR="0078393D" w:rsidRPr="0034599D" w:rsidRDefault="0034599D" w:rsidP="00773EB4">
      <w:pPr>
        <w:spacing w:line="480" w:lineRule="auto"/>
        <w:rPr>
          <w:rFonts w:ascii="Arial" w:hAnsi="Arial" w:cs="Arial"/>
          <w:lang w:val="en-US"/>
        </w:rPr>
      </w:pPr>
      <w:r w:rsidRPr="001B28FC">
        <w:rPr>
          <w:rFonts w:ascii="Arial" w:hAnsi="Arial" w:cs="Arial"/>
          <w:lang w:val="en-US"/>
        </w:rPr>
        <w:fldChar w:fldCharType="end"/>
      </w:r>
    </w:p>
    <w:sectPr w:rsidR="0078393D" w:rsidRPr="0034599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0C3E" w14:textId="77777777" w:rsidR="001C3ED7" w:rsidRDefault="001C3ED7" w:rsidP="0077123A">
      <w:pPr>
        <w:spacing w:after="0" w:line="240" w:lineRule="auto"/>
      </w:pPr>
      <w:r>
        <w:separator/>
      </w:r>
    </w:p>
  </w:endnote>
  <w:endnote w:type="continuationSeparator" w:id="0">
    <w:p w14:paraId="0280E95A" w14:textId="77777777" w:rsidR="001C3ED7" w:rsidRDefault="001C3ED7" w:rsidP="00771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099627"/>
      <w:docPartObj>
        <w:docPartGallery w:val="Page Numbers (Bottom of Page)"/>
        <w:docPartUnique/>
      </w:docPartObj>
    </w:sdtPr>
    <w:sdtEndPr>
      <w:rPr>
        <w:noProof/>
      </w:rPr>
    </w:sdtEndPr>
    <w:sdtContent>
      <w:p w14:paraId="5AA7B7DC" w14:textId="04CF68CF" w:rsidR="00C62D51" w:rsidRDefault="00C62D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E92639" w14:textId="77777777" w:rsidR="00C62D51" w:rsidRDefault="00C62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31F55" w14:textId="77777777" w:rsidR="001C3ED7" w:rsidRDefault="001C3ED7" w:rsidP="0077123A">
      <w:pPr>
        <w:spacing w:after="0" w:line="240" w:lineRule="auto"/>
      </w:pPr>
      <w:r>
        <w:separator/>
      </w:r>
    </w:p>
  </w:footnote>
  <w:footnote w:type="continuationSeparator" w:id="0">
    <w:p w14:paraId="2C50CCD8" w14:textId="77777777" w:rsidR="001C3ED7" w:rsidRDefault="001C3ED7" w:rsidP="007712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F4A72"/>
    <w:multiLevelType w:val="hybridMultilevel"/>
    <w:tmpl w:val="E4FC39BA"/>
    <w:lvl w:ilvl="0" w:tplc="F2042792">
      <w:start w:val="1"/>
      <w:numFmt w:val="bullet"/>
      <w:lvlText w:val=""/>
      <w:lvlJc w:val="left"/>
      <w:pPr>
        <w:ind w:left="720" w:hanging="360"/>
      </w:pPr>
      <w:rPr>
        <w:rFonts w:ascii="Symbol" w:hAnsi="Symbol" w:hint="default"/>
        <w:lang w:val="en-U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B16663"/>
    <w:multiLevelType w:val="hybridMultilevel"/>
    <w:tmpl w:val="05107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354014">
    <w:abstractNumId w:val="0"/>
  </w:num>
  <w:num w:numId="2" w16cid:durableId="1888255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JCO&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ape999aedrsqee0xnparxbswx5sasf0wpp&quot;&gt;gccbispecificspublications@gcc-global.com&lt;record-ids&gt;&lt;item&gt;29&lt;/item&gt;&lt;/record-ids&gt;&lt;/item&gt;&lt;/Libraries&gt;"/>
    <w:docVar w:name="EN.UseJSCitationFormat" w:val="False"/>
  </w:docVars>
  <w:rsids>
    <w:rsidRoot w:val="0062530D"/>
    <w:rsid w:val="0001411F"/>
    <w:rsid w:val="0002403F"/>
    <w:rsid w:val="00036E2C"/>
    <w:rsid w:val="0004469F"/>
    <w:rsid w:val="00077202"/>
    <w:rsid w:val="00120BCE"/>
    <w:rsid w:val="001718AF"/>
    <w:rsid w:val="00192F46"/>
    <w:rsid w:val="00195046"/>
    <w:rsid w:val="001B28FC"/>
    <w:rsid w:val="001B7B66"/>
    <w:rsid w:val="001C3ED7"/>
    <w:rsid w:val="001D19C3"/>
    <w:rsid w:val="001F5FE2"/>
    <w:rsid w:val="00225770"/>
    <w:rsid w:val="002B6933"/>
    <w:rsid w:val="002C1F29"/>
    <w:rsid w:val="002D5338"/>
    <w:rsid w:val="002E52A1"/>
    <w:rsid w:val="002E673C"/>
    <w:rsid w:val="0034599D"/>
    <w:rsid w:val="00351B6D"/>
    <w:rsid w:val="0037509A"/>
    <w:rsid w:val="00383181"/>
    <w:rsid w:val="003907EA"/>
    <w:rsid w:val="003A5BAC"/>
    <w:rsid w:val="003D1F85"/>
    <w:rsid w:val="00403A92"/>
    <w:rsid w:val="00416FC5"/>
    <w:rsid w:val="00423F82"/>
    <w:rsid w:val="00430CBB"/>
    <w:rsid w:val="00442777"/>
    <w:rsid w:val="0045761E"/>
    <w:rsid w:val="004714D4"/>
    <w:rsid w:val="004E3143"/>
    <w:rsid w:val="00507CA3"/>
    <w:rsid w:val="00545D09"/>
    <w:rsid w:val="005958FD"/>
    <w:rsid w:val="005B50F3"/>
    <w:rsid w:val="005E69B3"/>
    <w:rsid w:val="0062530D"/>
    <w:rsid w:val="00636B2B"/>
    <w:rsid w:val="00663195"/>
    <w:rsid w:val="006F4A46"/>
    <w:rsid w:val="00733B88"/>
    <w:rsid w:val="007362BF"/>
    <w:rsid w:val="00756781"/>
    <w:rsid w:val="0077123A"/>
    <w:rsid w:val="00773EB4"/>
    <w:rsid w:val="0078393D"/>
    <w:rsid w:val="0079588B"/>
    <w:rsid w:val="007B3D4F"/>
    <w:rsid w:val="007E3EB7"/>
    <w:rsid w:val="00871F6C"/>
    <w:rsid w:val="00875563"/>
    <w:rsid w:val="008835A7"/>
    <w:rsid w:val="008A6746"/>
    <w:rsid w:val="008B7560"/>
    <w:rsid w:val="00901DBB"/>
    <w:rsid w:val="00950432"/>
    <w:rsid w:val="009533CA"/>
    <w:rsid w:val="009A17C6"/>
    <w:rsid w:val="009B3370"/>
    <w:rsid w:val="009B78FD"/>
    <w:rsid w:val="00A04474"/>
    <w:rsid w:val="00A17F90"/>
    <w:rsid w:val="00A25294"/>
    <w:rsid w:val="00A57238"/>
    <w:rsid w:val="00AA11F6"/>
    <w:rsid w:val="00AA3AC5"/>
    <w:rsid w:val="00AB3BB8"/>
    <w:rsid w:val="00AD007C"/>
    <w:rsid w:val="00AD087F"/>
    <w:rsid w:val="00AD751E"/>
    <w:rsid w:val="00B5056C"/>
    <w:rsid w:val="00B55C16"/>
    <w:rsid w:val="00B8552E"/>
    <w:rsid w:val="00BB095E"/>
    <w:rsid w:val="00BD6516"/>
    <w:rsid w:val="00BE5EC3"/>
    <w:rsid w:val="00C13B20"/>
    <w:rsid w:val="00C2454C"/>
    <w:rsid w:val="00C60F42"/>
    <w:rsid w:val="00C62D51"/>
    <w:rsid w:val="00CC69D8"/>
    <w:rsid w:val="00CD2C1B"/>
    <w:rsid w:val="00CF7E7D"/>
    <w:rsid w:val="00D539A5"/>
    <w:rsid w:val="00D7230D"/>
    <w:rsid w:val="00D81174"/>
    <w:rsid w:val="00DA2197"/>
    <w:rsid w:val="00DD0501"/>
    <w:rsid w:val="00DD4B53"/>
    <w:rsid w:val="00DE579D"/>
    <w:rsid w:val="00E03FBE"/>
    <w:rsid w:val="00E37543"/>
    <w:rsid w:val="00E375F6"/>
    <w:rsid w:val="00E90D55"/>
    <w:rsid w:val="00EA01EA"/>
    <w:rsid w:val="00EE300E"/>
    <w:rsid w:val="00EE686F"/>
    <w:rsid w:val="00F20F2B"/>
    <w:rsid w:val="00F259B3"/>
    <w:rsid w:val="00F26D8D"/>
    <w:rsid w:val="00F76CBD"/>
    <w:rsid w:val="00FB4BCA"/>
    <w:rsid w:val="00FC0B5F"/>
    <w:rsid w:val="00FE0B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F86D0"/>
  <w15:chartTrackingRefBased/>
  <w15:docId w15:val="{F01AC8C2-C3E2-4CAC-860A-514858BF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30D"/>
    <w:rPr>
      <w:rFonts w:eastAsiaTheme="minorEastAsia"/>
    </w:rPr>
  </w:style>
  <w:style w:type="paragraph" w:styleId="Heading1">
    <w:name w:val="heading 1"/>
    <w:basedOn w:val="Normal"/>
    <w:next w:val="Normal"/>
    <w:link w:val="Heading1Char"/>
    <w:uiPriority w:val="9"/>
    <w:qFormat/>
    <w:rsid w:val="00625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30D"/>
    <w:rPr>
      <w:rFonts w:eastAsiaTheme="majorEastAsia" w:cstheme="majorBidi"/>
      <w:color w:val="272727" w:themeColor="text1" w:themeTint="D8"/>
    </w:rPr>
  </w:style>
  <w:style w:type="paragraph" w:styleId="Title">
    <w:name w:val="Title"/>
    <w:basedOn w:val="Normal"/>
    <w:next w:val="Normal"/>
    <w:link w:val="TitleChar"/>
    <w:uiPriority w:val="10"/>
    <w:qFormat/>
    <w:rsid w:val="00625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30D"/>
    <w:pPr>
      <w:spacing w:before="160"/>
      <w:jc w:val="center"/>
    </w:pPr>
    <w:rPr>
      <w:i/>
      <w:iCs/>
      <w:color w:val="404040" w:themeColor="text1" w:themeTint="BF"/>
    </w:rPr>
  </w:style>
  <w:style w:type="character" w:customStyle="1" w:styleId="QuoteChar">
    <w:name w:val="Quote Char"/>
    <w:basedOn w:val="DefaultParagraphFont"/>
    <w:link w:val="Quote"/>
    <w:uiPriority w:val="29"/>
    <w:rsid w:val="0062530D"/>
    <w:rPr>
      <w:i/>
      <w:iCs/>
      <w:color w:val="404040" w:themeColor="text1" w:themeTint="BF"/>
    </w:rPr>
  </w:style>
  <w:style w:type="paragraph" w:styleId="ListParagraph">
    <w:name w:val="List Paragraph"/>
    <w:basedOn w:val="Normal"/>
    <w:link w:val="ListParagraphChar"/>
    <w:uiPriority w:val="34"/>
    <w:qFormat/>
    <w:rsid w:val="0062530D"/>
    <w:pPr>
      <w:ind w:left="720"/>
      <w:contextualSpacing/>
    </w:pPr>
  </w:style>
  <w:style w:type="character" w:styleId="IntenseEmphasis">
    <w:name w:val="Intense Emphasis"/>
    <w:basedOn w:val="DefaultParagraphFont"/>
    <w:uiPriority w:val="21"/>
    <w:qFormat/>
    <w:rsid w:val="0062530D"/>
    <w:rPr>
      <w:i/>
      <w:iCs/>
      <w:color w:val="0F4761" w:themeColor="accent1" w:themeShade="BF"/>
    </w:rPr>
  </w:style>
  <w:style w:type="paragraph" w:styleId="IntenseQuote">
    <w:name w:val="Intense Quote"/>
    <w:basedOn w:val="Normal"/>
    <w:next w:val="Normal"/>
    <w:link w:val="IntenseQuoteChar"/>
    <w:uiPriority w:val="30"/>
    <w:qFormat/>
    <w:rsid w:val="00625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30D"/>
    <w:rPr>
      <w:i/>
      <w:iCs/>
      <w:color w:val="0F4761" w:themeColor="accent1" w:themeShade="BF"/>
    </w:rPr>
  </w:style>
  <w:style w:type="character" w:styleId="IntenseReference">
    <w:name w:val="Intense Reference"/>
    <w:basedOn w:val="DefaultParagraphFont"/>
    <w:uiPriority w:val="32"/>
    <w:qFormat/>
    <w:rsid w:val="0062530D"/>
    <w:rPr>
      <w:b/>
      <w:bCs/>
      <w:smallCaps/>
      <w:color w:val="0F4761" w:themeColor="accent1" w:themeShade="BF"/>
      <w:spacing w:val="5"/>
    </w:rPr>
  </w:style>
  <w:style w:type="character" w:styleId="CommentReference">
    <w:name w:val="annotation reference"/>
    <w:basedOn w:val="DefaultParagraphFont"/>
    <w:uiPriority w:val="99"/>
    <w:semiHidden/>
    <w:unhideWhenUsed/>
    <w:rsid w:val="0062530D"/>
    <w:rPr>
      <w:sz w:val="16"/>
      <w:szCs w:val="16"/>
    </w:rPr>
  </w:style>
  <w:style w:type="paragraph" w:styleId="CommentText">
    <w:name w:val="annotation text"/>
    <w:basedOn w:val="Normal"/>
    <w:link w:val="CommentTextChar"/>
    <w:uiPriority w:val="99"/>
    <w:unhideWhenUsed/>
    <w:rsid w:val="0062530D"/>
    <w:pPr>
      <w:spacing w:line="240" w:lineRule="auto"/>
    </w:pPr>
    <w:rPr>
      <w:sz w:val="20"/>
      <w:szCs w:val="20"/>
    </w:rPr>
  </w:style>
  <w:style w:type="character" w:customStyle="1" w:styleId="CommentTextChar">
    <w:name w:val="Comment Text Char"/>
    <w:basedOn w:val="DefaultParagraphFont"/>
    <w:link w:val="CommentText"/>
    <w:uiPriority w:val="99"/>
    <w:rsid w:val="0062530D"/>
    <w:rPr>
      <w:rFonts w:eastAsiaTheme="minorEastAsia"/>
      <w:sz w:val="20"/>
      <w:szCs w:val="20"/>
    </w:rPr>
  </w:style>
  <w:style w:type="character" w:customStyle="1" w:styleId="ListParagraphChar">
    <w:name w:val="List Paragraph Char"/>
    <w:basedOn w:val="DefaultParagraphFont"/>
    <w:link w:val="ListParagraph"/>
    <w:uiPriority w:val="34"/>
    <w:rsid w:val="0062530D"/>
  </w:style>
  <w:style w:type="paragraph" w:customStyle="1" w:styleId="EndNoteBibliographyTitle">
    <w:name w:val="EndNote Bibliography Title"/>
    <w:basedOn w:val="Normal"/>
    <w:link w:val="EndNoteBibliographyTitleChar"/>
    <w:rsid w:val="0062530D"/>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62530D"/>
    <w:rPr>
      <w:rFonts w:ascii="Aptos" w:eastAsiaTheme="minorEastAsia" w:hAnsi="Aptos"/>
      <w:noProof/>
      <w:lang w:val="en-US"/>
    </w:rPr>
  </w:style>
  <w:style w:type="paragraph" w:customStyle="1" w:styleId="EndNoteBibliography">
    <w:name w:val="EndNote Bibliography"/>
    <w:basedOn w:val="Normal"/>
    <w:link w:val="EndNoteBibliographyChar"/>
    <w:rsid w:val="0062530D"/>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62530D"/>
    <w:rPr>
      <w:rFonts w:ascii="Aptos" w:eastAsiaTheme="minorEastAsia" w:hAnsi="Aptos"/>
      <w:noProof/>
      <w:lang w:val="en-US"/>
    </w:rPr>
  </w:style>
  <w:style w:type="character" w:styleId="Hyperlink">
    <w:name w:val="Hyperlink"/>
    <w:basedOn w:val="DefaultParagraphFont"/>
    <w:uiPriority w:val="99"/>
    <w:unhideWhenUsed/>
    <w:rsid w:val="0062530D"/>
    <w:rPr>
      <w:color w:val="467886" w:themeColor="hyperlink"/>
      <w:u w:val="single"/>
    </w:rPr>
  </w:style>
  <w:style w:type="character" w:styleId="UnresolvedMention">
    <w:name w:val="Unresolved Mention"/>
    <w:basedOn w:val="DefaultParagraphFont"/>
    <w:uiPriority w:val="99"/>
    <w:semiHidden/>
    <w:unhideWhenUsed/>
    <w:rsid w:val="0062530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33B88"/>
    <w:rPr>
      <w:b/>
      <w:bCs/>
    </w:rPr>
  </w:style>
  <w:style w:type="character" w:customStyle="1" w:styleId="CommentSubjectChar">
    <w:name w:val="Comment Subject Char"/>
    <w:basedOn w:val="CommentTextChar"/>
    <w:link w:val="CommentSubject"/>
    <w:uiPriority w:val="99"/>
    <w:semiHidden/>
    <w:rsid w:val="00733B88"/>
    <w:rPr>
      <w:rFonts w:eastAsiaTheme="minorEastAsia"/>
      <w:b/>
      <w:bCs/>
      <w:sz w:val="20"/>
      <w:szCs w:val="20"/>
    </w:rPr>
  </w:style>
  <w:style w:type="paragraph" w:styleId="Header">
    <w:name w:val="header"/>
    <w:basedOn w:val="Normal"/>
    <w:link w:val="HeaderChar"/>
    <w:uiPriority w:val="99"/>
    <w:unhideWhenUsed/>
    <w:rsid w:val="00771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123A"/>
    <w:rPr>
      <w:rFonts w:eastAsiaTheme="minorEastAsia"/>
    </w:rPr>
  </w:style>
  <w:style w:type="paragraph" w:styleId="Footer">
    <w:name w:val="footer"/>
    <w:basedOn w:val="Normal"/>
    <w:link w:val="FooterChar"/>
    <w:uiPriority w:val="99"/>
    <w:unhideWhenUsed/>
    <w:rsid w:val="00771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23A"/>
    <w:rPr>
      <w:rFonts w:eastAsiaTheme="minorEastAsia"/>
    </w:rPr>
  </w:style>
  <w:style w:type="paragraph" w:styleId="Revision">
    <w:name w:val="Revision"/>
    <w:hidden/>
    <w:uiPriority w:val="99"/>
    <w:semiHidden/>
    <w:rsid w:val="00950432"/>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14</Pages>
  <Words>2582</Words>
  <Characters>14721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Stork</dc:creator>
  <cp:keywords/>
  <dc:description/>
  <cp:lastModifiedBy>Johanna Stork</cp:lastModifiedBy>
  <cp:revision>21</cp:revision>
  <dcterms:created xsi:type="dcterms:W3CDTF">2025-10-22T15:28:00Z</dcterms:created>
  <dcterms:modified xsi:type="dcterms:W3CDTF">2026-05-28T11:09:00Z</dcterms:modified>
</cp:coreProperties>
</file>