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924" w:rsidRPr="00290E12" w:rsidRDefault="006D6924" w:rsidP="006D6924">
      <w:pPr>
        <w:rPr>
          <w:rFonts w:ascii="Times New Roman" w:hAnsi="Times New Roman" w:cs="Times New Roman"/>
          <w:color w:val="000000"/>
          <w:lang w:val="en-AU"/>
        </w:rPr>
      </w:pPr>
      <w:bookmarkStart w:id="0" w:name="_GoBack"/>
      <w:r w:rsidRPr="00290E12">
        <w:rPr>
          <w:rFonts w:ascii="Times New Roman" w:hAnsi="Times New Roman" w:cs="Times New Roman"/>
          <w:b/>
          <w:bCs/>
          <w:color w:val="000000"/>
          <w:lang w:val="en-AU"/>
        </w:rPr>
        <w:t xml:space="preserve">Online Resource 1. </w:t>
      </w:r>
      <w:r w:rsidRPr="00290E12">
        <w:rPr>
          <w:rFonts w:ascii="Times New Roman" w:hAnsi="Times New Roman" w:cs="Times New Roman"/>
          <w:color w:val="000000"/>
          <w:lang w:val="en-AU"/>
        </w:rPr>
        <w:t>Dose modification patterns from treatment initiation to Day 29 and at treatment discontinuation.</w:t>
      </w:r>
    </w:p>
    <w:p w:rsidR="006D6924" w:rsidRPr="00290E12" w:rsidRDefault="006D6924" w:rsidP="006D6924">
      <w:pPr>
        <w:rPr>
          <w:rFonts w:ascii="Times New Roman" w:hAnsi="Times New Roman" w:cs="Times New Roman"/>
          <w:color w:val="000000" w:themeColor="text1"/>
        </w:rPr>
      </w:pPr>
      <w:r w:rsidRPr="00290E12">
        <w:rPr>
          <w:rFonts w:ascii="Times New Roman" w:hAnsi="Times New Roman" w:cs="Times New Roman"/>
          <w:color w:val="000000"/>
          <w:lang w:val="en-AU"/>
        </w:rPr>
        <w:t>The diagram illustrates changes in dosing from initiation to Day 29 (cycle 2) and to the last administered dose. The dose at Day 29 represents the dose at 29 days after initiation or the last administered dose in patients who discontinued treatment within 28 days.</w:t>
      </w:r>
    </w:p>
    <w:p w:rsidR="006D6924" w:rsidRPr="00290E12" w:rsidRDefault="006D6924" w:rsidP="006D6924">
      <w:pPr>
        <w:rPr>
          <w:rFonts w:ascii="Times New Roman" w:hAnsi="Times New Roman" w:cs="Times New Roman"/>
          <w:bCs/>
          <w:color w:val="000000" w:themeColor="text1"/>
        </w:rPr>
      </w:pPr>
    </w:p>
    <w:p w:rsidR="006D6924" w:rsidRPr="00290E12" w:rsidRDefault="006D6924" w:rsidP="006D6924">
      <w:pPr>
        <w:rPr>
          <w:rFonts w:ascii="Times New Roman" w:hAnsi="Times New Roman" w:cs="Times New Roman"/>
          <w:bCs/>
          <w:color w:val="000000" w:themeColor="text1"/>
        </w:rPr>
      </w:pPr>
      <w:r w:rsidRPr="00290E12">
        <w:rPr>
          <w:rFonts w:ascii="Times New Roman" w:hAnsi="Times New Roman" w:cs="Times New Roman"/>
          <w:b/>
          <w:color w:val="000000" w:themeColor="text1"/>
        </w:rPr>
        <w:t>Online Resource 5.</w:t>
      </w:r>
      <w:r w:rsidRPr="00290E12">
        <w:rPr>
          <w:rFonts w:ascii="Times New Roman" w:hAnsi="Times New Roman" w:cs="Times New Roman"/>
          <w:bCs/>
          <w:color w:val="000000" w:themeColor="text1"/>
        </w:rPr>
        <w:t xml:space="preserve"> Venn diagrams showing the overlap among proteinuria, hypertension, and hand-foot syndrome (HFS) for any-grade events and Grade ≥3 events.</w:t>
      </w:r>
    </w:p>
    <w:p w:rsidR="006D6924" w:rsidRPr="00290E12" w:rsidRDefault="006D6924" w:rsidP="006D6924">
      <w:pPr>
        <w:rPr>
          <w:rFonts w:ascii="Times New Roman" w:hAnsi="Times New Roman" w:cs="Times New Roman"/>
          <w:bCs/>
          <w:color w:val="000000" w:themeColor="text1"/>
        </w:rPr>
      </w:pPr>
    </w:p>
    <w:p w:rsidR="006D6924" w:rsidRPr="00290E12" w:rsidRDefault="006D6924" w:rsidP="006D6924">
      <w:pPr>
        <w:rPr>
          <w:rFonts w:ascii="Times New Roman" w:hAnsi="Times New Roman" w:cs="Times New Roman"/>
          <w:color w:val="000000"/>
          <w:lang w:val="en-AU"/>
        </w:rPr>
      </w:pPr>
      <w:r w:rsidRPr="00290E12">
        <w:rPr>
          <w:rFonts w:ascii="Times New Roman" w:hAnsi="Times New Roman" w:cs="Times New Roman"/>
          <w:b/>
          <w:bCs/>
          <w:color w:val="000000"/>
          <w:lang w:val="en-AU"/>
        </w:rPr>
        <w:t xml:space="preserve">Online Resource 6. </w:t>
      </w:r>
      <w:r w:rsidRPr="00290E12">
        <w:rPr>
          <w:rFonts w:ascii="Times New Roman" w:hAnsi="Times New Roman" w:cs="Times New Roman"/>
          <w:color w:val="000000"/>
          <w:lang w:val="en-AU"/>
        </w:rPr>
        <w:t>Kaplan–Meier curves for (a) time to treatment failure (TTF) and (b) overall survival (OS) stratified by the worst grade of treatment-emergent proteinuria (≤ Grade 1 vs ≥ Grade 2). CI, confidence interval; HR, hazard ratio; OS, overall survival; TTF, time to treatment failure.</w:t>
      </w:r>
    </w:p>
    <w:p w:rsidR="006D6924" w:rsidRPr="00290E12" w:rsidRDefault="006D6924" w:rsidP="006D6924">
      <w:pPr>
        <w:rPr>
          <w:rFonts w:ascii="Times New Roman" w:hAnsi="Times New Roman" w:cs="Times New Roman"/>
          <w:color w:val="000000"/>
          <w:lang w:val="en-AU"/>
        </w:rPr>
      </w:pPr>
    </w:p>
    <w:p w:rsidR="006D6924" w:rsidRPr="00290E12" w:rsidRDefault="006D6924" w:rsidP="006D6924">
      <w:pPr>
        <w:rPr>
          <w:rFonts w:ascii="Times New Roman" w:hAnsi="Times New Roman" w:cs="Times New Roman"/>
          <w:color w:val="000000"/>
        </w:rPr>
      </w:pPr>
      <w:r w:rsidRPr="00290E12">
        <w:rPr>
          <w:rFonts w:ascii="Times New Roman" w:hAnsi="Times New Roman" w:cs="Times New Roman"/>
          <w:b/>
          <w:bCs/>
          <w:color w:val="000000"/>
        </w:rPr>
        <w:t>Online Resource 7</w:t>
      </w:r>
      <w:r w:rsidRPr="00290E12">
        <w:rPr>
          <w:rFonts w:ascii="Times New Roman" w:hAnsi="Times New Roman" w:cs="Times New Roman"/>
          <w:color w:val="000000"/>
        </w:rPr>
        <w:t>. Kaplan–Meier curves for (a) time to treatment failure (TTF) and (b) overall survival (OS) stratified by the worst grade of hypertension (≤ Grade 1 vs ≥ Grade 2). CI, confidence interval; HR, hazard ratio; OS, overall survival; TTF, time to treatment failure.</w:t>
      </w:r>
    </w:p>
    <w:p w:rsidR="006D6924" w:rsidRPr="00290E12" w:rsidRDefault="006D6924" w:rsidP="006D6924">
      <w:pPr>
        <w:rPr>
          <w:rFonts w:ascii="Times New Roman" w:hAnsi="Times New Roman" w:cs="Times New Roman"/>
          <w:color w:val="000000"/>
        </w:rPr>
      </w:pPr>
    </w:p>
    <w:p w:rsidR="006D6924" w:rsidRPr="00290E12" w:rsidRDefault="006D6924" w:rsidP="006D6924">
      <w:pPr>
        <w:rPr>
          <w:rFonts w:ascii="Times New Roman" w:hAnsi="Times New Roman" w:cs="Times New Roman"/>
          <w:color w:val="000000"/>
        </w:rPr>
      </w:pPr>
      <w:r w:rsidRPr="00290E12">
        <w:rPr>
          <w:rFonts w:ascii="Times New Roman" w:hAnsi="Times New Roman" w:cs="Times New Roman"/>
          <w:b/>
          <w:bCs/>
          <w:color w:val="000000"/>
        </w:rPr>
        <w:t>Online Resource 8.</w:t>
      </w:r>
      <w:r w:rsidRPr="00290E12">
        <w:rPr>
          <w:rFonts w:ascii="Times New Roman" w:hAnsi="Times New Roman" w:cs="Times New Roman"/>
          <w:color w:val="000000"/>
        </w:rPr>
        <w:t xml:space="preserve"> Kaplan–Meier curves for (a) time to treatment failure (TTF) and (b) overall survival (OS) stratified by the worst grade of treatment-emergent hand-foot syndrome (≤ Grade 1 vs ≥ Grade 2). CI, confidence interval; HFS, hand-foot syndrome; HR, hazard ratio; OS, overall survival; TTF, time to treatment failure.</w:t>
      </w:r>
    </w:p>
    <w:bookmarkEnd w:id="0"/>
    <w:p w:rsidR="00D066DD" w:rsidRDefault="006D6924"/>
    <w:sectPr w:rsidR="00D066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924"/>
    <w:rsid w:val="0000522D"/>
    <w:rsid w:val="00020844"/>
    <w:rsid w:val="000355CA"/>
    <w:rsid w:val="00054B61"/>
    <w:rsid w:val="00055099"/>
    <w:rsid w:val="00062B20"/>
    <w:rsid w:val="00067F1D"/>
    <w:rsid w:val="00071471"/>
    <w:rsid w:val="00072C40"/>
    <w:rsid w:val="00084D21"/>
    <w:rsid w:val="000B069E"/>
    <w:rsid w:val="000C48FA"/>
    <w:rsid w:val="000D1A79"/>
    <w:rsid w:val="000D49AE"/>
    <w:rsid w:val="000F7C97"/>
    <w:rsid w:val="00105C51"/>
    <w:rsid w:val="00110B83"/>
    <w:rsid w:val="001163C3"/>
    <w:rsid w:val="0014141B"/>
    <w:rsid w:val="00153AAD"/>
    <w:rsid w:val="00167718"/>
    <w:rsid w:val="00173F9C"/>
    <w:rsid w:val="0018737C"/>
    <w:rsid w:val="001B2773"/>
    <w:rsid w:val="001D18DC"/>
    <w:rsid w:val="001D4ED9"/>
    <w:rsid w:val="001F5E23"/>
    <w:rsid w:val="002143D4"/>
    <w:rsid w:val="00233C2F"/>
    <w:rsid w:val="0025467D"/>
    <w:rsid w:val="002604AC"/>
    <w:rsid w:val="00270196"/>
    <w:rsid w:val="00273323"/>
    <w:rsid w:val="002A5F6A"/>
    <w:rsid w:val="002F55F2"/>
    <w:rsid w:val="003178DB"/>
    <w:rsid w:val="00342AE7"/>
    <w:rsid w:val="00366EF6"/>
    <w:rsid w:val="0037009C"/>
    <w:rsid w:val="003965B5"/>
    <w:rsid w:val="003D63B7"/>
    <w:rsid w:val="00404D85"/>
    <w:rsid w:val="00433C23"/>
    <w:rsid w:val="00467280"/>
    <w:rsid w:val="00475B3A"/>
    <w:rsid w:val="00483455"/>
    <w:rsid w:val="004C066D"/>
    <w:rsid w:val="004C0AA6"/>
    <w:rsid w:val="004E0B85"/>
    <w:rsid w:val="004F7E57"/>
    <w:rsid w:val="005033A3"/>
    <w:rsid w:val="00514A06"/>
    <w:rsid w:val="0052250E"/>
    <w:rsid w:val="00545D4B"/>
    <w:rsid w:val="0054654A"/>
    <w:rsid w:val="005571A6"/>
    <w:rsid w:val="0056691E"/>
    <w:rsid w:val="005D0E34"/>
    <w:rsid w:val="005E12D0"/>
    <w:rsid w:val="005E423B"/>
    <w:rsid w:val="005E46DA"/>
    <w:rsid w:val="0061141A"/>
    <w:rsid w:val="00631934"/>
    <w:rsid w:val="00634CCF"/>
    <w:rsid w:val="00673871"/>
    <w:rsid w:val="0069455A"/>
    <w:rsid w:val="006C7459"/>
    <w:rsid w:val="006D6924"/>
    <w:rsid w:val="006E37B9"/>
    <w:rsid w:val="006E50C5"/>
    <w:rsid w:val="00710252"/>
    <w:rsid w:val="007215E5"/>
    <w:rsid w:val="0074286E"/>
    <w:rsid w:val="00752789"/>
    <w:rsid w:val="007613C8"/>
    <w:rsid w:val="00785C54"/>
    <w:rsid w:val="007A4CD2"/>
    <w:rsid w:val="007C1126"/>
    <w:rsid w:val="007F29ED"/>
    <w:rsid w:val="007F2E50"/>
    <w:rsid w:val="00822112"/>
    <w:rsid w:val="00832AA4"/>
    <w:rsid w:val="00842134"/>
    <w:rsid w:val="00855B67"/>
    <w:rsid w:val="0087159B"/>
    <w:rsid w:val="008A112B"/>
    <w:rsid w:val="008B1884"/>
    <w:rsid w:val="008B309C"/>
    <w:rsid w:val="008B3F0B"/>
    <w:rsid w:val="008C326C"/>
    <w:rsid w:val="008C609C"/>
    <w:rsid w:val="008D19AF"/>
    <w:rsid w:val="009028DC"/>
    <w:rsid w:val="0092485D"/>
    <w:rsid w:val="00932CE1"/>
    <w:rsid w:val="00947E7E"/>
    <w:rsid w:val="009D5E31"/>
    <w:rsid w:val="009F4866"/>
    <w:rsid w:val="009F554F"/>
    <w:rsid w:val="00A0429C"/>
    <w:rsid w:val="00A2512D"/>
    <w:rsid w:val="00A27BC0"/>
    <w:rsid w:val="00A341A5"/>
    <w:rsid w:val="00A5115E"/>
    <w:rsid w:val="00A737C8"/>
    <w:rsid w:val="00A7603D"/>
    <w:rsid w:val="00A909EA"/>
    <w:rsid w:val="00AA101C"/>
    <w:rsid w:val="00AE1064"/>
    <w:rsid w:val="00AE21E0"/>
    <w:rsid w:val="00B0771F"/>
    <w:rsid w:val="00B57995"/>
    <w:rsid w:val="00B6224E"/>
    <w:rsid w:val="00B761AC"/>
    <w:rsid w:val="00B831BF"/>
    <w:rsid w:val="00BA18E9"/>
    <w:rsid w:val="00C067FA"/>
    <w:rsid w:val="00C177DA"/>
    <w:rsid w:val="00C24047"/>
    <w:rsid w:val="00C401DB"/>
    <w:rsid w:val="00C430AE"/>
    <w:rsid w:val="00C73C88"/>
    <w:rsid w:val="00C7472A"/>
    <w:rsid w:val="00C83E98"/>
    <w:rsid w:val="00D17E74"/>
    <w:rsid w:val="00D54694"/>
    <w:rsid w:val="00D606C2"/>
    <w:rsid w:val="00D80F03"/>
    <w:rsid w:val="00D91B95"/>
    <w:rsid w:val="00D9503C"/>
    <w:rsid w:val="00DB46D6"/>
    <w:rsid w:val="00DC1D66"/>
    <w:rsid w:val="00DF2183"/>
    <w:rsid w:val="00DF2CCD"/>
    <w:rsid w:val="00E239AD"/>
    <w:rsid w:val="00E32619"/>
    <w:rsid w:val="00E552B1"/>
    <w:rsid w:val="00E74722"/>
    <w:rsid w:val="00E7631E"/>
    <w:rsid w:val="00E80C3D"/>
    <w:rsid w:val="00E8609C"/>
    <w:rsid w:val="00EA31E8"/>
    <w:rsid w:val="00EB418F"/>
    <w:rsid w:val="00ED173B"/>
    <w:rsid w:val="00ED62B0"/>
    <w:rsid w:val="00EF3EAF"/>
    <w:rsid w:val="00F05581"/>
    <w:rsid w:val="00F22259"/>
    <w:rsid w:val="00F274F3"/>
    <w:rsid w:val="00F53995"/>
    <w:rsid w:val="00F62B26"/>
    <w:rsid w:val="00F977EB"/>
    <w:rsid w:val="00FB497D"/>
    <w:rsid w:val="00FF00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FA53E-909E-4903-904A-4896BF22E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Shiyamala E</dc:creator>
  <cp:keywords/>
  <dc:description/>
  <cp:lastModifiedBy>Shiyamala E</cp:lastModifiedBy>
  <cp:revision>1</cp:revision>
  <dcterms:created xsi:type="dcterms:W3CDTF">2026-08-20T01:21:00Z</dcterms:created>
  <dcterms:modified xsi:type="dcterms:W3CDTF">2026-08-20T01:22:00Z</dcterms:modified>
</cp:coreProperties>
</file>