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E4B" w:rsidRPr="00DD4299" w:rsidRDefault="000B13EC">
      <w:pPr>
        <w:pStyle w:val="Ttulo1"/>
        <w:rPr>
          <w:rFonts w:cstheme="majorHAnsi"/>
          <w:color w:val="000000" w:themeColor="text1"/>
          <w:sz w:val="24"/>
          <w:szCs w:val="24"/>
        </w:rPr>
      </w:pPr>
      <w:r w:rsidRPr="00DD4299">
        <w:rPr>
          <w:rFonts w:cstheme="majorHAnsi"/>
          <w:color w:val="000000" w:themeColor="text1"/>
          <w:szCs w:val="24"/>
        </w:rPr>
        <w:t xml:space="preserve">Supplementary Material 1. </w:t>
      </w:r>
      <w:r w:rsidRPr="00DD4299">
        <w:rPr>
          <w:rFonts w:cstheme="majorHAnsi"/>
          <w:color w:val="000000" w:themeColor="text1"/>
          <w:sz w:val="24"/>
          <w:szCs w:val="24"/>
        </w:rPr>
        <w:t>Variables collected in the FISURBOT study protocol</w:t>
      </w:r>
      <w:r w:rsidR="00DD4299">
        <w:rPr>
          <w:rFonts w:cstheme="majorHAnsi"/>
          <w:color w:val="000000" w:themeColor="text1"/>
          <w:sz w:val="24"/>
          <w:szCs w:val="24"/>
        </w:rPr>
        <w:t>.</w:t>
      </w:r>
      <w:bookmarkStart w:id="0" w:name="_GoBack"/>
      <w:bookmarkEnd w:id="0"/>
    </w:p>
    <w:p w:rsidR="007F6E4B" w:rsidRPr="000B13EC" w:rsidRDefault="000B13EC">
      <w:pPr>
        <w:pStyle w:val="Ttulo2"/>
        <w:rPr>
          <w:rFonts w:cstheme="majorHAnsi"/>
          <w:sz w:val="24"/>
          <w:szCs w:val="24"/>
        </w:rPr>
      </w:pPr>
      <w:r w:rsidRPr="000B13EC">
        <w:rPr>
          <w:rFonts w:cstheme="majorHAnsi"/>
          <w:sz w:val="24"/>
          <w:szCs w:val="24"/>
        </w:rPr>
        <w:t>Variables analysed</w:t>
      </w:r>
    </w:p>
    <w:p w:rsidR="007F6E4B" w:rsidRPr="000B13EC" w:rsidRDefault="000B13EC">
      <w:pPr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Quantitative variables will be recorded as numerical data, and qualitative variables as binary (yes/no) or multiple-choice variables.</w:t>
      </w:r>
    </w:p>
    <w:p w:rsidR="007F6E4B" w:rsidRPr="000B13EC" w:rsidRDefault="000B13EC">
      <w:pPr>
        <w:pStyle w:val="Ttulo2"/>
        <w:rPr>
          <w:rFonts w:cstheme="majorHAnsi"/>
          <w:sz w:val="24"/>
          <w:szCs w:val="24"/>
        </w:rPr>
      </w:pPr>
      <w:r w:rsidRPr="000B13EC">
        <w:rPr>
          <w:rFonts w:cstheme="majorHAnsi"/>
          <w:sz w:val="24"/>
          <w:szCs w:val="24"/>
        </w:rPr>
        <w:t>Demographic data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Age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Sex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Diabetes mellitus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Immunodeficiency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Number of pregnancies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Number of vaginal deliveries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Episiotomy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Previous perianal surgery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Flatus incontinence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Liquid stool incontinence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Solid stool incontinence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Soiling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Passive incontinence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Urge incontinence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Constipation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Diarrhoea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Inflammatory bowel disease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Previous radiotherapy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Previous anal trauma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Sexually transmitted disease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Multiple anal fissures</w:t>
      </w:r>
    </w:p>
    <w:p w:rsidR="007F6E4B" w:rsidRPr="000B13EC" w:rsidRDefault="000B13EC">
      <w:pPr>
        <w:pStyle w:val="Ttulo2"/>
        <w:rPr>
          <w:rFonts w:cstheme="majorHAnsi"/>
          <w:sz w:val="24"/>
          <w:szCs w:val="24"/>
        </w:rPr>
      </w:pPr>
      <w:r w:rsidRPr="000B13EC">
        <w:rPr>
          <w:rFonts w:cstheme="majorHAnsi"/>
          <w:sz w:val="24"/>
          <w:szCs w:val="24"/>
        </w:rPr>
        <w:t>Centre-related data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Type of hospital (public, private)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AECP-accredited unit (none, basic, advanced)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Degree of subspecialisation (general surgeon or colorectal surgeon)</w:t>
      </w:r>
    </w:p>
    <w:p w:rsidR="007F6E4B" w:rsidRPr="000B13EC" w:rsidRDefault="000B13EC">
      <w:pPr>
        <w:pStyle w:val="Ttulo2"/>
        <w:rPr>
          <w:rFonts w:cstheme="majorHAnsi"/>
          <w:sz w:val="24"/>
          <w:szCs w:val="24"/>
        </w:rPr>
      </w:pPr>
      <w:r w:rsidRPr="000B13EC">
        <w:rPr>
          <w:rFonts w:cstheme="majorHAnsi"/>
          <w:sz w:val="24"/>
          <w:szCs w:val="24"/>
        </w:rPr>
        <w:t>Fissure-related data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Duration of symptoms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Type of symptoms (pain, visual analogue scale [VAS], bleeding, incontinence, others)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lastRenderedPageBreak/>
        <w:t>Clinical sphincter hypertonia on physical examination (yes/no)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Endoanal ultrasound (yes/no; sphincter defect; other findings)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Anorectal manometry (yes/no; resting pressure of the internal anal sphincter, mmHg)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Previous use of topical sphincter-relaxing agents (one or two treatments)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Anismus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Use of laxatives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Use of suppositories</w:t>
      </w:r>
    </w:p>
    <w:p w:rsidR="007F6E4B" w:rsidRPr="000B13EC" w:rsidRDefault="000B13EC">
      <w:pPr>
        <w:pStyle w:val="Ttulo2"/>
        <w:rPr>
          <w:rFonts w:cstheme="majorHAnsi"/>
          <w:sz w:val="24"/>
          <w:szCs w:val="24"/>
        </w:rPr>
      </w:pPr>
      <w:r w:rsidRPr="000B13EC">
        <w:rPr>
          <w:rFonts w:cstheme="majorHAnsi"/>
          <w:sz w:val="24"/>
          <w:szCs w:val="24"/>
        </w:rPr>
        <w:t>Previous topical sphincter-relaxing treatment (first-line)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Drug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Dose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Dosage regimen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Duration of treatment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Adverse effects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Intolerance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Treatment adherence</w:t>
      </w:r>
    </w:p>
    <w:p w:rsidR="007F6E4B" w:rsidRPr="000B13EC" w:rsidRDefault="000B13EC">
      <w:pPr>
        <w:pStyle w:val="Ttulo2"/>
        <w:rPr>
          <w:rFonts w:cstheme="majorHAnsi"/>
          <w:sz w:val="24"/>
          <w:szCs w:val="24"/>
        </w:rPr>
      </w:pPr>
      <w:r w:rsidRPr="000B13EC">
        <w:rPr>
          <w:rFonts w:cstheme="majorHAnsi"/>
          <w:sz w:val="24"/>
          <w:szCs w:val="24"/>
        </w:rPr>
        <w:t>Previous topical sphincter-relaxing treatment (second-line, if applicable)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Drug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Dose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Dosage regimen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Duration of treatment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Adverse effects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Intolerance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Treatment adherence</w:t>
      </w:r>
    </w:p>
    <w:p w:rsidR="007F6E4B" w:rsidRPr="000B13EC" w:rsidRDefault="000B13EC">
      <w:pPr>
        <w:pStyle w:val="Ttulo2"/>
        <w:rPr>
          <w:rFonts w:cstheme="majorHAnsi"/>
          <w:sz w:val="24"/>
          <w:szCs w:val="24"/>
        </w:rPr>
      </w:pPr>
      <w:r w:rsidRPr="000B13EC">
        <w:rPr>
          <w:rFonts w:cstheme="majorHAnsi"/>
          <w:sz w:val="24"/>
          <w:szCs w:val="24"/>
        </w:rPr>
        <w:t>Botulinum toxin administration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Time interval from last treatment to botulinum toxin injection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Administered dose (50 or 100 IU)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Dilution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Ultrasound guidance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Anaesthesia (none, local, sedation, regional, general)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Setting (outpatient clinic, procedure room, endoscopy suite, operating theatre)</w:t>
      </w:r>
    </w:p>
    <w:p w:rsidR="007F6E4B" w:rsidRPr="000B13EC" w:rsidRDefault="000B13EC">
      <w:pPr>
        <w:pStyle w:val="Ttulo2"/>
        <w:rPr>
          <w:rFonts w:cstheme="majorHAnsi"/>
          <w:sz w:val="24"/>
          <w:szCs w:val="24"/>
        </w:rPr>
      </w:pPr>
      <w:r w:rsidRPr="000B13EC">
        <w:rPr>
          <w:rFonts w:cstheme="majorHAnsi"/>
          <w:sz w:val="24"/>
          <w:szCs w:val="24"/>
        </w:rPr>
        <w:t>1-month follow-up visit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Healing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Anal incontinence (flatus, liquid stool, solid stool, soiling, passive, urge)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Cleveland Clinic Incontinence Score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lastRenderedPageBreak/>
        <w:t>RAFIS score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Changes in pre-existing incontinence (improved / unchanged / worsened)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Local complications (infection, haematoma, other)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Patient satisfaction (0 = not satisfied, 10 = very satisfied)</w:t>
      </w:r>
    </w:p>
    <w:p w:rsidR="007F6E4B" w:rsidRPr="000B13EC" w:rsidRDefault="000B13EC">
      <w:pPr>
        <w:pStyle w:val="Ttulo2"/>
        <w:rPr>
          <w:rFonts w:cstheme="majorHAnsi"/>
          <w:sz w:val="24"/>
          <w:szCs w:val="24"/>
        </w:rPr>
      </w:pPr>
      <w:r w:rsidRPr="000B13EC">
        <w:rPr>
          <w:rFonts w:cstheme="majorHAnsi"/>
          <w:sz w:val="24"/>
          <w:szCs w:val="24"/>
        </w:rPr>
        <w:t>3-month follow-up visit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Healing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Anal incontinence (flatus, liquid stool, solid stool, soiling, passive, urge)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Cleveland Clinic Incontinence Score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RAFIS score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Changes in pre-existing incontinence (improved / unchanged / worsened)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Local complications (infection, haematoma, other)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Need for repeat botulinum toxin injection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Need for lateral internal sphincterotomy (LIS)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Patient satisfaction (0 = not satisfied, 10 = very satisfied)</w:t>
      </w:r>
    </w:p>
    <w:p w:rsidR="007F6E4B" w:rsidRPr="000B13EC" w:rsidRDefault="000B13EC">
      <w:pPr>
        <w:pStyle w:val="Ttulo2"/>
        <w:rPr>
          <w:rFonts w:cstheme="majorHAnsi"/>
          <w:sz w:val="24"/>
          <w:szCs w:val="24"/>
        </w:rPr>
      </w:pPr>
      <w:r w:rsidRPr="000B13EC">
        <w:rPr>
          <w:rFonts w:cstheme="majorHAnsi"/>
          <w:sz w:val="24"/>
          <w:szCs w:val="24"/>
        </w:rPr>
        <w:t>12-month follow-up visit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Healing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Anal incontinence (flatus, liquid stool, solid stool, soiling, passive, urge)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Cleveland Clinic Incontinence Score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RAFIS score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Changes in pre-existing incontinence (improved / unchanged / worsened)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Need for repeat botulinum toxin injection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Need for lateral internal sphincterotomy (LIS)</w:t>
      </w:r>
    </w:p>
    <w:p w:rsidR="007F6E4B" w:rsidRPr="000B13EC" w:rsidRDefault="000B13EC">
      <w:pPr>
        <w:pStyle w:val="Listaconvietas"/>
        <w:rPr>
          <w:rFonts w:asciiTheme="majorHAnsi" w:hAnsiTheme="majorHAnsi" w:cstheme="majorHAnsi"/>
          <w:sz w:val="24"/>
          <w:szCs w:val="24"/>
        </w:rPr>
      </w:pPr>
      <w:r w:rsidRPr="000B13EC">
        <w:rPr>
          <w:rFonts w:asciiTheme="majorHAnsi" w:hAnsiTheme="majorHAnsi" w:cstheme="majorHAnsi"/>
          <w:sz w:val="24"/>
          <w:szCs w:val="24"/>
        </w:rPr>
        <w:t>Patient satisfaction (0 = not satisfied, 10 = very satisfied)</w:t>
      </w:r>
    </w:p>
    <w:sectPr w:rsidR="007F6E4B" w:rsidRPr="000B13E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13EC"/>
    <w:rsid w:val="0015074B"/>
    <w:rsid w:val="0029639D"/>
    <w:rsid w:val="00326F90"/>
    <w:rsid w:val="007F6E4B"/>
    <w:rsid w:val="008C05C9"/>
    <w:rsid w:val="00AA1D8D"/>
    <w:rsid w:val="00B47730"/>
    <w:rsid w:val="00CB0664"/>
    <w:rsid w:val="00DD42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9E11D3"/>
  <w14:defaultImageDpi w14:val="300"/>
  <w15:docId w15:val="{A759642D-456E-4607-AC97-3622CDCC5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F9EA77-8BF9-49B7-A721-65BAA3E7B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2568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Jorge Arredondo Chaves</cp:lastModifiedBy>
  <cp:revision>3</cp:revision>
  <dcterms:created xsi:type="dcterms:W3CDTF">2026-05-04T10:42:00Z</dcterms:created>
  <dcterms:modified xsi:type="dcterms:W3CDTF">2026-05-11T06:40:00Z</dcterms:modified>
  <cp:category/>
</cp:coreProperties>
</file>