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E53FE" w14:textId="3D51259A" w:rsidR="00C8231E" w:rsidRPr="00262037" w:rsidRDefault="00C8231E" w:rsidP="00C8231E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material</w:t>
      </w:r>
    </w:p>
    <w:p w14:paraId="221624E8" w14:textId="77777777" w:rsidR="003F41E7" w:rsidRPr="00262037" w:rsidRDefault="003F41E7" w:rsidP="003F41E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F41E7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>
        <w:rPr>
          <w:rFonts w:ascii="Times New Roman" w:hAnsi="Times New Roman" w:cs="Times New Roman"/>
          <w:sz w:val="20"/>
          <w:szCs w:val="20"/>
        </w:rPr>
        <w:t xml:space="preserve"> Clinical and Experimental Nephrology</w:t>
      </w:r>
    </w:p>
    <w:p w14:paraId="3BA571F7" w14:textId="77777777" w:rsidR="000C6913" w:rsidRPr="00262037" w:rsidRDefault="000C6913" w:rsidP="000C691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2037">
        <w:rPr>
          <w:rFonts w:ascii="Times New Roman" w:hAnsi="Times New Roman" w:cs="Times New Roman"/>
          <w:b/>
          <w:bCs/>
          <w:sz w:val="20"/>
          <w:szCs w:val="20"/>
        </w:rPr>
        <w:t xml:space="preserve">Title </w:t>
      </w:r>
    </w:p>
    <w:p w14:paraId="5511E34D" w14:textId="54929CBD" w:rsidR="000C6913" w:rsidRDefault="000C6913" w:rsidP="000C691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2037">
        <w:rPr>
          <w:rFonts w:ascii="Times New Roman" w:hAnsi="Times New Roman" w:cs="Times New Roman"/>
          <w:sz w:val="20"/>
          <w:szCs w:val="20"/>
        </w:rPr>
        <w:t>Treatment pattern and clinical outcomes of remdesivir in hospitalized COVID-19 patients with severe chronic kidney disease: a database analysis of acute care hospitals in Japan</w:t>
      </w:r>
    </w:p>
    <w:p w14:paraId="2A49E142" w14:textId="77777777" w:rsidR="000C6913" w:rsidRPr="00262037" w:rsidRDefault="000C6913" w:rsidP="000C691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hAnsi="Times New Roman" w:cs="Times New Roman"/>
          <w:b/>
          <w:bCs/>
          <w:sz w:val="20"/>
          <w:szCs w:val="20"/>
        </w:rPr>
        <w:t>Authors</w:t>
      </w:r>
    </w:p>
    <w:p w14:paraId="6F53641C" w14:textId="77777777" w:rsidR="000C6913" w:rsidRPr="00262037" w:rsidRDefault="000C6913" w:rsidP="000C691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2037">
        <w:rPr>
          <w:rFonts w:ascii="Times New Roman" w:hAnsi="Times New Roman" w:cs="Times New Roman"/>
          <w:sz w:val="20"/>
          <w:szCs w:val="20"/>
        </w:rPr>
        <w:t>Manami Yoshida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62037">
        <w:rPr>
          <w:rFonts w:ascii="Times New Roman" w:hAnsi="Times New Roman" w:cs="Times New Roman"/>
          <w:sz w:val="20"/>
          <w:szCs w:val="20"/>
        </w:rPr>
        <w:t>, Nao Taguchi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62037">
        <w:rPr>
          <w:rFonts w:ascii="Times New Roman" w:hAnsi="Times New Roman" w:cs="Times New Roman"/>
          <w:sz w:val="20"/>
          <w:szCs w:val="20"/>
        </w:rPr>
        <w:t>, Yi Piao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62037">
        <w:rPr>
          <w:rFonts w:ascii="Times New Roman" w:hAnsi="Times New Roman" w:cs="Times New Roman"/>
          <w:sz w:val="20"/>
          <w:szCs w:val="20"/>
        </w:rPr>
        <w:t>, Rikisha Gupta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hAnsi="Times New Roman" w:cs="Times New Roman"/>
          <w:sz w:val="20"/>
          <w:szCs w:val="20"/>
        </w:rPr>
        <w:t>, Mark Berry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hAnsi="Times New Roman" w:cs="Times New Roman"/>
          <w:sz w:val="20"/>
          <w:szCs w:val="20"/>
        </w:rPr>
        <w:t>, Jami Peters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hAnsi="Times New Roman" w:cs="Times New Roman"/>
          <w:sz w:val="20"/>
          <w:szCs w:val="20"/>
        </w:rPr>
        <w:t>, Mazin Abdelghany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hAnsi="Times New Roman" w:cs="Times New Roman"/>
          <w:sz w:val="20"/>
          <w:szCs w:val="20"/>
        </w:rPr>
        <w:t>, Mel Chiang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62037">
        <w:rPr>
          <w:rFonts w:ascii="Times New Roman" w:hAnsi="Times New Roman" w:cs="Times New Roman"/>
          <w:sz w:val="20"/>
          <w:szCs w:val="20"/>
        </w:rPr>
        <w:t>, Chen-Yu Wang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62037">
        <w:rPr>
          <w:rFonts w:ascii="Times New Roman" w:hAnsi="Times New Roman" w:cs="Times New Roman"/>
          <w:sz w:val="20"/>
          <w:szCs w:val="20"/>
        </w:rPr>
        <w:t>, Hiroshi Yotsuyanagi</w:t>
      </w: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4</w:t>
      </w:r>
    </w:p>
    <w:p w14:paraId="6D347CC8" w14:textId="77777777" w:rsidR="000C6913" w:rsidRPr="00262037" w:rsidRDefault="000C6913" w:rsidP="000C691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hAnsi="Times New Roman" w:cs="Times New Roman"/>
          <w:b/>
          <w:bCs/>
          <w:sz w:val="20"/>
          <w:szCs w:val="20"/>
        </w:rPr>
        <w:t xml:space="preserve">Affiliations </w:t>
      </w:r>
    </w:p>
    <w:p w14:paraId="11A3F32E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/>
        </w:rPr>
        <w:t>1</w:t>
      </w: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Gilead Sciences, K.K., 16/F GRAN TOKYO SOUTH TOWER, 1-9-2, Marunouchi, Chiyoda-ku, Tokyo, 100-6616, Japan.</w:t>
      </w:r>
    </w:p>
    <w:p w14:paraId="59B4DC30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Gilead Sciences, Inc., 333 Lakeside Dr, Foster City, CA, USA.</w:t>
      </w:r>
    </w:p>
    <w:p w14:paraId="0A700B49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/>
        </w:rPr>
      </w:pPr>
      <w:r w:rsidRPr="0026203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Gilead Sciences Hong Kong Limited, Taiwan Branch.</w:t>
      </w: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/>
        </w:rPr>
        <w:t xml:space="preserve"> </w:t>
      </w:r>
    </w:p>
    <w:p w14:paraId="076DADF0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/>
        </w:rPr>
        <w:t>4</w:t>
      </w: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The Institute of Medical Science, The University of Tokyo, Tokyo, Japan.</w:t>
      </w:r>
    </w:p>
    <w:p w14:paraId="15B68F6E" w14:textId="77777777" w:rsidR="000C6913" w:rsidRPr="00262037" w:rsidRDefault="000C6913" w:rsidP="000C6913">
      <w:pPr>
        <w:spacing w:before="240"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>Corresponding author</w:t>
      </w:r>
      <w:r w:rsidRPr="00262037"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t xml:space="preserve">: </w:t>
      </w:r>
    </w:p>
    <w:p w14:paraId="17A92E21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Manami Yoshida</w:t>
      </w:r>
    </w:p>
    <w:p w14:paraId="505B602F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sz w:val="20"/>
          <w:szCs w:val="20"/>
          <w:lang w:eastAsia="en-IN"/>
        </w:rPr>
        <w:t>Gilead Sciences, K.K., 16/F GRAN TOKYO SOUTH TOWER, 1-9-2, Marunouchi, Chiyoda-ku, Tokyo, 100-6616, Japan</w:t>
      </w:r>
      <w:r w:rsidRPr="00262037">
        <w:rPr>
          <w:rFonts w:ascii="Times New Roman" w:eastAsia="Times New Roman" w:hAnsi="Times New Roman" w:cs="Times New Roman"/>
          <w:color w:val="4472C4"/>
          <w:sz w:val="20"/>
          <w:szCs w:val="20"/>
          <w:lang w:eastAsia="en-IN"/>
        </w:rPr>
        <w:t xml:space="preserve"> </w:t>
      </w:r>
    </w:p>
    <w:p w14:paraId="5C85CDC1" w14:textId="77777777" w:rsidR="000C6913" w:rsidRPr="00262037" w:rsidRDefault="000C6913" w:rsidP="000C6913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t>Contact number: +81-3-6705-1607</w:t>
      </w:r>
    </w:p>
    <w:p w14:paraId="1433476C" w14:textId="77777777" w:rsidR="000C6913" w:rsidRDefault="000C6913" w:rsidP="000C6913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  <w:r w:rsidRPr="00262037"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t xml:space="preserve">Email: Manami.Yoshida3@gilead.com </w:t>
      </w:r>
    </w:p>
    <w:p w14:paraId="25F1F384" w14:textId="4E17C474" w:rsidR="009B75E7" w:rsidRDefault="009B75E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br w:type="page"/>
      </w:r>
    </w:p>
    <w:p w14:paraId="78AB0EF7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1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Codes for CKD stage 4/5 and dialysis</w:t>
      </w:r>
    </w:p>
    <w:p w14:paraId="556A0776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710" w:type="pct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600" w:firstRow="0" w:lastRow="0" w:firstColumn="0" w:lastColumn="0" w:noHBand="1" w:noVBand="1"/>
      </w:tblPr>
      <w:tblGrid>
        <w:gridCol w:w="4249"/>
        <w:gridCol w:w="4253"/>
      </w:tblGrid>
      <w:tr w:rsidR="00373211" w:rsidRPr="007D25A7" w14:paraId="31EDDA20" w14:textId="77777777" w:rsidTr="000B3795">
        <w:trPr>
          <w:trHeight w:val="257"/>
        </w:trPr>
        <w:tc>
          <w:tcPr>
            <w:tcW w:w="2499" w:type="pct"/>
            <w:tcBorders>
              <w:bottom w:val="single" w:sz="12" w:space="0" w:color="auto"/>
            </w:tcBorders>
          </w:tcPr>
          <w:p w14:paraId="5FAD277C" w14:textId="77777777" w:rsidR="009B75E7" w:rsidRPr="00262037" w:rsidRDefault="009B75E7" w:rsidP="006C1C7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pct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B64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Times New Roman" w:hAnsi="Times New Roman" w:cs="Times New Roman"/>
                <w:sz w:val="20"/>
                <w:szCs w:val="20"/>
              </w:rPr>
              <w:t>Code List</w:t>
            </w:r>
          </w:p>
        </w:tc>
      </w:tr>
      <w:tr w:rsidR="00373211" w:rsidRPr="007D25A7" w14:paraId="0E8B1EE0" w14:textId="77777777" w:rsidTr="000B3795">
        <w:trPr>
          <w:trHeight w:val="257"/>
        </w:trPr>
        <w:tc>
          <w:tcPr>
            <w:tcW w:w="2499" w:type="pct"/>
            <w:tcBorders>
              <w:top w:val="single" w:sz="12" w:space="0" w:color="auto"/>
            </w:tcBorders>
          </w:tcPr>
          <w:p w14:paraId="0CD5BBAB" w14:textId="77777777" w:rsidR="009B75E7" w:rsidRPr="00262037" w:rsidRDefault="009B75E7" w:rsidP="006C1C71">
            <w:pPr>
              <w:spacing w:line="36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262037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Diagnosis of CKD stage 4 and 5</w:t>
            </w:r>
          </w:p>
        </w:tc>
        <w:tc>
          <w:tcPr>
            <w:tcW w:w="2501" w:type="pct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51E1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ICD-10 code: N184, N185</w:t>
            </w:r>
          </w:p>
        </w:tc>
      </w:tr>
      <w:tr w:rsidR="00373211" w:rsidRPr="007D25A7" w14:paraId="63CBAFAA" w14:textId="77777777" w:rsidTr="000B3795">
        <w:trPr>
          <w:trHeight w:val="612"/>
        </w:trPr>
        <w:tc>
          <w:tcPr>
            <w:tcW w:w="2499" w:type="pct"/>
          </w:tcPr>
          <w:p w14:paraId="0A2C2DDA" w14:textId="77777777" w:rsidR="009B75E7" w:rsidRPr="00262037" w:rsidRDefault="009B75E7" w:rsidP="006C1C71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</w:pPr>
            <w:r w:rsidRPr="00262037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Dialysis</w:t>
            </w:r>
          </w:p>
        </w:tc>
        <w:tc>
          <w:tcPr>
            <w:tcW w:w="25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7B9B1" w14:textId="77777777" w:rsidR="009B75E7" w:rsidRPr="00262037" w:rsidRDefault="009B75E7" w:rsidP="006C1C71">
            <w:pPr>
              <w:spacing w:line="360" w:lineRule="auto"/>
              <w:jc w:val="center"/>
              <w:textAlignment w:val="baseline"/>
              <w:rPr>
                <w:rFonts w:ascii="Times New Roman" w:eastAsia="Yu Mincho" w:hAnsi="Times New Roman" w:cs="Times New Roman"/>
                <w:color w:val="212529"/>
                <w:sz w:val="20"/>
                <w:szCs w:val="20"/>
              </w:rPr>
            </w:pPr>
            <w:r w:rsidRPr="00262037">
              <w:rPr>
                <w:rFonts w:ascii="Times New Roman" w:eastAsia="Yu Mincho" w:hAnsi="Times New Roman" w:cs="Times New Roman"/>
                <w:color w:val="212529"/>
                <w:sz w:val="20"/>
                <w:szCs w:val="20"/>
              </w:rPr>
              <w:t xml:space="preserve">Medical procedure code: </w:t>
            </w:r>
            <w:r w:rsidRPr="00262037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B001, C102, C102-2, J038, J042</w:t>
            </w:r>
          </w:p>
        </w:tc>
      </w:tr>
    </w:tbl>
    <w:p w14:paraId="181EE9F9" w14:textId="1793D488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CKD, 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ICD</w:t>
      </w:r>
      <w:r w:rsidR="0027152E">
        <w:rPr>
          <w:rFonts w:ascii="Times New Roman" w:eastAsia="Times New Roman" w:hAnsi="Times New Roman" w:cs="Times New Roman"/>
          <w:i/>
          <w:iCs/>
          <w:sz w:val="20"/>
          <w:szCs w:val="20"/>
        </w:rPr>
        <w:t>-10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International Classification of Diseases</w:t>
      </w:r>
      <w:r w:rsidR="0027152E">
        <w:rPr>
          <w:rFonts w:ascii="Times New Roman" w:eastAsia="Times New Roman" w:hAnsi="Times New Roman" w:cs="Times New Roman"/>
          <w:sz w:val="20"/>
          <w:szCs w:val="20"/>
        </w:rPr>
        <w:t>, 10</w:t>
      </w:r>
      <w:r w:rsidR="0027152E" w:rsidRPr="0027152E">
        <w:rPr>
          <w:rFonts w:ascii="Times New Roman" w:eastAsia="Times New Roman" w:hAnsi="Times New Roman" w:cs="Times New Roman"/>
          <w:sz w:val="20"/>
          <w:szCs w:val="20"/>
        </w:rPr>
        <w:t>th</w:t>
      </w:r>
      <w:r w:rsidR="0027152E">
        <w:rPr>
          <w:rFonts w:ascii="Times New Roman" w:eastAsia="Times New Roman" w:hAnsi="Times New Roman" w:cs="Times New Roman"/>
          <w:sz w:val="20"/>
          <w:szCs w:val="20"/>
        </w:rPr>
        <w:t xml:space="preserve"> revision</w:t>
      </w:r>
    </w:p>
    <w:p w14:paraId="7502A76E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DE2D16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745DDD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41BBF4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D47A3A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61BCD8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965FAB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1217D5D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58812524"/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2</w:t>
      </w:r>
      <w:bookmarkEnd w:id="0"/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Demographic and baseline clinical characteristics of patients with eGFR &lt; 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30 mL/min/1.73m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8522" w:type="dxa"/>
        <w:tblLook w:val="04A0" w:firstRow="1" w:lastRow="0" w:firstColumn="1" w:lastColumn="0" w:noHBand="0" w:noVBand="1"/>
      </w:tblPr>
      <w:tblGrid>
        <w:gridCol w:w="6335"/>
        <w:gridCol w:w="2187"/>
      </w:tblGrid>
      <w:tr w:rsidR="009B75E7" w:rsidRPr="007D25A7" w14:paraId="72B48252" w14:textId="77777777" w:rsidTr="000B3795">
        <w:trPr>
          <w:trHeight w:val="1406"/>
        </w:trPr>
        <w:tc>
          <w:tcPr>
            <w:tcW w:w="633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96B8D5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Characteristics</w:t>
            </w:r>
          </w:p>
        </w:tc>
        <w:tc>
          <w:tcPr>
            <w:tcW w:w="21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3D88C4" w14:textId="32AC1D2B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Severe CKD patients with eGFR &lt;</w:t>
            </w:r>
            <w:r w:rsidR="00B81ECE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 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30</w:t>
            </w:r>
            <w:r w:rsidR="00B81ECE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 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mL/min/1.73m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br/>
              <w:t>(n = 253)</w:t>
            </w:r>
          </w:p>
        </w:tc>
      </w:tr>
      <w:tr w:rsidR="009B75E7" w:rsidRPr="007D25A7" w14:paraId="01FB8658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  <w:hideMark/>
          </w:tcPr>
          <w:p w14:paraId="11F869B2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Age (years)</w:t>
            </w:r>
          </w:p>
        </w:tc>
      </w:tr>
      <w:tr w:rsidR="009B75E7" w:rsidRPr="007D25A7" w14:paraId="018C0F8E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</w:tcPr>
          <w:p w14:paraId="295D85AF" w14:textId="77777777" w:rsidR="009B75E7" w:rsidRPr="00262037" w:rsidRDefault="009B75E7" w:rsidP="006C1C71">
            <w:pPr>
              <w:spacing w:line="360" w:lineRule="auto"/>
              <w:ind w:firstLine="315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Mean ± SD</w:t>
            </w:r>
          </w:p>
        </w:tc>
        <w:tc>
          <w:tcPr>
            <w:tcW w:w="2187" w:type="dxa"/>
            <w:vAlign w:val="center"/>
          </w:tcPr>
          <w:p w14:paraId="03DE4865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77.1 ± 13.6</w:t>
            </w:r>
          </w:p>
        </w:tc>
      </w:tr>
      <w:tr w:rsidR="009B75E7" w:rsidRPr="007D25A7" w14:paraId="5049D245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</w:tcPr>
          <w:p w14:paraId="753D6B49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Age groups (years)</w:t>
            </w:r>
          </w:p>
        </w:tc>
      </w:tr>
      <w:tr w:rsidR="009B75E7" w:rsidRPr="007D25A7" w14:paraId="28269629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3B148519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18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2187" w:type="dxa"/>
            <w:vAlign w:val="center"/>
          </w:tcPr>
          <w:p w14:paraId="1D42D65E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13 (5.14)</w:t>
            </w:r>
          </w:p>
        </w:tc>
      </w:tr>
      <w:tr w:rsidR="009B75E7" w:rsidRPr="007D25A7" w14:paraId="0197A924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6B5B7DB5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50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2187" w:type="dxa"/>
            <w:vAlign w:val="center"/>
          </w:tcPr>
          <w:p w14:paraId="2FF2684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27 (10.67)</w:t>
            </w:r>
          </w:p>
        </w:tc>
      </w:tr>
      <w:tr w:rsidR="009B75E7" w:rsidRPr="007D25A7" w14:paraId="24EE408B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32407DC8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≥ 65</w:t>
            </w:r>
          </w:p>
        </w:tc>
        <w:tc>
          <w:tcPr>
            <w:tcW w:w="2187" w:type="dxa"/>
            <w:vAlign w:val="center"/>
          </w:tcPr>
          <w:p w14:paraId="6F2621DE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213 (84.19)</w:t>
            </w:r>
          </w:p>
        </w:tc>
      </w:tr>
      <w:tr w:rsidR="009B75E7" w:rsidRPr="007D25A7" w14:paraId="155B65E4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  <w:hideMark/>
          </w:tcPr>
          <w:p w14:paraId="632ECC2A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Sex</w:t>
            </w:r>
          </w:p>
        </w:tc>
      </w:tr>
      <w:tr w:rsidR="009B75E7" w:rsidRPr="007D25A7" w14:paraId="32C9DCA6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</w:tcPr>
          <w:p w14:paraId="6E608E41" w14:textId="77777777" w:rsidR="009B75E7" w:rsidRPr="00262037" w:rsidRDefault="009B75E7" w:rsidP="006C1C71">
            <w:pPr>
              <w:spacing w:line="360" w:lineRule="auto"/>
              <w:ind w:left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2187" w:type="dxa"/>
            <w:vAlign w:val="center"/>
          </w:tcPr>
          <w:p w14:paraId="093E36D2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159 (62.85)</w:t>
            </w:r>
          </w:p>
        </w:tc>
      </w:tr>
      <w:tr w:rsidR="009B75E7" w:rsidRPr="007D25A7" w14:paraId="356A3F87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0522954A" w14:textId="77777777" w:rsidR="009B75E7" w:rsidRPr="00262037" w:rsidRDefault="009B75E7" w:rsidP="006C1C71">
            <w:pPr>
              <w:spacing w:line="360" w:lineRule="auto"/>
              <w:ind w:left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2187" w:type="dxa"/>
            <w:vAlign w:val="center"/>
          </w:tcPr>
          <w:p w14:paraId="1AC5E837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94 (37.15)</w:t>
            </w:r>
          </w:p>
        </w:tc>
      </w:tr>
      <w:tr w:rsidR="009B75E7" w:rsidRPr="007D25A7" w14:paraId="3E398BE2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  <w:hideMark/>
          </w:tcPr>
          <w:p w14:paraId="4813E4B3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Comorbidities</w:t>
            </w:r>
          </w:p>
        </w:tc>
      </w:tr>
      <w:tr w:rsidR="009B75E7" w:rsidRPr="007D25A7" w14:paraId="7DC63DBD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</w:tcPr>
          <w:p w14:paraId="40B8234F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COPD</w:t>
            </w:r>
          </w:p>
        </w:tc>
        <w:tc>
          <w:tcPr>
            <w:tcW w:w="2187" w:type="dxa"/>
            <w:vAlign w:val="center"/>
          </w:tcPr>
          <w:p w14:paraId="732F6F1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32 (12.65)</w:t>
            </w:r>
          </w:p>
        </w:tc>
      </w:tr>
      <w:tr w:rsidR="009B75E7" w:rsidRPr="007D25A7" w14:paraId="6EAE9E64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393B8142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Cardiovascular disease</w:t>
            </w:r>
          </w:p>
        </w:tc>
        <w:tc>
          <w:tcPr>
            <w:tcW w:w="2187" w:type="dxa"/>
            <w:vAlign w:val="center"/>
          </w:tcPr>
          <w:p w14:paraId="3ADA95B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233 (92.09)</w:t>
            </w:r>
          </w:p>
        </w:tc>
      </w:tr>
      <w:tr w:rsidR="009B75E7" w:rsidRPr="007D25A7" w14:paraId="3900751B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3BFF4768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Hypertension</w:t>
            </w:r>
          </w:p>
        </w:tc>
        <w:tc>
          <w:tcPr>
            <w:tcW w:w="2187" w:type="dxa"/>
            <w:vAlign w:val="center"/>
          </w:tcPr>
          <w:p w14:paraId="4B633BF8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202 (79.84)</w:t>
            </w:r>
          </w:p>
        </w:tc>
      </w:tr>
      <w:tr w:rsidR="009B75E7" w:rsidRPr="007D25A7" w14:paraId="1B9C4827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619968BE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Diabetes mellitus</w:t>
            </w:r>
          </w:p>
        </w:tc>
        <w:tc>
          <w:tcPr>
            <w:tcW w:w="2187" w:type="dxa"/>
            <w:vAlign w:val="center"/>
          </w:tcPr>
          <w:p w14:paraId="55543C5B" w14:textId="0871C68C" w:rsidR="009B75E7" w:rsidRPr="00244169" w:rsidRDefault="007F1CDB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u w:val="single"/>
                <w:lang w:eastAsia="en-IN"/>
              </w:rPr>
            </w:pPr>
            <w:r w:rsidRPr="00244169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u w:val="single"/>
                <w:lang w:eastAsia="en-IN"/>
              </w:rPr>
              <w:t>141 (55.73)</w:t>
            </w:r>
          </w:p>
        </w:tc>
      </w:tr>
      <w:tr w:rsidR="009B75E7" w:rsidRPr="007D25A7" w14:paraId="7835748D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  <w:hideMark/>
          </w:tcPr>
          <w:p w14:paraId="5588B285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ESCKD</w:t>
            </w:r>
          </w:p>
        </w:tc>
      </w:tr>
      <w:tr w:rsidR="009B75E7" w:rsidRPr="007D25A7" w14:paraId="50EF7C9C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</w:tcPr>
          <w:p w14:paraId="35C53611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Dialysis</w:t>
            </w:r>
          </w:p>
        </w:tc>
        <w:tc>
          <w:tcPr>
            <w:tcW w:w="2187" w:type="dxa"/>
            <w:vAlign w:val="center"/>
          </w:tcPr>
          <w:p w14:paraId="69B7F2EE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73 (28.85)</w:t>
            </w:r>
          </w:p>
        </w:tc>
      </w:tr>
      <w:tr w:rsidR="009B75E7" w:rsidRPr="007D25A7" w14:paraId="746D61D4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0E8C58F2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CKD stage 5</w:t>
            </w:r>
          </w:p>
        </w:tc>
        <w:tc>
          <w:tcPr>
            <w:tcW w:w="2187" w:type="dxa"/>
            <w:vAlign w:val="center"/>
          </w:tcPr>
          <w:p w14:paraId="393D0173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82 (32.41)</w:t>
            </w:r>
          </w:p>
        </w:tc>
      </w:tr>
      <w:tr w:rsidR="009B75E7" w:rsidRPr="007D25A7" w14:paraId="1B557B03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234F060B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eGFR &lt; 15 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mL/min/1.73m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87" w:type="dxa"/>
            <w:vAlign w:val="center"/>
          </w:tcPr>
          <w:p w14:paraId="29A78992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117 (46.25)</w:t>
            </w:r>
          </w:p>
        </w:tc>
      </w:tr>
      <w:tr w:rsidR="009B75E7" w:rsidRPr="007D25A7" w14:paraId="395D2EA4" w14:textId="77777777" w:rsidTr="000B3795">
        <w:trPr>
          <w:trHeight w:val="300"/>
        </w:trPr>
        <w:tc>
          <w:tcPr>
            <w:tcW w:w="8522" w:type="dxa"/>
            <w:gridSpan w:val="2"/>
            <w:shd w:val="clear" w:color="auto" w:fill="auto"/>
            <w:noWrap/>
            <w:vAlign w:val="center"/>
            <w:hideMark/>
          </w:tcPr>
          <w:p w14:paraId="395CD4D1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COVID-19 severity at index</w:t>
            </w:r>
          </w:p>
        </w:tc>
      </w:tr>
      <w:tr w:rsidR="009B75E7" w:rsidRPr="007D25A7" w14:paraId="1F639764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  <w:hideMark/>
          </w:tcPr>
          <w:p w14:paraId="46D325D1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Moderate I</w:t>
            </w:r>
          </w:p>
        </w:tc>
        <w:tc>
          <w:tcPr>
            <w:tcW w:w="2187" w:type="dxa"/>
            <w:vAlign w:val="center"/>
          </w:tcPr>
          <w:p w14:paraId="2D5E8D68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122 (48.22)</w:t>
            </w:r>
          </w:p>
        </w:tc>
      </w:tr>
      <w:tr w:rsidR="009B75E7" w:rsidRPr="007D25A7" w14:paraId="4758B012" w14:textId="77777777" w:rsidTr="000B3795">
        <w:trPr>
          <w:trHeight w:val="300"/>
        </w:trPr>
        <w:tc>
          <w:tcPr>
            <w:tcW w:w="6335" w:type="dxa"/>
            <w:shd w:val="clear" w:color="auto" w:fill="auto"/>
            <w:noWrap/>
            <w:vAlign w:val="center"/>
          </w:tcPr>
          <w:p w14:paraId="4AB38B2E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Moderate II  </w:t>
            </w:r>
          </w:p>
        </w:tc>
        <w:tc>
          <w:tcPr>
            <w:tcW w:w="2187" w:type="dxa"/>
            <w:vAlign w:val="center"/>
          </w:tcPr>
          <w:p w14:paraId="64EF31D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125 (49.41)</w:t>
            </w:r>
          </w:p>
        </w:tc>
      </w:tr>
      <w:tr w:rsidR="009B75E7" w:rsidRPr="007D25A7" w14:paraId="6F860C3F" w14:textId="77777777" w:rsidTr="000B3795">
        <w:trPr>
          <w:trHeight w:val="300"/>
        </w:trPr>
        <w:tc>
          <w:tcPr>
            <w:tcW w:w="633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06772A4" w14:textId="77777777" w:rsidR="009B75E7" w:rsidRPr="00262037" w:rsidRDefault="009B75E7" w:rsidP="006C1C71">
            <w:pPr>
              <w:spacing w:line="360" w:lineRule="auto"/>
              <w:ind w:firstLine="598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Severe</w:t>
            </w:r>
          </w:p>
        </w:tc>
        <w:tc>
          <w:tcPr>
            <w:tcW w:w="2187" w:type="dxa"/>
            <w:tcBorders>
              <w:bottom w:val="single" w:sz="8" w:space="0" w:color="auto"/>
            </w:tcBorders>
            <w:vAlign w:val="center"/>
          </w:tcPr>
          <w:p w14:paraId="0BA5B7B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6 (2.37)</w:t>
            </w:r>
          </w:p>
        </w:tc>
      </w:tr>
    </w:tbl>
    <w:p w14:paraId="0490B724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>All data are presented as n (%) unless otherwise specified.</w:t>
      </w:r>
    </w:p>
    <w:p w14:paraId="3ECE8312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COVID-19 severity defined as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with a record of Emergency Medical Management for moderate COVID-19 and not meeting the criteria for moderate II or severe;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non-invasive positive pressure ventilation, high flow oxygen or low flow oxygen; and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severe,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invasive mechanical ventilation/extracorporeal membrane oxygenation, or intensive care unit hospitalization.</w:t>
      </w:r>
    </w:p>
    <w:p w14:paraId="13871CB6" w14:textId="4790F4C8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COPD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obstructive pulmonary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COVID-19,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coronavirus disease-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19;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eGFR,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estimated glomerular filtration rate;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ESCKD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end-stage 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SD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standard deviation</w:t>
      </w:r>
    </w:p>
    <w:p w14:paraId="41653D6C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F220C3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DFD272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99580C" w14:textId="77777777" w:rsidR="009B75E7" w:rsidRPr="00262037" w:rsidRDefault="009B75E7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D3AF22" w14:textId="77777777" w:rsidR="009B75E7" w:rsidRPr="00262037" w:rsidRDefault="009B75E7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43F27EF9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3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Treatment pattern of remdesivir in patients with eGFR &lt; 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30 mL/min/1.73m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</w:rPr>
        <w:t>2</w:t>
      </w:r>
    </w:p>
    <w:tbl>
      <w:tblPr>
        <w:tblW w:w="8783" w:type="dxa"/>
        <w:tblLook w:val="04A0" w:firstRow="1" w:lastRow="0" w:firstColumn="1" w:lastColumn="0" w:noHBand="0" w:noVBand="1"/>
      </w:tblPr>
      <w:tblGrid>
        <w:gridCol w:w="6268"/>
        <w:gridCol w:w="2515"/>
      </w:tblGrid>
      <w:tr w:rsidR="009B75E7" w:rsidRPr="007D25A7" w14:paraId="239D1CBB" w14:textId="77777777" w:rsidTr="000B3795">
        <w:trPr>
          <w:trHeight w:val="548"/>
        </w:trPr>
        <w:tc>
          <w:tcPr>
            <w:tcW w:w="626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DE535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Treatment pattern</w:t>
            </w:r>
          </w:p>
        </w:tc>
        <w:tc>
          <w:tcPr>
            <w:tcW w:w="250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4EF86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Severe CKD patients with eGFR &lt; 30 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mL/min/1.73m</w:t>
            </w:r>
            <w:r w:rsidRPr="002620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B75E7" w:rsidRPr="007D25A7" w14:paraId="5DD78E22" w14:textId="77777777" w:rsidTr="000B3795">
        <w:trPr>
          <w:trHeight w:val="307"/>
        </w:trPr>
        <w:tc>
          <w:tcPr>
            <w:tcW w:w="8783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3EF13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Duration of remdesivir treatment (days) (n = 253)</w:t>
            </w:r>
          </w:p>
        </w:tc>
      </w:tr>
      <w:tr w:rsidR="009B75E7" w:rsidRPr="007D25A7" w14:paraId="20DC5F06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31748D36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Mean ± SD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5F5A28CE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4.5 ± 2.3</w:t>
            </w:r>
          </w:p>
        </w:tc>
      </w:tr>
      <w:tr w:rsidR="009B75E7" w:rsidRPr="007D25A7" w14:paraId="2F53891A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41362A25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Median (Q1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Q3)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55FB936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5.0 (3.0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5.0)</w:t>
            </w:r>
          </w:p>
        </w:tc>
      </w:tr>
      <w:tr w:rsidR="009B75E7" w:rsidRPr="007D25A7" w14:paraId="7520BA45" w14:textId="77777777" w:rsidTr="000B3795">
        <w:trPr>
          <w:trHeight w:val="307"/>
        </w:trPr>
        <w:tc>
          <w:tcPr>
            <w:tcW w:w="8783" w:type="dxa"/>
            <w:gridSpan w:val="2"/>
            <w:shd w:val="clear" w:color="auto" w:fill="auto"/>
            <w:noWrap/>
            <w:vAlign w:val="center"/>
            <w:hideMark/>
          </w:tcPr>
          <w:p w14:paraId="32BF6F61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Time to remdesivir initiation from hospital admission (days) (n = 213)</w:t>
            </w:r>
          </w:p>
        </w:tc>
      </w:tr>
      <w:tr w:rsidR="009B75E7" w:rsidRPr="007D25A7" w14:paraId="6943B516" w14:textId="77777777" w:rsidTr="000B3795">
        <w:trPr>
          <w:trHeight w:val="307"/>
        </w:trPr>
        <w:tc>
          <w:tcPr>
            <w:tcW w:w="6268" w:type="dxa"/>
            <w:shd w:val="clear" w:color="auto" w:fill="auto"/>
            <w:vAlign w:val="center"/>
            <w:hideMark/>
          </w:tcPr>
          <w:p w14:paraId="0396E7B3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Mean ± SD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4F43709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2.2 ± 2.6</w:t>
            </w:r>
          </w:p>
        </w:tc>
      </w:tr>
      <w:tr w:rsidR="009B75E7" w:rsidRPr="007D25A7" w14:paraId="3224C796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6586F178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Median (Q1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Q3)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04EA78B1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1.0 (1.0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2.0)</w:t>
            </w:r>
          </w:p>
        </w:tc>
      </w:tr>
      <w:tr w:rsidR="009B75E7" w:rsidRPr="007D25A7" w14:paraId="34ADEBFE" w14:textId="77777777" w:rsidTr="000B3795">
        <w:trPr>
          <w:trHeight w:val="307"/>
        </w:trPr>
        <w:tc>
          <w:tcPr>
            <w:tcW w:w="8783" w:type="dxa"/>
            <w:gridSpan w:val="2"/>
            <w:shd w:val="clear" w:color="auto" w:fill="auto"/>
            <w:noWrap/>
            <w:vAlign w:val="center"/>
            <w:hideMark/>
          </w:tcPr>
          <w:p w14:paraId="4809A28E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Duration of ICU </w:t>
            </w:r>
            <w:proofErr w:type="spellStart"/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admission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vertAlign w:val="superscript"/>
                <w:lang w:eastAsia="en-IN"/>
              </w:rPr>
              <w:t>a</w:t>
            </w:r>
            <w:proofErr w:type="spellEnd"/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 (days) (n = 4)</w:t>
            </w:r>
          </w:p>
        </w:tc>
      </w:tr>
      <w:tr w:rsidR="009B75E7" w:rsidRPr="007D25A7" w14:paraId="796EC2F5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0F4330EA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Mean ± SD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1FB838FB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6.3 ± 5.4</w:t>
            </w:r>
          </w:p>
        </w:tc>
      </w:tr>
      <w:tr w:rsidR="009B75E7" w:rsidRPr="007D25A7" w14:paraId="1E0A65F2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293A1FAD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Median (Q1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Q3)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35DDEE44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5.5 (2.0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10.5)</w:t>
            </w:r>
          </w:p>
        </w:tc>
      </w:tr>
      <w:tr w:rsidR="009B75E7" w:rsidRPr="007D25A7" w14:paraId="600A41D3" w14:textId="77777777" w:rsidTr="000B3795">
        <w:trPr>
          <w:trHeight w:val="307"/>
        </w:trPr>
        <w:tc>
          <w:tcPr>
            <w:tcW w:w="8783" w:type="dxa"/>
            <w:gridSpan w:val="2"/>
            <w:shd w:val="clear" w:color="auto" w:fill="auto"/>
            <w:noWrap/>
            <w:vAlign w:val="center"/>
            <w:hideMark/>
          </w:tcPr>
          <w:p w14:paraId="0FF5B415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Concomitant </w:t>
            </w:r>
            <w:proofErr w:type="spellStart"/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drugs</w:t>
            </w: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vertAlign w:val="superscript"/>
                <w:lang w:eastAsia="en-IN"/>
              </w:rPr>
              <w:t>b</w:t>
            </w:r>
            <w:proofErr w:type="spellEnd"/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 xml:space="preserve"> (n = 253), n (%)</w:t>
            </w:r>
          </w:p>
        </w:tc>
      </w:tr>
      <w:tr w:rsidR="009B75E7" w:rsidRPr="007D25A7" w14:paraId="272641E7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</w:tcPr>
          <w:p w14:paraId="048C1E56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Corticosteroid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14:paraId="0E748530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104 (41.11)</w:t>
            </w:r>
          </w:p>
        </w:tc>
      </w:tr>
      <w:tr w:rsidR="009B75E7" w:rsidRPr="007D25A7" w14:paraId="6B9B399D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01BB0EFE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Baricitinib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003AD21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14 (5.53)</w:t>
            </w:r>
          </w:p>
        </w:tc>
      </w:tr>
      <w:tr w:rsidR="009B75E7" w:rsidRPr="007D25A7" w14:paraId="282ADF65" w14:textId="77777777" w:rsidTr="000B3795">
        <w:trPr>
          <w:trHeight w:val="307"/>
        </w:trPr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3CFE2AC6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Tocilizumab</w:t>
            </w:r>
          </w:p>
        </w:tc>
        <w:tc>
          <w:tcPr>
            <w:tcW w:w="2506" w:type="dxa"/>
            <w:shd w:val="clear" w:color="auto" w:fill="auto"/>
            <w:noWrap/>
            <w:vAlign w:val="center"/>
            <w:hideMark/>
          </w:tcPr>
          <w:p w14:paraId="7DBBC96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5 (1.98)</w:t>
            </w:r>
          </w:p>
        </w:tc>
      </w:tr>
      <w:tr w:rsidR="009B75E7" w:rsidRPr="007D25A7" w14:paraId="38F52BA6" w14:textId="77777777" w:rsidTr="000B3795">
        <w:trPr>
          <w:trHeight w:val="307"/>
        </w:trPr>
        <w:tc>
          <w:tcPr>
            <w:tcW w:w="626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8F126" w14:textId="77777777" w:rsidR="009B75E7" w:rsidRPr="00262037" w:rsidRDefault="009B75E7" w:rsidP="006C1C71">
            <w:pPr>
              <w:spacing w:line="360" w:lineRule="auto"/>
              <w:ind w:firstLine="456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Heparin</w:t>
            </w:r>
          </w:p>
        </w:tc>
        <w:tc>
          <w:tcPr>
            <w:tcW w:w="250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7EEE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26203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  <w:lang w:eastAsia="en-IN"/>
              </w:rPr>
              <w:t>106 (41.90)</w:t>
            </w:r>
          </w:p>
        </w:tc>
      </w:tr>
    </w:tbl>
    <w:p w14:paraId="30985254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>All data are presented as mean ± SD unless otherwise specified.</w:t>
      </w:r>
    </w:p>
    <w:p w14:paraId="5E9B1DE1" w14:textId="77777777" w:rsidR="009B75E7" w:rsidRPr="00D636D6" w:rsidRDefault="009B75E7" w:rsidP="009B75E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36D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636D6">
        <w:rPr>
          <w:rFonts w:ascii="Times New Roman" w:hAnsi="Times New Roman" w:cs="Times New Roman"/>
          <w:sz w:val="20"/>
          <w:szCs w:val="20"/>
        </w:rPr>
        <w:t>Including</w:t>
      </w:r>
      <w:proofErr w:type="spellEnd"/>
      <w:r w:rsidRPr="00D636D6">
        <w:rPr>
          <w:rFonts w:ascii="Times New Roman" w:hAnsi="Times New Roman" w:cs="Times New Roman"/>
          <w:sz w:val="20"/>
          <w:szCs w:val="20"/>
        </w:rPr>
        <w:t xml:space="preserve"> patients who were admitted to the ICU during the follow-up period.</w:t>
      </w:r>
    </w:p>
    <w:p w14:paraId="7FD637DF" w14:textId="77777777" w:rsidR="009B75E7" w:rsidRPr="00D636D6" w:rsidRDefault="009B75E7" w:rsidP="009B75E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36D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636D6">
        <w:rPr>
          <w:rFonts w:ascii="Times New Roman" w:hAnsi="Times New Roman" w:cs="Times New Roman"/>
          <w:sz w:val="20"/>
          <w:szCs w:val="20"/>
        </w:rPr>
        <w:t>Includes</w:t>
      </w:r>
      <w:proofErr w:type="spellEnd"/>
      <w:r w:rsidRPr="00D636D6">
        <w:rPr>
          <w:rFonts w:ascii="Times New Roman" w:hAnsi="Times New Roman" w:cs="Times New Roman"/>
          <w:sz w:val="20"/>
          <w:szCs w:val="20"/>
        </w:rPr>
        <w:t xml:space="preserve"> data pertaining to COVID-19 related drugs.</w:t>
      </w:r>
    </w:p>
    <w:p w14:paraId="582A5EDF" w14:textId="1F0B7B72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kidney disease; </w:t>
      </w:r>
      <w:r w:rsidRPr="00D636D6">
        <w:rPr>
          <w:rFonts w:ascii="Times New Roman" w:eastAsia="Times New Roman" w:hAnsi="Times New Roman" w:cs="Times New Roman"/>
          <w:i/>
          <w:iCs/>
          <w:sz w:val="20"/>
          <w:szCs w:val="20"/>
        </w:rPr>
        <w:t>COVID-19,</w:t>
      </w:r>
      <w:r w:rsidRPr="00D636D6">
        <w:rPr>
          <w:rFonts w:ascii="Times New Roman" w:eastAsia="Times New Roman" w:hAnsi="Times New Roman" w:cs="Times New Roman"/>
          <w:sz w:val="20"/>
          <w:szCs w:val="20"/>
        </w:rPr>
        <w:t xml:space="preserve"> coronavirus disease-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D636D6">
        <w:rPr>
          <w:rFonts w:ascii="Times New Roman" w:eastAsia="Times New Roman" w:hAnsi="Times New Roman" w:cs="Times New Roman"/>
          <w:sz w:val="20"/>
          <w:szCs w:val="20"/>
        </w:rPr>
        <w:t xml:space="preserve">19;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eGFR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estimated glomerular filtration rate;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ICU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intensive care unit;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Min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minimum;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Max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maximum;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Q1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first quartile;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Q3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third quartile;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SD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standard deviation</w:t>
      </w:r>
    </w:p>
    <w:p w14:paraId="6C866A66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BACBFA4" w14:textId="77777777" w:rsidR="009B75E7" w:rsidRPr="00262037" w:rsidRDefault="009B75E7" w:rsidP="009B75E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4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" w:name="_Hlk158977466"/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Recovery from disease at 28 and 56 days </w:t>
      </w:r>
      <w:bookmarkEnd w:id="1"/>
      <w:r w:rsidRPr="00262037">
        <w:rPr>
          <w:rFonts w:ascii="Times New Roman" w:eastAsia="Times New Roman" w:hAnsi="Times New Roman" w:cs="Times New Roman"/>
          <w:sz w:val="20"/>
          <w:szCs w:val="20"/>
        </w:rPr>
        <w:t>in patients with eGFR &lt; 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30 mL/min/1.73m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by COVID-19 severity and age group</w:t>
      </w:r>
    </w:p>
    <w:tbl>
      <w:tblPr>
        <w:tblStyle w:val="TableGrid1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734"/>
        <w:gridCol w:w="1471"/>
        <w:gridCol w:w="1498"/>
        <w:gridCol w:w="1471"/>
        <w:gridCol w:w="1587"/>
      </w:tblGrid>
      <w:tr w:rsidR="009B75E7" w:rsidRPr="007D25A7" w14:paraId="57D666CF" w14:textId="77777777" w:rsidTr="000B3795">
        <w:tc>
          <w:tcPr>
            <w:tcW w:w="2255" w:type="dxa"/>
            <w:vMerge w:val="restar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D40E8B2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hAnsi="Times New Roman" w:cs="Times New Roman"/>
                <w:sz w:val="20"/>
                <w:szCs w:val="20"/>
              </w:rPr>
              <w:t>Recovery from disease</w:t>
            </w:r>
          </w:p>
        </w:tc>
        <w:tc>
          <w:tcPr>
            <w:tcW w:w="734" w:type="dxa"/>
            <w:tcBorders>
              <w:top w:val="single" w:sz="8" w:space="0" w:color="auto"/>
            </w:tcBorders>
            <w:vAlign w:val="center"/>
          </w:tcPr>
          <w:p w14:paraId="2E2BC0B8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8D1454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28 days</w:t>
            </w:r>
          </w:p>
        </w:tc>
        <w:tc>
          <w:tcPr>
            <w:tcW w:w="305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51D147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56 days</w:t>
            </w:r>
          </w:p>
        </w:tc>
      </w:tr>
      <w:tr w:rsidR="009B75E7" w:rsidRPr="007D25A7" w14:paraId="084F779F" w14:textId="77777777" w:rsidTr="000B3795">
        <w:tc>
          <w:tcPr>
            <w:tcW w:w="2255" w:type="dxa"/>
            <w:vMerge/>
            <w:tcBorders>
              <w:bottom w:val="single" w:sz="12" w:space="0" w:color="auto"/>
            </w:tcBorders>
            <w:vAlign w:val="center"/>
          </w:tcPr>
          <w:p w14:paraId="5733011E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single" w:sz="12" w:space="0" w:color="auto"/>
            </w:tcBorders>
            <w:vAlign w:val="center"/>
          </w:tcPr>
          <w:p w14:paraId="5ABEC7A5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3FDE66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Patients recovered, n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E7DA324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4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4E850C0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Patients recovered, n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F6ECA30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% (95% CI)</w:t>
            </w:r>
          </w:p>
        </w:tc>
      </w:tr>
      <w:tr w:rsidR="009B75E7" w:rsidRPr="007D25A7" w14:paraId="7F3504C5" w14:textId="77777777" w:rsidTr="000B3795"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14:paraId="6BACBCB1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hAnsi="Times New Roman" w:cs="Times New Roman"/>
                <w:sz w:val="20"/>
                <w:szCs w:val="20"/>
              </w:rPr>
              <w:t>eGFR &lt; 30</w:t>
            </w:r>
            <w:r w:rsidRPr="00262037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 mL/min/1.73m</w:t>
            </w:r>
            <w:r w:rsidRPr="00262037">
              <w:rPr>
                <w:rFonts w:ascii="Times New Roman" w:hAnsi="Times New Roman" w:cs="Times New Roman"/>
                <w:color w:val="212529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5CCFB967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8087BD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847FC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63.24 (56.97−69.19)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E272C31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FD73C66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75.10 (69.30−80.30)</w:t>
            </w:r>
          </w:p>
        </w:tc>
      </w:tr>
      <w:tr w:rsidR="009B75E7" w:rsidRPr="007D25A7" w14:paraId="48F1D7B2" w14:textId="77777777" w:rsidTr="000B3795">
        <w:tc>
          <w:tcPr>
            <w:tcW w:w="9016" w:type="dxa"/>
            <w:gridSpan w:val="6"/>
            <w:vAlign w:val="center"/>
          </w:tcPr>
          <w:p w14:paraId="3004F32D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COVID-19 severity at index</w:t>
            </w:r>
          </w:p>
        </w:tc>
      </w:tr>
      <w:tr w:rsidR="009B75E7" w:rsidRPr="007D25A7" w14:paraId="29C86739" w14:textId="77777777" w:rsidTr="000B3795">
        <w:tc>
          <w:tcPr>
            <w:tcW w:w="2255" w:type="dxa"/>
            <w:vAlign w:val="center"/>
          </w:tcPr>
          <w:p w14:paraId="00EC930C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 xml:space="preserve">Moderate I </w:t>
            </w:r>
          </w:p>
        </w:tc>
        <w:tc>
          <w:tcPr>
            <w:tcW w:w="734" w:type="dxa"/>
            <w:vAlign w:val="center"/>
          </w:tcPr>
          <w:p w14:paraId="0ED1DC80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71" w:type="dxa"/>
            <w:vAlign w:val="center"/>
          </w:tcPr>
          <w:p w14:paraId="2404C344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98" w:type="dxa"/>
            <w:vAlign w:val="center"/>
          </w:tcPr>
          <w:p w14:paraId="65C3BF7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76.23 (67.68−83.47)</w:t>
            </w:r>
          </w:p>
        </w:tc>
        <w:tc>
          <w:tcPr>
            <w:tcW w:w="1471" w:type="dxa"/>
            <w:vAlign w:val="center"/>
          </w:tcPr>
          <w:p w14:paraId="2195EDF3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87" w:type="dxa"/>
            <w:vAlign w:val="center"/>
          </w:tcPr>
          <w:p w14:paraId="0FD642A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86.07 (78.63−91.67)</w:t>
            </w:r>
          </w:p>
        </w:tc>
      </w:tr>
      <w:tr w:rsidR="009B75E7" w:rsidRPr="007D25A7" w14:paraId="2BC1C5BC" w14:textId="77777777" w:rsidTr="000B3795">
        <w:tc>
          <w:tcPr>
            <w:tcW w:w="2255" w:type="dxa"/>
            <w:vAlign w:val="center"/>
          </w:tcPr>
          <w:p w14:paraId="082CCC07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 xml:space="preserve">Moderate II </w:t>
            </w:r>
          </w:p>
        </w:tc>
        <w:tc>
          <w:tcPr>
            <w:tcW w:w="734" w:type="dxa"/>
            <w:vAlign w:val="center"/>
          </w:tcPr>
          <w:p w14:paraId="399BE59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71" w:type="dxa"/>
            <w:vAlign w:val="center"/>
          </w:tcPr>
          <w:p w14:paraId="2CC46CF0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98" w:type="dxa"/>
            <w:vAlign w:val="center"/>
          </w:tcPr>
          <w:p w14:paraId="0693EFCF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52.00 (42.89−61.02)</w:t>
            </w:r>
          </w:p>
        </w:tc>
        <w:tc>
          <w:tcPr>
            <w:tcW w:w="1471" w:type="dxa"/>
            <w:vAlign w:val="center"/>
          </w:tcPr>
          <w:p w14:paraId="746389A6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87" w:type="dxa"/>
            <w:vAlign w:val="center"/>
          </w:tcPr>
          <w:p w14:paraId="29A4A103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66.40 (57.40−74.60)</w:t>
            </w:r>
          </w:p>
        </w:tc>
      </w:tr>
      <w:tr w:rsidR="009B75E7" w:rsidRPr="007D25A7" w14:paraId="55FEC620" w14:textId="77777777" w:rsidTr="000B3795">
        <w:tc>
          <w:tcPr>
            <w:tcW w:w="2255" w:type="dxa"/>
            <w:vAlign w:val="center"/>
          </w:tcPr>
          <w:p w14:paraId="43CB8860" w14:textId="77777777" w:rsidR="009B75E7" w:rsidRPr="00262037" w:rsidRDefault="009B75E7" w:rsidP="006C1C71">
            <w:pPr>
              <w:spacing w:line="360" w:lineRule="auto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734" w:type="dxa"/>
            <w:vAlign w:val="center"/>
          </w:tcPr>
          <w:p w14:paraId="723BA4D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  <w:vAlign w:val="center"/>
          </w:tcPr>
          <w:p w14:paraId="753091E4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8" w:type="dxa"/>
            <w:vAlign w:val="center"/>
          </w:tcPr>
          <w:p w14:paraId="6359CF56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33.33 (4.33−77.72)</w:t>
            </w:r>
          </w:p>
        </w:tc>
        <w:tc>
          <w:tcPr>
            <w:tcW w:w="1471" w:type="dxa"/>
            <w:vAlign w:val="center"/>
          </w:tcPr>
          <w:p w14:paraId="07740BA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vAlign w:val="center"/>
          </w:tcPr>
          <w:p w14:paraId="09EFF7B6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33.33 (4.33−77.72)</w:t>
            </w:r>
          </w:p>
        </w:tc>
      </w:tr>
      <w:tr w:rsidR="009B75E7" w:rsidRPr="007D25A7" w14:paraId="67E95AA1" w14:textId="77777777" w:rsidTr="000B3795">
        <w:tc>
          <w:tcPr>
            <w:tcW w:w="9016" w:type="dxa"/>
            <w:gridSpan w:val="6"/>
            <w:vAlign w:val="center"/>
          </w:tcPr>
          <w:p w14:paraId="2A039EA1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Age group (years)</w:t>
            </w:r>
          </w:p>
        </w:tc>
      </w:tr>
      <w:tr w:rsidR="009B75E7" w:rsidRPr="007D25A7" w14:paraId="4414D1B6" w14:textId="77777777" w:rsidTr="000B3795">
        <w:tc>
          <w:tcPr>
            <w:tcW w:w="2255" w:type="dxa"/>
            <w:vAlign w:val="center"/>
          </w:tcPr>
          <w:p w14:paraId="7E46D203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18−49</w:t>
            </w:r>
          </w:p>
        </w:tc>
        <w:tc>
          <w:tcPr>
            <w:tcW w:w="734" w:type="dxa"/>
            <w:vAlign w:val="center"/>
          </w:tcPr>
          <w:p w14:paraId="7DF3C322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1" w:type="dxa"/>
            <w:vAlign w:val="center"/>
          </w:tcPr>
          <w:p w14:paraId="0B91EDE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98" w:type="dxa"/>
            <w:vAlign w:val="center"/>
          </w:tcPr>
          <w:p w14:paraId="7860AF2D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92.31 (63.97−99.81)</w:t>
            </w:r>
          </w:p>
        </w:tc>
        <w:tc>
          <w:tcPr>
            <w:tcW w:w="1471" w:type="dxa"/>
            <w:vAlign w:val="center"/>
          </w:tcPr>
          <w:p w14:paraId="302D3FA5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87" w:type="dxa"/>
            <w:vAlign w:val="center"/>
          </w:tcPr>
          <w:p w14:paraId="52EF5ECD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100.00 (75.29−100.00)</w:t>
            </w:r>
          </w:p>
        </w:tc>
      </w:tr>
      <w:tr w:rsidR="009B75E7" w:rsidRPr="007D25A7" w14:paraId="3245F8E7" w14:textId="77777777" w:rsidTr="000B3795">
        <w:tc>
          <w:tcPr>
            <w:tcW w:w="2255" w:type="dxa"/>
            <w:vAlign w:val="center"/>
          </w:tcPr>
          <w:p w14:paraId="6DBE1AE4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50−64</w:t>
            </w:r>
          </w:p>
        </w:tc>
        <w:tc>
          <w:tcPr>
            <w:tcW w:w="734" w:type="dxa"/>
            <w:vAlign w:val="center"/>
          </w:tcPr>
          <w:p w14:paraId="311A8C9F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71" w:type="dxa"/>
            <w:vAlign w:val="center"/>
          </w:tcPr>
          <w:p w14:paraId="629189E6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98" w:type="dxa"/>
            <w:vAlign w:val="center"/>
          </w:tcPr>
          <w:p w14:paraId="04642A1B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85.19 (66.27−95.81)</w:t>
            </w:r>
          </w:p>
        </w:tc>
        <w:tc>
          <w:tcPr>
            <w:tcW w:w="1471" w:type="dxa"/>
            <w:vAlign w:val="center"/>
          </w:tcPr>
          <w:p w14:paraId="11AFF05B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87" w:type="dxa"/>
            <w:vAlign w:val="center"/>
          </w:tcPr>
          <w:p w14:paraId="25A47C6C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85.19 (66.27−95.81)</w:t>
            </w:r>
          </w:p>
        </w:tc>
      </w:tr>
      <w:tr w:rsidR="009B75E7" w:rsidRPr="007D25A7" w14:paraId="5DF133C4" w14:textId="77777777" w:rsidTr="000B3795">
        <w:tc>
          <w:tcPr>
            <w:tcW w:w="2255" w:type="dxa"/>
            <w:tcBorders>
              <w:bottom w:val="single" w:sz="8" w:space="0" w:color="auto"/>
            </w:tcBorders>
            <w:vAlign w:val="center"/>
          </w:tcPr>
          <w:p w14:paraId="416A7C33" w14:textId="77777777" w:rsidR="009B75E7" w:rsidRPr="00262037" w:rsidRDefault="009B75E7" w:rsidP="006C1C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≥ 65</w:t>
            </w:r>
          </w:p>
        </w:tc>
        <w:tc>
          <w:tcPr>
            <w:tcW w:w="734" w:type="dxa"/>
            <w:tcBorders>
              <w:bottom w:val="single" w:sz="8" w:space="0" w:color="auto"/>
            </w:tcBorders>
            <w:vAlign w:val="center"/>
          </w:tcPr>
          <w:p w14:paraId="2D2B98E7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7C95B0BA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98" w:type="dxa"/>
            <w:tcBorders>
              <w:bottom w:val="single" w:sz="8" w:space="0" w:color="auto"/>
            </w:tcBorders>
            <w:vAlign w:val="center"/>
          </w:tcPr>
          <w:p w14:paraId="15A9D578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58.69 (51.76−65.37)</w:t>
            </w: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F6F26D9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87" w:type="dxa"/>
            <w:tcBorders>
              <w:bottom w:val="single" w:sz="8" w:space="0" w:color="auto"/>
            </w:tcBorders>
            <w:vAlign w:val="center"/>
          </w:tcPr>
          <w:p w14:paraId="56322CE5" w14:textId="77777777" w:rsidR="009B75E7" w:rsidRPr="00262037" w:rsidRDefault="009B75E7" w:rsidP="006C1C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037">
              <w:rPr>
                <w:rFonts w:ascii="Times New Roman" w:eastAsia="MS PGothic" w:hAnsi="Times New Roman" w:cs="Times New Roman"/>
                <w:sz w:val="20"/>
                <w:szCs w:val="20"/>
              </w:rPr>
              <w:t>72.30 (65.77−78.20)</w:t>
            </w:r>
          </w:p>
        </w:tc>
      </w:tr>
    </w:tbl>
    <w:p w14:paraId="095BD999" w14:textId="77777777" w:rsidR="009B75E7" w:rsidRPr="00262037" w:rsidRDefault="009B75E7" w:rsidP="009B75E7">
      <w:pPr>
        <w:rPr>
          <w:rFonts w:ascii="Times New Roman" w:hAnsi="Times New Roman" w:cs="Times New Roman"/>
          <w:sz w:val="20"/>
          <w:szCs w:val="20"/>
        </w:rPr>
      </w:pPr>
    </w:p>
    <w:p w14:paraId="23B76B92" w14:textId="77777777" w:rsidR="009B75E7" w:rsidRPr="00262037" w:rsidRDefault="009B75E7" w:rsidP="009B75E7">
      <w:pPr>
        <w:rPr>
          <w:rFonts w:ascii="Times New Roman" w:hAnsi="Times New Roman" w:cs="Times New Roman"/>
          <w:sz w:val="20"/>
          <w:szCs w:val="20"/>
        </w:rPr>
      </w:pPr>
      <w:r w:rsidRPr="00262037">
        <w:rPr>
          <w:rFonts w:ascii="Times New Roman" w:hAnsi="Times New Roman" w:cs="Times New Roman"/>
          <w:sz w:val="20"/>
          <w:szCs w:val="20"/>
        </w:rPr>
        <w:t>Recovery from COVID-19 defined as patients with healed/cure as reason for discharge.</w:t>
      </w:r>
    </w:p>
    <w:p w14:paraId="4EA6813A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COVID-19 severity defined as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with a record of Emergency Medical Management for moderate COVID-19 and not meeting the criteria for moderate II or severe;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non-invasive positive pressure ventilation, high flow oxygen or low flow oxygen; and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severe,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invasive mechanical ventilation/extracorporeal membrane oxygenation, or intensive care unit hospitalization.</w:t>
      </w:r>
    </w:p>
    <w:p w14:paraId="64B868F5" w14:textId="168B7DAA" w:rsidR="009B75E7" w:rsidRPr="00262037" w:rsidRDefault="009B75E7" w:rsidP="009B75E7">
      <w:pPr>
        <w:rPr>
          <w:rFonts w:ascii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CI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confidence interval;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COVID-19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; coronavirus disease-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19;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eGFR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estimated glomerular filtration rate</w:t>
      </w:r>
    </w:p>
    <w:p w14:paraId="119F6582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05F249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06DFCC7B" w14:textId="77777777" w:rsidR="00C8231E" w:rsidRDefault="00C8231E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C823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2CADFE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Fig. 1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Kaplan-Meier curve for inpatient all-cause mortality over 56 days in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(a)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patients with eGFR &lt; 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30 mL/min/1.73m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62037">
        <w:rPr>
          <w:rFonts w:ascii="Times New Roman" w:hAnsi="Times New Roman" w:cs="Times New Roman"/>
          <w:sz w:val="20"/>
          <w:szCs w:val="20"/>
        </w:rPr>
        <w:t xml:space="preserve">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(b)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patients with eGFR &lt; 30 mL/min/1.73m</w:t>
      </w: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based on COVID-19 severity at index,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(c) 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patients with eGFR &lt; 30 mL/min/1.73m</w:t>
      </w: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based on age group</w:t>
      </w:r>
    </w:p>
    <w:p w14:paraId="331BAA16" w14:textId="0FDAAABA" w:rsidR="009B75E7" w:rsidRPr="00262037" w:rsidRDefault="00C02FEB" w:rsidP="005072F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FFB5766" wp14:editId="490BEA8D">
            <wp:extent cx="4142509" cy="3450733"/>
            <wp:effectExtent l="0" t="0" r="0" b="0"/>
            <wp:docPr id="312842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4215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4" cy="345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EC67" w14:textId="77777777" w:rsidR="009B75E7" w:rsidRPr="00262037" w:rsidRDefault="009B75E7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72002A" w14:textId="6404DF90" w:rsidR="009B75E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D0C4AB" w14:textId="1322DC79" w:rsidR="007B2896" w:rsidRPr="00262037" w:rsidRDefault="008F554D" w:rsidP="005072F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F554D">
        <w:lastRenderedPageBreak/>
        <w:t xml:space="preserve"> </w:t>
      </w:r>
      <w:r w:rsidR="0079572B">
        <w:rPr>
          <w:noProof/>
        </w:rPr>
        <w:drawing>
          <wp:inline distT="0" distB="0" distL="0" distR="0" wp14:anchorId="42C783EB" wp14:editId="437136CF">
            <wp:extent cx="6642000" cy="4224250"/>
            <wp:effectExtent l="0" t="0" r="6985" b="5080"/>
            <wp:docPr id="2128797580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97580" name="Picture 1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00" cy="42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0F71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C64722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A3981B" w14:textId="77777777" w:rsidR="009B75E7" w:rsidRPr="00262037" w:rsidRDefault="009B75E7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1D0EF27E" w14:textId="0B0CE37B" w:rsidR="009B75E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3EF3B0" w14:textId="1FCE0729" w:rsidR="007B2896" w:rsidRPr="00262037" w:rsidRDefault="003038E0" w:rsidP="005072F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AD951F" wp14:editId="6E43C2CC">
            <wp:extent cx="6144491" cy="4122849"/>
            <wp:effectExtent l="0" t="0" r="8890" b="0"/>
            <wp:docPr id="372290370" name="Picture 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90370" name="Picture 3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13" cy="412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8577" w14:textId="77777777" w:rsidR="009B75E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022131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COVID-19 severity defined as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with a record of Emergency Medical Management for moderate COVID-19 and not meeting the criteria for moderate II or severe;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non-invasive positive pressure ventilation, high flow oxygen or low flow oxygen; and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severe,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invasive mechanical ventilation/extracorporeal membrane oxygenation, or intensive care unit hospitalization.</w:t>
      </w:r>
    </w:p>
    <w:p w14:paraId="02C00B0E" w14:textId="6ADE7055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CI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confidence interval;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COVID-19, 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coronavirus disease-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19;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eGFR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estimated glomerular filtration rate;</w:t>
      </w:r>
      <w:r w:rsidRPr="00262037">
        <w:rPr>
          <w:rFonts w:ascii="Times New Roman" w:hAnsi="Times New Roman" w:cs="Times New Roman"/>
          <w:sz w:val="20"/>
          <w:szCs w:val="20"/>
        </w:rPr>
        <w:t xml:space="preserve">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No.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number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1C74B8AF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DDC594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Fig. 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Kaplan-Meier curve for disease progression over 56 days in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(a)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patients with eGFR &lt; 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30 mL/min/1.73m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color w:val="212529"/>
          <w:sz w:val="20"/>
          <w:szCs w:val="20"/>
        </w:rPr>
        <w:t>,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(b)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patients with eGFR &lt; 30 mL/min/1.73m</w:t>
      </w: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based on COVID-19 severity at index, </w:t>
      </w: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t>(c)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patients with eGFR &lt; 30 mL/min/1.73m</w:t>
      </w:r>
      <w:r w:rsidRPr="0026203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based on age group</w:t>
      </w:r>
    </w:p>
    <w:p w14:paraId="0AF18B7F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813A9C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5DB173" wp14:editId="7F24216C">
            <wp:extent cx="7516921" cy="3960000"/>
            <wp:effectExtent l="0" t="0" r="8255" b="2540"/>
            <wp:docPr id="199879630" name="Picture 11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9630" name="Picture 11" descr="A graph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921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26AB5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B47B4C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5BD9DA" wp14:editId="7D2C928A">
            <wp:extent cx="7471355" cy="3960000"/>
            <wp:effectExtent l="0" t="0" r="0" b="2540"/>
            <wp:docPr id="631813447" name="Picture 12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13447" name="Picture 12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355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C869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1727A7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5924C2" w14:textId="77777777" w:rsidR="009B75E7" w:rsidRPr="00262037" w:rsidRDefault="009B75E7" w:rsidP="009B75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4933D008" w14:textId="77777777" w:rsidR="00C8231E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CBB779" wp14:editId="4D0CBB2E">
            <wp:extent cx="7184515" cy="3960000"/>
            <wp:effectExtent l="0" t="0" r="0" b="2540"/>
            <wp:docPr id="975611624" name="Picture 1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11624" name="Picture 13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15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0051" w14:textId="7C75AB26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Number and percentage of patients with disease progression estimated at 28 and 56 days. </w:t>
      </w:r>
    </w:p>
    <w:p w14:paraId="64ECF518" w14:textId="72885733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Disease progression in patients with moderate I or II COVID-19 at index, defined as having a </w:t>
      </w:r>
      <w:r>
        <w:rPr>
          <w:rFonts w:ascii="Times New Roman" w:eastAsia="Times New Roman" w:hAnsi="Times New Roman" w:cs="Times New Roman"/>
          <w:sz w:val="20"/>
          <w:szCs w:val="20"/>
        </w:rPr>
        <w:t>record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r w:rsidRPr="00262037">
        <w:rPr>
          <w:rFonts w:ascii="Times New Roman" w:hAnsi="Times New Roman" w:cs="Times New Roman"/>
          <w:sz w:val="20"/>
          <w:szCs w:val="20"/>
        </w:rPr>
        <w:t xml:space="preserve">invasive mechanical ventilation/extracorporeal membrane oxygenation, or intensive care unit 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hospitalization, or as death during follow-up; and in patients with severe COVID-19 at index, defined as death during follow-up.</w:t>
      </w:r>
    </w:p>
    <w:p w14:paraId="71839978" w14:textId="77777777" w:rsidR="009B75E7" w:rsidRPr="00262037" w:rsidRDefault="009B75E7" w:rsidP="009B75E7">
      <w:pPr>
        <w:rPr>
          <w:rFonts w:ascii="Times New Roman" w:eastAsia="Times New Roman" w:hAnsi="Times New Roman" w:cs="Times New Roman"/>
          <w:sz w:val="20"/>
          <w:szCs w:val="20"/>
        </w:rPr>
      </w:pP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COVID-19 severity defined as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with a record of Emergency Medical Management for moderate COVID-19 and not meeting the criteria for moderate II or severe;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moderate II,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non-invasive positive pressure ventilation, high flow oxygen or low flow oxygen; and </w:t>
      </w:r>
      <w:r w:rsidRPr="00262037">
        <w:rPr>
          <w:rFonts w:ascii="Times New Roman" w:hAnsi="Times New Roman" w:cs="Times New Roman"/>
          <w:i/>
          <w:iCs/>
          <w:sz w:val="20"/>
          <w:szCs w:val="20"/>
        </w:rPr>
        <w:t>severe,</w:t>
      </w:r>
      <w:r w:rsidRPr="00262037">
        <w:rPr>
          <w:rFonts w:ascii="Times New Roman" w:hAnsi="Times New Roman" w:cs="Times New Roman"/>
          <w:sz w:val="20"/>
          <w:szCs w:val="20"/>
        </w:rPr>
        <w:t xml:space="preserve"> patients requiring invasive mechanical ventilation/extracorporeal membrane oxygenation, or intensive care unit hospitalization.</w:t>
      </w:r>
    </w:p>
    <w:p w14:paraId="33B27F15" w14:textId="73863623" w:rsidR="003A7429" w:rsidRDefault="009B75E7"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CI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confidence interval;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CKD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, chronic kidney disease;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COVID-19,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 coronavirus disease-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 xml:space="preserve">19; </w:t>
      </w:r>
      <w:r w:rsidRPr="00262037">
        <w:rPr>
          <w:rFonts w:ascii="Times New Roman" w:eastAsia="Times New Roman" w:hAnsi="Times New Roman" w:cs="Times New Roman"/>
          <w:i/>
          <w:iCs/>
          <w:sz w:val="20"/>
          <w:szCs w:val="20"/>
        </w:rPr>
        <w:t>eGFR</w:t>
      </w:r>
      <w:r w:rsidRPr="00262037">
        <w:rPr>
          <w:rFonts w:ascii="Times New Roman" w:eastAsia="Times New Roman" w:hAnsi="Times New Roman" w:cs="Times New Roman"/>
          <w:sz w:val="20"/>
          <w:szCs w:val="20"/>
        </w:rPr>
        <w:t>, estimated glomerular filtration rate</w:t>
      </w:r>
    </w:p>
    <w:sectPr w:rsidR="003A7429" w:rsidSect="00C8231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B9ECB" w14:textId="77777777" w:rsidR="00831A12" w:rsidRDefault="00831A12" w:rsidP="00B52625">
      <w:pPr>
        <w:spacing w:after="0" w:line="240" w:lineRule="auto"/>
      </w:pPr>
      <w:r>
        <w:separator/>
      </w:r>
    </w:p>
  </w:endnote>
  <w:endnote w:type="continuationSeparator" w:id="0">
    <w:p w14:paraId="6A674B17" w14:textId="77777777" w:rsidR="00831A12" w:rsidRDefault="00831A12" w:rsidP="00B5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13AC2" w14:textId="77777777" w:rsidR="00831A12" w:rsidRDefault="00831A12" w:rsidP="00B52625">
      <w:pPr>
        <w:spacing w:after="0" w:line="240" w:lineRule="auto"/>
      </w:pPr>
      <w:r>
        <w:separator/>
      </w:r>
    </w:p>
  </w:footnote>
  <w:footnote w:type="continuationSeparator" w:id="0">
    <w:p w14:paraId="62E1CD34" w14:textId="77777777" w:rsidR="00831A12" w:rsidRDefault="00831A12" w:rsidP="00B52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7A"/>
    <w:rsid w:val="000149E6"/>
    <w:rsid w:val="00092CC7"/>
    <w:rsid w:val="000A2C77"/>
    <w:rsid w:val="000A754F"/>
    <w:rsid w:val="000B3795"/>
    <w:rsid w:val="000C6913"/>
    <w:rsid w:val="000E3645"/>
    <w:rsid w:val="00112AF4"/>
    <w:rsid w:val="00136B3B"/>
    <w:rsid w:val="00184D2F"/>
    <w:rsid w:val="00234AEC"/>
    <w:rsid w:val="00244169"/>
    <w:rsid w:val="0027152E"/>
    <w:rsid w:val="0028039E"/>
    <w:rsid w:val="003038E0"/>
    <w:rsid w:val="00350BF5"/>
    <w:rsid w:val="00373211"/>
    <w:rsid w:val="003A7429"/>
    <w:rsid w:val="003F41E7"/>
    <w:rsid w:val="004301FA"/>
    <w:rsid w:val="004B4DB5"/>
    <w:rsid w:val="005072F9"/>
    <w:rsid w:val="00553BC7"/>
    <w:rsid w:val="005915BD"/>
    <w:rsid w:val="00592107"/>
    <w:rsid w:val="005A4EF9"/>
    <w:rsid w:val="00613D1A"/>
    <w:rsid w:val="00690724"/>
    <w:rsid w:val="006B2323"/>
    <w:rsid w:val="006C3511"/>
    <w:rsid w:val="00700409"/>
    <w:rsid w:val="0079572B"/>
    <w:rsid w:val="007B2896"/>
    <w:rsid w:val="007B2EEE"/>
    <w:rsid w:val="007F1CDB"/>
    <w:rsid w:val="00831A12"/>
    <w:rsid w:val="00866FBF"/>
    <w:rsid w:val="008A3A24"/>
    <w:rsid w:val="008F554D"/>
    <w:rsid w:val="00954AC6"/>
    <w:rsid w:val="0097199B"/>
    <w:rsid w:val="009829FC"/>
    <w:rsid w:val="009B75E7"/>
    <w:rsid w:val="009E061B"/>
    <w:rsid w:val="00A97AD2"/>
    <w:rsid w:val="00B13FB1"/>
    <w:rsid w:val="00B52625"/>
    <w:rsid w:val="00B81ECE"/>
    <w:rsid w:val="00BA05E8"/>
    <w:rsid w:val="00C023E1"/>
    <w:rsid w:val="00C02FEB"/>
    <w:rsid w:val="00C14832"/>
    <w:rsid w:val="00C16D7A"/>
    <w:rsid w:val="00C34F49"/>
    <w:rsid w:val="00C5744C"/>
    <w:rsid w:val="00C8231E"/>
    <w:rsid w:val="00CC50A4"/>
    <w:rsid w:val="00CD2BAE"/>
    <w:rsid w:val="00D069DB"/>
    <w:rsid w:val="00D265AD"/>
    <w:rsid w:val="00DC4C69"/>
    <w:rsid w:val="00DE64D0"/>
    <w:rsid w:val="00E67C32"/>
    <w:rsid w:val="00EA218B"/>
    <w:rsid w:val="00EA2F21"/>
    <w:rsid w:val="00EE13F4"/>
    <w:rsid w:val="00EF419D"/>
    <w:rsid w:val="00F4022C"/>
    <w:rsid w:val="00F9387F"/>
    <w:rsid w:val="00F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AFEFA"/>
  <w15:chartTrackingRefBased/>
  <w15:docId w15:val="{EEF5D5FB-1C5D-4410-A2DF-E8276B5E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13"/>
  </w:style>
  <w:style w:type="paragraph" w:styleId="Heading1">
    <w:name w:val="heading 1"/>
    <w:basedOn w:val="Normal"/>
    <w:next w:val="Normal"/>
    <w:link w:val="Heading1Char"/>
    <w:uiPriority w:val="9"/>
    <w:qFormat/>
    <w:rsid w:val="00C16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D7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B75E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B7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15B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0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7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72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26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52625"/>
  </w:style>
  <w:style w:type="paragraph" w:styleId="Footer">
    <w:name w:val="footer"/>
    <w:basedOn w:val="Normal"/>
    <w:link w:val="FooterChar"/>
    <w:uiPriority w:val="99"/>
    <w:unhideWhenUsed/>
    <w:rsid w:val="00B526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5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reviewer</dc:creator>
  <cp:keywords/>
  <dc:description/>
  <cp:lastModifiedBy>Medical reviewer</cp:lastModifiedBy>
  <cp:revision>16</cp:revision>
  <dcterms:created xsi:type="dcterms:W3CDTF">2024-11-07T19:01:00Z</dcterms:created>
  <dcterms:modified xsi:type="dcterms:W3CDTF">2024-11-13T04:39:00Z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c1083-8924-401d-97ae-40f5eed0fcd8_Enabled">
    <vt:lpwstr>true</vt:lpwstr>
  </property>
  <property fmtid="{D5CDD505-2E9C-101B-9397-08002B2CF9AE}" pid="3" name="MSIP_Label_418c1083-8924-401d-97ae-40f5eed0fcd8_SetDate">
    <vt:lpwstr>2024-10-18T03:07:15Z</vt:lpwstr>
  </property>
  <property fmtid="{D5CDD505-2E9C-101B-9397-08002B2CF9AE}" pid="4" name="MSIP_Label_418c1083-8924-401d-97ae-40f5eed0fcd8_Method">
    <vt:lpwstr>Standard</vt:lpwstr>
  </property>
  <property fmtid="{D5CDD505-2E9C-101B-9397-08002B2CF9AE}" pid="5" name="MSIP_Label_418c1083-8924-401d-97ae-40f5eed0fcd8_Name">
    <vt:lpwstr>418c1083-8924-401d-97ae-40f5eed0fcd8</vt:lpwstr>
  </property>
  <property fmtid="{D5CDD505-2E9C-101B-9397-08002B2CF9AE}" pid="6" name="MSIP_Label_418c1083-8924-401d-97ae-40f5eed0fcd8_SiteId">
    <vt:lpwstr>a5a8bcaa-3292-41e6-b735-5e8b21f4dbfd</vt:lpwstr>
  </property>
  <property fmtid="{D5CDD505-2E9C-101B-9397-08002B2CF9AE}" pid="7" name="MSIP_Label_418c1083-8924-401d-97ae-40f5eed0fcd8_ActionId">
    <vt:lpwstr>b9cc49df-b196-4a73-be4a-8dd8b2934730</vt:lpwstr>
  </property>
  <property fmtid="{D5CDD505-2E9C-101B-9397-08002B2CF9AE}" pid="8" name="MSIP_Label_418c1083-8924-401d-97ae-40f5eed0fcd8_ContentBits">
    <vt:lpwstr>0</vt:lpwstr>
  </property>
</Properties>
</file>