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4E1A7" w14:textId="77777777" w:rsidR="00B732E2" w:rsidRDefault="00DA4878">
      <w:pPr>
        <w:rPr>
          <w:rFonts w:ascii="Calibri" w:hAnsi="Calibri" w:cs="Calibri"/>
          <w:b/>
          <w:bCs/>
          <w:sz w:val="24"/>
          <w:szCs w:val="32"/>
        </w:rPr>
      </w:pPr>
      <w:r>
        <w:rPr>
          <w:rFonts w:ascii="Calibri" w:hAnsi="Calibri" w:cs="Calibri"/>
          <w:b/>
          <w:bCs/>
          <w:sz w:val="24"/>
          <w:szCs w:val="32"/>
        </w:rPr>
        <w:t>a</w:t>
      </w:r>
    </w:p>
    <w:p w14:paraId="44318707" w14:textId="77777777" w:rsidR="00472B7C" w:rsidRDefault="00DA4878">
      <w:pPr>
        <w:rPr>
          <w:rFonts w:ascii="Calibri" w:hAnsi="Calibri" w:cs="Calibri"/>
          <w:b/>
          <w:bCs/>
          <w:sz w:val="24"/>
          <w:szCs w:val="32"/>
        </w:rPr>
      </w:pPr>
      <w:r>
        <w:rPr>
          <w:rFonts w:ascii="Calibri" w:hAnsi="Calibri" w:cs="Calibri"/>
          <w:b/>
          <w:bCs/>
          <w:noProof/>
          <w:sz w:val="24"/>
          <w:szCs w:val="32"/>
        </w:rPr>
        <w:drawing>
          <wp:inline distT="0" distB="0" distL="0" distR="0" wp14:anchorId="4C84FC07" wp14:editId="24C5880A">
            <wp:extent cx="4952390" cy="3637743"/>
            <wp:effectExtent l="0" t="0" r="635" b="0"/>
            <wp:docPr id="179923411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234112" name="図 179923411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688" cy="3647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15FCB2" w14:textId="77777777" w:rsidR="00B732E2" w:rsidRDefault="00DA4878">
      <w:pPr>
        <w:rPr>
          <w:rFonts w:ascii="Calibri" w:hAnsi="Calibri" w:cs="Calibri"/>
          <w:b/>
          <w:bCs/>
          <w:sz w:val="24"/>
          <w:szCs w:val="32"/>
        </w:rPr>
      </w:pPr>
      <w:r>
        <w:rPr>
          <w:rFonts w:ascii="Calibri" w:hAnsi="Calibri" w:cs="Calibri"/>
          <w:b/>
          <w:bCs/>
          <w:sz w:val="24"/>
          <w:szCs w:val="32"/>
        </w:rPr>
        <w:t>b</w:t>
      </w:r>
    </w:p>
    <w:p w14:paraId="558C1ABF" w14:textId="77777777" w:rsidR="00B732E2" w:rsidRDefault="00DA4878">
      <w:pPr>
        <w:rPr>
          <w:rFonts w:ascii="Calibri" w:hAnsi="Calibri" w:cs="Calibri"/>
          <w:b/>
          <w:bCs/>
          <w:sz w:val="24"/>
          <w:szCs w:val="32"/>
        </w:rPr>
      </w:pPr>
      <w:r>
        <w:rPr>
          <w:rFonts w:ascii="Calibri" w:hAnsi="Calibri" w:cs="Calibri"/>
          <w:b/>
          <w:bCs/>
          <w:noProof/>
          <w:sz w:val="24"/>
          <w:szCs w:val="32"/>
        </w:rPr>
        <w:drawing>
          <wp:inline distT="0" distB="0" distL="0" distR="0" wp14:anchorId="4900A5E6" wp14:editId="38E94039">
            <wp:extent cx="4775250" cy="3576917"/>
            <wp:effectExtent l="0" t="0" r="0" b="5080"/>
            <wp:docPr id="185446698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466982" name="図 185446698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153" cy="3594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EAE24E" w14:textId="77777777" w:rsidR="00B732E2" w:rsidRDefault="00DA4878">
      <w:pPr>
        <w:rPr>
          <w:rFonts w:ascii="Calibri" w:hAnsi="Calibri" w:cs="Calibri"/>
          <w:b/>
          <w:bCs/>
          <w:sz w:val="24"/>
          <w:szCs w:val="32"/>
        </w:rPr>
      </w:pPr>
      <w:r>
        <w:rPr>
          <w:rFonts w:ascii="Calibri" w:hAnsi="Calibri" w:cs="Calibri"/>
          <w:b/>
          <w:bCs/>
          <w:sz w:val="24"/>
          <w:szCs w:val="32"/>
        </w:rPr>
        <w:t>c</w:t>
      </w:r>
    </w:p>
    <w:p w14:paraId="1FF8D122" w14:textId="77777777" w:rsidR="00B732E2" w:rsidRDefault="00DA4878">
      <w:pPr>
        <w:rPr>
          <w:rFonts w:ascii="Calibri" w:hAnsi="Calibri" w:cs="Calibri"/>
          <w:b/>
          <w:bCs/>
          <w:sz w:val="24"/>
          <w:szCs w:val="32"/>
        </w:rPr>
      </w:pPr>
      <w:r>
        <w:rPr>
          <w:rFonts w:ascii="Calibri" w:hAnsi="Calibri" w:cs="Calibri"/>
          <w:b/>
          <w:bCs/>
          <w:noProof/>
          <w:sz w:val="24"/>
          <w:szCs w:val="32"/>
        </w:rPr>
        <w:lastRenderedPageBreak/>
        <w:drawing>
          <wp:inline distT="0" distB="0" distL="0" distR="0" wp14:anchorId="6751921D" wp14:editId="3F5F4059">
            <wp:extent cx="5087305" cy="3402105"/>
            <wp:effectExtent l="0" t="0" r="5715" b="1905"/>
            <wp:docPr id="1744953655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953655" name="図 174495365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7026" cy="340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BD680" w14:textId="77777777" w:rsidR="00B732E2" w:rsidRDefault="00B732E2">
      <w:pPr>
        <w:rPr>
          <w:rFonts w:ascii="Calibri" w:hAnsi="Calibri" w:cs="Calibri"/>
          <w:b/>
          <w:bCs/>
          <w:sz w:val="24"/>
          <w:szCs w:val="32"/>
        </w:rPr>
      </w:pPr>
    </w:p>
    <w:p w14:paraId="54E0BB79" w14:textId="5F4933EB" w:rsidR="00B732E2" w:rsidRDefault="00DA4878">
      <w:pPr>
        <w:rPr>
          <w:rFonts w:ascii="Calibri" w:hAnsi="Calibri" w:cs="Calibri"/>
          <w:b/>
          <w:bCs/>
          <w:sz w:val="24"/>
          <w:szCs w:val="32"/>
        </w:rPr>
      </w:pPr>
      <w:r>
        <w:rPr>
          <w:rFonts w:ascii="Calibri" w:hAnsi="Calibri" w:cs="Calibri"/>
          <w:b/>
          <w:bCs/>
          <w:sz w:val="24"/>
          <w:szCs w:val="32"/>
        </w:rPr>
        <w:t>Supplementa</w:t>
      </w:r>
      <w:r w:rsidR="00821D89">
        <w:rPr>
          <w:rFonts w:ascii="Calibri" w:hAnsi="Calibri" w:cs="Calibri"/>
          <w:b/>
          <w:bCs/>
          <w:sz w:val="24"/>
          <w:szCs w:val="32"/>
        </w:rPr>
        <w:t>ry</w:t>
      </w:r>
      <w:r>
        <w:rPr>
          <w:rFonts w:ascii="Calibri" w:hAnsi="Calibri" w:cs="Calibri"/>
          <w:b/>
          <w:bCs/>
          <w:sz w:val="24"/>
          <w:szCs w:val="32"/>
        </w:rPr>
        <w:t xml:space="preserve"> </w:t>
      </w:r>
      <w:r w:rsidR="00821D89">
        <w:rPr>
          <w:rFonts w:ascii="Calibri" w:hAnsi="Calibri" w:cs="Calibri"/>
          <w:b/>
          <w:bCs/>
          <w:sz w:val="24"/>
          <w:szCs w:val="32"/>
        </w:rPr>
        <w:t>F</w:t>
      </w:r>
      <w:r>
        <w:rPr>
          <w:rFonts w:ascii="Calibri" w:hAnsi="Calibri" w:cs="Calibri"/>
          <w:b/>
          <w:bCs/>
          <w:sz w:val="24"/>
          <w:szCs w:val="32"/>
        </w:rPr>
        <w:t>igure 2</w:t>
      </w:r>
    </w:p>
    <w:p w14:paraId="0AA08E35" w14:textId="77777777" w:rsidR="00DA4878" w:rsidRPr="001B7A3A" w:rsidRDefault="00DA4878" w:rsidP="00DA4878">
      <w:pPr>
        <w:spacing w:line="480" w:lineRule="auto"/>
        <w:rPr>
          <w:rFonts w:eastAsia="Calibri" w:cs="Calibri"/>
          <w:b/>
          <w:bCs/>
          <w:color w:val="FF0000"/>
          <w:sz w:val="24"/>
        </w:rPr>
      </w:pPr>
    </w:p>
    <w:p w14:paraId="4C7C5015" w14:textId="77777777" w:rsidR="00DA4878" w:rsidRPr="00511F6F" w:rsidRDefault="00DA4878" w:rsidP="00DA4878">
      <w:pPr>
        <w:spacing w:line="480" w:lineRule="auto"/>
        <w:rPr>
          <w:color w:val="FF0000"/>
          <w:sz w:val="24"/>
        </w:rPr>
      </w:pPr>
      <w:r>
        <w:rPr>
          <w:rFonts w:eastAsia="Calibri" w:cs="Calibri"/>
          <w:b/>
          <w:bCs/>
          <w:color w:val="FF0000"/>
          <w:sz w:val="24"/>
        </w:rPr>
        <w:t>Supplementary F</w:t>
      </w:r>
      <w:r w:rsidRPr="00380140">
        <w:rPr>
          <w:rFonts w:eastAsia="Calibri" w:cs="Calibri"/>
          <w:b/>
          <w:bCs/>
          <w:color w:val="FF0000"/>
          <w:sz w:val="24"/>
        </w:rPr>
        <w:t xml:space="preserve">ig. 2 </w:t>
      </w:r>
      <w:r w:rsidRPr="00511F6F">
        <w:rPr>
          <w:rFonts w:eastAsia="Calibri" w:cs="Calibri"/>
          <w:color w:val="FF0000"/>
          <w:sz w:val="24"/>
        </w:rPr>
        <w:t xml:space="preserve">Kidney failure-free survival rates in patients with </w:t>
      </w:r>
      <w:r>
        <w:rPr>
          <w:rFonts w:eastAsia="Calibri" w:cs="Calibri"/>
          <w:color w:val="FF0000"/>
          <w:sz w:val="24"/>
        </w:rPr>
        <w:t>DN</w:t>
      </w:r>
    </w:p>
    <w:p w14:paraId="581924BF" w14:textId="77777777" w:rsidR="00DA4878" w:rsidRPr="00511F6F" w:rsidRDefault="00DA4878" w:rsidP="00DA4878">
      <w:pPr>
        <w:spacing w:line="480" w:lineRule="auto"/>
        <w:rPr>
          <w:b/>
          <w:color w:val="FF0000"/>
          <w:sz w:val="24"/>
        </w:rPr>
      </w:pPr>
      <w:r w:rsidRPr="00511F6F">
        <w:rPr>
          <w:rFonts w:eastAsia="Calibri" w:cs="Calibri"/>
          <w:color w:val="FF0000"/>
          <w:sz w:val="24"/>
        </w:rPr>
        <w:t>(A) Patients with IFTA &lt; 50%: Compared with the group with negative and positive TLR4 expression in the</w:t>
      </w:r>
      <w:r>
        <w:rPr>
          <w:rFonts w:eastAsia="Calibri" w:cs="Calibri"/>
          <w:color w:val="FF0000"/>
          <w:sz w:val="24"/>
        </w:rPr>
        <w:t xml:space="preserve"> glomeruli</w:t>
      </w:r>
      <w:r w:rsidRPr="00511F6F">
        <w:rPr>
          <w:rFonts w:eastAsia="Calibri" w:cs="Calibri"/>
          <w:color w:val="FF0000"/>
          <w:sz w:val="24"/>
        </w:rPr>
        <w:t>.</w:t>
      </w:r>
    </w:p>
    <w:p w14:paraId="57A39B89" w14:textId="77777777" w:rsidR="00DA4878" w:rsidRPr="00511F6F" w:rsidRDefault="00DA4878" w:rsidP="00DA4878">
      <w:pPr>
        <w:spacing w:line="480" w:lineRule="auto"/>
        <w:rPr>
          <w:b/>
          <w:color w:val="FF0000"/>
          <w:sz w:val="24"/>
        </w:rPr>
      </w:pPr>
      <w:r w:rsidRPr="00511F6F">
        <w:rPr>
          <w:rFonts w:eastAsia="Calibri" w:cs="Calibri"/>
          <w:color w:val="FF0000"/>
          <w:sz w:val="24"/>
        </w:rPr>
        <w:t>(B) Patients with IFTA ≥ 50%: Compared with the group with negative and positive TLR4 expression in the</w:t>
      </w:r>
      <w:r>
        <w:rPr>
          <w:rFonts w:eastAsia="Calibri" w:cs="Calibri"/>
          <w:color w:val="FF0000"/>
          <w:sz w:val="24"/>
        </w:rPr>
        <w:t xml:space="preserve"> glomeruli</w:t>
      </w:r>
      <w:r w:rsidRPr="00511F6F">
        <w:rPr>
          <w:rFonts w:eastAsia="Calibri" w:cs="Calibri"/>
          <w:color w:val="FF0000"/>
          <w:sz w:val="24"/>
        </w:rPr>
        <w:t>.</w:t>
      </w:r>
    </w:p>
    <w:p w14:paraId="3A92C30B" w14:textId="77777777" w:rsidR="00DA4878" w:rsidRPr="00511F6F" w:rsidRDefault="00DA4878" w:rsidP="00DA4878">
      <w:pPr>
        <w:spacing w:line="480" w:lineRule="auto"/>
        <w:rPr>
          <w:color w:val="FF0000"/>
          <w:sz w:val="24"/>
        </w:rPr>
      </w:pPr>
      <w:r w:rsidRPr="00511F6F">
        <w:rPr>
          <w:rFonts w:eastAsia="Calibri" w:cs="Calibri"/>
          <w:color w:val="FF0000"/>
          <w:sz w:val="24"/>
        </w:rPr>
        <w:t xml:space="preserve">(C) </w:t>
      </w:r>
      <w:r w:rsidRPr="00E046B2">
        <w:rPr>
          <w:rFonts w:eastAsia="Calibri" w:cs="Calibri"/>
          <w:color w:val="FF0000"/>
          <w:sz w:val="24"/>
        </w:rPr>
        <w:t xml:space="preserve">Comparison of </w:t>
      </w:r>
      <w:r w:rsidRPr="00E046B2">
        <w:rPr>
          <w:rFonts w:eastAsia="MS Gothic" w:cs="Calibri"/>
          <w:color w:val="FF0000"/>
          <w:sz w:val="24"/>
        </w:rPr>
        <w:t>kidney failure</w:t>
      </w:r>
      <w:r>
        <w:rPr>
          <w:rFonts w:eastAsia="MS Gothic" w:cs="Calibri"/>
          <w:color w:val="FF0000"/>
          <w:sz w:val="24"/>
        </w:rPr>
        <w:t>-</w:t>
      </w:r>
      <w:r w:rsidRPr="00E046B2">
        <w:rPr>
          <w:rFonts w:eastAsia="MS Gothic" w:cs="Calibri"/>
          <w:color w:val="FF0000"/>
          <w:sz w:val="24"/>
        </w:rPr>
        <w:t>free survival</w:t>
      </w:r>
      <w:r w:rsidRPr="00E046B2">
        <w:rPr>
          <w:rFonts w:eastAsia="Calibri" w:cs="Calibri"/>
          <w:color w:val="FF0000"/>
          <w:sz w:val="24"/>
        </w:rPr>
        <w:t xml:space="preserve"> between patients with negative and positive glomerular TLR4 expression in the entire cohort.</w:t>
      </w:r>
    </w:p>
    <w:p w14:paraId="2B514288" w14:textId="77777777" w:rsidR="00DA4878" w:rsidRPr="00511F6F" w:rsidRDefault="00DA4878" w:rsidP="00DA4878">
      <w:pPr>
        <w:spacing w:line="480" w:lineRule="auto"/>
        <w:rPr>
          <w:rFonts w:eastAsia="Calibri" w:cs="Calibri"/>
          <w:color w:val="FF0000"/>
          <w:sz w:val="24"/>
        </w:rPr>
      </w:pPr>
      <w:r>
        <w:rPr>
          <w:rFonts w:eastAsia="Calibri" w:cs="Calibri"/>
          <w:color w:val="FF0000"/>
          <w:sz w:val="24"/>
        </w:rPr>
        <w:t>DN</w:t>
      </w:r>
      <w:r w:rsidRPr="00511F6F">
        <w:rPr>
          <w:rFonts w:eastAsia="Calibri" w:cs="Calibri"/>
          <w:color w:val="FF0000"/>
          <w:sz w:val="24"/>
        </w:rPr>
        <w:t xml:space="preserve">, diabetic </w:t>
      </w:r>
      <w:r>
        <w:rPr>
          <w:rFonts w:eastAsia="Calibri" w:cs="Calibri"/>
          <w:color w:val="FF0000"/>
          <w:sz w:val="24"/>
        </w:rPr>
        <w:t>nephropathy</w:t>
      </w:r>
      <w:r w:rsidRPr="00511F6F">
        <w:rPr>
          <w:rFonts w:eastAsia="Calibri" w:cs="Calibri"/>
          <w:color w:val="FF0000"/>
          <w:sz w:val="24"/>
        </w:rPr>
        <w:t xml:space="preserve">; TLR, Toll-like receptor; IFTA, interstitial fibrosis and </w:t>
      </w:r>
      <w:r w:rsidRPr="00511F6F">
        <w:rPr>
          <w:rFonts w:eastAsia="Calibri" w:cs="Calibri"/>
          <w:color w:val="FF0000"/>
          <w:sz w:val="24"/>
        </w:rPr>
        <w:lastRenderedPageBreak/>
        <w:t>tubular atrophy</w:t>
      </w:r>
    </w:p>
    <w:p w14:paraId="67722476" w14:textId="77777777" w:rsidR="00DA4878" w:rsidRPr="00511F6F" w:rsidRDefault="00DA4878" w:rsidP="00DA4878">
      <w:pPr>
        <w:spacing w:line="480" w:lineRule="auto"/>
        <w:rPr>
          <w:b/>
          <w:bCs/>
          <w:color w:val="FF0000"/>
          <w:sz w:val="24"/>
        </w:rPr>
      </w:pPr>
    </w:p>
    <w:p w14:paraId="1659B5CF" w14:textId="77777777" w:rsidR="00DA4878" w:rsidRPr="00B732E2" w:rsidRDefault="00DA4878">
      <w:pPr>
        <w:rPr>
          <w:rFonts w:ascii="Calibri" w:hAnsi="Calibri" w:cs="Calibri"/>
          <w:b/>
          <w:bCs/>
          <w:sz w:val="24"/>
          <w:szCs w:val="32"/>
        </w:rPr>
      </w:pPr>
    </w:p>
    <w:sectPr w:rsidR="00DA4878" w:rsidRPr="00B732E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Mincho">
    <w:charset w:val="80"/>
    <w:family w:val="roman"/>
    <w:pitch w:val="variable"/>
    <w:sig w:usb0="800002E7" w:usb1="2AC7FCFF" w:usb2="00000012" w:usb3="00000000" w:csb0="0002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2E2"/>
    <w:rsid w:val="001F64A3"/>
    <w:rsid w:val="00472B7C"/>
    <w:rsid w:val="00755CCB"/>
    <w:rsid w:val="007F6AAA"/>
    <w:rsid w:val="00821D89"/>
    <w:rsid w:val="00A82B7F"/>
    <w:rsid w:val="00B732E2"/>
    <w:rsid w:val="00BA7A3E"/>
    <w:rsid w:val="00BF609B"/>
    <w:rsid w:val="00BF73DC"/>
    <w:rsid w:val="00DA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1C075"/>
  <w15:chartTrackingRefBased/>
  <w15:docId w15:val="{7B49F5F3-F150-D646-9C44-B988163E7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2E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32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2E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32E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32E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32E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32E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32E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2E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32E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2E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2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2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2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2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2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2E2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B732E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3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2E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32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32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32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32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32E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2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2E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32E2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F60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60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60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60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60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齋藤　綾乃</dc:creator>
  <cp:lastModifiedBy>Kanalvizhi J</cp:lastModifiedBy>
  <cp:revision>4</cp:revision>
  <dcterms:created xsi:type="dcterms:W3CDTF">2026-01-29T06:28:00Z</dcterms:created>
  <dcterms:modified xsi:type="dcterms:W3CDTF">2026-03-18T11:27:00Z</dcterms:modified>
</cp:coreProperties>
</file>