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6AD1F" w14:textId="43257152" w:rsidR="00DD720B" w:rsidRDefault="00321B74">
      <w:r w:rsidRPr="00321B74">
        <w:drawing>
          <wp:inline distT="0" distB="0" distL="0" distR="0" wp14:anchorId="0E793F64" wp14:editId="4211C028">
            <wp:extent cx="5943600" cy="1714500"/>
            <wp:effectExtent l="0" t="0" r="0" b="0"/>
            <wp:docPr id="1017241498" name="Picture 1" descr="A collage of images of a black and white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41498" name="Picture 1" descr="A collage of images of a black and white image&#10;&#10;AI-generated content may be incorrect."/>
                    <pic:cNvPicPr/>
                  </pic:nvPicPr>
                  <pic:blipFill>
                    <a:blip r:embed="rId4"/>
                    <a:stretch>
                      <a:fillRect/>
                    </a:stretch>
                  </pic:blipFill>
                  <pic:spPr>
                    <a:xfrm>
                      <a:off x="0" y="0"/>
                      <a:ext cx="5943600" cy="1714500"/>
                    </a:xfrm>
                    <a:prstGeom prst="rect">
                      <a:avLst/>
                    </a:prstGeom>
                  </pic:spPr>
                </pic:pic>
              </a:graphicData>
            </a:graphic>
          </wp:inline>
        </w:drawing>
      </w:r>
    </w:p>
    <w:p w14:paraId="62769361" w14:textId="77777777" w:rsidR="00321B74" w:rsidRDefault="00321B74"/>
    <w:p w14:paraId="378C05D7" w14:textId="77777777" w:rsidR="00321B74" w:rsidRDefault="00321B74" w:rsidP="00321B74">
      <w:pPr>
        <w:spacing w:line="480" w:lineRule="auto"/>
        <w:rPr>
          <w:sz w:val="24"/>
          <w:szCs w:val="24"/>
        </w:rPr>
      </w:pPr>
      <w:r w:rsidRPr="006E2E4D">
        <w:rPr>
          <w:b/>
          <w:bCs/>
          <w:sz w:val="24"/>
          <w:szCs w:val="24"/>
        </w:rPr>
        <w:t>Fig. S1</w:t>
      </w:r>
      <w:r w:rsidRPr="00AD49CA">
        <w:rPr>
          <w:sz w:val="24"/>
          <w:szCs w:val="24"/>
        </w:rPr>
        <w:t xml:space="preserve"> Whole mount utricle with anti-</w:t>
      </w:r>
      <w:r>
        <w:rPr>
          <w:sz w:val="24"/>
          <w:szCs w:val="24"/>
        </w:rPr>
        <w:t>KRT18</w:t>
      </w:r>
      <w:r w:rsidRPr="00AD49CA">
        <w:rPr>
          <w:sz w:val="24"/>
          <w:szCs w:val="24"/>
        </w:rPr>
        <w:t xml:space="preserve"> antibody (green) labeling at the mesenchymal layers (same specimen as Fig 2G). This shows minimal </w:t>
      </w:r>
      <w:r>
        <w:rPr>
          <w:sz w:val="24"/>
          <w:szCs w:val="24"/>
        </w:rPr>
        <w:t>KRT18</w:t>
      </w:r>
      <w:r w:rsidRPr="00AD49CA">
        <w:rPr>
          <w:sz w:val="24"/>
          <w:szCs w:val="24"/>
        </w:rPr>
        <w:t xml:space="preserve"> staining at this layer. </w:t>
      </w:r>
      <w:r>
        <w:rPr>
          <w:sz w:val="24"/>
          <w:szCs w:val="24"/>
        </w:rPr>
        <w:t>Inset of cartoon diagram indicating the level of the image (red horizontal line).</w:t>
      </w:r>
    </w:p>
    <w:p w14:paraId="0F7CC317" w14:textId="77777777" w:rsidR="00321B74" w:rsidRDefault="00321B74"/>
    <w:p w14:paraId="6ACA8AF0" w14:textId="77777777" w:rsidR="00321B74" w:rsidRDefault="00321B74"/>
    <w:p w14:paraId="1704E840" w14:textId="324EA4B6" w:rsidR="00321B74" w:rsidRDefault="00321B74">
      <w:r>
        <w:br w:type="page"/>
      </w:r>
    </w:p>
    <w:p w14:paraId="0E119C35" w14:textId="6E55839A" w:rsidR="00321B74" w:rsidRDefault="00321B74">
      <w:r w:rsidRPr="00321B74">
        <w:lastRenderedPageBreak/>
        <w:drawing>
          <wp:inline distT="0" distB="0" distL="0" distR="0" wp14:anchorId="61A698A3" wp14:editId="1775D0B8">
            <wp:extent cx="5549900" cy="8229600"/>
            <wp:effectExtent l="0" t="0" r="0" b="0"/>
            <wp:docPr id="1063628321" name="Picture 1" descr="A collage of images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28321" name="Picture 1" descr="A collage of images of a person's body&#10;&#10;AI-generated content may be incorrect."/>
                    <pic:cNvPicPr/>
                  </pic:nvPicPr>
                  <pic:blipFill>
                    <a:blip r:embed="rId5"/>
                    <a:stretch>
                      <a:fillRect/>
                    </a:stretch>
                  </pic:blipFill>
                  <pic:spPr>
                    <a:xfrm>
                      <a:off x="0" y="0"/>
                      <a:ext cx="5549900" cy="8229600"/>
                    </a:xfrm>
                    <a:prstGeom prst="rect">
                      <a:avLst/>
                    </a:prstGeom>
                  </pic:spPr>
                </pic:pic>
              </a:graphicData>
            </a:graphic>
          </wp:inline>
        </w:drawing>
      </w:r>
    </w:p>
    <w:p w14:paraId="68BC752E" w14:textId="77777777" w:rsidR="00321B74" w:rsidRDefault="00321B74"/>
    <w:p w14:paraId="16C8435F" w14:textId="77777777" w:rsidR="00321B74" w:rsidRPr="00AD49CA" w:rsidRDefault="00321B74" w:rsidP="00321B74">
      <w:pPr>
        <w:tabs>
          <w:tab w:val="left" w:pos="2760"/>
        </w:tabs>
        <w:spacing w:line="480" w:lineRule="auto"/>
        <w:rPr>
          <w:sz w:val="24"/>
          <w:szCs w:val="24"/>
        </w:rPr>
      </w:pPr>
      <w:r w:rsidRPr="006E2E4D">
        <w:rPr>
          <w:b/>
          <w:bCs/>
          <w:sz w:val="24"/>
          <w:szCs w:val="24"/>
        </w:rPr>
        <w:t>Fig. S2</w:t>
      </w:r>
      <w:r w:rsidRPr="00AD49CA">
        <w:rPr>
          <w:sz w:val="24"/>
          <w:szCs w:val="24"/>
        </w:rPr>
        <w:t xml:space="preserve"> (</w:t>
      </w:r>
      <w:r>
        <w:rPr>
          <w:sz w:val="24"/>
          <w:szCs w:val="24"/>
        </w:rPr>
        <w:t>A-B</w:t>
      </w:r>
      <w:r w:rsidRPr="00AD49CA">
        <w:rPr>
          <w:sz w:val="24"/>
          <w:szCs w:val="24"/>
        </w:rPr>
        <w:t xml:space="preserve">) Cryosection confocal image of combined immunohistochemistry and </w:t>
      </w:r>
      <w:r w:rsidRPr="00465479">
        <w:rPr>
          <w:i/>
          <w:iCs/>
          <w:sz w:val="24"/>
          <w:szCs w:val="24"/>
        </w:rPr>
        <w:t>in situ</w:t>
      </w:r>
      <w:r w:rsidRPr="00AD49CA">
        <w:rPr>
          <w:sz w:val="24"/>
          <w:szCs w:val="24"/>
        </w:rPr>
        <w:t xml:space="preserve"> hybridization. (</w:t>
      </w:r>
      <w:r>
        <w:rPr>
          <w:sz w:val="24"/>
          <w:szCs w:val="24"/>
        </w:rPr>
        <w:t>A</w:t>
      </w:r>
      <w:r w:rsidRPr="00AD49CA">
        <w:rPr>
          <w:sz w:val="24"/>
          <w:szCs w:val="24"/>
        </w:rPr>
        <w:t xml:space="preserve">) </w:t>
      </w:r>
      <w:r w:rsidRPr="00AD49CA">
        <w:rPr>
          <w:i/>
          <w:iCs/>
          <w:sz w:val="24"/>
          <w:szCs w:val="24"/>
        </w:rPr>
        <w:t>Wif1</w:t>
      </w:r>
      <w:r w:rsidRPr="00AD49CA">
        <w:rPr>
          <w:sz w:val="24"/>
          <w:szCs w:val="24"/>
        </w:rPr>
        <w:t xml:space="preserve"> mRNA (green), anti-</w:t>
      </w:r>
      <w:r>
        <w:rPr>
          <w:sz w:val="24"/>
          <w:szCs w:val="24"/>
        </w:rPr>
        <w:t>MYO7A</w:t>
      </w:r>
      <w:r w:rsidRPr="00AD49CA">
        <w:rPr>
          <w:sz w:val="24"/>
          <w:szCs w:val="24"/>
        </w:rPr>
        <w:t xml:space="preserve"> (red), and DAPI nuclei (blue) shows primarily expression of </w:t>
      </w:r>
      <w:r w:rsidRPr="00AD49CA">
        <w:rPr>
          <w:i/>
          <w:iCs/>
          <w:sz w:val="24"/>
          <w:szCs w:val="24"/>
        </w:rPr>
        <w:t>Wif1</w:t>
      </w:r>
      <w:r w:rsidRPr="00AD49CA">
        <w:rPr>
          <w:sz w:val="24"/>
          <w:szCs w:val="24"/>
        </w:rPr>
        <w:t xml:space="preserve"> in the mesenchymal layer. Insets from this </w:t>
      </w:r>
      <w:r>
        <w:rPr>
          <w:sz w:val="24"/>
          <w:szCs w:val="24"/>
        </w:rPr>
        <w:t xml:space="preserve">exact </w:t>
      </w:r>
      <w:r w:rsidRPr="00AD49CA">
        <w:rPr>
          <w:sz w:val="24"/>
          <w:szCs w:val="24"/>
        </w:rPr>
        <w:t>image are shown in Fig 4</w:t>
      </w:r>
      <w:r>
        <w:rPr>
          <w:sz w:val="24"/>
          <w:szCs w:val="24"/>
        </w:rPr>
        <w:t>I</w:t>
      </w:r>
      <w:r w:rsidRPr="00AD49CA">
        <w:rPr>
          <w:sz w:val="24"/>
          <w:szCs w:val="24"/>
        </w:rPr>
        <w:t>’. (</w:t>
      </w:r>
      <w:r>
        <w:rPr>
          <w:sz w:val="24"/>
          <w:szCs w:val="24"/>
        </w:rPr>
        <w:t>B</w:t>
      </w:r>
      <w:r w:rsidRPr="00AD49CA">
        <w:rPr>
          <w:sz w:val="24"/>
          <w:szCs w:val="24"/>
        </w:rPr>
        <w:t xml:space="preserve">) </w:t>
      </w:r>
      <w:proofErr w:type="spellStart"/>
      <w:r w:rsidRPr="00AD49CA">
        <w:rPr>
          <w:i/>
          <w:iCs/>
          <w:sz w:val="24"/>
          <w:szCs w:val="24"/>
        </w:rPr>
        <w:t>Dcn</w:t>
      </w:r>
      <w:proofErr w:type="spellEnd"/>
      <w:r w:rsidRPr="00AD49CA">
        <w:rPr>
          <w:sz w:val="24"/>
          <w:szCs w:val="24"/>
        </w:rPr>
        <w:t xml:space="preserve"> mRNA (red), anti-</w:t>
      </w:r>
      <w:r>
        <w:rPr>
          <w:sz w:val="24"/>
          <w:szCs w:val="24"/>
        </w:rPr>
        <w:t>MYO7A</w:t>
      </w:r>
      <w:r w:rsidRPr="00AD49CA">
        <w:rPr>
          <w:sz w:val="24"/>
          <w:szCs w:val="24"/>
        </w:rPr>
        <w:t xml:space="preserve"> (green), and DAPI nuclei (blue) highlight expression of </w:t>
      </w:r>
      <w:proofErr w:type="spellStart"/>
      <w:r w:rsidRPr="00AD49CA">
        <w:rPr>
          <w:i/>
          <w:iCs/>
          <w:sz w:val="24"/>
          <w:szCs w:val="24"/>
        </w:rPr>
        <w:t>Dcn</w:t>
      </w:r>
      <w:proofErr w:type="spellEnd"/>
      <w:r w:rsidRPr="00AD49CA">
        <w:rPr>
          <w:sz w:val="24"/>
          <w:szCs w:val="24"/>
        </w:rPr>
        <w:t xml:space="preserve"> primarily in the mesenchymal layer. Inset</w:t>
      </w:r>
      <w:r>
        <w:rPr>
          <w:sz w:val="24"/>
          <w:szCs w:val="24"/>
        </w:rPr>
        <w:t>s</w:t>
      </w:r>
      <w:r w:rsidRPr="00AD49CA">
        <w:rPr>
          <w:sz w:val="24"/>
          <w:szCs w:val="24"/>
        </w:rPr>
        <w:t xml:space="preserve"> from this </w:t>
      </w:r>
      <w:r>
        <w:rPr>
          <w:sz w:val="24"/>
          <w:szCs w:val="24"/>
        </w:rPr>
        <w:t>exact image (yellow dashed boxes) are</w:t>
      </w:r>
      <w:r w:rsidRPr="00AD49CA">
        <w:rPr>
          <w:sz w:val="24"/>
          <w:szCs w:val="24"/>
        </w:rPr>
        <w:t xml:space="preserve"> shown in</w:t>
      </w:r>
      <w:r>
        <w:rPr>
          <w:sz w:val="24"/>
          <w:szCs w:val="24"/>
        </w:rPr>
        <w:t xml:space="preserve"> main</w:t>
      </w:r>
      <w:r w:rsidRPr="00AD49CA">
        <w:rPr>
          <w:sz w:val="24"/>
          <w:szCs w:val="24"/>
        </w:rPr>
        <w:t xml:space="preserve"> Fig</w:t>
      </w:r>
      <w:r>
        <w:rPr>
          <w:sz w:val="24"/>
          <w:szCs w:val="24"/>
        </w:rPr>
        <w:t>ure</w:t>
      </w:r>
      <w:r w:rsidRPr="00AD49CA">
        <w:rPr>
          <w:sz w:val="24"/>
          <w:szCs w:val="24"/>
        </w:rPr>
        <w:t xml:space="preserve"> 4</w:t>
      </w:r>
      <w:r>
        <w:rPr>
          <w:sz w:val="24"/>
          <w:szCs w:val="24"/>
        </w:rPr>
        <w:t>J</w:t>
      </w:r>
      <w:r w:rsidRPr="00AD49CA">
        <w:rPr>
          <w:sz w:val="24"/>
          <w:szCs w:val="24"/>
        </w:rPr>
        <w:t xml:space="preserve">’. </w:t>
      </w:r>
      <w:r>
        <w:rPr>
          <w:sz w:val="24"/>
          <w:szCs w:val="24"/>
        </w:rPr>
        <w:t xml:space="preserve">(C) Combined UMAP of P7 cochlear mesenchyme from Rose et al. (2023) and P4 and P6 utricular mesenchyme from our dataset. Note the four sub-types of cochlear mesenchyme are basilar membrane (type I), spiral limbus (type II), </w:t>
      </w:r>
      <w:proofErr w:type="spellStart"/>
      <w:r>
        <w:rPr>
          <w:sz w:val="24"/>
          <w:szCs w:val="24"/>
        </w:rPr>
        <w:t>modiolar</w:t>
      </w:r>
      <w:proofErr w:type="spellEnd"/>
      <w:r>
        <w:rPr>
          <w:sz w:val="24"/>
          <w:szCs w:val="24"/>
        </w:rPr>
        <w:t xml:space="preserve"> (type III), and lateral wall (type IV). The utricle mesenchyme primarily co-cluster with the type II and IV cochlear mesenchyme sub-types (C’-C’’). (D) Sunburst plot showing quantification of the co-clustering frequency comparing the 223 utricular mesenchyme cells relative to the cochlear mesenchyme subtypes. Over half of the utricular mesenchyme co-cluster with the lateral wall type IV cochlear mesenchymal cell types.  </w:t>
      </w:r>
    </w:p>
    <w:p w14:paraId="6A478033" w14:textId="77777777" w:rsidR="00321B74" w:rsidRDefault="00321B74"/>
    <w:p w14:paraId="0DDFBC17" w14:textId="77777777" w:rsidR="00321B74" w:rsidRDefault="00321B74"/>
    <w:p w14:paraId="2BD3ABFE" w14:textId="7279F9C0" w:rsidR="00321B74" w:rsidRDefault="00321B74">
      <w:r>
        <w:br w:type="page"/>
      </w:r>
    </w:p>
    <w:p w14:paraId="4C6F29B8" w14:textId="0B40B344" w:rsidR="00321B74" w:rsidRDefault="00321B74">
      <w:r w:rsidRPr="00321B74">
        <w:lastRenderedPageBreak/>
        <w:drawing>
          <wp:inline distT="0" distB="0" distL="0" distR="0" wp14:anchorId="4C29EF4D" wp14:editId="43AFF3EF">
            <wp:extent cx="5943600" cy="3268345"/>
            <wp:effectExtent l="0" t="0" r="0" b="0"/>
            <wp:docPr id="438899649" name="Picture 1" descr="A diagram of a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99649" name="Picture 1" descr="A diagram of a pattern&#10;&#10;AI-generated content may be incorrect."/>
                    <pic:cNvPicPr/>
                  </pic:nvPicPr>
                  <pic:blipFill>
                    <a:blip r:embed="rId6"/>
                    <a:stretch>
                      <a:fillRect/>
                    </a:stretch>
                  </pic:blipFill>
                  <pic:spPr>
                    <a:xfrm>
                      <a:off x="0" y="0"/>
                      <a:ext cx="5943600" cy="3268345"/>
                    </a:xfrm>
                    <a:prstGeom prst="rect">
                      <a:avLst/>
                    </a:prstGeom>
                  </pic:spPr>
                </pic:pic>
              </a:graphicData>
            </a:graphic>
          </wp:inline>
        </w:drawing>
      </w:r>
    </w:p>
    <w:p w14:paraId="0B83509E" w14:textId="77777777" w:rsidR="00321B74" w:rsidRDefault="00321B74"/>
    <w:p w14:paraId="58E51D88" w14:textId="77777777" w:rsidR="00321B74" w:rsidRPr="00AD49CA" w:rsidRDefault="00321B74" w:rsidP="00321B74">
      <w:pPr>
        <w:spacing w:line="480" w:lineRule="auto"/>
        <w:rPr>
          <w:sz w:val="24"/>
          <w:szCs w:val="24"/>
        </w:rPr>
      </w:pPr>
      <w:r w:rsidRPr="006E2E4D">
        <w:rPr>
          <w:b/>
          <w:bCs/>
          <w:sz w:val="24"/>
          <w:szCs w:val="24"/>
        </w:rPr>
        <w:t>Fig. S3</w:t>
      </w:r>
      <w:r w:rsidRPr="00AD49CA">
        <w:rPr>
          <w:sz w:val="24"/>
          <w:szCs w:val="24"/>
        </w:rPr>
        <w:t xml:space="preserve"> River plot depicting three computationally determined patterns of outgoing signaling and their corresponding pathways on the left. On the right, are the three computationally determined patterns of incoming signaling patterns and their corresponding pathways.</w:t>
      </w:r>
    </w:p>
    <w:p w14:paraId="0A3F2E02" w14:textId="77777777" w:rsidR="00321B74" w:rsidRDefault="00321B74"/>
    <w:sectPr w:rsidR="00321B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74"/>
    <w:rsid w:val="00061DCC"/>
    <w:rsid w:val="00321B74"/>
    <w:rsid w:val="0070157B"/>
    <w:rsid w:val="00733D81"/>
    <w:rsid w:val="009A3D23"/>
    <w:rsid w:val="00B64E88"/>
    <w:rsid w:val="00DD7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CF12E1"/>
  <w15:chartTrackingRefBased/>
  <w15:docId w15:val="{CDA766A7-D90B-914B-982B-2F7F5F43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B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B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1B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1B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1B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1B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1B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B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B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1B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1B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1B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1B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1B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1B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B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B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1B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1B74"/>
    <w:rPr>
      <w:i/>
      <w:iCs/>
      <w:color w:val="404040" w:themeColor="text1" w:themeTint="BF"/>
    </w:rPr>
  </w:style>
  <w:style w:type="paragraph" w:styleId="ListParagraph">
    <w:name w:val="List Paragraph"/>
    <w:basedOn w:val="Normal"/>
    <w:uiPriority w:val="34"/>
    <w:qFormat/>
    <w:rsid w:val="00321B74"/>
    <w:pPr>
      <w:ind w:left="720"/>
      <w:contextualSpacing/>
    </w:pPr>
  </w:style>
  <w:style w:type="character" w:styleId="IntenseEmphasis">
    <w:name w:val="Intense Emphasis"/>
    <w:basedOn w:val="DefaultParagraphFont"/>
    <w:uiPriority w:val="21"/>
    <w:qFormat/>
    <w:rsid w:val="00321B74"/>
    <w:rPr>
      <w:i/>
      <w:iCs/>
      <w:color w:val="0F4761" w:themeColor="accent1" w:themeShade="BF"/>
    </w:rPr>
  </w:style>
  <w:style w:type="paragraph" w:styleId="IntenseQuote">
    <w:name w:val="Intense Quote"/>
    <w:basedOn w:val="Normal"/>
    <w:next w:val="Normal"/>
    <w:link w:val="IntenseQuoteChar"/>
    <w:uiPriority w:val="30"/>
    <w:qFormat/>
    <w:rsid w:val="0032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B74"/>
    <w:rPr>
      <w:i/>
      <w:iCs/>
      <w:color w:val="0F4761" w:themeColor="accent1" w:themeShade="BF"/>
    </w:rPr>
  </w:style>
  <w:style w:type="character" w:styleId="IntenseReference">
    <w:name w:val="Intense Reference"/>
    <w:basedOn w:val="DefaultParagraphFont"/>
    <w:uiPriority w:val="32"/>
    <w:qFormat/>
    <w:rsid w:val="00321B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Jan</dc:creator>
  <cp:keywords/>
  <dc:description/>
  <cp:lastModifiedBy>Taha Jan</cp:lastModifiedBy>
  <cp:revision>1</cp:revision>
  <cp:lastPrinted>2025-02-12T03:19:00Z</cp:lastPrinted>
  <dcterms:created xsi:type="dcterms:W3CDTF">2025-02-12T03:15:00Z</dcterms:created>
  <dcterms:modified xsi:type="dcterms:W3CDTF">2025-02-12T03:19:00Z</dcterms:modified>
</cp:coreProperties>
</file>