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5FF35" w14:textId="77777777" w:rsidR="005C6D33" w:rsidRDefault="005C6D33" w:rsidP="00100889">
      <w:pPr>
        <w:jc w:val="center"/>
        <w:rPr>
          <w:rFonts w:ascii="Times New Roman" w:hAnsi="Times New Roman" w:cs="Times New Roman"/>
          <w:b/>
          <w:bCs/>
          <w:sz w:val="16"/>
          <w:szCs w:val="16"/>
          <w:lang w:val="en-HK"/>
        </w:rPr>
      </w:pPr>
      <w:bookmarkStart w:id="0" w:name="OLE_LINK323"/>
    </w:p>
    <w:p w14:paraId="405BECD7" w14:textId="4B4BF655" w:rsidR="00100889" w:rsidRPr="00323900" w:rsidRDefault="00100889" w:rsidP="00100889">
      <w:pPr>
        <w:jc w:val="center"/>
        <w:rPr>
          <w:rFonts w:ascii="Times New Roman" w:hAnsi="Times New Roman" w:cs="Times New Roman"/>
          <w:b/>
          <w:bCs/>
          <w:sz w:val="20"/>
          <w:szCs w:val="20"/>
          <w:lang w:val="en-HK"/>
        </w:rPr>
      </w:pPr>
      <w:r w:rsidRPr="00323900">
        <w:rPr>
          <w:rFonts w:ascii="Times New Roman" w:hAnsi="Times New Roman" w:cs="Times New Roman"/>
          <w:b/>
          <w:bCs/>
          <w:sz w:val="20"/>
          <w:szCs w:val="20"/>
          <w:lang w:val="en-HK"/>
        </w:rPr>
        <w:t xml:space="preserve">Enhancing </w:t>
      </w:r>
      <w:bookmarkStart w:id="1" w:name="_Hlk218869686"/>
      <w:r w:rsidRPr="00323900">
        <w:rPr>
          <w:rFonts w:ascii="Times New Roman" w:hAnsi="Times New Roman" w:cs="Times New Roman"/>
          <w:b/>
          <w:bCs/>
          <w:sz w:val="20"/>
          <w:szCs w:val="20"/>
          <w:lang w:val="en-HK"/>
        </w:rPr>
        <w:t>Circularity in Concrete Waste Management</w:t>
      </w:r>
      <w:bookmarkEnd w:id="1"/>
      <w:r w:rsidRPr="00323900">
        <w:rPr>
          <w:rFonts w:ascii="Times New Roman" w:hAnsi="Times New Roman" w:cs="Times New Roman"/>
          <w:b/>
          <w:bCs/>
          <w:sz w:val="20"/>
          <w:szCs w:val="20"/>
          <w:lang w:val="en-HK"/>
        </w:rPr>
        <w:t xml:space="preserve">: </w:t>
      </w:r>
      <w:bookmarkStart w:id="2" w:name="_Hlk218869521"/>
      <w:r w:rsidRPr="00323900">
        <w:rPr>
          <w:rFonts w:ascii="Times New Roman" w:hAnsi="Times New Roman" w:cs="Times New Roman"/>
          <w:b/>
          <w:bCs/>
          <w:sz w:val="20"/>
          <w:szCs w:val="20"/>
          <w:lang w:val="en-HK"/>
        </w:rPr>
        <w:t>A Conceptual Framework of Stakeholder Engagement, Barriers, and Strategies for Sustainable Collaboration</w:t>
      </w:r>
      <w:bookmarkEnd w:id="2"/>
    </w:p>
    <w:p w14:paraId="30964490" w14:textId="19100678" w:rsidR="00100889" w:rsidRPr="00323900" w:rsidRDefault="00EC0149" w:rsidP="00F9128B">
      <w:pPr>
        <w:rPr>
          <w:rFonts w:ascii="Times New Roman" w:hAnsi="Times New Roman" w:cs="Times New Roman"/>
          <w:b/>
          <w:bCs/>
          <w:sz w:val="20"/>
          <w:szCs w:val="20"/>
          <w:lang w:val="en-HK"/>
        </w:rPr>
      </w:pPr>
      <w:bookmarkStart w:id="3" w:name="OLE_LINK789"/>
      <w:bookmarkEnd w:id="0"/>
      <w:r w:rsidRPr="00323900">
        <w:rPr>
          <w:rFonts w:ascii="Times New Roman" w:hAnsi="Times New Roman" w:cs="Times New Roman"/>
          <w:b/>
          <w:bCs/>
          <w:sz w:val="20"/>
          <w:szCs w:val="20"/>
        </w:rPr>
        <w:t xml:space="preserve">Table </w:t>
      </w:r>
      <w:r w:rsidR="006D4B63" w:rsidRPr="00323900">
        <w:rPr>
          <w:rFonts w:ascii="Times New Roman" w:hAnsi="Times New Roman" w:cs="Times New Roman"/>
          <w:b/>
          <w:bCs/>
          <w:sz w:val="20"/>
          <w:szCs w:val="20"/>
        </w:rPr>
        <w:t>S</w:t>
      </w:r>
      <w:r w:rsidRPr="00323900">
        <w:rPr>
          <w:rFonts w:ascii="Times New Roman" w:hAnsi="Times New Roman" w:cs="Times New Roman"/>
          <w:b/>
          <w:bCs/>
          <w:sz w:val="20"/>
          <w:szCs w:val="20"/>
        </w:rPr>
        <w:t>1</w:t>
      </w:r>
      <w:r w:rsidR="009676F8" w:rsidRPr="00323900">
        <w:rPr>
          <w:rFonts w:ascii="Times New Roman" w:hAnsi="Times New Roman" w:cs="Times New Roman"/>
          <w:b/>
          <w:bCs/>
          <w:sz w:val="20"/>
          <w:szCs w:val="20"/>
        </w:rPr>
        <w:t>:</w:t>
      </w:r>
      <w:r w:rsidR="00CF090A" w:rsidRPr="00323900">
        <w:rPr>
          <w:rFonts w:ascii="Times New Roman" w:hAnsi="Times New Roman" w:cs="Times New Roman"/>
          <w:b/>
          <w:bCs/>
          <w:sz w:val="20"/>
          <w:szCs w:val="20"/>
        </w:rPr>
        <w:t xml:space="preserve"> Summary of 51 reviewed research </w:t>
      </w:r>
      <w:r w:rsidR="00F9128B" w:rsidRPr="00323900">
        <w:rPr>
          <w:rFonts w:ascii="Times New Roman" w:hAnsi="Times New Roman" w:cs="Times New Roman"/>
          <w:b/>
          <w:bCs/>
          <w:sz w:val="20"/>
          <w:szCs w:val="20"/>
        </w:rPr>
        <w:t xml:space="preserve">publications on </w:t>
      </w:r>
      <w:r w:rsidR="00F9128B" w:rsidRPr="00323900">
        <w:rPr>
          <w:rFonts w:ascii="Times New Roman" w:hAnsi="Times New Roman" w:cs="Times New Roman"/>
          <w:b/>
          <w:bCs/>
          <w:sz w:val="20"/>
          <w:szCs w:val="20"/>
          <w:lang w:val="en-HK"/>
        </w:rPr>
        <w:t>stakeholder engagement, barriers, and strategies for sustainable collaboration</w:t>
      </w:r>
    </w:p>
    <w:tbl>
      <w:tblPr>
        <w:tblStyle w:val="TableGridLight"/>
        <w:tblW w:w="21547" w:type="dxa"/>
        <w:tblLayout w:type="fixed"/>
        <w:tblLook w:val="04A0" w:firstRow="1" w:lastRow="0" w:firstColumn="1" w:lastColumn="0" w:noHBand="0" w:noVBand="1"/>
      </w:tblPr>
      <w:tblGrid>
        <w:gridCol w:w="503"/>
        <w:gridCol w:w="915"/>
        <w:gridCol w:w="992"/>
        <w:gridCol w:w="1559"/>
        <w:gridCol w:w="1271"/>
        <w:gridCol w:w="1990"/>
        <w:gridCol w:w="1843"/>
        <w:gridCol w:w="2126"/>
        <w:gridCol w:w="2835"/>
        <w:gridCol w:w="3118"/>
        <w:gridCol w:w="2127"/>
        <w:gridCol w:w="2268"/>
      </w:tblGrid>
      <w:tr w:rsidR="008339F1" w:rsidRPr="008339F1" w14:paraId="7B134CC9" w14:textId="77777777" w:rsidTr="002B37B8">
        <w:tc>
          <w:tcPr>
            <w:tcW w:w="503" w:type="dxa"/>
          </w:tcPr>
          <w:p w14:paraId="76AF7971" w14:textId="77777777" w:rsidR="0030771F" w:rsidRPr="008339F1" w:rsidRDefault="0030771F" w:rsidP="00A004C5">
            <w:pPr>
              <w:jc w:val="both"/>
              <w:rPr>
                <w:rFonts w:ascii="Times New Roman" w:hAnsi="Times New Roman" w:cs="Times New Roman"/>
                <w:b/>
                <w:bCs/>
                <w:sz w:val="16"/>
                <w:szCs w:val="16"/>
              </w:rPr>
            </w:pPr>
            <w:bookmarkStart w:id="4" w:name="_Hlk229393325"/>
            <w:bookmarkStart w:id="5" w:name="OLE_LINK790"/>
            <w:bookmarkEnd w:id="3"/>
            <w:r w:rsidRPr="008339F1">
              <w:rPr>
                <w:rFonts w:ascii="Times New Roman" w:hAnsi="Times New Roman" w:cs="Times New Roman"/>
                <w:b/>
                <w:bCs/>
                <w:sz w:val="16"/>
                <w:szCs w:val="16"/>
              </w:rPr>
              <w:t>S/N</w:t>
            </w:r>
          </w:p>
        </w:tc>
        <w:tc>
          <w:tcPr>
            <w:tcW w:w="915" w:type="dxa"/>
          </w:tcPr>
          <w:p w14:paraId="44D2D844" w14:textId="77777777" w:rsidR="0030771F" w:rsidRPr="008339F1" w:rsidRDefault="0030771F" w:rsidP="00A004C5">
            <w:pPr>
              <w:jc w:val="both"/>
              <w:rPr>
                <w:rFonts w:ascii="Times New Roman" w:hAnsi="Times New Roman" w:cs="Times New Roman"/>
                <w:b/>
                <w:bCs/>
                <w:sz w:val="16"/>
                <w:szCs w:val="16"/>
              </w:rPr>
            </w:pPr>
            <w:r w:rsidRPr="008339F1">
              <w:rPr>
                <w:rFonts w:ascii="Times New Roman" w:hAnsi="Times New Roman" w:cs="Times New Roman"/>
                <w:b/>
                <w:bCs/>
                <w:sz w:val="16"/>
                <w:szCs w:val="16"/>
              </w:rPr>
              <w:t>Author</w:t>
            </w:r>
          </w:p>
        </w:tc>
        <w:tc>
          <w:tcPr>
            <w:tcW w:w="992" w:type="dxa"/>
          </w:tcPr>
          <w:p w14:paraId="67BF780D" w14:textId="77777777" w:rsidR="0030771F" w:rsidRPr="008339F1" w:rsidRDefault="0030771F" w:rsidP="00A004C5">
            <w:pPr>
              <w:jc w:val="both"/>
              <w:rPr>
                <w:rFonts w:ascii="Times New Roman" w:hAnsi="Times New Roman" w:cs="Times New Roman"/>
                <w:b/>
                <w:bCs/>
                <w:sz w:val="16"/>
                <w:szCs w:val="16"/>
              </w:rPr>
            </w:pPr>
            <w:r w:rsidRPr="008339F1">
              <w:rPr>
                <w:rFonts w:ascii="Times New Roman" w:hAnsi="Times New Roman" w:cs="Times New Roman"/>
                <w:b/>
                <w:bCs/>
                <w:sz w:val="16"/>
                <w:szCs w:val="16"/>
              </w:rPr>
              <w:t xml:space="preserve">Country </w:t>
            </w:r>
          </w:p>
        </w:tc>
        <w:tc>
          <w:tcPr>
            <w:tcW w:w="1559" w:type="dxa"/>
          </w:tcPr>
          <w:p w14:paraId="376D7246" w14:textId="217B18CD" w:rsidR="0030771F" w:rsidRPr="008339F1" w:rsidRDefault="0030771F" w:rsidP="00A004C5">
            <w:pPr>
              <w:jc w:val="both"/>
              <w:rPr>
                <w:rFonts w:ascii="Times New Roman" w:hAnsi="Times New Roman" w:cs="Times New Roman"/>
                <w:b/>
                <w:bCs/>
                <w:sz w:val="16"/>
                <w:szCs w:val="16"/>
              </w:rPr>
            </w:pPr>
            <w:r w:rsidRPr="008339F1">
              <w:rPr>
                <w:rFonts w:ascii="Times New Roman" w:hAnsi="Times New Roman" w:cs="Times New Roman"/>
                <w:b/>
                <w:bCs/>
                <w:sz w:val="16"/>
                <w:szCs w:val="16"/>
              </w:rPr>
              <w:t>Main Focus</w:t>
            </w:r>
          </w:p>
        </w:tc>
        <w:tc>
          <w:tcPr>
            <w:tcW w:w="1271" w:type="dxa"/>
          </w:tcPr>
          <w:p w14:paraId="099DF9FF" w14:textId="101F5B02"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Lifecycle stage</w:t>
            </w:r>
          </w:p>
        </w:tc>
        <w:tc>
          <w:tcPr>
            <w:tcW w:w="1990" w:type="dxa"/>
          </w:tcPr>
          <w:p w14:paraId="44E2F45B" w14:textId="44910CC3"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Me</w:t>
            </w:r>
            <w:r w:rsidR="00B67EDC" w:rsidRPr="008339F1">
              <w:rPr>
                <w:rFonts w:ascii="Times New Roman" w:hAnsi="Times New Roman" w:cs="Times New Roman"/>
                <w:b/>
                <w:bCs/>
                <w:sz w:val="16"/>
                <w:szCs w:val="16"/>
              </w:rPr>
              <w:t>thodology</w:t>
            </w:r>
            <w:r w:rsidR="00E6177B" w:rsidRPr="008339F1">
              <w:rPr>
                <w:rFonts w:ascii="Times New Roman" w:hAnsi="Times New Roman" w:cs="Times New Roman"/>
                <w:b/>
                <w:bCs/>
                <w:sz w:val="16"/>
                <w:szCs w:val="16"/>
              </w:rPr>
              <w:t>/analysis techniques</w:t>
            </w:r>
          </w:p>
        </w:tc>
        <w:tc>
          <w:tcPr>
            <w:tcW w:w="1843" w:type="dxa"/>
          </w:tcPr>
          <w:p w14:paraId="3B2F1973" w14:textId="540452A2"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 xml:space="preserve">Stakeholder </w:t>
            </w:r>
          </w:p>
          <w:p w14:paraId="55AE1FAB" w14:textId="77777777"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 xml:space="preserve">groups </w:t>
            </w:r>
          </w:p>
          <w:p w14:paraId="7CC5C250" w14:textId="330804D5"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highlighted</w:t>
            </w:r>
          </w:p>
        </w:tc>
        <w:tc>
          <w:tcPr>
            <w:tcW w:w="2126" w:type="dxa"/>
          </w:tcPr>
          <w:p w14:paraId="279DA755" w14:textId="01A2F12C" w:rsidR="0030771F" w:rsidRPr="008339F1" w:rsidRDefault="0030771F" w:rsidP="00833FAD">
            <w:pPr>
              <w:rPr>
                <w:rFonts w:ascii="Times New Roman" w:hAnsi="Times New Roman" w:cs="Times New Roman"/>
                <w:b/>
                <w:bCs/>
                <w:sz w:val="16"/>
                <w:szCs w:val="16"/>
              </w:rPr>
            </w:pPr>
            <w:r w:rsidRPr="008339F1">
              <w:rPr>
                <w:rFonts w:ascii="Times New Roman" w:hAnsi="Times New Roman" w:cs="Times New Roman"/>
                <w:b/>
                <w:bCs/>
                <w:sz w:val="16"/>
                <w:szCs w:val="16"/>
              </w:rPr>
              <w:t>RACI-focused evidence/key wording</w:t>
            </w:r>
          </w:p>
        </w:tc>
        <w:tc>
          <w:tcPr>
            <w:tcW w:w="2835" w:type="dxa"/>
          </w:tcPr>
          <w:p w14:paraId="1F3F7936" w14:textId="67AB09A3" w:rsidR="0030771F" w:rsidRPr="008339F1" w:rsidRDefault="0030771F" w:rsidP="00A004C5">
            <w:pPr>
              <w:jc w:val="both"/>
              <w:rPr>
                <w:rFonts w:ascii="Times New Roman" w:hAnsi="Times New Roman" w:cs="Times New Roman"/>
                <w:b/>
                <w:bCs/>
                <w:sz w:val="16"/>
                <w:szCs w:val="16"/>
              </w:rPr>
            </w:pPr>
            <w:r w:rsidRPr="008339F1">
              <w:rPr>
                <w:rFonts w:ascii="Times New Roman" w:hAnsi="Times New Roman" w:cs="Times New Roman"/>
                <w:b/>
                <w:bCs/>
                <w:sz w:val="16"/>
                <w:szCs w:val="16"/>
              </w:rPr>
              <w:t>RACI interpretation</w:t>
            </w:r>
          </w:p>
        </w:tc>
        <w:tc>
          <w:tcPr>
            <w:tcW w:w="3118" w:type="dxa"/>
          </w:tcPr>
          <w:p w14:paraId="49BC83ED" w14:textId="39DDFA83" w:rsidR="0030771F" w:rsidRPr="008339F1" w:rsidRDefault="0030771F" w:rsidP="00494167">
            <w:pPr>
              <w:rPr>
                <w:rFonts w:ascii="Times New Roman" w:hAnsi="Times New Roman" w:cs="Times New Roman"/>
                <w:b/>
                <w:bCs/>
                <w:sz w:val="16"/>
                <w:szCs w:val="16"/>
              </w:rPr>
            </w:pPr>
            <w:r w:rsidRPr="008339F1">
              <w:rPr>
                <w:rFonts w:ascii="Times New Roman" w:hAnsi="Times New Roman" w:cs="Times New Roman"/>
                <w:b/>
                <w:bCs/>
                <w:sz w:val="16"/>
                <w:szCs w:val="16"/>
              </w:rPr>
              <w:t xml:space="preserve">Stakeholder collaboration challenges </w:t>
            </w:r>
          </w:p>
        </w:tc>
        <w:tc>
          <w:tcPr>
            <w:tcW w:w="2127" w:type="dxa"/>
          </w:tcPr>
          <w:p w14:paraId="6F33133B" w14:textId="1AA2BCC9"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Affected /influencing stakeholders</w:t>
            </w:r>
          </w:p>
        </w:tc>
        <w:tc>
          <w:tcPr>
            <w:tcW w:w="2268" w:type="dxa"/>
          </w:tcPr>
          <w:p w14:paraId="601E0784" w14:textId="1F2CE46F" w:rsidR="0030771F" w:rsidRPr="008339F1" w:rsidRDefault="0030771F" w:rsidP="00A004C5">
            <w:pPr>
              <w:rPr>
                <w:rFonts w:ascii="Times New Roman" w:hAnsi="Times New Roman" w:cs="Times New Roman"/>
                <w:b/>
                <w:bCs/>
                <w:sz w:val="16"/>
                <w:szCs w:val="16"/>
              </w:rPr>
            </w:pPr>
            <w:r w:rsidRPr="008339F1">
              <w:rPr>
                <w:rFonts w:ascii="Times New Roman" w:hAnsi="Times New Roman" w:cs="Times New Roman"/>
                <w:b/>
                <w:bCs/>
                <w:sz w:val="16"/>
                <w:szCs w:val="16"/>
              </w:rPr>
              <w:t>Stakeholder engagement strategies</w:t>
            </w:r>
          </w:p>
        </w:tc>
      </w:tr>
      <w:tr w:rsidR="008339F1" w:rsidRPr="008339F1" w14:paraId="68255EC2" w14:textId="77777777" w:rsidTr="002B37B8">
        <w:trPr>
          <w:trHeight w:val="3176"/>
        </w:trPr>
        <w:tc>
          <w:tcPr>
            <w:tcW w:w="503" w:type="dxa"/>
          </w:tcPr>
          <w:p w14:paraId="7BBA77B8" w14:textId="6D3D9670" w:rsidR="0030771F" w:rsidRPr="008339F1" w:rsidRDefault="00E519DB" w:rsidP="00A004C5">
            <w:pPr>
              <w:jc w:val="both"/>
              <w:rPr>
                <w:rFonts w:ascii="Times New Roman" w:hAnsi="Times New Roman" w:cs="Times New Roman"/>
                <w:sz w:val="16"/>
                <w:szCs w:val="16"/>
              </w:rPr>
            </w:pPr>
            <w:bookmarkStart w:id="6" w:name="_Hlk220608326"/>
            <w:bookmarkEnd w:id="4"/>
            <w:r w:rsidRPr="008339F1">
              <w:rPr>
                <w:rFonts w:ascii="Times New Roman" w:hAnsi="Times New Roman" w:cs="Times New Roman"/>
                <w:sz w:val="16"/>
                <w:szCs w:val="16"/>
              </w:rPr>
              <w:t>1</w:t>
            </w:r>
          </w:p>
        </w:tc>
        <w:bookmarkStart w:id="7" w:name="OLE_LINK203"/>
        <w:tc>
          <w:tcPr>
            <w:tcW w:w="915" w:type="dxa"/>
          </w:tcPr>
          <w:p w14:paraId="3B8FB685"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AuthorYear="1"&gt;&lt;Author&gt;Ma&lt;/Author&gt;&lt;Year&gt;2024&lt;/Year&gt;&lt;RecNum&gt;2196&lt;/RecNum&gt;&lt;DisplayText&gt;Ma and Hao (2024)&lt;/DisplayText&gt;&lt;record&gt;&lt;rec-number&gt;2196&lt;/rec-number&gt;&lt;foreign-keys&gt;&lt;key app="EN" db-id="z959xtv5kdxdt0eawtt5ssvc90eradx50fpz" timestamp="1752852176"&gt;2196&lt;/key&gt;&lt;/foreign-keys&gt;&lt;ref-type name="Journal Article"&gt;17&lt;/ref-type&gt;&lt;contributors&gt;&lt;authors&gt;&lt;author&gt;Ma, Wenting&lt;/author&gt;&lt;author&gt;Hao, Jian Li&lt;/author&gt;&lt;/authors&gt;&lt;/contributors&gt;&lt;titles&gt;&lt;title&gt;Enhancing a circular economy for construction and demolition waste management in China: A stakeholder engagement and key strategy approach&lt;/title&gt;&lt;secondary-title&gt;Journal of Cleaner Production&lt;/secondary-title&gt;&lt;/titles&gt;&lt;periodical&gt;&lt;full-title&gt;Journal of Cleaner Production&lt;/full-title&gt;&lt;abbr-1&gt;J. Clean. Prod.&lt;/abbr-1&gt;&lt;/periodical&gt;&lt;pages&gt;141763&lt;/pages&gt;&lt;volume&gt;450&lt;/volume&gt;&lt;keywords&gt;&lt;keyword&gt;Circular economy&lt;/keyword&gt;&lt;keyword&gt;Construction and demolition waste management&lt;/keyword&gt;&lt;keyword&gt;Stakeholder engagement&lt;/keyword&gt;&lt;keyword&gt;Key strategies&lt;/keyword&gt;&lt;/keywords&gt;&lt;dates&gt;&lt;year&gt;2024&lt;/year&gt;&lt;pub-dates&gt;&lt;date&gt;2024/04/15/&lt;/date&gt;&lt;/pub-dates&gt;&lt;/dates&gt;&lt;isbn&gt;0959-6526&lt;/isbn&gt;&lt;urls&gt;&lt;related-urls&gt;&lt;url&gt;https://www.sciencedirect.com/science/article/pii/S0959652624012113&lt;/url&gt;&lt;/related-urls&gt;&lt;/urls&gt;&lt;electronic-resource-num&gt;https://doi.org/10.1016/j.jclepro.2024.141763&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Ma and Hao (2024)</w:t>
            </w:r>
            <w:r w:rsidRPr="008339F1">
              <w:rPr>
                <w:rFonts w:ascii="Times New Roman" w:hAnsi="Times New Roman" w:cs="Times New Roman"/>
                <w:sz w:val="16"/>
                <w:szCs w:val="16"/>
              </w:rPr>
              <w:fldChar w:fldCharType="end"/>
            </w:r>
            <w:bookmarkEnd w:id="7"/>
          </w:p>
        </w:tc>
        <w:tc>
          <w:tcPr>
            <w:tcW w:w="992" w:type="dxa"/>
          </w:tcPr>
          <w:p w14:paraId="1359DCB8"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79752E7F" w14:textId="338E0F09"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Stakeholder engagement and key strategies for closed-loop C&amp;D waste management</w:t>
            </w:r>
          </w:p>
        </w:tc>
        <w:tc>
          <w:tcPr>
            <w:tcW w:w="1271" w:type="dxa"/>
          </w:tcPr>
          <w:p w14:paraId="232E982C" w14:textId="65411ABF"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Design, procurement, construction, waste recovery, recycling, secondary material use</w:t>
            </w:r>
          </w:p>
        </w:tc>
        <w:tc>
          <w:tcPr>
            <w:tcW w:w="1990" w:type="dxa"/>
          </w:tcPr>
          <w:p w14:paraId="4CBC1130" w14:textId="01ECA453" w:rsidR="0030771F" w:rsidRPr="008339F1" w:rsidRDefault="0009604B" w:rsidP="00A004C5">
            <w:pPr>
              <w:rPr>
                <w:rFonts w:ascii="Times New Roman" w:hAnsi="Times New Roman" w:cs="Times New Roman"/>
                <w:sz w:val="16"/>
                <w:szCs w:val="16"/>
              </w:rPr>
            </w:pPr>
            <w:r w:rsidRPr="008339F1">
              <w:rPr>
                <w:rFonts w:ascii="Times New Roman" w:hAnsi="Times New Roman" w:cs="Times New Roman"/>
                <w:sz w:val="16"/>
                <w:szCs w:val="16"/>
              </w:rPr>
              <w:t>Mixed metho</w:t>
            </w:r>
            <w:r w:rsidR="00882CF6" w:rsidRPr="008339F1">
              <w:rPr>
                <w:rFonts w:ascii="Times New Roman" w:hAnsi="Times New Roman" w:cs="Times New Roman"/>
                <w:sz w:val="16"/>
                <w:szCs w:val="16"/>
              </w:rPr>
              <w:t>d</w:t>
            </w:r>
            <w:r w:rsidRPr="008339F1">
              <w:rPr>
                <w:rFonts w:ascii="Times New Roman" w:hAnsi="Times New Roman" w:cs="Times New Roman"/>
                <w:sz w:val="16"/>
                <w:szCs w:val="16"/>
              </w:rPr>
              <w:t>s:</w:t>
            </w:r>
            <w:r w:rsidR="002214F0" w:rsidRPr="008339F1">
              <w:rPr>
                <w:rFonts w:ascii="Times New Roman" w:hAnsi="Times New Roman" w:cs="Times New Roman"/>
                <w:sz w:val="16"/>
                <w:szCs w:val="16"/>
              </w:rPr>
              <w:t xml:space="preserve"> </w:t>
            </w:r>
            <w:r w:rsidR="00FC6F71" w:rsidRPr="008339F1">
              <w:rPr>
                <w:rFonts w:ascii="Times New Roman" w:hAnsi="Times New Roman" w:cs="Times New Roman"/>
                <w:sz w:val="16"/>
                <w:szCs w:val="16"/>
              </w:rPr>
              <w:t>Questionnaire survey,</w:t>
            </w:r>
          </w:p>
          <w:p w14:paraId="041E81AA" w14:textId="6F07A5B1" w:rsidR="00FC6F71" w:rsidRPr="008339F1" w:rsidRDefault="00A47534" w:rsidP="00A004C5">
            <w:pPr>
              <w:rPr>
                <w:rFonts w:ascii="Times New Roman" w:hAnsi="Times New Roman" w:cs="Times New Roman"/>
                <w:sz w:val="16"/>
                <w:szCs w:val="16"/>
              </w:rPr>
            </w:pPr>
            <w:r w:rsidRPr="008339F1">
              <w:rPr>
                <w:rFonts w:ascii="Times New Roman" w:hAnsi="Times New Roman" w:cs="Times New Roman"/>
                <w:sz w:val="16"/>
                <w:szCs w:val="16"/>
              </w:rPr>
              <w:t>Semi</w:t>
            </w:r>
            <w:r w:rsidR="00266572" w:rsidRPr="008339F1">
              <w:rPr>
                <w:rFonts w:ascii="Times New Roman" w:hAnsi="Times New Roman" w:cs="Times New Roman"/>
                <w:sz w:val="16"/>
                <w:szCs w:val="16"/>
              </w:rPr>
              <w:t>-structured interview</w:t>
            </w:r>
          </w:p>
        </w:tc>
        <w:tc>
          <w:tcPr>
            <w:tcW w:w="1843" w:type="dxa"/>
          </w:tcPr>
          <w:p w14:paraId="7C78BEF7" w14:textId="0987A007" w:rsidR="0030771F" w:rsidRPr="008339F1" w:rsidRDefault="0030771F" w:rsidP="00A004C5">
            <w:pPr>
              <w:rPr>
                <w:rFonts w:ascii="Times New Roman" w:hAnsi="Times New Roman" w:cs="Times New Roman"/>
                <w:sz w:val="16"/>
                <w:szCs w:val="16"/>
              </w:rPr>
            </w:pPr>
            <w:bookmarkStart w:id="8" w:name="OLE_LINK206"/>
            <w:r w:rsidRPr="008339F1">
              <w:rPr>
                <w:rFonts w:ascii="Times New Roman" w:hAnsi="Times New Roman" w:cs="Times New Roman"/>
                <w:sz w:val="16"/>
                <w:szCs w:val="16"/>
              </w:rPr>
              <w:t xml:space="preserve">Government, C&amp;D waste treatment companies, clients, designers, </w:t>
            </w:r>
            <w:r w:rsidR="00DA3A3A">
              <w:rPr>
                <w:rFonts w:ascii="Times New Roman" w:hAnsi="Times New Roman" w:cs="Times New Roman"/>
                <w:sz w:val="16"/>
                <w:szCs w:val="16"/>
              </w:rPr>
              <w:t xml:space="preserve">and </w:t>
            </w:r>
            <w:r w:rsidRPr="008339F1">
              <w:rPr>
                <w:rFonts w:ascii="Times New Roman" w:hAnsi="Times New Roman" w:cs="Times New Roman"/>
                <w:sz w:val="16"/>
                <w:szCs w:val="16"/>
              </w:rPr>
              <w:t>contractors are key stakeholders.</w:t>
            </w:r>
          </w:p>
          <w:p w14:paraId="43635133" w14:textId="3312F18E" w:rsidR="002214F0" w:rsidRPr="008339F1" w:rsidRDefault="002214F0" w:rsidP="00A004C5">
            <w:pPr>
              <w:rPr>
                <w:rFonts w:ascii="Times New Roman" w:hAnsi="Times New Roman" w:cs="Times New Roman"/>
                <w:sz w:val="16"/>
                <w:szCs w:val="16"/>
              </w:rPr>
            </w:pPr>
            <w:r w:rsidRPr="008339F1">
              <w:rPr>
                <w:rFonts w:ascii="Times New Roman" w:hAnsi="Times New Roman" w:cs="Times New Roman"/>
                <w:sz w:val="16"/>
                <w:szCs w:val="16"/>
              </w:rPr>
              <w:t>Construction firms, demolition contractors, and recyclers are key operational actors</w:t>
            </w:r>
            <w:r w:rsidR="00DA3A3A">
              <w:rPr>
                <w:rFonts w:ascii="Times New Roman" w:hAnsi="Times New Roman" w:cs="Times New Roman"/>
                <w:sz w:val="16"/>
                <w:szCs w:val="16"/>
              </w:rPr>
              <w:t>.</w:t>
            </w:r>
          </w:p>
          <w:bookmarkEnd w:id="8"/>
          <w:p w14:paraId="3F43019E" w14:textId="77777777" w:rsidR="0030771F" w:rsidRPr="008339F1" w:rsidRDefault="0030771F" w:rsidP="00A004C5">
            <w:pPr>
              <w:rPr>
                <w:rFonts w:ascii="Times New Roman" w:hAnsi="Times New Roman" w:cs="Times New Roman"/>
                <w:sz w:val="16"/>
                <w:szCs w:val="16"/>
              </w:rPr>
            </w:pPr>
          </w:p>
        </w:tc>
        <w:tc>
          <w:tcPr>
            <w:tcW w:w="2126" w:type="dxa"/>
          </w:tcPr>
          <w:p w14:paraId="299EC0E0" w14:textId="6EAA7B8F" w:rsidR="0030771F" w:rsidRPr="008339F1" w:rsidRDefault="000B7899" w:rsidP="00833FAD">
            <w:pPr>
              <w:rPr>
                <w:rFonts w:ascii="Times New Roman" w:hAnsi="Times New Roman" w:cs="Times New Roman"/>
                <w:sz w:val="16"/>
                <w:szCs w:val="16"/>
              </w:rPr>
            </w:pPr>
            <w:r w:rsidRPr="008339F1">
              <w:rPr>
                <w:rFonts w:ascii="Times New Roman" w:hAnsi="Times New Roman" w:cs="Times New Roman"/>
                <w:sz w:val="16"/>
                <w:szCs w:val="16"/>
              </w:rPr>
              <w:t xml:space="preserve">Government bodies are the most influential actors, mainly because they set regulations, enforce policies, and provide incentives. </w:t>
            </w:r>
            <w:r w:rsidR="00D745BD" w:rsidRPr="008339F1">
              <w:rPr>
                <w:rFonts w:ascii="Times New Roman" w:hAnsi="Times New Roman" w:cs="Times New Roman"/>
                <w:sz w:val="16"/>
                <w:szCs w:val="16"/>
              </w:rPr>
              <w:t>Construction firms, demolition contractors, and recyclers are key operational actors.</w:t>
            </w:r>
          </w:p>
        </w:tc>
        <w:tc>
          <w:tcPr>
            <w:tcW w:w="2835" w:type="dxa"/>
          </w:tcPr>
          <w:p w14:paraId="5A79C58A" w14:textId="449AE418" w:rsidR="0030771F" w:rsidRPr="008339F1" w:rsidRDefault="0030771F" w:rsidP="00043D3B">
            <w:pPr>
              <w:rPr>
                <w:rFonts w:ascii="Times New Roman" w:hAnsi="Times New Roman" w:cs="Times New Roman"/>
                <w:sz w:val="16"/>
                <w:szCs w:val="16"/>
              </w:rPr>
            </w:pPr>
            <w:r w:rsidRPr="008339F1">
              <w:rPr>
                <w:rFonts w:ascii="Times New Roman" w:hAnsi="Times New Roman" w:cs="Times New Roman"/>
                <w:sz w:val="16"/>
                <w:szCs w:val="16"/>
              </w:rPr>
              <w:t xml:space="preserve">Government = Accountable/Consulted for policy, standards, incentives and market systems; </w:t>
            </w:r>
            <w:r w:rsidR="004526CB" w:rsidRPr="008339F1">
              <w:rPr>
                <w:rFonts w:ascii="Times New Roman" w:hAnsi="Times New Roman" w:cs="Times New Roman"/>
                <w:sz w:val="16"/>
                <w:szCs w:val="16"/>
              </w:rPr>
              <w:t xml:space="preserve">Responsible for </w:t>
            </w:r>
            <w:r w:rsidR="003C5BFA" w:rsidRPr="008339F1">
              <w:rPr>
                <w:rFonts w:ascii="Times New Roman" w:hAnsi="Times New Roman" w:cs="Times New Roman"/>
                <w:sz w:val="16"/>
                <w:szCs w:val="16"/>
              </w:rPr>
              <w:t>enforcement</w:t>
            </w:r>
            <w:r w:rsidR="009676F8">
              <w:rPr>
                <w:rFonts w:ascii="Times New Roman" w:hAnsi="Times New Roman" w:cs="Times New Roman"/>
                <w:sz w:val="16"/>
                <w:szCs w:val="16"/>
              </w:rPr>
              <w:t>.</w:t>
            </w:r>
            <w:r w:rsidR="003C5BFA" w:rsidRPr="008339F1">
              <w:rPr>
                <w:rFonts w:ascii="Times New Roman" w:hAnsi="Times New Roman" w:cs="Times New Roman"/>
                <w:sz w:val="16"/>
                <w:szCs w:val="16"/>
              </w:rPr>
              <w:t xml:space="preserve"> </w:t>
            </w:r>
            <w:r w:rsidRPr="008339F1">
              <w:rPr>
                <w:rFonts w:ascii="Times New Roman" w:hAnsi="Times New Roman" w:cs="Times New Roman"/>
                <w:sz w:val="16"/>
                <w:szCs w:val="16"/>
              </w:rPr>
              <w:t>Clients = Accountable for green procurement and project budget; Designers</w:t>
            </w:r>
            <w:r w:rsidR="001F48E0" w:rsidRPr="008339F1">
              <w:rPr>
                <w:rFonts w:ascii="Times New Roman" w:hAnsi="Times New Roman" w:cs="Times New Roman"/>
                <w:sz w:val="16"/>
                <w:szCs w:val="16"/>
              </w:rPr>
              <w:t>/archit</w:t>
            </w:r>
            <w:r w:rsidR="00B3561D" w:rsidRPr="008339F1">
              <w:rPr>
                <w:rFonts w:ascii="Times New Roman" w:hAnsi="Times New Roman" w:cs="Times New Roman"/>
                <w:sz w:val="16"/>
                <w:szCs w:val="16"/>
              </w:rPr>
              <w:t>ects/engineers</w:t>
            </w:r>
            <w:r w:rsidRPr="008339F1">
              <w:rPr>
                <w:rFonts w:ascii="Times New Roman" w:hAnsi="Times New Roman" w:cs="Times New Roman"/>
                <w:sz w:val="16"/>
                <w:szCs w:val="16"/>
              </w:rPr>
              <w:t xml:space="preserve"> = </w:t>
            </w:r>
            <w:r w:rsidR="00D161C6" w:rsidRPr="008339F1">
              <w:rPr>
                <w:rFonts w:ascii="Times New Roman" w:hAnsi="Times New Roman" w:cs="Times New Roman"/>
                <w:sz w:val="16"/>
                <w:szCs w:val="16"/>
              </w:rPr>
              <w:t xml:space="preserve">Responsible/consulted </w:t>
            </w:r>
            <w:r w:rsidRPr="008339F1">
              <w:rPr>
                <w:rFonts w:ascii="Times New Roman" w:hAnsi="Times New Roman" w:cs="Times New Roman"/>
                <w:sz w:val="16"/>
                <w:szCs w:val="16"/>
              </w:rPr>
              <w:t>for circular design; Contractors = Responsible for site waste management and implementation of construction/</w:t>
            </w:r>
            <w:r w:rsidR="002D7275" w:rsidRPr="008339F1">
              <w:rPr>
                <w:rFonts w:ascii="Times New Roman" w:hAnsi="Times New Roman" w:cs="Times New Roman"/>
                <w:sz w:val="16"/>
                <w:szCs w:val="16"/>
              </w:rPr>
              <w:t xml:space="preserve"> </w:t>
            </w:r>
            <w:r w:rsidRPr="008339F1">
              <w:rPr>
                <w:rFonts w:ascii="Times New Roman" w:hAnsi="Times New Roman" w:cs="Times New Roman"/>
                <w:sz w:val="16"/>
                <w:szCs w:val="16"/>
              </w:rPr>
              <w:t>deconstruction techniques; C&amp;D waste treatment companies = Responsible for sorting, recycling, and improving secondary material quality.</w:t>
            </w:r>
          </w:p>
        </w:tc>
        <w:tc>
          <w:tcPr>
            <w:tcW w:w="3118" w:type="dxa"/>
          </w:tcPr>
          <w:p w14:paraId="083A46B7" w14:textId="5033CBC1" w:rsidR="00D745BD" w:rsidRPr="008339F1" w:rsidRDefault="001B3A84" w:rsidP="00D745BD">
            <w:pPr>
              <w:rPr>
                <w:rFonts w:ascii="Times New Roman" w:hAnsi="Times New Roman" w:cs="Times New Roman"/>
                <w:sz w:val="16"/>
                <w:szCs w:val="16"/>
              </w:rPr>
            </w:pPr>
            <w:r w:rsidRPr="008339F1">
              <w:rPr>
                <w:rFonts w:ascii="Times New Roman" w:hAnsi="Times New Roman" w:cs="Times New Roman"/>
                <w:sz w:val="16"/>
                <w:szCs w:val="16"/>
              </w:rPr>
              <w:t xml:space="preserve">Lack of coordination and misaligned incentives between stakeholders </w:t>
            </w:r>
            <w:r w:rsidR="009676F8">
              <w:rPr>
                <w:rFonts w:ascii="Times New Roman" w:hAnsi="Times New Roman" w:cs="Times New Roman"/>
                <w:sz w:val="16"/>
                <w:szCs w:val="16"/>
              </w:rPr>
              <w:t>are</w:t>
            </w:r>
            <w:r w:rsidRPr="008339F1">
              <w:rPr>
                <w:rFonts w:ascii="Times New Roman" w:hAnsi="Times New Roman" w:cs="Times New Roman"/>
                <w:sz w:val="16"/>
                <w:szCs w:val="16"/>
              </w:rPr>
              <w:t xml:space="preserve"> major barrier</w:t>
            </w:r>
            <w:r w:rsidR="009676F8">
              <w:rPr>
                <w:rFonts w:ascii="Times New Roman" w:hAnsi="Times New Roman" w:cs="Times New Roman"/>
                <w:sz w:val="16"/>
                <w:szCs w:val="16"/>
              </w:rPr>
              <w:t>s</w:t>
            </w:r>
            <w:r w:rsidRPr="008339F1">
              <w:rPr>
                <w:rFonts w:ascii="Times New Roman" w:hAnsi="Times New Roman" w:cs="Times New Roman"/>
                <w:sz w:val="16"/>
                <w:szCs w:val="16"/>
              </w:rPr>
              <w:t>.</w:t>
            </w:r>
            <w:r w:rsidR="005D5895" w:rsidRPr="008339F1">
              <w:rPr>
                <w:rFonts w:ascii="Times New Roman" w:hAnsi="Times New Roman" w:cs="Times New Roman"/>
                <w:sz w:val="16"/>
                <w:szCs w:val="16"/>
              </w:rPr>
              <w:t xml:space="preserve"> </w:t>
            </w:r>
          </w:p>
          <w:p w14:paraId="08A1D5DB" w14:textId="2DE3E132" w:rsidR="0030771F" w:rsidRPr="008339F1" w:rsidRDefault="0030771F" w:rsidP="005D5895">
            <w:pPr>
              <w:rPr>
                <w:rFonts w:ascii="Times New Roman" w:hAnsi="Times New Roman" w:cs="Times New Roman"/>
                <w:sz w:val="16"/>
                <w:szCs w:val="16"/>
              </w:rPr>
            </w:pPr>
          </w:p>
        </w:tc>
        <w:tc>
          <w:tcPr>
            <w:tcW w:w="2127" w:type="dxa"/>
          </w:tcPr>
          <w:p w14:paraId="03D51AE1" w14:textId="16D4DBE0" w:rsidR="0030771F" w:rsidRPr="008339F1" w:rsidRDefault="008D1EF0" w:rsidP="00890A4E">
            <w:pPr>
              <w:rPr>
                <w:rFonts w:ascii="Times New Roman" w:hAnsi="Times New Roman" w:cs="Times New Roman"/>
                <w:sz w:val="16"/>
                <w:szCs w:val="16"/>
              </w:rPr>
            </w:pPr>
            <w:r w:rsidRPr="008339F1">
              <w:rPr>
                <w:rFonts w:ascii="Times New Roman" w:hAnsi="Times New Roman" w:cs="Times New Roman"/>
                <w:sz w:val="16"/>
                <w:szCs w:val="16"/>
              </w:rPr>
              <w:t>Construction firms, demolition contractors, and recyclers</w:t>
            </w:r>
            <w:r w:rsidR="009676F8">
              <w:rPr>
                <w:rFonts w:ascii="Times New Roman" w:hAnsi="Times New Roman" w:cs="Times New Roman"/>
                <w:sz w:val="16"/>
                <w:szCs w:val="16"/>
              </w:rPr>
              <w:t>'</w:t>
            </w:r>
            <w:r w:rsidRPr="008339F1">
              <w:rPr>
                <w:rFonts w:ascii="Times New Roman" w:hAnsi="Times New Roman" w:cs="Times New Roman"/>
                <w:sz w:val="16"/>
                <w:szCs w:val="16"/>
              </w:rPr>
              <w:t xml:space="preserve"> actions largely depend on policy pressure and economic feasibility.</w:t>
            </w:r>
          </w:p>
        </w:tc>
        <w:tc>
          <w:tcPr>
            <w:tcW w:w="2268" w:type="dxa"/>
          </w:tcPr>
          <w:p w14:paraId="33C4DDDB" w14:textId="3D8A7007" w:rsidR="00812DAC" w:rsidRPr="008339F1" w:rsidRDefault="00476222" w:rsidP="00812DAC">
            <w:pPr>
              <w:rPr>
                <w:rFonts w:ascii="Times New Roman" w:hAnsi="Times New Roman" w:cs="Times New Roman"/>
                <w:sz w:val="16"/>
                <w:szCs w:val="16"/>
              </w:rPr>
            </w:pPr>
            <w:r w:rsidRPr="008339F1">
              <w:rPr>
                <w:rFonts w:ascii="Times New Roman" w:hAnsi="Times New Roman" w:cs="Times New Roman"/>
                <w:sz w:val="16"/>
                <w:szCs w:val="16"/>
              </w:rPr>
              <w:t>Coordinated stakeholder engagement</w:t>
            </w:r>
            <w:r w:rsidR="009C3558" w:rsidRPr="008339F1">
              <w:rPr>
                <w:rFonts w:ascii="Times New Roman" w:hAnsi="Times New Roman" w:cs="Times New Roman"/>
                <w:sz w:val="16"/>
                <w:szCs w:val="16"/>
              </w:rPr>
              <w:t xml:space="preserve"> </w:t>
            </w:r>
            <w:r w:rsidR="00812DAC" w:rsidRPr="008339F1">
              <w:rPr>
                <w:rFonts w:ascii="Times New Roman" w:hAnsi="Times New Roman" w:cs="Times New Roman"/>
                <w:sz w:val="16"/>
                <w:szCs w:val="16"/>
              </w:rPr>
              <w:t>(Platforms for communication across supply chain actors</w:t>
            </w:r>
          </w:p>
          <w:p w14:paraId="227FED82" w14:textId="77777777" w:rsidR="00812DAC" w:rsidRPr="008339F1" w:rsidRDefault="00812DAC" w:rsidP="00812DAC">
            <w:pPr>
              <w:rPr>
                <w:rFonts w:ascii="Times New Roman" w:hAnsi="Times New Roman" w:cs="Times New Roman"/>
                <w:sz w:val="16"/>
                <w:szCs w:val="16"/>
              </w:rPr>
            </w:pPr>
            <w:r w:rsidRPr="008339F1">
              <w:rPr>
                <w:rFonts w:ascii="Times New Roman" w:hAnsi="Times New Roman" w:cs="Times New Roman"/>
                <w:sz w:val="16"/>
                <w:szCs w:val="16"/>
              </w:rPr>
              <w:t>Public–private partnerships</w:t>
            </w:r>
          </w:p>
          <w:p w14:paraId="632FCF6B" w14:textId="066DCF01" w:rsidR="00476222" w:rsidRPr="008339F1" w:rsidRDefault="00812DAC" w:rsidP="00812DAC">
            <w:pPr>
              <w:rPr>
                <w:rFonts w:ascii="Times New Roman" w:hAnsi="Times New Roman" w:cs="Times New Roman"/>
                <w:sz w:val="16"/>
                <w:szCs w:val="16"/>
              </w:rPr>
            </w:pPr>
            <w:r w:rsidRPr="008339F1">
              <w:rPr>
                <w:rFonts w:ascii="Times New Roman" w:hAnsi="Times New Roman" w:cs="Times New Roman"/>
                <w:sz w:val="16"/>
                <w:szCs w:val="16"/>
              </w:rPr>
              <w:t>Integration of designers, contractors, and recyclers early in projects)</w:t>
            </w:r>
          </w:p>
          <w:p w14:paraId="3C3519E8" w14:textId="77777777" w:rsidR="00476222" w:rsidRPr="008339F1" w:rsidRDefault="00476222" w:rsidP="00476222">
            <w:pPr>
              <w:rPr>
                <w:rFonts w:ascii="Times New Roman" w:hAnsi="Times New Roman" w:cs="Times New Roman"/>
                <w:sz w:val="16"/>
                <w:szCs w:val="16"/>
              </w:rPr>
            </w:pPr>
            <w:r w:rsidRPr="008339F1">
              <w:rPr>
                <w:rFonts w:ascii="Times New Roman" w:hAnsi="Times New Roman" w:cs="Times New Roman"/>
                <w:sz w:val="16"/>
                <w:szCs w:val="16"/>
              </w:rPr>
              <w:t>Supportive policies</w:t>
            </w:r>
          </w:p>
          <w:p w14:paraId="3C8596A1" w14:textId="031FA1DF" w:rsidR="00104EF5" w:rsidRPr="008339F1" w:rsidRDefault="00476222" w:rsidP="00104EF5">
            <w:pPr>
              <w:rPr>
                <w:rFonts w:ascii="Times New Roman" w:hAnsi="Times New Roman" w:cs="Times New Roman"/>
                <w:sz w:val="16"/>
                <w:szCs w:val="16"/>
              </w:rPr>
            </w:pPr>
            <w:r w:rsidRPr="008339F1">
              <w:rPr>
                <w:rFonts w:ascii="Times New Roman" w:hAnsi="Times New Roman" w:cs="Times New Roman"/>
                <w:sz w:val="16"/>
                <w:szCs w:val="16"/>
              </w:rPr>
              <w:t>Market and technological development</w:t>
            </w:r>
            <w:r w:rsidR="00812DAC" w:rsidRPr="008339F1">
              <w:rPr>
                <w:rFonts w:ascii="Times New Roman" w:hAnsi="Times New Roman" w:cs="Times New Roman"/>
                <w:sz w:val="16"/>
                <w:szCs w:val="16"/>
              </w:rPr>
              <w:t>,</w:t>
            </w:r>
            <w:r w:rsidR="00104EF5" w:rsidRPr="008339F1">
              <w:rPr>
                <w:rFonts w:ascii="Times New Roman" w:hAnsi="Times New Roman" w:cs="Times New Roman"/>
                <w:sz w:val="16"/>
                <w:szCs w:val="16"/>
              </w:rPr>
              <w:t xml:space="preserve"> clearer role definition</w:t>
            </w:r>
          </w:p>
          <w:p w14:paraId="4395E2AA" w14:textId="2CABE873" w:rsidR="0030771F" w:rsidRPr="008339F1" w:rsidRDefault="0030771F" w:rsidP="00104EF5">
            <w:pPr>
              <w:rPr>
                <w:rFonts w:ascii="Times New Roman" w:hAnsi="Times New Roman" w:cs="Times New Roman"/>
                <w:sz w:val="16"/>
                <w:szCs w:val="16"/>
              </w:rPr>
            </w:pPr>
          </w:p>
        </w:tc>
      </w:tr>
      <w:tr w:rsidR="008339F1" w:rsidRPr="008339F1" w14:paraId="6473D4A0" w14:textId="77777777" w:rsidTr="002B37B8">
        <w:trPr>
          <w:trHeight w:val="2116"/>
        </w:trPr>
        <w:tc>
          <w:tcPr>
            <w:tcW w:w="503" w:type="dxa"/>
          </w:tcPr>
          <w:p w14:paraId="7CB131DB" w14:textId="08F66245" w:rsidR="0030771F" w:rsidRPr="008339F1" w:rsidRDefault="005E4264" w:rsidP="00A004C5">
            <w:pPr>
              <w:jc w:val="both"/>
              <w:rPr>
                <w:rFonts w:ascii="Times New Roman" w:hAnsi="Times New Roman" w:cs="Times New Roman"/>
                <w:sz w:val="16"/>
                <w:szCs w:val="16"/>
              </w:rPr>
            </w:pPr>
            <w:r w:rsidRPr="008339F1">
              <w:rPr>
                <w:rFonts w:ascii="Times New Roman" w:hAnsi="Times New Roman" w:cs="Times New Roman"/>
                <w:sz w:val="16"/>
                <w:szCs w:val="16"/>
              </w:rPr>
              <w:t>2</w:t>
            </w:r>
          </w:p>
        </w:tc>
        <w:bookmarkStart w:id="9" w:name="OLE_LINK240"/>
        <w:tc>
          <w:tcPr>
            <w:tcW w:w="915" w:type="dxa"/>
          </w:tcPr>
          <w:p w14:paraId="34D2A8A7"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AuthorYear="1"&gt;&lt;Author&gt;Keena&lt;/Author&gt;&lt;Year&gt;2022&lt;/Year&gt;&lt;RecNum&gt;2312&lt;/RecNum&gt;&lt;DisplayText&gt;Keena et al. (2022)&lt;/DisplayText&gt;&lt;record&gt;&lt;rec-number&gt;2312&lt;/rec-number&gt;&lt;foreign-keys&gt;&lt;key app="EN" db-id="z959xtv5kdxdt0eawtt5ssvc90eradx50fpz" timestamp="1761567889"&gt;2312&lt;/key&gt;&lt;/foreign-keys&gt;&lt;ref-type name="Journal Article"&gt;17&lt;/ref-type&gt;&lt;contributors&gt;&lt;authors&gt;&lt;author&gt;Keena, Naomi&lt;/author&gt;&lt;author&gt;Rondinel-Oviedo, Daniel R.&lt;/author&gt;&lt;author&gt;Demaël, Hermine&lt;/author&gt;&lt;/authors&gt;&lt;/contributors&gt;&lt;titles&gt;&lt;title&gt;Circular Economy Design towards Zero Waste: Laying the foundation for constructive stakeholder engagement on improving construction, renovation, and demolition (CRD) waste management&lt;/title&gt;&lt;secondary-title&gt;IOP Conference Series: Earth and Environmental Science&lt;/secondary-title&gt;&lt;/titles&gt;&lt;periodical&gt;&lt;full-title&gt;IOP Conference Series: Earth and Environmental Science&lt;/full-title&gt;&lt;/periodical&gt;&lt;pages&gt;012059&lt;/pages&gt;&lt;volume&gt;1122&lt;/volume&gt;&lt;number&gt;1&lt;/number&gt;&lt;dates&gt;&lt;year&gt;2022&lt;/year&gt;&lt;pub-dates&gt;&lt;date&gt;2022/12/01&lt;/date&gt;&lt;/pub-dates&gt;&lt;/dates&gt;&lt;publisher&gt;IOP Publishing&lt;/publisher&gt;&lt;isbn&gt;1755-1315&amp;#xD;1755-1307&lt;/isbn&gt;&lt;urls&gt;&lt;related-urls&gt;&lt;url&gt;https://doi.org/10.1088/1755-1315/1122/1/012059&lt;/url&gt;&lt;/related-urls&gt;&lt;/urls&gt;&lt;electronic-resource-num&gt;10.1088/1755-1315/1122/1/012059&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Keena et al. (2022)</w:t>
            </w:r>
            <w:r w:rsidRPr="008339F1">
              <w:rPr>
                <w:rFonts w:ascii="Times New Roman" w:hAnsi="Times New Roman" w:cs="Times New Roman"/>
                <w:sz w:val="16"/>
                <w:szCs w:val="16"/>
              </w:rPr>
              <w:fldChar w:fldCharType="end"/>
            </w:r>
            <w:bookmarkEnd w:id="9"/>
          </w:p>
        </w:tc>
        <w:tc>
          <w:tcPr>
            <w:tcW w:w="992" w:type="dxa"/>
          </w:tcPr>
          <w:p w14:paraId="109CDF85"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Canada (Montréal)</w:t>
            </w:r>
          </w:p>
        </w:tc>
        <w:tc>
          <w:tcPr>
            <w:tcW w:w="1559" w:type="dxa"/>
          </w:tcPr>
          <w:p w14:paraId="6D37A46A"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Develop a framework for data-driven stakeholder engagement and circular design strategies supporting zero-waste goals in Montréal’s CRD sector.</w:t>
            </w:r>
          </w:p>
        </w:tc>
        <w:tc>
          <w:tcPr>
            <w:tcW w:w="1271" w:type="dxa"/>
          </w:tcPr>
          <w:p w14:paraId="3C178353" w14:textId="77777777" w:rsidR="00417F1E" w:rsidRPr="008339F1" w:rsidRDefault="00417F1E" w:rsidP="00417F1E">
            <w:pPr>
              <w:rPr>
                <w:rFonts w:ascii="Times New Roman" w:hAnsi="Times New Roman" w:cs="Times New Roman"/>
                <w:sz w:val="16"/>
                <w:szCs w:val="16"/>
              </w:rPr>
            </w:pPr>
            <w:r w:rsidRPr="008339F1">
              <w:rPr>
                <w:rFonts w:ascii="Times New Roman" w:hAnsi="Times New Roman" w:cs="Times New Roman"/>
                <w:sz w:val="16"/>
                <w:szCs w:val="16"/>
              </w:rPr>
              <w:t>Design</w:t>
            </w:r>
          </w:p>
          <w:p w14:paraId="6D15DAEB" w14:textId="77777777" w:rsidR="00417F1E" w:rsidRPr="008339F1" w:rsidRDefault="00417F1E" w:rsidP="00417F1E">
            <w:pPr>
              <w:rPr>
                <w:rFonts w:ascii="Times New Roman" w:hAnsi="Times New Roman" w:cs="Times New Roman"/>
                <w:sz w:val="16"/>
                <w:szCs w:val="16"/>
              </w:rPr>
            </w:pPr>
            <w:r w:rsidRPr="008339F1">
              <w:rPr>
                <w:rFonts w:ascii="Times New Roman" w:hAnsi="Times New Roman" w:cs="Times New Roman"/>
                <w:sz w:val="16"/>
                <w:szCs w:val="16"/>
              </w:rPr>
              <w:t>Construction</w:t>
            </w:r>
          </w:p>
          <w:p w14:paraId="7A7C6C6B" w14:textId="77777777" w:rsidR="00417F1E" w:rsidRPr="008339F1" w:rsidRDefault="00417F1E" w:rsidP="00417F1E">
            <w:pPr>
              <w:rPr>
                <w:rFonts w:ascii="Times New Roman" w:hAnsi="Times New Roman" w:cs="Times New Roman"/>
                <w:sz w:val="16"/>
                <w:szCs w:val="16"/>
              </w:rPr>
            </w:pPr>
            <w:r w:rsidRPr="008339F1">
              <w:rPr>
                <w:rFonts w:ascii="Times New Roman" w:hAnsi="Times New Roman" w:cs="Times New Roman"/>
                <w:sz w:val="16"/>
                <w:szCs w:val="16"/>
              </w:rPr>
              <w:t>Use</w:t>
            </w:r>
          </w:p>
          <w:p w14:paraId="578FC77C" w14:textId="1258393D" w:rsidR="0030771F" w:rsidRPr="008339F1" w:rsidRDefault="00417F1E" w:rsidP="00417F1E">
            <w:pPr>
              <w:rPr>
                <w:rFonts w:ascii="Times New Roman" w:hAnsi="Times New Roman" w:cs="Times New Roman"/>
                <w:sz w:val="16"/>
                <w:szCs w:val="16"/>
              </w:rPr>
            </w:pPr>
            <w:r w:rsidRPr="008339F1">
              <w:rPr>
                <w:rFonts w:ascii="Times New Roman" w:hAnsi="Times New Roman" w:cs="Times New Roman"/>
                <w:sz w:val="16"/>
                <w:szCs w:val="16"/>
              </w:rPr>
              <w:t>End-of-life</w:t>
            </w:r>
          </w:p>
        </w:tc>
        <w:tc>
          <w:tcPr>
            <w:tcW w:w="1990" w:type="dxa"/>
          </w:tcPr>
          <w:p w14:paraId="679C4B52" w14:textId="1502F39C" w:rsidR="004B19B0" w:rsidRPr="008339F1" w:rsidRDefault="00C3506A" w:rsidP="004B19B0">
            <w:pPr>
              <w:rPr>
                <w:rFonts w:ascii="Times New Roman" w:hAnsi="Times New Roman" w:cs="Times New Roman"/>
                <w:sz w:val="16"/>
                <w:szCs w:val="16"/>
              </w:rPr>
            </w:pPr>
            <w:r w:rsidRPr="008339F1">
              <w:rPr>
                <w:rFonts w:ascii="Times New Roman" w:hAnsi="Times New Roman" w:cs="Times New Roman"/>
                <w:sz w:val="16"/>
                <w:szCs w:val="16"/>
              </w:rPr>
              <w:t>Literature review, s</w:t>
            </w:r>
            <w:r w:rsidR="004B19B0" w:rsidRPr="008339F1">
              <w:rPr>
                <w:rFonts w:ascii="Times New Roman" w:hAnsi="Times New Roman" w:cs="Times New Roman"/>
                <w:sz w:val="16"/>
                <w:szCs w:val="16"/>
              </w:rPr>
              <w:t>emi</w:t>
            </w:r>
          </w:p>
          <w:p w14:paraId="4536DA20" w14:textId="4F082E02" w:rsidR="0030771F" w:rsidRPr="008339F1" w:rsidRDefault="004B19B0" w:rsidP="004B19B0">
            <w:pPr>
              <w:rPr>
                <w:rFonts w:ascii="Times New Roman" w:hAnsi="Times New Roman" w:cs="Times New Roman"/>
                <w:sz w:val="16"/>
                <w:szCs w:val="16"/>
              </w:rPr>
            </w:pPr>
            <w:r w:rsidRPr="008339F1">
              <w:rPr>
                <w:rFonts w:ascii="Times New Roman" w:hAnsi="Times New Roman" w:cs="Times New Roman"/>
                <w:sz w:val="16"/>
                <w:szCs w:val="16"/>
              </w:rPr>
              <w:t>structured interviews</w:t>
            </w:r>
            <w:r w:rsidR="00C3506A" w:rsidRPr="008339F1">
              <w:rPr>
                <w:rFonts w:ascii="Times New Roman" w:hAnsi="Times New Roman" w:cs="Times New Roman"/>
                <w:sz w:val="16"/>
                <w:szCs w:val="16"/>
              </w:rPr>
              <w:t xml:space="preserve">, </w:t>
            </w:r>
          </w:p>
        </w:tc>
        <w:tc>
          <w:tcPr>
            <w:tcW w:w="1843" w:type="dxa"/>
          </w:tcPr>
          <w:p w14:paraId="7CF2BD31" w14:textId="0DFADF58"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Government/policymakers, AEC industry, end-of-</w:t>
            </w:r>
            <w:r w:rsidR="00FD37CD" w:rsidRPr="008339F1">
              <w:rPr>
                <w:rFonts w:ascii="Times New Roman" w:hAnsi="Times New Roman" w:cs="Times New Roman"/>
                <w:sz w:val="16"/>
                <w:szCs w:val="16"/>
              </w:rPr>
              <w:t>life</w:t>
            </w:r>
            <w:r w:rsidRPr="008339F1">
              <w:rPr>
                <w:rFonts w:ascii="Times New Roman" w:hAnsi="Times New Roman" w:cs="Times New Roman"/>
                <w:sz w:val="16"/>
                <w:szCs w:val="16"/>
              </w:rPr>
              <w:t xml:space="preserve"> contractors, financial sector, users/public, academia/research</w:t>
            </w:r>
          </w:p>
        </w:tc>
        <w:tc>
          <w:tcPr>
            <w:tcW w:w="2126" w:type="dxa"/>
          </w:tcPr>
          <w:p w14:paraId="4006E193" w14:textId="77777777" w:rsidR="0030771F" w:rsidRPr="008339F1" w:rsidRDefault="0030771F" w:rsidP="00833FAD">
            <w:pPr>
              <w:rPr>
                <w:rFonts w:ascii="Times New Roman" w:hAnsi="Times New Roman" w:cs="Times New Roman"/>
                <w:sz w:val="16"/>
                <w:szCs w:val="16"/>
              </w:rPr>
            </w:pPr>
          </w:p>
        </w:tc>
        <w:tc>
          <w:tcPr>
            <w:tcW w:w="2835" w:type="dxa"/>
          </w:tcPr>
          <w:p w14:paraId="5BB5414B" w14:textId="3799DD7D" w:rsidR="0030771F" w:rsidRPr="008339F1" w:rsidRDefault="0030771F" w:rsidP="004D5104">
            <w:pPr>
              <w:rPr>
                <w:rFonts w:ascii="Times New Roman" w:hAnsi="Times New Roman" w:cs="Times New Roman"/>
                <w:sz w:val="16"/>
                <w:szCs w:val="16"/>
              </w:rPr>
            </w:pPr>
          </w:p>
        </w:tc>
        <w:tc>
          <w:tcPr>
            <w:tcW w:w="3118" w:type="dxa"/>
          </w:tcPr>
          <w:p w14:paraId="0750EE5A" w14:textId="78C99339" w:rsidR="0030771F" w:rsidRPr="008339F1" w:rsidRDefault="0030771F" w:rsidP="00540944">
            <w:pPr>
              <w:rPr>
                <w:rFonts w:ascii="Times New Roman" w:hAnsi="Times New Roman" w:cs="Times New Roman"/>
                <w:sz w:val="16"/>
                <w:szCs w:val="16"/>
              </w:rPr>
            </w:pPr>
            <w:r w:rsidRPr="008339F1">
              <w:rPr>
                <w:rFonts w:ascii="Times New Roman" w:hAnsi="Times New Roman" w:cs="Times New Roman"/>
                <w:sz w:val="16"/>
                <w:szCs w:val="16"/>
              </w:rPr>
              <w:t xml:space="preserve">Fragmented and siloed data, weak circular material information, lack of clear CRD/CE definitions, limited transparency, low market value of reused CRD materials, high processing/recycling costs, lack of incentives for deconstruction, limited precedents, and lack of </w:t>
            </w:r>
            <w:r w:rsidR="00DA3A3A">
              <w:rPr>
                <w:rFonts w:ascii="Times New Roman" w:hAnsi="Times New Roman" w:cs="Times New Roman"/>
                <w:sz w:val="16"/>
                <w:szCs w:val="16"/>
              </w:rPr>
              <w:t xml:space="preserve">a </w:t>
            </w:r>
            <w:r w:rsidRPr="008339F1">
              <w:rPr>
                <w:rFonts w:ascii="Times New Roman" w:hAnsi="Times New Roman" w:cs="Times New Roman"/>
                <w:sz w:val="16"/>
                <w:szCs w:val="16"/>
              </w:rPr>
              <w:t>clear understanding of material flows.</w:t>
            </w:r>
          </w:p>
        </w:tc>
        <w:tc>
          <w:tcPr>
            <w:tcW w:w="2127" w:type="dxa"/>
          </w:tcPr>
          <w:p w14:paraId="0B34FBE8" w14:textId="6E1C99C8" w:rsidR="0030771F" w:rsidRPr="008339F1" w:rsidRDefault="0030771F" w:rsidP="00036C94">
            <w:pPr>
              <w:rPr>
                <w:rFonts w:ascii="Times New Roman" w:hAnsi="Times New Roman" w:cs="Times New Roman"/>
                <w:sz w:val="16"/>
                <w:szCs w:val="16"/>
              </w:rPr>
            </w:pPr>
            <w:r w:rsidRPr="008339F1">
              <w:rPr>
                <w:rFonts w:ascii="Times New Roman" w:hAnsi="Times New Roman" w:cs="Times New Roman"/>
                <w:sz w:val="16"/>
                <w:szCs w:val="16"/>
              </w:rPr>
              <w:t xml:space="preserve">Affected: AEC actors, policymakers, </w:t>
            </w:r>
            <w:r w:rsidR="009676F8">
              <w:rPr>
                <w:rFonts w:ascii="Times New Roman" w:hAnsi="Times New Roman" w:cs="Times New Roman"/>
                <w:sz w:val="16"/>
                <w:szCs w:val="16"/>
              </w:rPr>
              <w:t xml:space="preserve">and </w:t>
            </w:r>
            <w:r w:rsidRPr="008339F1">
              <w:rPr>
                <w:rFonts w:ascii="Times New Roman" w:hAnsi="Times New Roman" w:cs="Times New Roman"/>
                <w:sz w:val="16"/>
                <w:szCs w:val="16"/>
              </w:rPr>
              <w:t>end-of-use contractors. Influencing: government, academia, CE experts, finance sector.</w:t>
            </w:r>
          </w:p>
        </w:tc>
        <w:tc>
          <w:tcPr>
            <w:tcW w:w="2268" w:type="dxa"/>
          </w:tcPr>
          <w:p w14:paraId="46D49563" w14:textId="42170E2D" w:rsidR="0030771F" w:rsidRPr="008339F1" w:rsidRDefault="00DA3A3A" w:rsidP="00036C94">
            <w:pPr>
              <w:rPr>
                <w:rFonts w:ascii="Times New Roman" w:hAnsi="Times New Roman" w:cs="Times New Roman"/>
                <w:sz w:val="16"/>
                <w:szCs w:val="16"/>
              </w:rPr>
            </w:pPr>
            <w:r>
              <w:rPr>
                <w:rFonts w:ascii="Times New Roman" w:hAnsi="Times New Roman" w:cs="Times New Roman"/>
                <w:sz w:val="16"/>
                <w:szCs w:val="16"/>
              </w:rPr>
              <w:t>C</w:t>
            </w:r>
            <w:r w:rsidR="0030771F" w:rsidRPr="008339F1">
              <w:rPr>
                <w:rFonts w:ascii="Times New Roman" w:hAnsi="Times New Roman" w:cs="Times New Roman"/>
                <w:sz w:val="16"/>
                <w:szCs w:val="16"/>
              </w:rPr>
              <w:t>ircular waste management requires lifecycle-wide stakeholder engagement, better data transparency, clearer role definition, and policy-supported collaboration.</w:t>
            </w:r>
          </w:p>
        </w:tc>
      </w:tr>
      <w:tr w:rsidR="008339F1" w:rsidRPr="008339F1" w14:paraId="27AB0576" w14:textId="77777777" w:rsidTr="002B37B8">
        <w:tc>
          <w:tcPr>
            <w:tcW w:w="503" w:type="dxa"/>
          </w:tcPr>
          <w:p w14:paraId="4AB0D9E9" w14:textId="6C087752" w:rsidR="0030771F" w:rsidRPr="008339F1" w:rsidRDefault="005E4264" w:rsidP="00A004C5">
            <w:pPr>
              <w:jc w:val="both"/>
              <w:rPr>
                <w:rFonts w:ascii="Times New Roman" w:hAnsi="Times New Roman" w:cs="Times New Roman"/>
                <w:sz w:val="16"/>
                <w:szCs w:val="16"/>
              </w:rPr>
            </w:pPr>
            <w:r w:rsidRPr="008339F1">
              <w:rPr>
                <w:rFonts w:ascii="Times New Roman" w:hAnsi="Times New Roman" w:cs="Times New Roman"/>
                <w:sz w:val="16"/>
                <w:szCs w:val="16"/>
              </w:rPr>
              <w:t>3</w:t>
            </w:r>
          </w:p>
        </w:tc>
        <w:bookmarkStart w:id="10" w:name="OLE_LINK205"/>
        <w:tc>
          <w:tcPr>
            <w:tcW w:w="915" w:type="dxa"/>
          </w:tcPr>
          <w:p w14:paraId="7DA4AD09"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AuthorYear="1"&gt;&lt;Author&gt;Ma&lt;/Author&gt;&lt;Year&gt;2023&lt;/Year&gt;&lt;RecNum&gt;2543&lt;/RecNum&gt;&lt;DisplayText&gt;Ma et al. (2023)&lt;/DisplayText&gt;&lt;record&gt;&lt;rec-number&gt;2543&lt;/rec-number&gt;&lt;foreign-keys&gt;&lt;key app="EN" db-id="z959xtv5kdxdt0eawtt5ssvc90eradx50fpz" timestamp="1767677430"&gt;2543&lt;/key&gt;&lt;/foreign-keys&gt;&lt;ref-type name="Journal Article"&gt;17&lt;/ref-type&gt;&lt;contributors&gt;&lt;authors&gt;&lt;author&gt;Ma, Mingxue&lt;/author&gt;&lt;author&gt;Tam, Vivian Wy&lt;/author&gt;&lt;author&gt;Le, Khoa N&lt;/author&gt;&lt;author&gt;Butera, Anthony&lt;/author&gt;&lt;author&gt;Li, Wengui&lt;/author&gt;&lt;author&gt;Wang, Xiangyu&lt;/author&gt;&lt;/authors&gt;&lt;/contributors&gt;&lt;titles&gt;&lt;title&gt;Comparative analysis on international construction and demolition waste management policies and laws for policy makers in China&lt;/title&gt;&lt;secondary-title&gt;Journal of Civil Engineering and Management&lt;/secondary-title&gt;&lt;/titles&gt;&lt;periodical&gt;&lt;full-title&gt;Journal of Civil Engineering and Management&lt;/full-title&gt;&lt;/periodical&gt;&lt;pages&gt;107-130&lt;/pages&gt;&lt;volume&gt;29&lt;/volume&gt;&lt;number&gt;2&lt;/number&gt;&lt;dates&gt;&lt;year&gt;2023&lt;/year&gt;&lt;/dates&gt;&lt;isbn&gt;1822-3605&lt;/isbn&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Ma et al. (2023)</w:t>
            </w:r>
            <w:r w:rsidRPr="008339F1">
              <w:rPr>
                <w:rFonts w:ascii="Times New Roman" w:hAnsi="Times New Roman" w:cs="Times New Roman"/>
                <w:sz w:val="16"/>
                <w:szCs w:val="16"/>
              </w:rPr>
              <w:fldChar w:fldCharType="end"/>
            </w:r>
            <w:bookmarkEnd w:id="10"/>
          </w:p>
        </w:tc>
        <w:tc>
          <w:tcPr>
            <w:tcW w:w="992" w:type="dxa"/>
          </w:tcPr>
          <w:p w14:paraId="318F39F7"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5EAF90C5"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Compares global C&amp;D waste policies to identify China gaps and propose improvements</w:t>
            </w:r>
          </w:p>
        </w:tc>
        <w:tc>
          <w:tcPr>
            <w:tcW w:w="1271" w:type="dxa"/>
          </w:tcPr>
          <w:p w14:paraId="033839F1" w14:textId="2AF4E0E7"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Construction; demolition; recycling; transport; landfill</w:t>
            </w:r>
          </w:p>
        </w:tc>
        <w:tc>
          <w:tcPr>
            <w:tcW w:w="1990" w:type="dxa"/>
          </w:tcPr>
          <w:p w14:paraId="2E7C5C06" w14:textId="40E2648B" w:rsidR="0030771F" w:rsidRPr="008339F1" w:rsidRDefault="00B705EB" w:rsidP="00A004C5">
            <w:pPr>
              <w:rPr>
                <w:rFonts w:ascii="Times New Roman" w:hAnsi="Times New Roman" w:cs="Times New Roman"/>
                <w:sz w:val="16"/>
                <w:szCs w:val="16"/>
              </w:rPr>
            </w:pPr>
            <w:r w:rsidRPr="008339F1">
              <w:rPr>
                <w:rFonts w:ascii="Times New Roman" w:hAnsi="Times New Roman" w:cs="Times New Roman"/>
                <w:sz w:val="16"/>
                <w:szCs w:val="16"/>
              </w:rPr>
              <w:t>Policy document review</w:t>
            </w:r>
          </w:p>
        </w:tc>
        <w:tc>
          <w:tcPr>
            <w:tcW w:w="1843" w:type="dxa"/>
          </w:tcPr>
          <w:p w14:paraId="080A6AA2" w14:textId="5453D0C1" w:rsidR="0030771F" w:rsidRPr="008339F1" w:rsidRDefault="0030771F" w:rsidP="00A004C5">
            <w:pPr>
              <w:rPr>
                <w:rFonts w:ascii="Times New Roman" w:hAnsi="Times New Roman" w:cs="Times New Roman"/>
                <w:sz w:val="16"/>
                <w:szCs w:val="16"/>
              </w:rPr>
            </w:pPr>
            <w:bookmarkStart w:id="11" w:name="OLE_LINK208"/>
            <w:r w:rsidRPr="008339F1">
              <w:rPr>
                <w:rFonts w:ascii="Times New Roman" w:hAnsi="Times New Roman" w:cs="Times New Roman"/>
                <w:sz w:val="16"/>
                <w:szCs w:val="16"/>
              </w:rPr>
              <w:t>Central/federal government, provincial/state governments, municipalities, ordering parties/clients, main contractors/waste producers, subcontractors, demolition companies, recycling companies, landfill operators, material suppliers, consumers, transportation companies</w:t>
            </w:r>
          </w:p>
          <w:bookmarkEnd w:id="11"/>
          <w:p w14:paraId="12A98685" w14:textId="77777777" w:rsidR="0030771F" w:rsidRPr="008339F1" w:rsidRDefault="0030771F" w:rsidP="00A004C5">
            <w:pPr>
              <w:rPr>
                <w:rFonts w:ascii="Times New Roman" w:hAnsi="Times New Roman" w:cs="Times New Roman"/>
                <w:sz w:val="16"/>
                <w:szCs w:val="16"/>
              </w:rPr>
            </w:pPr>
          </w:p>
          <w:p w14:paraId="0C9A629A" w14:textId="77777777" w:rsidR="0030771F" w:rsidRPr="008339F1" w:rsidRDefault="0030771F" w:rsidP="00A004C5">
            <w:pPr>
              <w:rPr>
                <w:rFonts w:ascii="Times New Roman" w:hAnsi="Times New Roman" w:cs="Times New Roman"/>
                <w:sz w:val="16"/>
                <w:szCs w:val="16"/>
              </w:rPr>
            </w:pPr>
          </w:p>
        </w:tc>
        <w:tc>
          <w:tcPr>
            <w:tcW w:w="2126" w:type="dxa"/>
          </w:tcPr>
          <w:p w14:paraId="6FDF7449" w14:textId="2692F114" w:rsidR="0030771F" w:rsidRPr="008339F1" w:rsidRDefault="00F26D2F" w:rsidP="00833FAD">
            <w:pPr>
              <w:rPr>
                <w:rFonts w:ascii="Times New Roman" w:hAnsi="Times New Roman" w:cs="Times New Roman"/>
                <w:sz w:val="16"/>
                <w:szCs w:val="16"/>
              </w:rPr>
            </w:pPr>
            <w:r w:rsidRPr="008339F1">
              <w:rPr>
                <w:rFonts w:ascii="Times New Roman" w:hAnsi="Times New Roman" w:cs="Times New Roman"/>
                <w:sz w:val="16"/>
                <w:szCs w:val="16"/>
              </w:rPr>
              <w:t>Governments are responsible for setting regulations, providing guidance, and supervising implementation, while contractors and waste producers must plan, reduce, and properly manage waste throughout the project lifecycle. Demolition, recycling, and transportation companies are tasked with sorting, processing, and safely handling waste, whereas landfill operators ensure proper disposal and record-keeping.</w:t>
            </w:r>
          </w:p>
        </w:tc>
        <w:tc>
          <w:tcPr>
            <w:tcW w:w="2835" w:type="dxa"/>
          </w:tcPr>
          <w:p w14:paraId="479F08EE" w14:textId="6AA10DCD" w:rsidR="0030771F" w:rsidRPr="008339F1" w:rsidRDefault="0030771F" w:rsidP="00637AF9">
            <w:pPr>
              <w:rPr>
                <w:rFonts w:ascii="Times New Roman" w:hAnsi="Times New Roman" w:cs="Times New Roman"/>
                <w:sz w:val="16"/>
                <w:szCs w:val="16"/>
              </w:rPr>
            </w:pPr>
            <w:r w:rsidRPr="008339F1">
              <w:rPr>
                <w:rFonts w:ascii="Times New Roman" w:hAnsi="Times New Roman" w:cs="Times New Roman"/>
                <w:sz w:val="16"/>
                <w:szCs w:val="16"/>
              </w:rPr>
              <w:t>Government = Accountable for role definition/policy/supervision; contractors = Responsible for waste plans and waste management;</w:t>
            </w:r>
            <w:r w:rsidR="009F512F" w:rsidRPr="008339F1">
              <w:rPr>
                <w:rFonts w:ascii="Times New Roman" w:hAnsi="Times New Roman" w:cs="Times New Roman"/>
                <w:sz w:val="16"/>
                <w:szCs w:val="16"/>
              </w:rPr>
              <w:t xml:space="preserve"> </w:t>
            </w:r>
            <w:r w:rsidRPr="008339F1">
              <w:rPr>
                <w:rFonts w:ascii="Times New Roman" w:hAnsi="Times New Roman" w:cs="Times New Roman"/>
                <w:sz w:val="16"/>
                <w:szCs w:val="16"/>
              </w:rPr>
              <w:t>demolition/recycling/transport/landfill actors = Responsible for operational duties.</w:t>
            </w:r>
            <w:r w:rsidR="00DE561B" w:rsidRPr="008339F1">
              <w:rPr>
                <w:rFonts w:ascii="Times New Roman" w:hAnsi="Times New Roman" w:cs="Times New Roman"/>
                <w:sz w:val="16"/>
                <w:szCs w:val="16"/>
              </w:rPr>
              <w:t xml:space="preserve"> </w:t>
            </w:r>
          </w:p>
          <w:p w14:paraId="42082173" w14:textId="3056AC44" w:rsidR="0030771F" w:rsidRPr="008339F1" w:rsidRDefault="0030771F" w:rsidP="00637AF9">
            <w:pPr>
              <w:rPr>
                <w:rFonts w:ascii="Times New Roman" w:hAnsi="Times New Roman" w:cs="Times New Roman"/>
                <w:sz w:val="16"/>
                <w:szCs w:val="16"/>
              </w:rPr>
            </w:pPr>
          </w:p>
        </w:tc>
        <w:tc>
          <w:tcPr>
            <w:tcW w:w="3118" w:type="dxa"/>
          </w:tcPr>
          <w:p w14:paraId="19C56FF6" w14:textId="1F593561" w:rsidR="0030771F" w:rsidRPr="008339F1" w:rsidRDefault="0030771F" w:rsidP="005905CC">
            <w:pPr>
              <w:rPr>
                <w:rFonts w:ascii="Times New Roman" w:hAnsi="Times New Roman" w:cs="Times New Roman"/>
                <w:sz w:val="16"/>
                <w:szCs w:val="16"/>
              </w:rPr>
            </w:pPr>
          </w:p>
        </w:tc>
        <w:tc>
          <w:tcPr>
            <w:tcW w:w="2127" w:type="dxa"/>
          </w:tcPr>
          <w:p w14:paraId="2CAD25C3" w14:textId="66532903" w:rsidR="0030771F" w:rsidRPr="008339F1" w:rsidRDefault="0030771F" w:rsidP="008E7654">
            <w:pPr>
              <w:rPr>
                <w:rFonts w:ascii="Times New Roman" w:hAnsi="Times New Roman" w:cs="Times New Roman"/>
                <w:sz w:val="16"/>
                <w:szCs w:val="16"/>
              </w:rPr>
            </w:pPr>
          </w:p>
        </w:tc>
        <w:tc>
          <w:tcPr>
            <w:tcW w:w="2268" w:type="dxa"/>
          </w:tcPr>
          <w:p w14:paraId="4664E4D1" w14:textId="60B3A1CD" w:rsidR="0030771F" w:rsidRPr="008339F1" w:rsidRDefault="0030771F" w:rsidP="008E7654">
            <w:pPr>
              <w:rPr>
                <w:rFonts w:ascii="Times New Roman" w:hAnsi="Times New Roman" w:cs="Times New Roman"/>
                <w:sz w:val="16"/>
                <w:szCs w:val="16"/>
              </w:rPr>
            </w:pPr>
          </w:p>
        </w:tc>
      </w:tr>
      <w:tr w:rsidR="008339F1" w:rsidRPr="008339F1" w14:paraId="605CE2A0" w14:textId="77777777" w:rsidTr="002B37B8">
        <w:trPr>
          <w:trHeight w:val="3828"/>
        </w:trPr>
        <w:tc>
          <w:tcPr>
            <w:tcW w:w="503" w:type="dxa"/>
          </w:tcPr>
          <w:p w14:paraId="66FD4A0B" w14:textId="0D90EEDB" w:rsidR="0030771F" w:rsidRPr="008339F1" w:rsidRDefault="005E4264" w:rsidP="00A004C5">
            <w:pPr>
              <w:jc w:val="both"/>
              <w:rPr>
                <w:rFonts w:ascii="Times New Roman" w:hAnsi="Times New Roman" w:cs="Times New Roman"/>
                <w:sz w:val="16"/>
                <w:szCs w:val="16"/>
              </w:rPr>
            </w:pPr>
            <w:r w:rsidRPr="008339F1">
              <w:rPr>
                <w:rFonts w:ascii="Times New Roman" w:hAnsi="Times New Roman" w:cs="Times New Roman"/>
                <w:sz w:val="16"/>
                <w:szCs w:val="16"/>
              </w:rPr>
              <w:lastRenderedPageBreak/>
              <w:t>4</w:t>
            </w:r>
          </w:p>
        </w:tc>
        <w:tc>
          <w:tcPr>
            <w:tcW w:w="915" w:type="dxa"/>
          </w:tcPr>
          <w:p w14:paraId="1E0E8175" w14:textId="58BB525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fldData xml:space="preserve">PEVuZE5vdGU+PENpdGUgQXV0aG9yWWVhcj0iMSI+PEF1dGhvcj5SYW08L0F1dGhvcj48WWVhcj4y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</w:fldData>
              </w:fldChar>
            </w:r>
            <w:r w:rsidR="00DE7A23">
              <w:rPr>
                <w:rFonts w:ascii="Times New Roman" w:hAnsi="Times New Roman" w:cs="Times New Roman"/>
                <w:sz w:val="16"/>
                <w:szCs w:val="16"/>
              </w:rPr>
              <w:instrText xml:space="preserve"> ADDIN EN.CITE </w:instrText>
            </w:r>
            <w:r w:rsidR="00DE7A23">
              <w:rPr>
                <w:rFonts w:ascii="Times New Roman" w:hAnsi="Times New Roman" w:cs="Times New Roman"/>
                <w:sz w:val="16"/>
                <w:szCs w:val="16"/>
              </w:rPr>
              <w:fldChar w:fldCharType="begin">
                <w:fldData xml:space="preserve">PEVuZE5vdGU+PENpdGUgQXV0aG9yWWVhcj0iMSI+PEF1dGhvcj5SYW08L0F1dGhvcj48WWVhcj4y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</w:fldData>
              </w:fldChar>
            </w:r>
            <w:r w:rsidR="00DE7A23">
              <w:rPr>
                <w:rFonts w:ascii="Times New Roman" w:hAnsi="Times New Roman" w:cs="Times New Roman"/>
                <w:sz w:val="16"/>
                <w:szCs w:val="16"/>
              </w:rPr>
              <w:instrText xml:space="preserve"> ADDIN EN.CITE.DATA </w:instrText>
            </w:r>
            <w:r w:rsidR="00DE7A23">
              <w:rPr>
                <w:rFonts w:ascii="Times New Roman" w:hAnsi="Times New Roman" w:cs="Times New Roman"/>
                <w:sz w:val="16"/>
                <w:szCs w:val="16"/>
              </w:rPr>
            </w:r>
            <w:r w:rsidR="00DE7A23">
              <w:rPr>
                <w:rFonts w:ascii="Times New Roman" w:hAnsi="Times New Roman" w:cs="Times New Roman"/>
                <w:sz w:val="16"/>
                <w:szCs w:val="16"/>
              </w:rPr>
              <w:fldChar w:fldCharType="end"/>
            </w:r>
            <w:r w:rsidRPr="008339F1">
              <w:rPr>
                <w:rFonts w:ascii="Times New Roman" w:hAnsi="Times New Roman" w:cs="Times New Roman"/>
                <w:sz w:val="16"/>
                <w:szCs w:val="16"/>
              </w:rPr>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Ram et al. (2019)</w:t>
            </w:r>
            <w:r w:rsidRPr="008339F1">
              <w:rPr>
                <w:rFonts w:ascii="Times New Roman" w:hAnsi="Times New Roman" w:cs="Times New Roman"/>
                <w:sz w:val="16"/>
                <w:szCs w:val="16"/>
              </w:rPr>
              <w:fldChar w:fldCharType="end"/>
            </w:r>
          </w:p>
        </w:tc>
        <w:tc>
          <w:tcPr>
            <w:tcW w:w="992" w:type="dxa"/>
          </w:tcPr>
          <w:p w14:paraId="2D8929D7"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 xml:space="preserve">India  </w:t>
            </w:r>
          </w:p>
        </w:tc>
        <w:tc>
          <w:tcPr>
            <w:tcW w:w="1559" w:type="dxa"/>
          </w:tcPr>
          <w:p w14:paraId="0216E9C3" w14:textId="32F1EA4B" w:rsidR="0030771F" w:rsidRPr="008339F1" w:rsidRDefault="0030771F" w:rsidP="0017448A">
            <w:pPr>
              <w:rPr>
                <w:rFonts w:ascii="Times New Roman" w:hAnsi="Times New Roman" w:cs="Times New Roman"/>
                <w:sz w:val="16"/>
                <w:szCs w:val="16"/>
              </w:rPr>
            </w:pPr>
            <w:r w:rsidRPr="008339F1">
              <w:rPr>
                <w:rFonts w:ascii="Times New Roman" w:hAnsi="Times New Roman" w:cs="Times New Roman"/>
                <w:sz w:val="16"/>
                <w:szCs w:val="16"/>
              </w:rPr>
              <w:t>Challenges and prospects of C&amp;D/demolition waste recycling, with emphasis on recycled aggregates and market viability</w:t>
            </w:r>
          </w:p>
        </w:tc>
        <w:tc>
          <w:tcPr>
            <w:tcW w:w="1271" w:type="dxa"/>
          </w:tcPr>
          <w:p w14:paraId="0010218F" w14:textId="39DB342B" w:rsidR="0030771F" w:rsidRPr="008339F1" w:rsidRDefault="008339F1" w:rsidP="00A004C5">
            <w:pPr>
              <w:rPr>
                <w:rFonts w:ascii="Times New Roman" w:hAnsi="Times New Roman" w:cs="Times New Roman"/>
                <w:sz w:val="16"/>
                <w:szCs w:val="16"/>
              </w:rPr>
            </w:pPr>
            <w:r>
              <w:rPr>
                <w:rFonts w:ascii="Times New Roman" w:hAnsi="Times New Roman" w:cs="Times New Roman"/>
                <w:sz w:val="16"/>
                <w:szCs w:val="16"/>
              </w:rPr>
              <w:t xml:space="preserve">End-of-life; </w:t>
            </w:r>
            <w:r w:rsidR="0030771F" w:rsidRPr="008339F1">
              <w:rPr>
                <w:rFonts w:ascii="Times New Roman" w:hAnsi="Times New Roman" w:cs="Times New Roman"/>
                <w:sz w:val="16"/>
                <w:szCs w:val="16"/>
              </w:rPr>
              <w:t>recycling</w:t>
            </w:r>
          </w:p>
        </w:tc>
        <w:tc>
          <w:tcPr>
            <w:tcW w:w="1990" w:type="dxa"/>
          </w:tcPr>
          <w:p w14:paraId="4BD58B88" w14:textId="33DF6B57" w:rsidR="0030771F" w:rsidRPr="008339F1" w:rsidRDefault="006750CB" w:rsidP="00A004C5">
            <w:pPr>
              <w:rPr>
                <w:rFonts w:ascii="Times New Roman" w:hAnsi="Times New Roman" w:cs="Times New Roman"/>
                <w:sz w:val="16"/>
                <w:szCs w:val="16"/>
              </w:rPr>
            </w:pPr>
            <w:r w:rsidRPr="008339F1">
              <w:rPr>
                <w:rFonts w:ascii="Times New Roman" w:hAnsi="Times New Roman" w:cs="Times New Roman"/>
                <w:sz w:val="16"/>
                <w:szCs w:val="16"/>
              </w:rPr>
              <w:t>Semi-structured, open-ended interviews</w:t>
            </w:r>
          </w:p>
        </w:tc>
        <w:tc>
          <w:tcPr>
            <w:tcW w:w="1843" w:type="dxa"/>
          </w:tcPr>
          <w:p w14:paraId="6C974817" w14:textId="3502E9F1"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Demolition contractors; builders/contractors; architects; RMC producers; municipal corporations; recyclers; regulators; clients; professional bodies; NGOs/activists</w:t>
            </w:r>
          </w:p>
        </w:tc>
        <w:tc>
          <w:tcPr>
            <w:tcW w:w="2126" w:type="dxa"/>
          </w:tcPr>
          <w:p w14:paraId="28BC62DB" w14:textId="68F85118" w:rsidR="0030771F" w:rsidRPr="008339F1" w:rsidRDefault="008F69D1" w:rsidP="00833FAD">
            <w:pPr>
              <w:rPr>
                <w:rFonts w:ascii="Times New Roman" w:hAnsi="Times New Roman" w:cs="Times New Roman"/>
                <w:sz w:val="16"/>
                <w:szCs w:val="16"/>
              </w:rPr>
            </w:pPr>
            <w:r w:rsidRPr="008339F1">
              <w:rPr>
                <w:rFonts w:ascii="Times New Roman" w:hAnsi="Times New Roman" w:cs="Times New Roman"/>
                <w:sz w:val="16"/>
                <w:szCs w:val="16"/>
              </w:rPr>
              <w:t>D</w:t>
            </w:r>
            <w:r w:rsidR="0030771F" w:rsidRPr="008339F1">
              <w:rPr>
                <w:rFonts w:ascii="Times New Roman" w:hAnsi="Times New Roman" w:cs="Times New Roman"/>
                <w:sz w:val="16"/>
                <w:szCs w:val="16"/>
              </w:rPr>
              <w:t xml:space="preserve">emolition is conducted by </w:t>
            </w:r>
            <w:proofErr w:type="spellStart"/>
            <w:r w:rsidR="0030771F" w:rsidRPr="008339F1">
              <w:rPr>
                <w:rFonts w:ascii="Times New Roman" w:hAnsi="Times New Roman" w:cs="Times New Roman"/>
                <w:sz w:val="16"/>
                <w:szCs w:val="16"/>
              </w:rPr>
              <w:t>specialised</w:t>
            </w:r>
            <w:proofErr w:type="spellEnd"/>
            <w:r w:rsidR="0030771F" w:rsidRPr="008339F1">
              <w:rPr>
                <w:rFonts w:ascii="Times New Roman" w:hAnsi="Times New Roman" w:cs="Times New Roman"/>
                <w:sz w:val="16"/>
                <w:szCs w:val="16"/>
              </w:rPr>
              <w:t xml:space="preserve"> contractors who are “responsible for managing the waste generated”; recyclers source waste from demolition contractors or landfills; architects influence client/builder material choices; RMC producers are potential recycled aggregate users; and municipal corporations have responsibilities for collection, processing, </w:t>
            </w:r>
            <w:proofErr w:type="spellStart"/>
            <w:r w:rsidR="0030771F" w:rsidRPr="008339F1">
              <w:rPr>
                <w:rFonts w:ascii="Times New Roman" w:hAnsi="Times New Roman" w:cs="Times New Roman"/>
                <w:sz w:val="16"/>
                <w:szCs w:val="16"/>
              </w:rPr>
              <w:t>utilisation</w:t>
            </w:r>
            <w:proofErr w:type="spellEnd"/>
            <w:r w:rsidR="0030771F" w:rsidRPr="008339F1">
              <w:rPr>
                <w:rFonts w:ascii="Times New Roman" w:hAnsi="Times New Roman" w:cs="Times New Roman"/>
                <w:sz w:val="16"/>
                <w:szCs w:val="16"/>
              </w:rPr>
              <w:t>, recycling facilities and incentives.</w:t>
            </w:r>
          </w:p>
        </w:tc>
        <w:tc>
          <w:tcPr>
            <w:tcW w:w="2835" w:type="dxa"/>
          </w:tcPr>
          <w:p w14:paraId="554D77AC" w14:textId="64754D29" w:rsidR="0030771F" w:rsidRPr="008339F1" w:rsidRDefault="0030771F" w:rsidP="006971C9">
            <w:pPr>
              <w:rPr>
                <w:rFonts w:ascii="Times New Roman" w:hAnsi="Times New Roman" w:cs="Times New Roman"/>
                <w:sz w:val="16"/>
                <w:szCs w:val="16"/>
              </w:rPr>
            </w:pPr>
            <w:bookmarkStart w:id="12" w:name="OLE_LINK20"/>
            <w:r w:rsidRPr="008339F1">
              <w:rPr>
                <w:rFonts w:ascii="Times New Roman" w:hAnsi="Times New Roman" w:cs="Times New Roman"/>
                <w:sz w:val="16"/>
                <w:szCs w:val="16"/>
              </w:rPr>
              <w:t>Demolition contractors = Responsible for demolition waste handling; recyclers = Responsible for processing and recycled aggregate production; architects/client consultants = Consulted/Influencing for material acceptance; RMC producers/builders = Responsible/End users for uptake of recycled aggregates/products; municipal corporations/regulators = Accountable for facilities, incentives, enforcement and waste-system coordination</w:t>
            </w:r>
            <w:bookmarkEnd w:id="12"/>
            <w:r w:rsidRPr="008339F1">
              <w:rPr>
                <w:rFonts w:ascii="Times New Roman" w:hAnsi="Times New Roman" w:cs="Times New Roman"/>
                <w:sz w:val="16"/>
                <w:szCs w:val="16"/>
              </w:rPr>
              <w:t>.</w:t>
            </w:r>
          </w:p>
        </w:tc>
        <w:tc>
          <w:tcPr>
            <w:tcW w:w="3118" w:type="dxa"/>
          </w:tcPr>
          <w:p w14:paraId="02B598B0" w14:textId="277E120A" w:rsidR="0030771F" w:rsidRPr="008339F1" w:rsidRDefault="0030771F" w:rsidP="00860E88">
            <w:pPr>
              <w:rPr>
                <w:rFonts w:ascii="Times New Roman" w:hAnsi="Times New Roman" w:cs="Times New Roman"/>
                <w:sz w:val="16"/>
                <w:szCs w:val="16"/>
              </w:rPr>
            </w:pPr>
          </w:p>
        </w:tc>
        <w:tc>
          <w:tcPr>
            <w:tcW w:w="2127" w:type="dxa"/>
          </w:tcPr>
          <w:p w14:paraId="33E981F2" w14:textId="5FA06636" w:rsidR="0030771F" w:rsidRPr="008339F1" w:rsidRDefault="0030771F" w:rsidP="005210BB">
            <w:pPr>
              <w:rPr>
                <w:rFonts w:ascii="Times New Roman" w:hAnsi="Times New Roman" w:cs="Times New Roman"/>
                <w:sz w:val="16"/>
                <w:szCs w:val="16"/>
              </w:rPr>
            </w:pPr>
          </w:p>
        </w:tc>
        <w:tc>
          <w:tcPr>
            <w:tcW w:w="2268" w:type="dxa"/>
          </w:tcPr>
          <w:p w14:paraId="0BAF5502" w14:textId="344C5363" w:rsidR="0030771F" w:rsidRPr="008339F1" w:rsidRDefault="0030771F" w:rsidP="00501313">
            <w:pPr>
              <w:rPr>
                <w:rFonts w:ascii="Times New Roman" w:hAnsi="Times New Roman" w:cs="Times New Roman"/>
                <w:sz w:val="16"/>
                <w:szCs w:val="16"/>
              </w:rPr>
            </w:pPr>
            <w:r w:rsidRPr="008339F1">
              <w:rPr>
                <w:rFonts w:ascii="Times New Roman" w:hAnsi="Times New Roman" w:cs="Times New Roman"/>
                <w:sz w:val="16"/>
                <w:szCs w:val="16"/>
              </w:rPr>
              <w:t xml:space="preserve">Government support to offset supply-chain costs; stronger enforcement; input gate fee/deposit-refund mechanisms; selective demolition; on-site sorting; public procurement of recycled products; value-added products such as recycled aggregate paver blocks; awareness </w:t>
            </w:r>
            <w:proofErr w:type="spellStart"/>
            <w:r w:rsidRPr="008339F1">
              <w:rPr>
                <w:rFonts w:ascii="Times New Roman" w:hAnsi="Times New Roman" w:cs="Times New Roman"/>
                <w:sz w:val="16"/>
                <w:szCs w:val="16"/>
              </w:rPr>
              <w:t>programmes</w:t>
            </w:r>
            <w:proofErr w:type="spellEnd"/>
            <w:r w:rsidRPr="008339F1">
              <w:rPr>
                <w:rFonts w:ascii="Times New Roman" w:hAnsi="Times New Roman" w:cs="Times New Roman"/>
                <w:sz w:val="16"/>
                <w:szCs w:val="16"/>
              </w:rPr>
              <w:t>.</w:t>
            </w:r>
          </w:p>
        </w:tc>
      </w:tr>
      <w:tr w:rsidR="008339F1" w:rsidRPr="008339F1" w14:paraId="68B3F601" w14:textId="77777777" w:rsidTr="002B37B8">
        <w:trPr>
          <w:trHeight w:val="4202"/>
        </w:trPr>
        <w:tc>
          <w:tcPr>
            <w:tcW w:w="503" w:type="dxa"/>
          </w:tcPr>
          <w:p w14:paraId="666F0E19" w14:textId="2363DD6C" w:rsidR="0030771F" w:rsidRPr="008339F1" w:rsidRDefault="005E4264" w:rsidP="00A004C5">
            <w:pPr>
              <w:jc w:val="both"/>
              <w:rPr>
                <w:rFonts w:ascii="Times New Roman" w:hAnsi="Times New Roman" w:cs="Times New Roman"/>
                <w:sz w:val="16"/>
                <w:szCs w:val="16"/>
              </w:rPr>
            </w:pPr>
            <w:r w:rsidRPr="008339F1">
              <w:rPr>
                <w:rFonts w:ascii="Times New Roman" w:hAnsi="Times New Roman" w:cs="Times New Roman"/>
                <w:sz w:val="16"/>
                <w:szCs w:val="16"/>
              </w:rPr>
              <w:t xml:space="preserve">5 </w:t>
            </w:r>
          </w:p>
        </w:tc>
        <w:tc>
          <w:tcPr>
            <w:tcW w:w="915" w:type="dxa"/>
          </w:tcPr>
          <w:p w14:paraId="4D7CBAE9" w14:textId="3CA0E8FA"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AuthorYear="1"&gt;&lt;Author&gt;Li&lt;/Author&gt;&lt;Year&gt;2024&lt;/Year&gt;&lt;RecNum&gt;1291&lt;/RecNum&gt;&lt;DisplayText&gt;Li et al. (2024)&lt;/DisplayText&gt;&lt;record&gt;&lt;rec-number&gt;1291&lt;/rec-number&gt;&lt;foreign-keys&gt;&lt;key app="EN" db-id="52rwd92asss9zrett925swxewtr59dp2v0wp" timestamp="1739688260"&gt;1291&lt;/key&gt;&lt;/foreign-keys&gt;&lt;ref-type name="Journal Article"&gt;17&lt;/ref-type&gt;&lt;contributors&gt;&lt;authors&gt;&lt;author&gt;Li, Y.&lt;/author&gt;&lt;author&gt;Li, M.&lt;/author&gt;&lt;author&gt;Liu, C.&lt;/author&gt;&lt;author&gt;Zhang, Z.&lt;/author&gt;&lt;author&gt;Wei, Z.&lt;/author&gt;&lt;author&gt;Wang, Z.&lt;/author&gt;&lt;/authors&gt;&lt;/contributors&gt;&lt;auth-address&gt;School of Management Engineering, Shandong Jianzhu University, Fengming Rd, Jinan, 250101, China&amp;#xD;China Construction Civil Engineering Co. Ltd, Fengtai District, Beijing, 100071, China&amp;#xD;School of Architecture and Built Environment, Deakin University, Geelong, 3220, VIC, Australia&amp;#xD;Shandong Science &amp;amp; Technology Consulting Center Co. Ltd, Jingshi Rd, Jinan, 250013, China&amp;#xD;Shandong Information Association, Shengfuqian Rd, Jinan, 250011, China&lt;/auth-address&gt;&lt;titles&gt;&lt;title&gt;EXPLORING CRITICAL SUCCESS FACTORS FOR RECYCLED CONCRETE UTILIZATION IN CHINA&lt;/title&gt;&lt;secondary-title&gt;Environmental Engineering and Management Journal&lt;/secondary-title&gt;&lt;alt-title&gt;Environ. Eng. Manage. J.&lt;/alt-title&gt;&lt;/titles&gt;&lt;pages&gt;1799-1812&lt;/pages&gt;&lt;volume&gt;23&lt;/volume&gt;&lt;number&gt;9&lt;/number&gt;&lt;keywords&gt;&lt;keyword&gt;China&lt;/keyword&gt;&lt;keyword&gt;critical success factor&lt;/keyword&gt;&lt;keyword&gt;recycled concrete utilization&lt;/keyword&gt;&lt;keyword&gt;stakeholder&lt;/keyword&gt;&lt;/keywords&gt;&lt;dates&gt;&lt;year&gt;2024&lt;/year&gt;&lt;/dates&gt;&lt;publisher&gt;Gheorghe Asachi Technical University of Iasi, Romania&lt;/publisher&gt;&lt;isbn&gt;15829596 (ISSN)&lt;/isbn&gt;&lt;work-type&gt;Article&lt;/work-type&gt;&lt;urls&gt;&lt;related-urls&gt;&lt;url&gt;https://www.scopus.com/inward/record.uri?eid=2-s2.0-85215576921&amp;amp;doi=10.30638%2feemj.2024.145&amp;amp;partnerID=40&amp;amp;md5=a3c1003670ceba727afc02317d40d2d7&lt;/url&gt;&lt;/related-urls&gt;&lt;/urls&gt;&lt;electronic-resource-num&gt;10.30638/eemj.2024.145&lt;/electronic-resource-num&gt;&lt;remote-database-name&gt;Scopus&lt;/remote-database-name&gt;&lt;language&gt;English&lt;/language&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Li et al. (2024)</w:t>
            </w:r>
            <w:r w:rsidRPr="008339F1">
              <w:rPr>
                <w:rFonts w:ascii="Times New Roman" w:hAnsi="Times New Roman" w:cs="Times New Roman"/>
                <w:sz w:val="16"/>
                <w:szCs w:val="16"/>
              </w:rPr>
              <w:fldChar w:fldCharType="end"/>
            </w:r>
          </w:p>
        </w:tc>
        <w:tc>
          <w:tcPr>
            <w:tcW w:w="992" w:type="dxa"/>
          </w:tcPr>
          <w:p w14:paraId="451B50B7"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43F44EAD"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Examine the critical factors for recycled concrete utilization in China as well as the stakeholders' interrelationship.</w:t>
            </w:r>
          </w:p>
        </w:tc>
        <w:tc>
          <w:tcPr>
            <w:tcW w:w="1271" w:type="dxa"/>
          </w:tcPr>
          <w:p w14:paraId="672ECCBF" w14:textId="77777777" w:rsidR="0030771F" w:rsidRPr="008339F1" w:rsidRDefault="0030771F" w:rsidP="00A004C5">
            <w:pPr>
              <w:rPr>
                <w:rFonts w:ascii="Times New Roman" w:hAnsi="Times New Roman" w:cs="Times New Roman"/>
                <w:sz w:val="16"/>
                <w:szCs w:val="16"/>
              </w:rPr>
            </w:pPr>
          </w:p>
        </w:tc>
        <w:tc>
          <w:tcPr>
            <w:tcW w:w="1990" w:type="dxa"/>
          </w:tcPr>
          <w:p w14:paraId="46C7EE50" w14:textId="4E72D280" w:rsidR="00A7038F" w:rsidRPr="008339F1" w:rsidRDefault="00533305" w:rsidP="00004F0D">
            <w:pPr>
              <w:jc w:val="both"/>
              <w:rPr>
                <w:rFonts w:ascii="Times New Roman" w:hAnsi="Times New Roman" w:cs="Times New Roman"/>
                <w:sz w:val="16"/>
                <w:szCs w:val="16"/>
              </w:rPr>
            </w:pPr>
            <w:r w:rsidRPr="008339F1">
              <w:rPr>
                <w:rFonts w:ascii="Times New Roman" w:hAnsi="Times New Roman" w:cs="Times New Roman"/>
                <w:sz w:val="16"/>
                <w:szCs w:val="16"/>
              </w:rPr>
              <w:t>Literature review; questionnaire survey</w:t>
            </w:r>
          </w:p>
        </w:tc>
        <w:tc>
          <w:tcPr>
            <w:tcW w:w="1843" w:type="dxa"/>
          </w:tcPr>
          <w:p w14:paraId="0E7B26A8" w14:textId="63E0EBEE"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Private/public owners, government bodies, demolition and recycling enterprises, construction firms, design and technical consultants, supervision firms, owners, and the public.</w:t>
            </w:r>
          </w:p>
        </w:tc>
        <w:tc>
          <w:tcPr>
            <w:tcW w:w="2126" w:type="dxa"/>
          </w:tcPr>
          <w:p w14:paraId="44A9ECA8" w14:textId="7C81680A" w:rsidR="0030771F" w:rsidRPr="008339F1" w:rsidRDefault="00CD661E" w:rsidP="00DD3FB1">
            <w:pPr>
              <w:rPr>
                <w:rFonts w:ascii="Times New Roman" w:hAnsi="Times New Roman" w:cs="Times New Roman"/>
                <w:sz w:val="16"/>
                <w:szCs w:val="16"/>
              </w:rPr>
            </w:pPr>
            <w:r w:rsidRPr="008339F1">
              <w:rPr>
                <w:rFonts w:ascii="Times New Roman" w:hAnsi="Times New Roman" w:cs="Times New Roman"/>
                <w:sz w:val="16"/>
                <w:szCs w:val="16"/>
              </w:rPr>
              <w:t>Government</w:t>
            </w:r>
            <w:r w:rsidR="00B45971" w:rsidRPr="008339F1">
              <w:rPr>
                <w:rFonts w:ascii="Times New Roman" w:hAnsi="Times New Roman" w:cs="Times New Roman"/>
                <w:sz w:val="16"/>
                <w:szCs w:val="16"/>
              </w:rPr>
              <w:t xml:space="preserve"> acts as “policy maker, market regulator and supervisor.” It also states that demolition enterprises collect concrete waste, recycling enterprises produce recycled concrete products, transportation enterprises transport waste concrete, technical consultants provide professional technologies, and supervision firms verify relevant on-site </w:t>
            </w:r>
            <w:proofErr w:type="spellStart"/>
            <w:r w:rsidR="00B45971" w:rsidRPr="008339F1">
              <w:rPr>
                <w:rFonts w:ascii="Times New Roman" w:hAnsi="Times New Roman" w:cs="Times New Roman"/>
                <w:sz w:val="16"/>
                <w:szCs w:val="16"/>
              </w:rPr>
              <w:t>behaviours</w:t>
            </w:r>
            <w:proofErr w:type="spellEnd"/>
            <w:r w:rsidR="00B45971" w:rsidRPr="008339F1">
              <w:rPr>
                <w:rFonts w:ascii="Times New Roman" w:hAnsi="Times New Roman" w:cs="Times New Roman"/>
                <w:sz w:val="16"/>
                <w:szCs w:val="16"/>
              </w:rPr>
              <w:t>.</w:t>
            </w:r>
          </w:p>
        </w:tc>
        <w:tc>
          <w:tcPr>
            <w:tcW w:w="2835" w:type="dxa"/>
          </w:tcPr>
          <w:p w14:paraId="5DBA15C0" w14:textId="3F4DAFD2" w:rsidR="0030771F" w:rsidRPr="008339F1" w:rsidRDefault="00F5448B" w:rsidP="00276402">
            <w:pPr>
              <w:rPr>
                <w:rFonts w:ascii="Times New Roman" w:hAnsi="Times New Roman" w:cs="Times New Roman"/>
                <w:sz w:val="16"/>
                <w:szCs w:val="16"/>
              </w:rPr>
            </w:pPr>
            <w:r w:rsidRPr="008339F1">
              <w:rPr>
                <w:rFonts w:ascii="Times New Roman" w:hAnsi="Times New Roman" w:cs="Times New Roman"/>
                <w:sz w:val="16"/>
                <w:szCs w:val="16"/>
              </w:rPr>
              <w:t xml:space="preserve">Government = Accountable for policy, supervision, incentives, information platform, demonstration projects and knowledge publicity; </w:t>
            </w:r>
            <w:r w:rsidR="00D25336" w:rsidRPr="008339F1">
              <w:rPr>
                <w:rFonts w:ascii="Times New Roman" w:hAnsi="Times New Roman" w:cs="Times New Roman"/>
                <w:sz w:val="16"/>
                <w:szCs w:val="16"/>
              </w:rPr>
              <w:t>construction/</w:t>
            </w:r>
            <w:r w:rsidRPr="008339F1">
              <w:rPr>
                <w:rFonts w:ascii="Times New Roman" w:hAnsi="Times New Roman" w:cs="Times New Roman"/>
                <w:sz w:val="16"/>
                <w:szCs w:val="16"/>
              </w:rPr>
              <w:t xml:space="preserve">demolition enterprises = Responsible for </w:t>
            </w:r>
            <w:r w:rsidR="00672292" w:rsidRPr="008339F1">
              <w:rPr>
                <w:rFonts w:ascii="Times New Roman" w:hAnsi="Times New Roman" w:cs="Times New Roman"/>
                <w:sz w:val="16"/>
                <w:szCs w:val="16"/>
              </w:rPr>
              <w:t xml:space="preserve">recycled concrete in projects and </w:t>
            </w:r>
            <w:r w:rsidRPr="008339F1">
              <w:rPr>
                <w:rFonts w:ascii="Times New Roman" w:hAnsi="Times New Roman" w:cs="Times New Roman"/>
                <w:sz w:val="16"/>
                <w:szCs w:val="16"/>
              </w:rPr>
              <w:t>waste concrete separation/collection; recycling enterprises = Responsible for processing and recycled product supply; transportation enterprises = Responsible for waste transport; design firms/</w:t>
            </w:r>
            <w:r w:rsidR="004A0B14" w:rsidRPr="008339F1">
              <w:rPr>
                <w:rFonts w:ascii="Times New Roman" w:hAnsi="Times New Roman" w:cs="Times New Roman"/>
                <w:sz w:val="16"/>
                <w:szCs w:val="16"/>
              </w:rPr>
              <w:t>technical consultants</w:t>
            </w:r>
            <w:r w:rsidRPr="008339F1">
              <w:rPr>
                <w:rFonts w:ascii="Times New Roman" w:hAnsi="Times New Roman" w:cs="Times New Roman"/>
                <w:sz w:val="16"/>
                <w:szCs w:val="16"/>
              </w:rPr>
              <w:t xml:space="preserve"> = Consulted in </w:t>
            </w:r>
            <w:r w:rsidR="002B228D" w:rsidRPr="008339F1">
              <w:rPr>
                <w:rFonts w:ascii="Times New Roman" w:hAnsi="Times New Roman" w:cs="Times New Roman"/>
                <w:sz w:val="16"/>
                <w:szCs w:val="16"/>
              </w:rPr>
              <w:t>design,</w:t>
            </w:r>
            <w:r w:rsidRPr="008339F1">
              <w:rPr>
                <w:rFonts w:ascii="Times New Roman" w:hAnsi="Times New Roman" w:cs="Times New Roman"/>
                <w:sz w:val="16"/>
                <w:szCs w:val="16"/>
              </w:rPr>
              <w:t xml:space="preserve"> specification, </w:t>
            </w:r>
            <w:r w:rsidR="002B228D" w:rsidRPr="008339F1">
              <w:rPr>
                <w:rFonts w:ascii="Times New Roman" w:hAnsi="Times New Roman" w:cs="Times New Roman"/>
                <w:sz w:val="16"/>
                <w:szCs w:val="16"/>
              </w:rPr>
              <w:t xml:space="preserve">and technical </w:t>
            </w:r>
            <w:r w:rsidR="00BF2E47" w:rsidRPr="008339F1">
              <w:rPr>
                <w:rFonts w:ascii="Times New Roman" w:hAnsi="Times New Roman" w:cs="Times New Roman"/>
                <w:sz w:val="16"/>
                <w:szCs w:val="16"/>
              </w:rPr>
              <w:t xml:space="preserve">support; </w:t>
            </w:r>
            <w:r w:rsidRPr="008339F1">
              <w:rPr>
                <w:rFonts w:ascii="Times New Roman" w:hAnsi="Times New Roman" w:cs="Times New Roman"/>
                <w:sz w:val="16"/>
                <w:szCs w:val="16"/>
              </w:rPr>
              <w:t>supervision firms = Responsible/Consulted for verifying use on site</w:t>
            </w:r>
            <w:r w:rsidR="00672292" w:rsidRPr="008339F1">
              <w:rPr>
                <w:rFonts w:ascii="Times New Roman" w:hAnsi="Times New Roman" w:cs="Times New Roman"/>
                <w:sz w:val="16"/>
                <w:szCs w:val="16"/>
              </w:rPr>
              <w:t>; Public= inform</w:t>
            </w:r>
            <w:r w:rsidR="00384721" w:rsidRPr="008339F1">
              <w:rPr>
                <w:rFonts w:ascii="Times New Roman" w:hAnsi="Times New Roman" w:cs="Times New Roman"/>
                <w:sz w:val="16"/>
                <w:szCs w:val="16"/>
              </w:rPr>
              <w:t>ed</w:t>
            </w:r>
            <w:r w:rsidR="00130174" w:rsidRPr="008339F1">
              <w:rPr>
                <w:rFonts w:ascii="Times New Roman" w:hAnsi="Times New Roman" w:cs="Times New Roman"/>
                <w:sz w:val="16"/>
                <w:szCs w:val="16"/>
              </w:rPr>
              <w:t xml:space="preserve"> about </w:t>
            </w:r>
            <w:r w:rsidR="00A16A3B" w:rsidRPr="008339F1">
              <w:rPr>
                <w:rFonts w:ascii="Times New Roman" w:hAnsi="Times New Roman" w:cs="Times New Roman"/>
                <w:sz w:val="16"/>
                <w:szCs w:val="16"/>
              </w:rPr>
              <w:t xml:space="preserve">circular concrete </w:t>
            </w:r>
            <w:r w:rsidR="001940CD" w:rsidRPr="008339F1">
              <w:rPr>
                <w:rFonts w:ascii="Times New Roman" w:hAnsi="Times New Roman" w:cs="Times New Roman"/>
                <w:sz w:val="16"/>
                <w:szCs w:val="16"/>
              </w:rPr>
              <w:t>strategies</w:t>
            </w:r>
            <w:r w:rsidR="00A16A3B" w:rsidRPr="008339F1">
              <w:rPr>
                <w:rFonts w:ascii="Times New Roman" w:hAnsi="Times New Roman" w:cs="Times New Roman"/>
                <w:sz w:val="16"/>
                <w:szCs w:val="16"/>
              </w:rPr>
              <w:t xml:space="preserve"> and benefits </w:t>
            </w:r>
            <w:r w:rsidR="000D1804" w:rsidRPr="008339F1">
              <w:rPr>
                <w:rFonts w:ascii="Times New Roman" w:hAnsi="Times New Roman" w:cs="Times New Roman"/>
                <w:sz w:val="16"/>
                <w:szCs w:val="16"/>
              </w:rPr>
              <w:t xml:space="preserve">and decision affects </w:t>
            </w:r>
            <w:r w:rsidR="00A31777" w:rsidRPr="008339F1">
              <w:rPr>
                <w:rFonts w:ascii="Times New Roman" w:hAnsi="Times New Roman" w:cs="Times New Roman"/>
                <w:sz w:val="16"/>
                <w:szCs w:val="16"/>
              </w:rPr>
              <w:t>demand indirectly</w:t>
            </w:r>
            <w:r w:rsidR="00A16A3B" w:rsidRPr="008339F1">
              <w:rPr>
                <w:rFonts w:ascii="Times New Roman" w:hAnsi="Times New Roman" w:cs="Times New Roman"/>
                <w:sz w:val="16"/>
                <w:szCs w:val="16"/>
              </w:rPr>
              <w:t xml:space="preserve"> </w:t>
            </w:r>
          </w:p>
        </w:tc>
        <w:tc>
          <w:tcPr>
            <w:tcW w:w="3118" w:type="dxa"/>
          </w:tcPr>
          <w:p w14:paraId="2586AC69" w14:textId="28DDBF7C" w:rsidR="0030771F" w:rsidRPr="008339F1" w:rsidRDefault="0030771F" w:rsidP="001F5DCD">
            <w:pPr>
              <w:rPr>
                <w:rFonts w:ascii="Times New Roman" w:hAnsi="Times New Roman" w:cs="Times New Roman"/>
                <w:sz w:val="16"/>
                <w:szCs w:val="16"/>
              </w:rPr>
            </w:pPr>
          </w:p>
        </w:tc>
        <w:tc>
          <w:tcPr>
            <w:tcW w:w="2127" w:type="dxa"/>
          </w:tcPr>
          <w:p w14:paraId="34770197" w14:textId="1CF66DB2" w:rsidR="0030771F" w:rsidRPr="008339F1" w:rsidRDefault="0030771F" w:rsidP="00755CAF">
            <w:pPr>
              <w:rPr>
                <w:rFonts w:ascii="Times New Roman" w:hAnsi="Times New Roman" w:cs="Times New Roman"/>
                <w:sz w:val="16"/>
                <w:szCs w:val="16"/>
              </w:rPr>
            </w:pPr>
          </w:p>
        </w:tc>
        <w:tc>
          <w:tcPr>
            <w:tcW w:w="2268" w:type="dxa"/>
          </w:tcPr>
          <w:p w14:paraId="3A910685" w14:textId="1EC5FF85" w:rsidR="0030771F" w:rsidRPr="008339F1" w:rsidRDefault="00755CAF" w:rsidP="00755CAF">
            <w:pPr>
              <w:rPr>
                <w:rFonts w:ascii="Times New Roman" w:hAnsi="Times New Roman" w:cs="Times New Roman"/>
                <w:sz w:val="16"/>
                <w:szCs w:val="16"/>
              </w:rPr>
            </w:pPr>
            <w:r w:rsidRPr="008339F1">
              <w:rPr>
                <w:rFonts w:ascii="Times New Roman" w:hAnsi="Times New Roman" w:cs="Times New Roman"/>
                <w:sz w:val="16"/>
                <w:szCs w:val="16"/>
              </w:rPr>
              <w:t>Establish government information platform; strengthen supervision; demonstration projects; economic incentives; publicity/knowledge dissemination; improve market demand; increase demolition enterprises’ willingness to separate/recycle waste concrete; ensure reasonable purchasing price by recycling enterprises; encourage long-term cooperation with transporters.</w:t>
            </w:r>
          </w:p>
        </w:tc>
      </w:tr>
      <w:tr w:rsidR="008339F1" w:rsidRPr="008339F1" w14:paraId="0AF23313" w14:textId="77777777" w:rsidTr="002B37B8">
        <w:trPr>
          <w:trHeight w:val="3553"/>
        </w:trPr>
        <w:tc>
          <w:tcPr>
            <w:tcW w:w="503" w:type="dxa"/>
          </w:tcPr>
          <w:p w14:paraId="5AF16E76" w14:textId="209F229B" w:rsidR="0030771F" w:rsidRPr="008339F1" w:rsidRDefault="00635459" w:rsidP="00A004C5">
            <w:pPr>
              <w:jc w:val="both"/>
              <w:rPr>
                <w:rFonts w:ascii="Times New Roman" w:hAnsi="Times New Roman" w:cs="Times New Roman"/>
                <w:sz w:val="16"/>
                <w:szCs w:val="16"/>
              </w:rPr>
            </w:pPr>
            <w:r w:rsidRPr="008339F1">
              <w:rPr>
                <w:rFonts w:ascii="Times New Roman" w:hAnsi="Times New Roman" w:cs="Times New Roman"/>
                <w:sz w:val="16"/>
                <w:szCs w:val="16"/>
              </w:rPr>
              <w:t>6</w:t>
            </w:r>
          </w:p>
        </w:tc>
        <w:bookmarkStart w:id="13" w:name="OLE_LINK288"/>
        <w:tc>
          <w:tcPr>
            <w:tcW w:w="915" w:type="dxa"/>
          </w:tcPr>
          <w:p w14:paraId="7B27867F"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AuthorYear="1"&gt;&lt;Author&gt;Liu&lt;/Author&gt;&lt;Year&gt;2020&lt;/Year&gt;&lt;RecNum&gt;1354&lt;/RecNum&gt;&lt;DisplayText&gt;Liu et al. (2020)&lt;/DisplayText&gt;&lt;record&gt;&lt;rec-number&gt;1354&lt;/rec-number&gt;&lt;foreign-keys&gt;&lt;key app="EN" db-id="z959xtv5kdxdt0eawtt5ssvc90eradx50fpz" timestamp="1739544723" guid="c937b9cd-46e0-468a-bc47-60a9ffe173d8"&gt;1354&lt;/key&gt;&lt;/foreign-keys&gt;&lt;ref-type name="Journal Article"&gt;17&lt;/ref-type&gt;&lt;contributors&gt;&lt;authors&gt;&lt;author&gt;Liu, Jingkuang&lt;/author&gt;&lt;author&gt;Teng, Yue&lt;/author&gt;&lt;author&gt;Wang, Dong&lt;/author&gt;&lt;author&gt;Gong, Enqin&lt;/author&gt;&lt;/authors&gt;&lt;/contributors&gt;&lt;titles&gt;&lt;title&gt;System dynamic analysis of construction waste recycling industry chain in China&lt;/title&gt;&lt;secondary-title&gt;Environmental Science and Pollution Research&lt;/secondary-title&gt;&lt;/titles&gt;&lt;periodical&gt;&lt;full-title&gt;Environmental Science and Pollution Research&lt;/full-title&gt;&lt;abbr-1&gt;Environ. Sci. Pollut. Res.&lt;/abbr-1&gt;&lt;/periodical&gt;&lt;pages&gt;37260-37277&lt;/pages&gt;&lt;volume&gt;27&lt;/volume&gt;&lt;number&gt;30&lt;/number&gt;&lt;dates&gt;&lt;year&gt;2020&lt;/year&gt;&lt;pub-dates&gt;&lt;date&gt;2020/10/01&lt;/date&gt;&lt;/pub-dates&gt;&lt;/dates&gt;&lt;isbn&gt;1614-7499&lt;/isbn&gt;&lt;urls&gt;&lt;related-urls&gt;&lt;url&gt;https://doi.org/10.1007/s11356-019-06739-x&lt;/url&gt;&lt;/related-urls&gt;&lt;/urls&gt;&lt;electronic-resource-num&gt;10.1007/s11356-019-06739-x&lt;/electronic-resource-num&gt;&lt;/record&gt;&lt;/Cite&gt;&lt;/EndNote&gt;</w:instrText>
            </w:r>
            <w:r w:rsidRPr="008339F1">
              <w:rPr>
                <w:rFonts w:ascii="Times New Roman" w:hAnsi="Times New Roman" w:cs="Times New Roman"/>
                <w:sz w:val="16"/>
                <w:szCs w:val="16"/>
              </w:rPr>
              <w:fldChar w:fldCharType="separate"/>
            </w:r>
            <w:bookmarkStart w:id="14" w:name="OLE_LINK210"/>
            <w:r w:rsidRPr="008339F1">
              <w:rPr>
                <w:rFonts w:ascii="Times New Roman" w:hAnsi="Times New Roman" w:cs="Times New Roman"/>
                <w:noProof/>
                <w:sz w:val="16"/>
                <w:szCs w:val="16"/>
              </w:rPr>
              <w:t>Liu et al</w:t>
            </w:r>
            <w:bookmarkEnd w:id="14"/>
            <w:r w:rsidRPr="008339F1">
              <w:rPr>
                <w:rFonts w:ascii="Times New Roman" w:hAnsi="Times New Roman" w:cs="Times New Roman"/>
                <w:noProof/>
                <w:sz w:val="16"/>
                <w:szCs w:val="16"/>
              </w:rPr>
              <w:t>. (2020)</w:t>
            </w:r>
            <w:r w:rsidRPr="008339F1">
              <w:rPr>
                <w:rFonts w:ascii="Times New Roman" w:hAnsi="Times New Roman" w:cs="Times New Roman"/>
                <w:sz w:val="16"/>
                <w:szCs w:val="16"/>
              </w:rPr>
              <w:fldChar w:fldCharType="end"/>
            </w:r>
            <w:bookmarkEnd w:id="13"/>
          </w:p>
        </w:tc>
        <w:tc>
          <w:tcPr>
            <w:tcW w:w="992" w:type="dxa"/>
          </w:tcPr>
          <w:p w14:paraId="365FA9FA"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0F08AEC5" w14:textId="05BA9F18" w:rsidR="0030771F" w:rsidRPr="008339F1" w:rsidRDefault="006020D4" w:rsidP="00A004C5">
            <w:pPr>
              <w:jc w:val="both"/>
              <w:rPr>
                <w:rFonts w:ascii="Times New Roman" w:hAnsi="Times New Roman" w:cs="Times New Roman"/>
                <w:sz w:val="16"/>
                <w:szCs w:val="16"/>
              </w:rPr>
            </w:pPr>
            <w:r w:rsidRPr="008339F1">
              <w:rPr>
                <w:rFonts w:ascii="Times New Roman" w:hAnsi="Times New Roman" w:cs="Times New Roman"/>
                <w:sz w:val="16"/>
                <w:szCs w:val="16"/>
              </w:rPr>
              <w:t>System dynamic analysis of the construction waste recycling industry chain</w:t>
            </w:r>
          </w:p>
        </w:tc>
        <w:tc>
          <w:tcPr>
            <w:tcW w:w="1271" w:type="dxa"/>
          </w:tcPr>
          <w:p w14:paraId="50DE41F9" w14:textId="4AD94AA4" w:rsidR="0030771F" w:rsidRPr="008339F1" w:rsidRDefault="00BA33A1" w:rsidP="00A004C5">
            <w:pPr>
              <w:rPr>
                <w:rFonts w:ascii="Times New Roman" w:hAnsi="Times New Roman" w:cs="Times New Roman"/>
                <w:sz w:val="16"/>
                <w:szCs w:val="16"/>
              </w:rPr>
            </w:pPr>
            <w:r>
              <w:rPr>
                <w:rFonts w:ascii="Times New Roman" w:hAnsi="Times New Roman" w:cs="Times New Roman"/>
                <w:sz w:val="16"/>
                <w:szCs w:val="16"/>
              </w:rPr>
              <w:t>End-of-life</w:t>
            </w:r>
          </w:p>
        </w:tc>
        <w:tc>
          <w:tcPr>
            <w:tcW w:w="1990" w:type="dxa"/>
          </w:tcPr>
          <w:p w14:paraId="52D7767A" w14:textId="60C223AF" w:rsidR="0030771F" w:rsidRPr="008339F1" w:rsidRDefault="006020D4" w:rsidP="00A004C5">
            <w:pPr>
              <w:rPr>
                <w:rFonts w:ascii="Times New Roman" w:hAnsi="Times New Roman" w:cs="Times New Roman"/>
                <w:sz w:val="16"/>
                <w:szCs w:val="16"/>
              </w:rPr>
            </w:pPr>
            <w:r w:rsidRPr="008339F1">
              <w:rPr>
                <w:rFonts w:ascii="Times New Roman" w:hAnsi="Times New Roman" w:cs="Times New Roman"/>
                <w:sz w:val="16"/>
                <w:szCs w:val="16"/>
              </w:rPr>
              <w:t>Quantitative system modelling</w:t>
            </w:r>
          </w:p>
        </w:tc>
        <w:tc>
          <w:tcPr>
            <w:tcW w:w="1843" w:type="dxa"/>
          </w:tcPr>
          <w:p w14:paraId="4691E5A0" w14:textId="1CE934EA" w:rsidR="0030771F" w:rsidRPr="008339F1" w:rsidRDefault="0008412D" w:rsidP="00A004C5">
            <w:pPr>
              <w:rPr>
                <w:rFonts w:ascii="Times New Roman" w:hAnsi="Times New Roman" w:cs="Times New Roman"/>
                <w:sz w:val="16"/>
                <w:szCs w:val="16"/>
              </w:rPr>
            </w:pPr>
            <w:r w:rsidRPr="008339F1">
              <w:rPr>
                <w:rFonts w:ascii="Times New Roman" w:hAnsi="Times New Roman" w:cs="Times New Roman"/>
                <w:sz w:val="16"/>
                <w:szCs w:val="16"/>
              </w:rPr>
              <w:t>Government; construction enterprises; demolition enterprises; collection/sorting enterprises; transportation enterprises; recycling/ treatment enterprises; construction raw material suppliers; scientific research institutes; recycled product buyers/users</w:t>
            </w:r>
          </w:p>
        </w:tc>
        <w:tc>
          <w:tcPr>
            <w:tcW w:w="2126" w:type="dxa"/>
          </w:tcPr>
          <w:p w14:paraId="7ABD3F8A" w14:textId="68F8B4C7" w:rsidR="0030771F" w:rsidRPr="008339F1" w:rsidRDefault="00B94253" w:rsidP="00833FAD">
            <w:pPr>
              <w:rPr>
                <w:rFonts w:ascii="Times New Roman" w:hAnsi="Times New Roman" w:cs="Times New Roman"/>
                <w:sz w:val="16"/>
                <w:szCs w:val="16"/>
              </w:rPr>
            </w:pPr>
            <w:r w:rsidRPr="008339F1">
              <w:rPr>
                <w:rFonts w:ascii="Times New Roman" w:hAnsi="Times New Roman" w:cs="Times New Roman"/>
                <w:sz w:val="16"/>
                <w:szCs w:val="16"/>
              </w:rPr>
              <w:t>The study divides the construction waste recycling industry chain into upstream, midstream and downstream actors, and states that recycling requires “synergistic coordination and effective linkages” among enterprise entities. It also notes that government should supervise, provide policy support, promote recycled products, and clarify the responsibilities of industry-chain actors.</w:t>
            </w:r>
          </w:p>
        </w:tc>
        <w:tc>
          <w:tcPr>
            <w:tcW w:w="2835" w:type="dxa"/>
          </w:tcPr>
          <w:p w14:paraId="2061D7CE" w14:textId="1F486435" w:rsidR="0030771F" w:rsidRPr="008339F1" w:rsidRDefault="00CE2F50" w:rsidP="00A004C5">
            <w:pPr>
              <w:rPr>
                <w:rFonts w:ascii="Times New Roman" w:hAnsi="Times New Roman" w:cs="Times New Roman"/>
                <w:sz w:val="16"/>
                <w:szCs w:val="16"/>
              </w:rPr>
            </w:pPr>
            <w:r w:rsidRPr="008339F1">
              <w:rPr>
                <w:rFonts w:ascii="Times New Roman" w:hAnsi="Times New Roman" w:cs="Times New Roman"/>
                <w:sz w:val="16"/>
                <w:szCs w:val="16"/>
              </w:rPr>
              <w:t>Construction/demolition/decoration enterprises = Responsible for source reduction and waste generation control; collection/sorting and transportation enterprises = Responsible for sorting and moving waste; recycling/resource treatment enterprises = Responsible for processing and recycled products; scientific research institutes = Consulted for technical support; government = Accountable for policy support, supervision, responsibility clarification and market guidance; buyers/users = Informed/Responsible for uptake of recycled products.</w:t>
            </w:r>
          </w:p>
        </w:tc>
        <w:tc>
          <w:tcPr>
            <w:tcW w:w="3118" w:type="dxa"/>
          </w:tcPr>
          <w:p w14:paraId="6622FD3F" w14:textId="6520E8EB"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Absence of well-defined roles and accountability;</w:t>
            </w:r>
            <w:r w:rsidR="00527995" w:rsidRPr="008339F1">
              <w:rPr>
                <w:rFonts w:ascii="Times New Roman" w:hAnsi="Times New Roman" w:cs="Times New Roman"/>
                <w:sz w:val="16"/>
                <w:szCs w:val="16"/>
              </w:rPr>
              <w:t xml:space="preserve"> high cost</w:t>
            </w:r>
            <w:r w:rsidR="0043765D" w:rsidRPr="008339F1">
              <w:rPr>
                <w:rFonts w:ascii="Times New Roman" w:hAnsi="Times New Roman" w:cs="Times New Roman"/>
                <w:sz w:val="16"/>
                <w:szCs w:val="16"/>
              </w:rPr>
              <w:t xml:space="preserve"> of recycling</w:t>
            </w:r>
            <w:r w:rsidR="006835E1" w:rsidRPr="008339F1">
              <w:rPr>
                <w:rFonts w:ascii="Times New Roman" w:hAnsi="Times New Roman" w:cs="Times New Roman"/>
                <w:sz w:val="16"/>
                <w:szCs w:val="16"/>
              </w:rPr>
              <w:t xml:space="preserve">, weak cooperation among upstream, midstream and downstream actors; information asymmetry; poor understanding of waste recycling by industry managers; weak government </w:t>
            </w:r>
            <w:r w:rsidR="007F6E87" w:rsidRPr="008339F1">
              <w:rPr>
                <w:rFonts w:ascii="Times New Roman" w:hAnsi="Times New Roman" w:cs="Times New Roman"/>
                <w:sz w:val="16"/>
                <w:szCs w:val="16"/>
              </w:rPr>
              <w:t>supervision</w:t>
            </w:r>
            <w:r w:rsidR="006835E1" w:rsidRPr="008339F1">
              <w:rPr>
                <w:rFonts w:ascii="Times New Roman" w:hAnsi="Times New Roman" w:cs="Times New Roman"/>
                <w:sz w:val="16"/>
                <w:szCs w:val="16"/>
              </w:rPr>
              <w:t xml:space="preserve">; reliance on subsidies alone; weak market purchasing power; </w:t>
            </w:r>
            <w:r w:rsidR="00C43004" w:rsidRPr="008339F1">
              <w:rPr>
                <w:rFonts w:ascii="Times New Roman" w:hAnsi="Times New Roman" w:cs="Times New Roman"/>
                <w:sz w:val="16"/>
                <w:szCs w:val="16"/>
              </w:rPr>
              <w:t>dis</w:t>
            </w:r>
            <w:r w:rsidR="006835E1" w:rsidRPr="008339F1">
              <w:rPr>
                <w:rFonts w:ascii="Times New Roman" w:hAnsi="Times New Roman" w:cs="Times New Roman"/>
                <w:sz w:val="16"/>
                <w:szCs w:val="16"/>
              </w:rPr>
              <w:t>trust toward recycled products</w:t>
            </w:r>
            <w:r w:rsidR="00C43004" w:rsidRPr="008339F1">
              <w:rPr>
                <w:rFonts w:ascii="Times New Roman" w:hAnsi="Times New Roman" w:cs="Times New Roman"/>
                <w:sz w:val="16"/>
                <w:szCs w:val="16"/>
              </w:rPr>
              <w:t>, technology capacity gaps</w:t>
            </w:r>
          </w:p>
        </w:tc>
        <w:tc>
          <w:tcPr>
            <w:tcW w:w="2127" w:type="dxa"/>
          </w:tcPr>
          <w:p w14:paraId="3EAB2F76" w14:textId="031CCD59" w:rsidR="0030771F" w:rsidRPr="008339F1" w:rsidRDefault="00C13122" w:rsidP="00A004C5">
            <w:pPr>
              <w:rPr>
                <w:rFonts w:ascii="Times New Roman" w:hAnsi="Times New Roman" w:cs="Times New Roman"/>
                <w:sz w:val="16"/>
                <w:szCs w:val="16"/>
              </w:rPr>
            </w:pPr>
            <w:r w:rsidRPr="008339F1">
              <w:rPr>
                <w:rFonts w:ascii="Times New Roman" w:hAnsi="Times New Roman" w:cs="Times New Roman"/>
                <w:sz w:val="16"/>
                <w:szCs w:val="16"/>
              </w:rPr>
              <w:t>Affected: recycling enterprises, construction enterprises, transportation enterprises, recycled product suppliers/users. Influencing: government, upstream construction/demolition actors, research institutes, market buyers, downstream users.</w:t>
            </w:r>
          </w:p>
        </w:tc>
        <w:tc>
          <w:tcPr>
            <w:tcW w:w="2268" w:type="dxa"/>
          </w:tcPr>
          <w:p w14:paraId="675A36B9" w14:textId="652B99CA" w:rsidR="0030771F" w:rsidRPr="008339F1" w:rsidRDefault="00F73691" w:rsidP="00A004C5">
            <w:pPr>
              <w:rPr>
                <w:rFonts w:ascii="Times New Roman" w:hAnsi="Times New Roman" w:cs="Times New Roman"/>
                <w:sz w:val="16"/>
                <w:szCs w:val="16"/>
              </w:rPr>
            </w:pPr>
            <w:r w:rsidRPr="008339F1">
              <w:rPr>
                <w:rFonts w:ascii="Times New Roman" w:hAnsi="Times New Roman" w:cs="Times New Roman"/>
                <w:sz w:val="16"/>
                <w:szCs w:val="16"/>
              </w:rPr>
              <w:t>Establish information-sharing platforms; clarify responsibilities of industry-chain actors; strengthen supervision and penalties; promote mutual supervision and coordination; develop policy incentives and tax preferences; improve source reduction technologies; encourage cooperation between recycling enterprises and upstream/downstream actors; promote recycled products through public procurement and awareness campaigns.</w:t>
            </w:r>
          </w:p>
        </w:tc>
      </w:tr>
      <w:tr w:rsidR="008339F1" w:rsidRPr="008339F1" w14:paraId="2AFC6368" w14:textId="77777777" w:rsidTr="002B37B8">
        <w:trPr>
          <w:trHeight w:val="2269"/>
        </w:trPr>
        <w:tc>
          <w:tcPr>
            <w:tcW w:w="503" w:type="dxa"/>
          </w:tcPr>
          <w:p w14:paraId="089E078B" w14:textId="47F82793" w:rsidR="0030771F" w:rsidRPr="008339F1" w:rsidRDefault="00635459" w:rsidP="00A004C5">
            <w:pPr>
              <w:jc w:val="both"/>
              <w:rPr>
                <w:rFonts w:ascii="Times New Roman" w:hAnsi="Times New Roman" w:cs="Times New Roman"/>
                <w:sz w:val="16"/>
                <w:szCs w:val="16"/>
              </w:rPr>
            </w:pPr>
            <w:r w:rsidRPr="008339F1">
              <w:rPr>
                <w:rFonts w:ascii="Times New Roman" w:hAnsi="Times New Roman" w:cs="Times New Roman"/>
                <w:sz w:val="16"/>
                <w:szCs w:val="16"/>
              </w:rPr>
              <w:t>7</w:t>
            </w:r>
          </w:p>
        </w:tc>
        <w:bookmarkStart w:id="15" w:name="OLE_LINK290"/>
        <w:tc>
          <w:tcPr>
            <w:tcW w:w="915" w:type="dxa"/>
          </w:tcPr>
          <w:p w14:paraId="31941658"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AuthorYear="1"&gt;&lt;Author&gt;Arfa&lt;/Author&gt;&lt;Year&gt;2024&lt;/Year&gt;&lt;RecNum&gt;2344&lt;/RecNum&gt;&lt;DisplayText&gt;Arfa et al. (2024)&lt;/DisplayText&gt;&lt;record&gt;&lt;rec-number&gt;2344&lt;/rec-number&gt;&lt;foreign-keys&gt;&lt;key app="EN" db-id="z959xtv5kdxdt0eawtt5ssvc90eradx50fpz" timestamp="1762001721"&gt;2344&lt;/key&gt;&lt;/foreign-keys&gt;&lt;ref-type name="Journal Article"&gt;17&lt;/ref-type&gt;&lt;contributors&gt;&lt;authors&gt;&lt;author&gt;Arfa, Fatemeh Hedieh&lt;/author&gt;&lt;author&gt;Lubelli, Barbara&lt;/author&gt;&lt;author&gt;Quist, Wido&lt;/author&gt;&lt;author&gt;Zijlstra, Hielkje&lt;/author&gt;&lt;/authors&gt;&lt;/contributors&gt;&lt;titles&gt;&lt;title&gt;A model of the adaptive reuse process of heritage buildings: Validation on four cases in the Netherlands&lt;/title&gt;&lt;secondary-title&gt;Design Studies&lt;/secondary-title&gt;&lt;/titles&gt;&lt;periodical&gt;&lt;full-title&gt;Design Studies&lt;/full-title&gt;&lt;/periodical&gt;&lt;pages&gt;101252&lt;/pages&gt;&lt;volume&gt;91-92&lt;/volume&gt;&lt;keywords&gt;&lt;keyword&gt;adaptive reuse&lt;/keyword&gt;&lt;keyword&gt;heritage buildings&lt;/keyword&gt;&lt;keyword&gt;design model&lt;/keyword&gt;&lt;keyword&gt;design methods&lt;/keyword&gt;&lt;keyword&gt;built environment&lt;/keyword&gt;&lt;/keywords&gt;&lt;dates&gt;&lt;year&gt;2024&lt;/year&gt;&lt;pub-dates&gt;&lt;date&gt;2024/03/01/&lt;/date&gt;&lt;/pub-dates&gt;&lt;/dates&gt;&lt;isbn&gt;0142-694X&lt;/isbn&gt;&lt;urls&gt;&lt;related-urls&gt;&lt;url&gt;https://www.sciencedirect.com/science/article/pii/S0142694X24000152&lt;/url&gt;&lt;/related-urls&gt;&lt;/urls&gt;&lt;electronic-resource-num&gt;https://doi.org/10.1016/j.destud.2024.101252&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Arfa et al. (2024)</w:t>
            </w:r>
            <w:r w:rsidRPr="008339F1">
              <w:rPr>
                <w:rFonts w:ascii="Times New Roman" w:hAnsi="Times New Roman" w:cs="Times New Roman"/>
                <w:sz w:val="16"/>
                <w:szCs w:val="16"/>
              </w:rPr>
              <w:fldChar w:fldCharType="end"/>
            </w:r>
            <w:bookmarkEnd w:id="15"/>
          </w:p>
        </w:tc>
        <w:tc>
          <w:tcPr>
            <w:tcW w:w="992" w:type="dxa"/>
          </w:tcPr>
          <w:p w14:paraId="192A0650"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Netherlands</w:t>
            </w:r>
          </w:p>
        </w:tc>
        <w:tc>
          <w:tcPr>
            <w:tcW w:w="1559" w:type="dxa"/>
          </w:tcPr>
          <w:p w14:paraId="7C40E474" w14:textId="7B36D6D3" w:rsidR="0030771F" w:rsidRPr="008339F1" w:rsidRDefault="00F26CA6" w:rsidP="00A004C5">
            <w:pPr>
              <w:jc w:val="both"/>
              <w:rPr>
                <w:rFonts w:ascii="Times New Roman" w:hAnsi="Times New Roman" w:cs="Times New Roman"/>
                <w:sz w:val="16"/>
                <w:szCs w:val="16"/>
              </w:rPr>
            </w:pPr>
            <w:r w:rsidRPr="008339F1">
              <w:rPr>
                <w:rFonts w:ascii="Times New Roman" w:hAnsi="Times New Roman" w:cs="Times New Roman"/>
                <w:sz w:val="16"/>
                <w:szCs w:val="16"/>
              </w:rPr>
              <w:t>Stakeholder involvement and process model for adaptive reuse of heritage buildings</w:t>
            </w:r>
          </w:p>
        </w:tc>
        <w:tc>
          <w:tcPr>
            <w:tcW w:w="1271" w:type="dxa"/>
          </w:tcPr>
          <w:p w14:paraId="535A0BFE" w14:textId="3CA60BBF" w:rsidR="0030771F" w:rsidRPr="008339F1" w:rsidRDefault="001A29F0" w:rsidP="00A004C5">
            <w:pPr>
              <w:rPr>
                <w:rFonts w:ascii="Times New Roman" w:hAnsi="Times New Roman" w:cs="Times New Roman"/>
                <w:sz w:val="16"/>
                <w:szCs w:val="16"/>
              </w:rPr>
            </w:pPr>
            <w:r w:rsidRPr="008339F1">
              <w:rPr>
                <w:rFonts w:ascii="Times New Roman" w:hAnsi="Times New Roman" w:cs="Times New Roman"/>
                <w:sz w:val="16"/>
                <w:szCs w:val="16"/>
              </w:rPr>
              <w:t>Use/operation; adaptive reuse; repair/refurbishment; maintenance/aftercare; post-completion evaluation</w:t>
            </w:r>
          </w:p>
        </w:tc>
        <w:tc>
          <w:tcPr>
            <w:tcW w:w="1990" w:type="dxa"/>
          </w:tcPr>
          <w:p w14:paraId="5B06CBC1" w14:textId="661F2F99" w:rsidR="0030771F" w:rsidRPr="008339F1" w:rsidRDefault="00154EF8" w:rsidP="00A004C5">
            <w:pPr>
              <w:rPr>
                <w:rFonts w:ascii="Times New Roman" w:hAnsi="Times New Roman" w:cs="Times New Roman"/>
                <w:sz w:val="16"/>
                <w:szCs w:val="16"/>
              </w:rPr>
            </w:pPr>
            <w:r w:rsidRPr="008339F1">
              <w:rPr>
                <w:rFonts w:ascii="Times New Roman" w:hAnsi="Times New Roman" w:cs="Times New Roman"/>
                <w:sz w:val="16"/>
                <w:szCs w:val="16"/>
              </w:rPr>
              <w:t>Qualitative multiple-case study</w:t>
            </w:r>
            <w:r w:rsidR="00DD71B5" w:rsidRPr="008339F1">
              <w:rPr>
                <w:rFonts w:ascii="Times New Roman" w:hAnsi="Times New Roman" w:cs="Times New Roman"/>
                <w:sz w:val="16"/>
                <w:szCs w:val="16"/>
              </w:rPr>
              <w:t>; Literature review; case visits; semi-structured interviews; interview transcription</w:t>
            </w:r>
          </w:p>
        </w:tc>
        <w:tc>
          <w:tcPr>
            <w:tcW w:w="1843" w:type="dxa"/>
          </w:tcPr>
          <w:p w14:paraId="60893B96" w14:textId="644BD30B" w:rsidR="0030771F" w:rsidRPr="008339F1" w:rsidRDefault="00031B59" w:rsidP="00A004C5">
            <w:pPr>
              <w:rPr>
                <w:rFonts w:ascii="Times New Roman" w:hAnsi="Times New Roman" w:cs="Times New Roman"/>
                <w:sz w:val="16"/>
                <w:szCs w:val="16"/>
              </w:rPr>
            </w:pPr>
            <w:r w:rsidRPr="008339F1">
              <w:rPr>
                <w:rFonts w:ascii="Times New Roman" w:hAnsi="Times New Roman" w:cs="Times New Roman"/>
                <w:sz w:val="16"/>
                <w:szCs w:val="16"/>
              </w:rPr>
              <w:t>Architects; investors/owners; regulators; producers/design and construction experts; original users; end-users; local community</w:t>
            </w:r>
          </w:p>
        </w:tc>
        <w:tc>
          <w:tcPr>
            <w:tcW w:w="2126" w:type="dxa"/>
          </w:tcPr>
          <w:p w14:paraId="12521055" w14:textId="253ADA10" w:rsidR="0030771F" w:rsidRPr="008339F1" w:rsidRDefault="0056282C" w:rsidP="00833FAD">
            <w:pPr>
              <w:rPr>
                <w:rFonts w:ascii="Times New Roman" w:hAnsi="Times New Roman" w:cs="Times New Roman"/>
                <w:sz w:val="16"/>
                <w:szCs w:val="16"/>
              </w:rPr>
            </w:pPr>
            <w:r w:rsidRPr="008339F1">
              <w:rPr>
                <w:rFonts w:ascii="Times New Roman" w:hAnsi="Times New Roman" w:cs="Times New Roman"/>
                <w:sz w:val="16"/>
                <w:szCs w:val="16"/>
              </w:rPr>
              <w:t xml:space="preserve">The study states that adaptive reuse is a complex process involving many stakeholders with different ambitions. It defines regulators as government actors who establish regulations and ensure compliance, producers as construction/design experts involved in </w:t>
            </w:r>
            <w:r w:rsidRPr="008339F1">
              <w:rPr>
                <w:rFonts w:ascii="Times New Roman" w:hAnsi="Times New Roman" w:cs="Times New Roman"/>
                <w:sz w:val="16"/>
                <w:szCs w:val="16"/>
              </w:rPr>
              <w:lastRenderedPageBreak/>
              <w:t>preparation, investors as owners/funding bodies/governments/tenants, and users as original users, end-users and community members. It also shows architects’ involvement from analysis and value assessment to design strategy, execution, aftercare and evaluation.</w:t>
            </w:r>
          </w:p>
        </w:tc>
        <w:tc>
          <w:tcPr>
            <w:tcW w:w="2835" w:type="dxa"/>
          </w:tcPr>
          <w:p w14:paraId="3DE3DA2F" w14:textId="08D0A5A5" w:rsidR="0030771F" w:rsidRPr="008339F1" w:rsidRDefault="0056282C" w:rsidP="00A004C5">
            <w:pPr>
              <w:rPr>
                <w:rFonts w:ascii="Times New Roman" w:hAnsi="Times New Roman" w:cs="Times New Roman"/>
                <w:sz w:val="16"/>
                <w:szCs w:val="16"/>
              </w:rPr>
            </w:pPr>
            <w:r w:rsidRPr="008339F1">
              <w:rPr>
                <w:rFonts w:ascii="Times New Roman" w:hAnsi="Times New Roman" w:cs="Times New Roman"/>
                <w:sz w:val="16"/>
                <w:szCs w:val="16"/>
              </w:rPr>
              <w:lastRenderedPageBreak/>
              <w:t xml:space="preserve">Architects = Responsible for analysis, value assessment, design strategy, stakeholder negotiation and design adaptation; investors/owners = Accountable for project initiation, funding and continuity; regulators = Accountable/Consulted for regulatory compliance and heritage approval; producers = Responsible/Consulted for technical, heritage, sustainability and </w:t>
            </w:r>
            <w:r w:rsidRPr="008339F1">
              <w:rPr>
                <w:rFonts w:ascii="Times New Roman" w:hAnsi="Times New Roman" w:cs="Times New Roman"/>
                <w:sz w:val="16"/>
                <w:szCs w:val="16"/>
              </w:rPr>
              <w:lastRenderedPageBreak/>
              <w:t>construction expertise; users/community = Consulted/Informed through meetings, feedback and post-completion evaluation.</w:t>
            </w:r>
          </w:p>
        </w:tc>
        <w:tc>
          <w:tcPr>
            <w:tcW w:w="3118" w:type="dxa"/>
          </w:tcPr>
          <w:p w14:paraId="0BBFD6AB" w14:textId="343D0071"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lastRenderedPageBreak/>
              <w:t>Diverse</w:t>
            </w:r>
            <w:r w:rsidR="00C17360" w:rsidRPr="008339F1">
              <w:rPr>
                <w:rFonts w:ascii="Times New Roman" w:hAnsi="Times New Roman" w:cs="Times New Roman"/>
                <w:sz w:val="16"/>
                <w:szCs w:val="16"/>
              </w:rPr>
              <w:t xml:space="preserve"> stakeholder</w:t>
            </w:r>
            <w:r w:rsidRPr="008339F1">
              <w:rPr>
                <w:rFonts w:ascii="Times New Roman" w:hAnsi="Times New Roman" w:cs="Times New Roman"/>
                <w:sz w:val="16"/>
                <w:szCs w:val="16"/>
              </w:rPr>
              <w:t xml:space="preserve"> interests and priorities</w:t>
            </w:r>
            <w:r w:rsidR="0019681B" w:rsidRPr="008339F1">
              <w:rPr>
                <w:rFonts w:ascii="Times New Roman" w:hAnsi="Times New Roman" w:cs="Times New Roman"/>
                <w:sz w:val="16"/>
                <w:szCs w:val="16"/>
              </w:rPr>
              <w:t>; budget constraints; financial delay</w:t>
            </w:r>
          </w:p>
        </w:tc>
        <w:tc>
          <w:tcPr>
            <w:tcW w:w="2127" w:type="dxa"/>
          </w:tcPr>
          <w:p w14:paraId="7C7061EE" w14:textId="363B9178" w:rsidR="0030771F" w:rsidRPr="008339F1" w:rsidRDefault="00455C08" w:rsidP="00455C08">
            <w:pPr>
              <w:rPr>
                <w:rFonts w:ascii="Times New Roman" w:hAnsi="Times New Roman" w:cs="Times New Roman"/>
                <w:sz w:val="16"/>
                <w:szCs w:val="16"/>
              </w:rPr>
            </w:pPr>
            <w:r w:rsidRPr="008339F1">
              <w:rPr>
                <w:rFonts w:ascii="Times New Roman" w:hAnsi="Times New Roman" w:cs="Times New Roman"/>
                <w:sz w:val="16"/>
                <w:szCs w:val="16"/>
              </w:rPr>
              <w:t>Affected: architects, investors, users, producers, local community. Influencing: investors/owners, regulators, architects, end-users, local community, specialist producers.</w:t>
            </w:r>
          </w:p>
        </w:tc>
        <w:tc>
          <w:tcPr>
            <w:tcW w:w="2268" w:type="dxa"/>
          </w:tcPr>
          <w:p w14:paraId="599B042F" w14:textId="63F8151E" w:rsidR="0030771F" w:rsidRPr="008339F1" w:rsidRDefault="002128E6" w:rsidP="002128E6">
            <w:pPr>
              <w:rPr>
                <w:rFonts w:ascii="Times New Roman" w:hAnsi="Times New Roman" w:cs="Times New Roman"/>
                <w:sz w:val="16"/>
                <w:szCs w:val="16"/>
              </w:rPr>
            </w:pPr>
            <w:r w:rsidRPr="008339F1">
              <w:rPr>
                <w:rFonts w:ascii="Times New Roman" w:hAnsi="Times New Roman" w:cs="Times New Roman"/>
                <w:sz w:val="16"/>
                <w:szCs w:val="16"/>
              </w:rPr>
              <w:t>Relevant strategies include early stakeholder involvement, regular meetings, sketches/3D models/renders for communication, participatory reuse, iterative decision-making, architect mediation, aftercare and post-completion feedback.</w:t>
            </w:r>
          </w:p>
        </w:tc>
      </w:tr>
      <w:tr w:rsidR="008339F1" w:rsidRPr="008339F1" w14:paraId="73EEAB27" w14:textId="77777777" w:rsidTr="002B37B8">
        <w:tc>
          <w:tcPr>
            <w:tcW w:w="503" w:type="dxa"/>
          </w:tcPr>
          <w:p w14:paraId="2F7E4893" w14:textId="5D0B81F4" w:rsidR="0030771F" w:rsidRPr="008339F1" w:rsidRDefault="00167B52" w:rsidP="00A004C5">
            <w:pPr>
              <w:jc w:val="both"/>
              <w:rPr>
                <w:rFonts w:ascii="Times New Roman" w:hAnsi="Times New Roman" w:cs="Times New Roman"/>
                <w:sz w:val="16"/>
                <w:szCs w:val="16"/>
              </w:rPr>
            </w:pPr>
            <w:r w:rsidRPr="008339F1">
              <w:rPr>
                <w:rFonts w:ascii="Times New Roman" w:hAnsi="Times New Roman" w:cs="Times New Roman"/>
                <w:sz w:val="16"/>
                <w:szCs w:val="16"/>
              </w:rPr>
              <w:t>8</w:t>
            </w:r>
          </w:p>
        </w:tc>
        <w:tc>
          <w:tcPr>
            <w:tcW w:w="915" w:type="dxa"/>
          </w:tcPr>
          <w:p w14:paraId="1AB3074C"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AuthorYear="1"&gt;&lt;Author&gt;Serrano-Bedia&lt;/Author&gt;&lt;Year&gt;2022&lt;/Year&gt;&lt;RecNum&gt;2356&lt;/RecNum&gt;&lt;DisplayText&gt;Serrano-Bedia and Perez-Perez (2022)&lt;/DisplayText&gt;&lt;record&gt;&lt;rec-number&gt;2356&lt;/rec-number&gt;&lt;foreign-keys&gt;&lt;key app="EN" db-id="z959xtv5kdxdt0eawtt5ssvc90eradx50fpz" timestamp="1762176923"&gt;2356&lt;/key&gt;&lt;/foreign-keys&gt;&lt;ref-type name="Journal Article"&gt;17&lt;/ref-type&gt;&lt;contributors&gt;&lt;authors&gt;&lt;author&gt;Serrano-Bedia, Ana-Maria&lt;/author&gt;&lt;author&gt;Perez-Perez, Marta&lt;/author&gt;&lt;/authors&gt;&lt;/contributors&gt;&lt;titles&gt;&lt;title&gt;Transition towards a circular economy: A review of the role of higher education as a key supporting stakeholder in Web of Science&lt;/title&gt;&lt;secondary-title&gt;Sustainable Production and Consumption&lt;/secondary-title&gt;&lt;/titles&gt;&lt;periodical&gt;&lt;full-title&gt;Sustainable Production and Consumption&lt;/full-title&gt;&lt;abbr-1&gt;Sustain. Prod. Consum.&lt;/abbr-1&gt;&lt;/periodical&gt;&lt;pages&gt;82-96&lt;/pages&gt;&lt;volume&gt;31&lt;/volume&gt;&lt;keywords&gt;&lt;keyword&gt;Review&lt;/keyword&gt;&lt;keyword&gt;Circular economy&lt;/keyword&gt;&lt;keyword&gt;Sustainable development&lt;/keyword&gt;&lt;keyword&gt;Higher education institutions&lt;/keyword&gt;&lt;keyword&gt;University&lt;/keyword&gt;&lt;keyword&gt;Campus&lt;/keyword&gt;&lt;/keywords&gt;&lt;dates&gt;&lt;year&gt;2022&lt;/year&gt;&lt;pub-dates&gt;&lt;date&gt;2022/05/01/&lt;/date&gt;&lt;/pub-dates&gt;&lt;/dates&gt;&lt;isbn&gt;2352-5509&lt;/isbn&gt;&lt;urls&gt;&lt;related-urls&gt;&lt;url&gt;https://www.sciencedirect.com/science/article/pii/S2352550922000355&lt;/url&gt;&lt;/related-urls&gt;&lt;/urls&gt;&lt;electronic-resource-num&gt;https://doi.org/10.1016/j.spc.2022.02.001&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Serrano-Bedia and Perez-Perez (2022)</w:t>
            </w:r>
            <w:r w:rsidRPr="008339F1">
              <w:rPr>
                <w:rFonts w:ascii="Times New Roman" w:hAnsi="Times New Roman" w:cs="Times New Roman"/>
                <w:sz w:val="16"/>
                <w:szCs w:val="16"/>
              </w:rPr>
              <w:fldChar w:fldCharType="end"/>
            </w:r>
          </w:p>
        </w:tc>
        <w:tc>
          <w:tcPr>
            <w:tcW w:w="992" w:type="dxa"/>
          </w:tcPr>
          <w:p w14:paraId="612BA48E"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Spain</w:t>
            </w:r>
          </w:p>
        </w:tc>
        <w:tc>
          <w:tcPr>
            <w:tcW w:w="1559" w:type="dxa"/>
          </w:tcPr>
          <w:p w14:paraId="6254D365" w14:textId="0E07B33C" w:rsidR="0030771F" w:rsidRPr="008339F1" w:rsidRDefault="0032436E" w:rsidP="00A004C5">
            <w:pPr>
              <w:jc w:val="both"/>
              <w:rPr>
                <w:rFonts w:ascii="Times New Roman" w:hAnsi="Times New Roman" w:cs="Times New Roman"/>
                <w:sz w:val="16"/>
                <w:szCs w:val="16"/>
              </w:rPr>
            </w:pPr>
            <w:r w:rsidRPr="008339F1">
              <w:rPr>
                <w:rFonts w:ascii="Times New Roman" w:hAnsi="Times New Roman" w:cs="Times New Roman"/>
                <w:sz w:val="16"/>
                <w:szCs w:val="16"/>
              </w:rPr>
              <w:t>Role of higher education institutions as supporting stakeholders in circular economy transition</w:t>
            </w:r>
            <w:r w:rsidR="0030771F" w:rsidRPr="008339F1">
              <w:rPr>
                <w:rFonts w:ascii="Times New Roman" w:hAnsi="Times New Roman" w:cs="Times New Roman"/>
                <w:sz w:val="16"/>
                <w:szCs w:val="16"/>
              </w:rPr>
              <w:t>.</w:t>
            </w:r>
          </w:p>
        </w:tc>
        <w:tc>
          <w:tcPr>
            <w:tcW w:w="1271" w:type="dxa"/>
          </w:tcPr>
          <w:p w14:paraId="7AB73616" w14:textId="1EBC64B2" w:rsidR="0030771F" w:rsidRPr="008339F1" w:rsidRDefault="008821E7" w:rsidP="00A004C5">
            <w:pPr>
              <w:rPr>
                <w:rFonts w:ascii="Times New Roman" w:hAnsi="Times New Roman" w:cs="Times New Roman"/>
                <w:sz w:val="16"/>
                <w:szCs w:val="16"/>
              </w:rPr>
            </w:pPr>
            <w:r w:rsidRPr="008339F1">
              <w:rPr>
                <w:rFonts w:ascii="Times New Roman" w:hAnsi="Times New Roman" w:cs="Times New Roman"/>
                <w:sz w:val="16"/>
                <w:szCs w:val="16"/>
              </w:rPr>
              <w:t>Cross-cutting CE support; education/training; research and innovation; local implementation; campus operations</w:t>
            </w:r>
          </w:p>
        </w:tc>
        <w:tc>
          <w:tcPr>
            <w:tcW w:w="1990" w:type="dxa"/>
          </w:tcPr>
          <w:p w14:paraId="3E58E776" w14:textId="0C40CAEF" w:rsidR="00F16127" w:rsidRPr="008339F1" w:rsidRDefault="002D77B0" w:rsidP="00F16127">
            <w:pPr>
              <w:rPr>
                <w:rFonts w:ascii="Times New Roman" w:hAnsi="Times New Roman" w:cs="Times New Roman"/>
                <w:sz w:val="16"/>
                <w:szCs w:val="16"/>
              </w:rPr>
            </w:pPr>
            <w:r w:rsidRPr="008339F1">
              <w:rPr>
                <w:rFonts w:ascii="Times New Roman" w:hAnsi="Times New Roman" w:cs="Times New Roman"/>
                <w:sz w:val="16"/>
                <w:szCs w:val="16"/>
              </w:rPr>
              <w:t>L</w:t>
            </w:r>
            <w:r w:rsidR="00F16127" w:rsidRPr="008339F1">
              <w:rPr>
                <w:rFonts w:ascii="Times New Roman" w:hAnsi="Times New Roman" w:cs="Times New Roman"/>
                <w:sz w:val="16"/>
                <w:szCs w:val="16"/>
              </w:rPr>
              <w:t>iterature review</w:t>
            </w:r>
          </w:p>
          <w:p w14:paraId="4B513FC7" w14:textId="2CB5FD4E" w:rsidR="0030771F" w:rsidRPr="008339F1" w:rsidRDefault="0030771F" w:rsidP="00F16127">
            <w:pPr>
              <w:rPr>
                <w:rFonts w:ascii="Times New Roman" w:hAnsi="Times New Roman" w:cs="Times New Roman"/>
                <w:sz w:val="16"/>
                <w:szCs w:val="16"/>
              </w:rPr>
            </w:pPr>
          </w:p>
        </w:tc>
        <w:tc>
          <w:tcPr>
            <w:tcW w:w="1843" w:type="dxa"/>
          </w:tcPr>
          <w:p w14:paraId="6B3EB489" w14:textId="1323466B"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Higher education institutions.</w:t>
            </w:r>
          </w:p>
        </w:tc>
        <w:tc>
          <w:tcPr>
            <w:tcW w:w="2126" w:type="dxa"/>
          </w:tcPr>
          <w:p w14:paraId="719F0304" w14:textId="6830990F" w:rsidR="0030771F" w:rsidRPr="008339F1" w:rsidRDefault="00CF1C36" w:rsidP="00833FAD">
            <w:pPr>
              <w:rPr>
                <w:rFonts w:ascii="Times New Roman" w:hAnsi="Times New Roman" w:cs="Times New Roman"/>
                <w:sz w:val="16"/>
                <w:szCs w:val="16"/>
              </w:rPr>
            </w:pPr>
            <w:r w:rsidRPr="008339F1">
              <w:rPr>
                <w:rFonts w:ascii="Times New Roman" w:hAnsi="Times New Roman" w:cs="Times New Roman"/>
                <w:sz w:val="16"/>
                <w:szCs w:val="16"/>
              </w:rPr>
              <w:t>The study states that governments and industries alone cannot drive the systemic changes needed for CE transition, and that HEIs are expected to provide guidance to stakeholders, cultivate CE mentality, support innovation, stimulate CE research, lead local change, and collaborate with industrial practitioners, consumers and governments.</w:t>
            </w:r>
          </w:p>
        </w:tc>
        <w:tc>
          <w:tcPr>
            <w:tcW w:w="2835" w:type="dxa"/>
          </w:tcPr>
          <w:p w14:paraId="72BA0634" w14:textId="64A34B15" w:rsidR="0030771F" w:rsidRPr="008339F1" w:rsidRDefault="00CC21D1" w:rsidP="00A004C5">
            <w:pPr>
              <w:rPr>
                <w:rFonts w:ascii="Times New Roman" w:hAnsi="Times New Roman" w:cs="Times New Roman"/>
                <w:sz w:val="16"/>
                <w:szCs w:val="16"/>
              </w:rPr>
            </w:pPr>
            <w:r w:rsidRPr="008339F1">
              <w:rPr>
                <w:rFonts w:ascii="Times New Roman" w:hAnsi="Times New Roman" w:cs="Times New Roman"/>
                <w:sz w:val="16"/>
                <w:szCs w:val="16"/>
              </w:rPr>
              <w:t xml:space="preserve">HEIs/academic institutions = Responsible for CE education, research, knowledge creation, student innovation and campus-level demonstration; Consulted for technical knowledge, evidence-based advice and policy/industry support; government/industry = Accountable/Responsible for policy and industrial implementation depending on the activity; students/communities/consumers = Consulted/Informed in awareness, </w:t>
            </w:r>
            <w:proofErr w:type="spellStart"/>
            <w:r w:rsidRPr="008339F1">
              <w:rPr>
                <w:rFonts w:ascii="Times New Roman" w:hAnsi="Times New Roman" w:cs="Times New Roman"/>
                <w:sz w:val="16"/>
                <w:szCs w:val="16"/>
              </w:rPr>
              <w:t>behavioural</w:t>
            </w:r>
            <w:proofErr w:type="spellEnd"/>
            <w:r w:rsidRPr="008339F1">
              <w:rPr>
                <w:rFonts w:ascii="Times New Roman" w:hAnsi="Times New Roman" w:cs="Times New Roman"/>
                <w:sz w:val="16"/>
                <w:szCs w:val="16"/>
              </w:rPr>
              <w:t xml:space="preserve"> change and local CE initiatives.</w:t>
            </w:r>
          </w:p>
        </w:tc>
        <w:tc>
          <w:tcPr>
            <w:tcW w:w="3118" w:type="dxa"/>
          </w:tcPr>
          <w:p w14:paraId="5FA0ECB8" w14:textId="63F8E026" w:rsidR="0030771F" w:rsidRPr="008339F1" w:rsidRDefault="0030771F" w:rsidP="00A004C5">
            <w:pPr>
              <w:rPr>
                <w:rFonts w:ascii="Times New Roman" w:hAnsi="Times New Roman" w:cs="Times New Roman"/>
                <w:sz w:val="16"/>
                <w:szCs w:val="16"/>
              </w:rPr>
            </w:pPr>
            <w:r w:rsidRPr="008339F1">
              <w:rPr>
                <w:rFonts w:ascii="Times New Roman" w:hAnsi="Times New Roman" w:cs="Times New Roman"/>
                <w:sz w:val="16"/>
                <w:szCs w:val="16"/>
              </w:rPr>
              <w:t xml:space="preserve">Limited funding and competing budget priorities; lack of information sharing platforms  </w:t>
            </w:r>
          </w:p>
        </w:tc>
        <w:tc>
          <w:tcPr>
            <w:tcW w:w="2127" w:type="dxa"/>
          </w:tcPr>
          <w:p w14:paraId="10FA7730" w14:textId="70FCAAF5" w:rsidR="0030771F" w:rsidRPr="008339F1" w:rsidRDefault="00FA7A2E" w:rsidP="00FA7A2E">
            <w:pPr>
              <w:rPr>
                <w:rFonts w:ascii="Times New Roman" w:hAnsi="Times New Roman" w:cs="Times New Roman"/>
                <w:sz w:val="16"/>
                <w:szCs w:val="16"/>
              </w:rPr>
            </w:pPr>
            <w:r w:rsidRPr="008339F1">
              <w:rPr>
                <w:rFonts w:ascii="Times New Roman" w:hAnsi="Times New Roman" w:cs="Times New Roman"/>
                <w:sz w:val="16"/>
                <w:szCs w:val="16"/>
              </w:rPr>
              <w:t>Affected: HEIs, students, industry actors, policymakers, local communities. Influencing: HEIs, governments, industries, students, consumers, local/regional authorities.</w:t>
            </w:r>
          </w:p>
        </w:tc>
        <w:tc>
          <w:tcPr>
            <w:tcW w:w="2268" w:type="dxa"/>
          </w:tcPr>
          <w:p w14:paraId="3BA63FE9" w14:textId="556D65DA" w:rsidR="0030771F" w:rsidRPr="008339F1" w:rsidRDefault="00AF67B0" w:rsidP="00AF67B0">
            <w:pPr>
              <w:rPr>
                <w:rFonts w:ascii="Times New Roman" w:hAnsi="Times New Roman" w:cs="Times New Roman"/>
                <w:sz w:val="16"/>
                <w:szCs w:val="16"/>
              </w:rPr>
            </w:pPr>
            <w:r w:rsidRPr="008339F1">
              <w:rPr>
                <w:rFonts w:ascii="Times New Roman" w:hAnsi="Times New Roman" w:cs="Times New Roman"/>
                <w:sz w:val="16"/>
                <w:szCs w:val="16"/>
              </w:rPr>
              <w:t>CE education and curriculum reform; student-led innovation; CE research; university–industry–government collaboration; local CE leadership; circular campus management; knowledge transfer and stakeholder guidance.</w:t>
            </w:r>
          </w:p>
        </w:tc>
      </w:tr>
      <w:tr w:rsidR="008339F1" w:rsidRPr="008339F1" w14:paraId="176B75A9" w14:textId="77777777" w:rsidTr="002B37B8">
        <w:trPr>
          <w:trHeight w:val="4238"/>
        </w:trPr>
        <w:tc>
          <w:tcPr>
            <w:tcW w:w="503" w:type="dxa"/>
          </w:tcPr>
          <w:p w14:paraId="2628EB62" w14:textId="2E67D2A9" w:rsidR="0030771F" w:rsidRPr="008339F1" w:rsidRDefault="00167B52" w:rsidP="00A004C5">
            <w:pPr>
              <w:jc w:val="both"/>
              <w:rPr>
                <w:rFonts w:ascii="Times New Roman" w:hAnsi="Times New Roman" w:cs="Times New Roman"/>
                <w:sz w:val="16"/>
                <w:szCs w:val="16"/>
              </w:rPr>
            </w:pPr>
            <w:r w:rsidRPr="008339F1">
              <w:rPr>
                <w:rFonts w:ascii="Times New Roman" w:hAnsi="Times New Roman" w:cs="Times New Roman"/>
                <w:sz w:val="16"/>
                <w:szCs w:val="16"/>
              </w:rPr>
              <w:t>9</w:t>
            </w:r>
          </w:p>
        </w:tc>
        <w:tc>
          <w:tcPr>
            <w:tcW w:w="915" w:type="dxa"/>
          </w:tcPr>
          <w:p w14:paraId="0ADADDF4"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AuthorYear="1"&gt;&lt;Author&gt;Adabre&lt;/Author&gt;&lt;Year&gt;2024&lt;/Year&gt;&lt;RecNum&gt;2358&lt;/RecNum&gt;&lt;DisplayText&gt;Adabre et al. (2024)&lt;/DisplayText&gt;&lt;record&gt;&lt;rec-number&gt;2358&lt;/rec-number&gt;&lt;foreign-keys&gt;&lt;key app="EN" db-id="z959xtv5kdxdt0eawtt5ssvc90eradx50fpz" timestamp="1762181812"&gt;2358&lt;/key&gt;&lt;/foreign-keys&gt;&lt;ref-type name="Journal Article"&gt;17&lt;/ref-type&gt;&lt;contributors&gt;&lt;authors&gt;&lt;author&gt;Adabre, Michael Atafo&lt;/author&gt;&lt;author&gt;Chan, Albert PC&lt;/author&gt;&lt;author&gt;Darko, Amos&lt;/author&gt;&lt;author&gt;Edwards, David J&lt;/author&gt;&lt;author&gt;Yang, Yang&lt;/author&gt;&lt;author&gt;Issahaque, Sherif&lt;/author&gt;&lt;/authors&gt;&lt;/contributors&gt;&lt;titles&gt;&lt;title&gt;No stakeholder is an island in the drive to this transition: circular economy in the built environment&lt;/title&gt;&lt;secondary-title&gt;Sustainability&lt;/secondary-title&gt;&lt;/titles&gt;&lt;periodical&gt;&lt;full-title&gt;Sustainability (Switzerland)&lt;/full-title&gt;&lt;abbr-1&gt;Sustainability&lt;/abbr-1&gt;&lt;/periodical&gt;&lt;volume&gt;16&lt;/volume&gt;&lt;number&gt;15&lt;/number&gt;&lt;dates&gt;&lt;year&gt;2024&lt;/year&gt;&lt;/dates&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Adabre et al. (2024)</w:t>
            </w:r>
            <w:r w:rsidRPr="008339F1">
              <w:rPr>
                <w:rFonts w:ascii="Times New Roman" w:hAnsi="Times New Roman" w:cs="Times New Roman"/>
                <w:sz w:val="16"/>
                <w:szCs w:val="16"/>
              </w:rPr>
              <w:fldChar w:fldCharType="end"/>
            </w:r>
          </w:p>
        </w:tc>
        <w:tc>
          <w:tcPr>
            <w:tcW w:w="992" w:type="dxa"/>
          </w:tcPr>
          <w:p w14:paraId="09819AD5"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Ghana</w:t>
            </w:r>
          </w:p>
        </w:tc>
        <w:tc>
          <w:tcPr>
            <w:tcW w:w="1559" w:type="dxa"/>
          </w:tcPr>
          <w:p w14:paraId="4C1D91E7" w14:textId="41FBFFFA" w:rsidR="0030771F" w:rsidRPr="008339F1" w:rsidRDefault="00281ED4" w:rsidP="00A004C5">
            <w:pPr>
              <w:jc w:val="both"/>
              <w:rPr>
                <w:rFonts w:ascii="Times New Roman" w:hAnsi="Times New Roman" w:cs="Times New Roman"/>
                <w:sz w:val="16"/>
                <w:szCs w:val="16"/>
              </w:rPr>
            </w:pPr>
            <w:r w:rsidRPr="008339F1">
              <w:rPr>
                <w:rFonts w:ascii="Times New Roman" w:hAnsi="Times New Roman" w:cs="Times New Roman"/>
                <w:sz w:val="16"/>
                <w:szCs w:val="16"/>
              </w:rPr>
              <w:t>Stakeholder-based drivers for circular economy transition in the built environment</w:t>
            </w:r>
          </w:p>
        </w:tc>
        <w:tc>
          <w:tcPr>
            <w:tcW w:w="1271" w:type="dxa"/>
          </w:tcPr>
          <w:p w14:paraId="2F5346CF" w14:textId="044930BF" w:rsidR="0030771F" w:rsidRPr="008339F1" w:rsidRDefault="008C4398" w:rsidP="00A004C5">
            <w:pPr>
              <w:rPr>
                <w:rFonts w:ascii="Times New Roman" w:hAnsi="Times New Roman" w:cs="Times New Roman"/>
                <w:sz w:val="16"/>
                <w:szCs w:val="16"/>
              </w:rPr>
            </w:pPr>
            <w:r w:rsidRPr="008339F1">
              <w:rPr>
                <w:rFonts w:ascii="Times New Roman" w:hAnsi="Times New Roman" w:cs="Times New Roman"/>
                <w:sz w:val="16"/>
                <w:szCs w:val="16"/>
              </w:rPr>
              <w:t>design; procurement; construction; reuse/recycling; facility operation and maintenance</w:t>
            </w:r>
          </w:p>
        </w:tc>
        <w:tc>
          <w:tcPr>
            <w:tcW w:w="1990" w:type="dxa"/>
          </w:tcPr>
          <w:p w14:paraId="7CF24C0A" w14:textId="3A7D2444" w:rsidR="0030771F" w:rsidRPr="008339F1" w:rsidRDefault="006C29E1" w:rsidP="00A004C5">
            <w:pPr>
              <w:rPr>
                <w:rFonts w:ascii="Times New Roman" w:hAnsi="Times New Roman" w:cs="Times New Roman"/>
                <w:sz w:val="16"/>
                <w:szCs w:val="16"/>
              </w:rPr>
            </w:pPr>
            <w:r w:rsidRPr="008339F1">
              <w:rPr>
                <w:rFonts w:ascii="Times New Roman" w:hAnsi="Times New Roman" w:cs="Times New Roman"/>
                <w:sz w:val="16"/>
                <w:szCs w:val="16"/>
              </w:rPr>
              <w:t>Literature review and questionnaire survey</w:t>
            </w:r>
            <w:r w:rsidR="00050BED" w:rsidRPr="008339F1">
              <w:rPr>
                <w:rFonts w:ascii="Times New Roman" w:hAnsi="Times New Roman" w:cs="Times New Roman"/>
                <w:sz w:val="16"/>
                <w:szCs w:val="16"/>
              </w:rPr>
              <w:t>, Literature review and questionnaire survey</w:t>
            </w:r>
          </w:p>
        </w:tc>
        <w:tc>
          <w:tcPr>
            <w:tcW w:w="1843" w:type="dxa"/>
          </w:tcPr>
          <w:p w14:paraId="2573316C" w14:textId="58E70D93" w:rsidR="0030771F" w:rsidRPr="008339F1" w:rsidRDefault="00556FEB" w:rsidP="00A004C5">
            <w:pPr>
              <w:rPr>
                <w:rFonts w:ascii="Times New Roman" w:hAnsi="Times New Roman" w:cs="Times New Roman"/>
                <w:sz w:val="16"/>
                <w:szCs w:val="16"/>
              </w:rPr>
            </w:pPr>
            <w:r w:rsidRPr="008339F1">
              <w:rPr>
                <w:rFonts w:ascii="Times New Roman" w:hAnsi="Times New Roman" w:cs="Times New Roman"/>
                <w:sz w:val="16"/>
                <w:szCs w:val="16"/>
              </w:rPr>
              <w:t>Government; firms/designers/contractors; professional institutions; HEIs; society; clients</w:t>
            </w:r>
            <w:r w:rsidR="0030771F" w:rsidRPr="008339F1">
              <w:rPr>
                <w:rFonts w:ascii="Times New Roman" w:hAnsi="Times New Roman" w:cs="Times New Roman"/>
                <w:sz w:val="16"/>
                <w:szCs w:val="16"/>
              </w:rPr>
              <w:t>.</w:t>
            </w:r>
          </w:p>
        </w:tc>
        <w:tc>
          <w:tcPr>
            <w:tcW w:w="2126" w:type="dxa"/>
          </w:tcPr>
          <w:p w14:paraId="7D51A862" w14:textId="40181D0C" w:rsidR="0030771F" w:rsidRPr="008339F1" w:rsidRDefault="00F73796" w:rsidP="00833FAD">
            <w:pPr>
              <w:rPr>
                <w:rFonts w:ascii="Times New Roman" w:hAnsi="Times New Roman" w:cs="Times New Roman"/>
                <w:sz w:val="16"/>
                <w:szCs w:val="16"/>
              </w:rPr>
            </w:pPr>
            <w:r w:rsidRPr="008339F1">
              <w:rPr>
                <w:rFonts w:ascii="Times New Roman" w:hAnsi="Times New Roman" w:cs="Times New Roman"/>
                <w:sz w:val="16"/>
                <w:szCs w:val="16"/>
              </w:rPr>
              <w:t>G</w:t>
            </w:r>
            <w:r w:rsidR="00556FEB" w:rsidRPr="008339F1">
              <w:rPr>
                <w:rFonts w:ascii="Times New Roman" w:hAnsi="Times New Roman" w:cs="Times New Roman"/>
                <w:sz w:val="16"/>
                <w:szCs w:val="16"/>
              </w:rPr>
              <w:t xml:space="preserve">overnment is </w:t>
            </w:r>
            <w:r w:rsidRPr="008339F1">
              <w:rPr>
                <w:rFonts w:ascii="Times New Roman" w:hAnsi="Times New Roman" w:cs="Times New Roman"/>
                <w:sz w:val="16"/>
                <w:szCs w:val="16"/>
              </w:rPr>
              <w:t>a</w:t>
            </w:r>
            <w:r w:rsidR="00556FEB" w:rsidRPr="008339F1">
              <w:rPr>
                <w:rFonts w:ascii="Times New Roman" w:hAnsi="Times New Roman" w:cs="Times New Roman"/>
                <w:sz w:val="16"/>
                <w:szCs w:val="16"/>
              </w:rPr>
              <w:t xml:space="preserve">ccountable for regulation and market conditions; professional institutions and HEIs are </w:t>
            </w:r>
            <w:r w:rsidRPr="008339F1">
              <w:rPr>
                <w:rFonts w:ascii="Times New Roman" w:hAnsi="Times New Roman" w:cs="Times New Roman"/>
                <w:sz w:val="16"/>
                <w:szCs w:val="16"/>
              </w:rPr>
              <w:t>r</w:t>
            </w:r>
            <w:r w:rsidR="00556FEB" w:rsidRPr="008339F1">
              <w:rPr>
                <w:rFonts w:ascii="Times New Roman" w:hAnsi="Times New Roman" w:cs="Times New Roman"/>
                <w:sz w:val="16"/>
                <w:szCs w:val="16"/>
              </w:rPr>
              <w:t xml:space="preserve">esponsible for skills development, research and dissemination and </w:t>
            </w:r>
            <w:proofErr w:type="gramStart"/>
            <w:r w:rsidR="00556FEB" w:rsidRPr="008339F1">
              <w:rPr>
                <w:rFonts w:ascii="Times New Roman" w:hAnsi="Times New Roman" w:cs="Times New Roman"/>
                <w:sz w:val="16"/>
                <w:szCs w:val="16"/>
              </w:rPr>
              <w:t>Consulted</w:t>
            </w:r>
            <w:proofErr w:type="gramEnd"/>
            <w:r w:rsidR="00556FEB" w:rsidRPr="008339F1">
              <w:rPr>
                <w:rFonts w:ascii="Times New Roman" w:hAnsi="Times New Roman" w:cs="Times New Roman"/>
                <w:sz w:val="16"/>
                <w:szCs w:val="16"/>
              </w:rPr>
              <w:t xml:space="preserve"> for technical input; firms are Responsible for operational implementation; clients are conditionally </w:t>
            </w:r>
            <w:r w:rsidRPr="008339F1">
              <w:rPr>
                <w:rFonts w:ascii="Times New Roman" w:hAnsi="Times New Roman" w:cs="Times New Roman"/>
                <w:sz w:val="16"/>
                <w:szCs w:val="16"/>
              </w:rPr>
              <w:t>r</w:t>
            </w:r>
            <w:r w:rsidR="00556FEB" w:rsidRPr="008339F1">
              <w:rPr>
                <w:rFonts w:ascii="Times New Roman" w:hAnsi="Times New Roman" w:cs="Times New Roman"/>
                <w:sz w:val="16"/>
                <w:szCs w:val="16"/>
              </w:rPr>
              <w:t xml:space="preserve">esponsible through procurement decisions; and society functions primarily as an </w:t>
            </w:r>
            <w:r w:rsidRPr="008339F1">
              <w:rPr>
                <w:rFonts w:ascii="Times New Roman" w:hAnsi="Times New Roman" w:cs="Times New Roman"/>
                <w:sz w:val="16"/>
                <w:szCs w:val="16"/>
              </w:rPr>
              <w:t>i</w:t>
            </w:r>
            <w:r w:rsidR="00556FEB" w:rsidRPr="008339F1">
              <w:rPr>
                <w:rFonts w:ascii="Times New Roman" w:hAnsi="Times New Roman" w:cs="Times New Roman"/>
                <w:sz w:val="16"/>
                <w:szCs w:val="16"/>
              </w:rPr>
              <w:t>nformed stakeholder whose influence is mediated through awareness and norms.</w:t>
            </w:r>
          </w:p>
        </w:tc>
        <w:tc>
          <w:tcPr>
            <w:tcW w:w="2835" w:type="dxa"/>
          </w:tcPr>
          <w:p w14:paraId="1CD23FDE" w14:textId="5EF472D7" w:rsidR="0030771F" w:rsidRPr="008339F1" w:rsidRDefault="00473BD7" w:rsidP="00473BD7">
            <w:pPr>
              <w:rPr>
                <w:rFonts w:ascii="Times New Roman" w:hAnsi="Times New Roman" w:cs="Times New Roman"/>
                <w:sz w:val="16"/>
                <w:szCs w:val="16"/>
              </w:rPr>
            </w:pPr>
            <w:bookmarkStart w:id="16" w:name="OLE_LINK37"/>
            <w:r w:rsidRPr="008339F1">
              <w:rPr>
                <w:rFonts w:ascii="Times New Roman" w:hAnsi="Times New Roman" w:cs="Times New Roman"/>
                <w:sz w:val="16"/>
                <w:szCs w:val="16"/>
              </w:rPr>
              <w:t xml:space="preserve">Government = Accountable for CE policy, funding support, circular permits, rating systems,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incentives and enabling market conditions; firms/designers/contractors = Responsible for integrating circularity into business strategy, modular construction, building layers, flexible/adaptable design and collaboration; professional institutions/HEIs = Responsible for CE skills development, R&amp;D</w:t>
            </w:r>
            <w:r w:rsidR="00785E08" w:rsidRPr="008339F1">
              <w:rPr>
                <w:rFonts w:ascii="Times New Roman" w:hAnsi="Times New Roman" w:cs="Times New Roman"/>
                <w:sz w:val="16"/>
                <w:szCs w:val="16"/>
              </w:rPr>
              <w:t xml:space="preserve"> research and development</w:t>
            </w:r>
            <w:r w:rsidR="0091777D" w:rsidRPr="008339F1">
              <w:rPr>
                <w:rFonts w:ascii="Times New Roman" w:hAnsi="Times New Roman" w:cs="Times New Roman"/>
                <w:sz w:val="16"/>
                <w:szCs w:val="16"/>
              </w:rPr>
              <w:t>;</w:t>
            </w:r>
            <w:r w:rsidR="00D75CC7" w:rsidRPr="008339F1">
              <w:rPr>
                <w:rFonts w:ascii="Times New Roman" w:hAnsi="Times New Roman" w:cs="Times New Roman"/>
                <w:sz w:val="16"/>
                <w:szCs w:val="16"/>
              </w:rPr>
              <w:t xml:space="preserve"> </w:t>
            </w:r>
            <w:r w:rsidR="0091777D" w:rsidRPr="008339F1">
              <w:rPr>
                <w:rFonts w:ascii="Times New Roman" w:hAnsi="Times New Roman" w:cs="Times New Roman"/>
                <w:sz w:val="16"/>
                <w:szCs w:val="16"/>
              </w:rPr>
              <w:t>C</w:t>
            </w:r>
            <w:r w:rsidR="000355F2" w:rsidRPr="008339F1">
              <w:rPr>
                <w:rFonts w:ascii="Times New Roman" w:hAnsi="Times New Roman" w:cs="Times New Roman"/>
                <w:sz w:val="16"/>
                <w:szCs w:val="16"/>
              </w:rPr>
              <w:t xml:space="preserve">onsulted for technical </w:t>
            </w:r>
            <w:bookmarkEnd w:id="16"/>
            <w:r w:rsidR="000355F2" w:rsidRPr="008339F1">
              <w:rPr>
                <w:rFonts w:ascii="Times New Roman" w:hAnsi="Times New Roman" w:cs="Times New Roman"/>
                <w:sz w:val="16"/>
                <w:szCs w:val="16"/>
              </w:rPr>
              <w:t xml:space="preserve">input and guidance </w:t>
            </w:r>
            <w:r w:rsidR="00D75CC7" w:rsidRPr="008339F1">
              <w:rPr>
                <w:rFonts w:ascii="Times New Roman" w:hAnsi="Times New Roman" w:cs="Times New Roman"/>
                <w:sz w:val="16"/>
                <w:szCs w:val="16"/>
              </w:rPr>
              <w:t>and information dissemination</w:t>
            </w:r>
            <w:r w:rsidRPr="008339F1">
              <w:rPr>
                <w:rFonts w:ascii="Times New Roman" w:hAnsi="Times New Roman" w:cs="Times New Roman"/>
                <w:sz w:val="16"/>
                <w:szCs w:val="16"/>
              </w:rPr>
              <w:t xml:space="preserve">,; clients = Responsible for circular procurement and demand-side decisions; society/clients = Consulted/Informed through awareness, </w:t>
            </w:r>
            <w:proofErr w:type="spellStart"/>
            <w:r w:rsidRPr="008339F1">
              <w:rPr>
                <w:rFonts w:ascii="Times New Roman" w:hAnsi="Times New Roman" w:cs="Times New Roman"/>
                <w:sz w:val="16"/>
                <w:szCs w:val="16"/>
              </w:rPr>
              <w:t>behavioural</w:t>
            </w:r>
            <w:proofErr w:type="spellEnd"/>
            <w:r w:rsidRPr="008339F1">
              <w:rPr>
                <w:rFonts w:ascii="Times New Roman" w:hAnsi="Times New Roman" w:cs="Times New Roman"/>
                <w:sz w:val="16"/>
                <w:szCs w:val="16"/>
              </w:rPr>
              <w:t xml:space="preserve"> change and guideline use.</w:t>
            </w:r>
          </w:p>
        </w:tc>
        <w:tc>
          <w:tcPr>
            <w:tcW w:w="3118" w:type="dxa"/>
          </w:tcPr>
          <w:p w14:paraId="4F3BC24B" w14:textId="703A8467" w:rsidR="0030771F" w:rsidRPr="008339F1" w:rsidRDefault="0030771F" w:rsidP="00A004C5">
            <w:pPr>
              <w:jc w:val="center"/>
              <w:rPr>
                <w:rFonts w:ascii="Times New Roman" w:hAnsi="Times New Roman" w:cs="Times New Roman"/>
                <w:sz w:val="16"/>
                <w:szCs w:val="16"/>
              </w:rPr>
            </w:pPr>
          </w:p>
        </w:tc>
        <w:tc>
          <w:tcPr>
            <w:tcW w:w="2127" w:type="dxa"/>
          </w:tcPr>
          <w:p w14:paraId="72931153" w14:textId="781F1F16" w:rsidR="0030771F" w:rsidRPr="008339F1" w:rsidRDefault="0030771F" w:rsidP="00A004C5">
            <w:pPr>
              <w:rPr>
                <w:rFonts w:ascii="Times New Roman" w:hAnsi="Times New Roman" w:cs="Times New Roman"/>
                <w:sz w:val="16"/>
                <w:szCs w:val="16"/>
              </w:rPr>
            </w:pPr>
          </w:p>
        </w:tc>
        <w:tc>
          <w:tcPr>
            <w:tcW w:w="2268" w:type="dxa"/>
          </w:tcPr>
          <w:p w14:paraId="2DF5A906" w14:textId="77777777" w:rsidR="00281132"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CE awareness among clients (highest overall)</w:t>
            </w:r>
          </w:p>
          <w:p w14:paraId="4462173B" w14:textId="77777777" w:rsidR="00281132"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Circular procurement by clients</w:t>
            </w:r>
          </w:p>
          <w:p w14:paraId="02221A4A" w14:textId="77777777" w:rsidR="00281132"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Skill development and CE expertise via education and professional training</w:t>
            </w:r>
          </w:p>
          <w:p w14:paraId="715732EA" w14:textId="77777777" w:rsidR="00281132"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Information dissemination (guidelines, manuals, best practices)</w:t>
            </w:r>
          </w:p>
          <w:p w14:paraId="39493764" w14:textId="77777777" w:rsidR="00281132"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Research and development on CE</w:t>
            </w:r>
          </w:p>
          <w:p w14:paraId="42998AB7" w14:textId="48DED5F6" w:rsidR="0030771F" w:rsidRPr="008339F1" w:rsidRDefault="00281132" w:rsidP="00281132">
            <w:pPr>
              <w:rPr>
                <w:rFonts w:ascii="Times New Roman" w:hAnsi="Times New Roman" w:cs="Times New Roman"/>
                <w:sz w:val="16"/>
                <w:szCs w:val="16"/>
              </w:rPr>
            </w:pPr>
            <w:r w:rsidRPr="008339F1">
              <w:rPr>
                <w:rFonts w:ascii="Times New Roman" w:hAnsi="Times New Roman" w:cs="Times New Roman"/>
                <w:sz w:val="16"/>
                <w:szCs w:val="16"/>
              </w:rPr>
              <w:t xml:space="preserve">Government support for reuse, recycling, and maintenance </w:t>
            </w:r>
            <w:proofErr w:type="spellStart"/>
            <w:r w:rsidRPr="008339F1">
              <w:rPr>
                <w:rFonts w:ascii="Times New Roman" w:hAnsi="Times New Roman" w:cs="Times New Roman"/>
                <w:sz w:val="16"/>
                <w:szCs w:val="16"/>
              </w:rPr>
              <w:t>centres</w:t>
            </w:r>
            <w:proofErr w:type="spellEnd"/>
          </w:p>
        </w:tc>
      </w:tr>
      <w:tr w:rsidR="008339F1" w:rsidRPr="008339F1" w14:paraId="6BB937E0" w14:textId="77777777" w:rsidTr="002B37B8">
        <w:tc>
          <w:tcPr>
            <w:tcW w:w="503" w:type="dxa"/>
          </w:tcPr>
          <w:p w14:paraId="108D8C72" w14:textId="15405DA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1</w:t>
            </w:r>
            <w:r w:rsidR="00D759B1" w:rsidRPr="008339F1">
              <w:rPr>
                <w:rFonts w:ascii="Times New Roman" w:hAnsi="Times New Roman" w:cs="Times New Roman"/>
                <w:sz w:val="16"/>
                <w:szCs w:val="16"/>
              </w:rPr>
              <w:t>0</w:t>
            </w:r>
          </w:p>
        </w:tc>
        <w:bookmarkStart w:id="17" w:name="OLE_LINK246"/>
        <w:tc>
          <w:tcPr>
            <w:tcW w:w="915" w:type="dxa"/>
          </w:tcPr>
          <w:p w14:paraId="21519FCC"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AuthorYear="1"&gt;&lt;Author&gt;Victar&lt;/Author&gt;&lt;Year&gt;2023&lt;/Year&gt;&lt;RecNum&gt;2360&lt;/RecNum&gt;&lt;DisplayText&gt;Victar et al. (2023)&lt;/DisplayText&gt;&lt;record&gt;&lt;rec-number&gt;2360&lt;/rec-number&gt;&lt;foreign-keys&gt;&lt;key app="EN" db-id="z959xtv5kdxdt0eawtt5ssvc90eradx50fpz" timestamp="1762183341"&gt;2360&lt;/key&gt;&lt;/foreign-keys&gt;&lt;ref-type name="Journal Article"&gt;17&lt;/ref-type&gt;&lt;contributors&gt;&lt;authors&gt;&lt;author&gt;Victar, Hasith Chathuranga&lt;/author&gt;&lt;author&gt;Perera, B.A.K.S.&lt;/author&gt;&lt;author&gt;Palihakkara, Asha Dulanjalie&lt;/author&gt;&lt;author&gt;Dewagod, Kaveesha Gihani&lt;/author&gt;&lt;/authors&gt;&lt;/contributors&gt;&lt;titles&gt;&lt;title&gt;Roles and competencies of quantity surveyors in achieving a circular built environment: an investigation according to 3R principles&lt;/title&gt;&lt;secondary-title&gt;Smart and Sustainable Built Environment&lt;/secondary-title&gt;&lt;/titles&gt;&lt;periodical&gt;&lt;full-title&gt;Smart and Sustainable Built Environment&lt;/full-title&gt;&lt;abbr-1&gt;Smart Sustain. Built Environ.&lt;/abbr-1&gt;&lt;/periodical&gt;&lt;pages&gt;1015-1040&lt;/pages&gt;&lt;volume&gt;13&lt;/volume&gt;&lt;number&gt;4&lt;/number&gt;&lt;dates&gt;&lt;year&gt;2023&lt;/year&gt;&lt;/dates&gt;&lt;isbn&gt;2046-6099&lt;/isbn&gt;&lt;urls&gt;&lt;related-urls&gt;&lt;url&gt;https://doi.org/10.1108/SASBE-10-2022-0231&lt;/url&gt;&lt;/related-urls&gt;&lt;/urls&gt;&lt;electronic-resource-num&gt;10.1108/sasbe-10-2022-0231&lt;/electronic-resource-num&gt;&lt;access-date&gt;11/3/2025&lt;/access-date&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Victar et al. (2023)</w:t>
            </w:r>
            <w:r w:rsidRPr="008339F1">
              <w:rPr>
                <w:rFonts w:ascii="Times New Roman" w:hAnsi="Times New Roman" w:cs="Times New Roman"/>
                <w:sz w:val="16"/>
                <w:szCs w:val="16"/>
              </w:rPr>
              <w:fldChar w:fldCharType="end"/>
            </w:r>
            <w:bookmarkEnd w:id="17"/>
          </w:p>
        </w:tc>
        <w:tc>
          <w:tcPr>
            <w:tcW w:w="992" w:type="dxa"/>
          </w:tcPr>
          <w:p w14:paraId="536C194B" w14:textId="41A3E77E" w:rsidR="0030771F" w:rsidRPr="008339F1" w:rsidRDefault="003D66D1" w:rsidP="00A004C5">
            <w:pPr>
              <w:jc w:val="both"/>
              <w:rPr>
                <w:rFonts w:ascii="Times New Roman" w:hAnsi="Times New Roman" w:cs="Times New Roman"/>
                <w:sz w:val="16"/>
                <w:szCs w:val="16"/>
              </w:rPr>
            </w:pPr>
            <w:r w:rsidRPr="008339F1">
              <w:rPr>
                <w:rFonts w:ascii="Times New Roman" w:hAnsi="Times New Roman" w:cs="Times New Roman"/>
                <w:sz w:val="16"/>
                <w:szCs w:val="16"/>
              </w:rPr>
              <w:t>Multi-country expert perspective; quantity surveying profession</w:t>
            </w:r>
          </w:p>
        </w:tc>
        <w:tc>
          <w:tcPr>
            <w:tcW w:w="1559" w:type="dxa"/>
          </w:tcPr>
          <w:p w14:paraId="75133752" w14:textId="1225BFB2" w:rsidR="0030771F" w:rsidRPr="008339F1" w:rsidRDefault="00A16C20" w:rsidP="001E086A">
            <w:pPr>
              <w:rPr>
                <w:rFonts w:ascii="Times New Roman" w:hAnsi="Times New Roman" w:cs="Times New Roman"/>
                <w:sz w:val="16"/>
                <w:szCs w:val="16"/>
              </w:rPr>
            </w:pPr>
            <w:r w:rsidRPr="008339F1">
              <w:rPr>
                <w:rFonts w:ascii="Times New Roman" w:hAnsi="Times New Roman" w:cs="Times New Roman"/>
                <w:sz w:val="16"/>
                <w:szCs w:val="16"/>
              </w:rPr>
              <w:t>Roles and competencies of quantity surveyors in achieving a circular built environment based on reduce, reuse and recycle principles</w:t>
            </w:r>
          </w:p>
        </w:tc>
        <w:tc>
          <w:tcPr>
            <w:tcW w:w="1271" w:type="dxa"/>
          </w:tcPr>
          <w:p w14:paraId="0FC9C0A2" w14:textId="6034A4B7" w:rsidR="0030771F" w:rsidRPr="008339F1" w:rsidRDefault="002D7FDC" w:rsidP="00A004C5">
            <w:pPr>
              <w:jc w:val="both"/>
              <w:rPr>
                <w:rFonts w:ascii="Times New Roman" w:hAnsi="Times New Roman" w:cs="Times New Roman"/>
                <w:sz w:val="16"/>
                <w:szCs w:val="16"/>
              </w:rPr>
            </w:pPr>
            <w:r w:rsidRPr="008339F1">
              <w:rPr>
                <w:rFonts w:ascii="Times New Roman" w:hAnsi="Times New Roman" w:cs="Times New Roman"/>
                <w:sz w:val="16"/>
                <w:szCs w:val="16"/>
              </w:rPr>
              <w:t>Design; building material sourcing; pre-construction circular decision-making</w:t>
            </w:r>
          </w:p>
        </w:tc>
        <w:tc>
          <w:tcPr>
            <w:tcW w:w="1990" w:type="dxa"/>
          </w:tcPr>
          <w:p w14:paraId="7E628146" w14:textId="26CCD6FA" w:rsidR="0030771F" w:rsidRPr="008339F1" w:rsidRDefault="004E552F" w:rsidP="00A004C5">
            <w:pPr>
              <w:jc w:val="both"/>
              <w:rPr>
                <w:rFonts w:ascii="Times New Roman" w:hAnsi="Times New Roman" w:cs="Times New Roman"/>
                <w:sz w:val="16"/>
                <w:szCs w:val="16"/>
              </w:rPr>
            </w:pPr>
            <w:r w:rsidRPr="008339F1">
              <w:rPr>
                <w:rFonts w:ascii="Times New Roman" w:hAnsi="Times New Roman" w:cs="Times New Roman"/>
                <w:sz w:val="16"/>
                <w:szCs w:val="16"/>
              </w:rPr>
              <w:t>Qualitative research using two‑round Delphi technique; expert interviews; manual content analysis to identify and rank QS roles and competencies under 3R principles at design and material sourcing stages</w:t>
            </w:r>
          </w:p>
        </w:tc>
        <w:tc>
          <w:tcPr>
            <w:tcW w:w="1843" w:type="dxa"/>
          </w:tcPr>
          <w:p w14:paraId="7D3E4643" w14:textId="04C12819"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Quantity Surveyors</w:t>
            </w:r>
            <w:r w:rsidR="001B7AF6" w:rsidRPr="008339F1">
              <w:rPr>
                <w:rFonts w:ascii="Times New Roman" w:hAnsi="Times New Roman" w:cs="Times New Roman"/>
                <w:sz w:val="16"/>
                <w:szCs w:val="16"/>
              </w:rPr>
              <w:t xml:space="preserve"> (QS)</w:t>
            </w:r>
            <w:r w:rsidRPr="008339F1">
              <w:rPr>
                <w:rFonts w:ascii="Times New Roman" w:hAnsi="Times New Roman" w:cs="Times New Roman"/>
                <w:sz w:val="16"/>
                <w:szCs w:val="16"/>
              </w:rPr>
              <w:t>.</w:t>
            </w:r>
          </w:p>
        </w:tc>
        <w:tc>
          <w:tcPr>
            <w:tcW w:w="2126" w:type="dxa"/>
          </w:tcPr>
          <w:p w14:paraId="14302C71" w14:textId="4115F545" w:rsidR="0030771F" w:rsidRPr="008339F1" w:rsidRDefault="00934C94" w:rsidP="00833FAD">
            <w:pPr>
              <w:rPr>
                <w:rFonts w:ascii="Times New Roman" w:hAnsi="Times New Roman" w:cs="Times New Roman"/>
                <w:sz w:val="16"/>
                <w:szCs w:val="16"/>
              </w:rPr>
            </w:pPr>
            <w:r w:rsidRPr="008339F1">
              <w:rPr>
                <w:rFonts w:ascii="Times New Roman" w:hAnsi="Times New Roman" w:cs="Times New Roman"/>
                <w:sz w:val="16"/>
                <w:szCs w:val="16"/>
              </w:rPr>
              <w:t>QS p</w:t>
            </w:r>
            <w:r w:rsidR="00CA6E90" w:rsidRPr="008339F1">
              <w:rPr>
                <w:rFonts w:ascii="Times New Roman" w:hAnsi="Times New Roman" w:cs="Times New Roman"/>
                <w:sz w:val="16"/>
                <w:szCs w:val="16"/>
              </w:rPr>
              <w:t>erform</w:t>
            </w:r>
            <w:r w:rsidRPr="008339F1">
              <w:rPr>
                <w:rFonts w:ascii="Times New Roman" w:hAnsi="Times New Roman" w:cs="Times New Roman"/>
                <w:sz w:val="16"/>
                <w:szCs w:val="16"/>
              </w:rPr>
              <w:t>s</w:t>
            </w:r>
            <w:r w:rsidR="00CA6E90" w:rsidRPr="008339F1">
              <w:rPr>
                <w:rFonts w:ascii="Times New Roman" w:hAnsi="Times New Roman" w:cs="Times New Roman"/>
                <w:sz w:val="16"/>
                <w:szCs w:val="16"/>
              </w:rPr>
              <w:t xml:space="preserve"> cost planning, cost control, measurement and quantification, lifecycle cost analysis, risk management, value engineering, procurement advice, sustainability advising” at design and material sourcing stages; QSs “work closely with architects, engineers, contractors and suppliers”; QSs provide “expert opinions especially on economic sustainability</w:t>
            </w:r>
          </w:p>
        </w:tc>
        <w:tc>
          <w:tcPr>
            <w:tcW w:w="2835" w:type="dxa"/>
          </w:tcPr>
          <w:p w14:paraId="6ABAA47F" w14:textId="33AB56A8" w:rsidR="0030771F" w:rsidRPr="008339F1" w:rsidRDefault="00CC3488" w:rsidP="00CC3488">
            <w:pPr>
              <w:rPr>
                <w:rFonts w:ascii="Times New Roman" w:hAnsi="Times New Roman" w:cs="Times New Roman"/>
                <w:sz w:val="16"/>
                <w:szCs w:val="16"/>
              </w:rPr>
            </w:pPr>
            <w:r w:rsidRPr="008339F1">
              <w:rPr>
                <w:rFonts w:ascii="Times New Roman" w:hAnsi="Times New Roman" w:cs="Times New Roman"/>
                <w:sz w:val="16"/>
                <w:szCs w:val="16"/>
              </w:rPr>
              <w:t>QSs = Responsible</w:t>
            </w:r>
            <w:r w:rsidR="00A545E6" w:rsidRPr="008339F1">
              <w:rPr>
                <w:rFonts w:ascii="Times New Roman" w:hAnsi="Times New Roman" w:cs="Times New Roman"/>
                <w:sz w:val="16"/>
                <w:szCs w:val="16"/>
              </w:rPr>
              <w:t>/consulted</w:t>
            </w:r>
            <w:r w:rsidRPr="008339F1">
              <w:rPr>
                <w:rFonts w:ascii="Times New Roman" w:hAnsi="Times New Roman" w:cs="Times New Roman"/>
                <w:sz w:val="16"/>
                <w:szCs w:val="16"/>
              </w:rPr>
              <w:t xml:space="preserve"> for cost planning, cost control, feasibility assessment, measurement, risk analysis, value engineering, procurement advice, life-cycle/whole-life costing and circular material cost evaluation; </w:t>
            </w:r>
            <w:r w:rsidR="002E2128" w:rsidRPr="008339F1">
              <w:rPr>
                <w:rFonts w:ascii="Times New Roman" w:hAnsi="Times New Roman" w:cs="Times New Roman"/>
                <w:sz w:val="16"/>
                <w:szCs w:val="16"/>
              </w:rPr>
              <w:t>Consulted (QS): sustainability adviser, economic analysis, procurement advice (advisory/input roles).</w:t>
            </w:r>
          </w:p>
        </w:tc>
        <w:tc>
          <w:tcPr>
            <w:tcW w:w="3118" w:type="dxa"/>
          </w:tcPr>
          <w:p w14:paraId="591A73BF" w14:textId="081A8DEF" w:rsidR="0030771F" w:rsidRPr="008339F1" w:rsidRDefault="00242F98" w:rsidP="00242F98">
            <w:pPr>
              <w:rPr>
                <w:rFonts w:ascii="Times New Roman" w:hAnsi="Times New Roman" w:cs="Times New Roman"/>
                <w:sz w:val="16"/>
                <w:szCs w:val="16"/>
              </w:rPr>
            </w:pPr>
            <w:r w:rsidRPr="008339F1">
              <w:rPr>
                <w:rFonts w:ascii="Times New Roman" w:hAnsi="Times New Roman" w:cs="Times New Roman"/>
                <w:sz w:val="16"/>
                <w:szCs w:val="16"/>
              </w:rPr>
              <w:t xml:space="preserve">Fragmented understanding of circular economy; lack of QS training in CE; variability in regulatory and technological frameworks across countries; limited data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difficulty coordinating multi‑professional inputs early in design</w:t>
            </w:r>
          </w:p>
        </w:tc>
        <w:tc>
          <w:tcPr>
            <w:tcW w:w="2127" w:type="dxa"/>
          </w:tcPr>
          <w:p w14:paraId="3526F098" w14:textId="151B9F04" w:rsidR="0030771F" w:rsidRPr="008339F1" w:rsidRDefault="001A7B54" w:rsidP="005B793B">
            <w:pPr>
              <w:rPr>
                <w:rFonts w:ascii="Times New Roman" w:hAnsi="Times New Roman" w:cs="Times New Roman"/>
                <w:sz w:val="16"/>
                <w:szCs w:val="16"/>
              </w:rPr>
            </w:pPr>
            <w:r w:rsidRPr="008339F1">
              <w:rPr>
                <w:rFonts w:ascii="Times New Roman" w:hAnsi="Times New Roman" w:cs="Times New Roman"/>
                <w:sz w:val="16"/>
                <w:szCs w:val="16"/>
              </w:rPr>
              <w:t>.</w:t>
            </w:r>
          </w:p>
        </w:tc>
        <w:tc>
          <w:tcPr>
            <w:tcW w:w="2268" w:type="dxa"/>
          </w:tcPr>
          <w:p w14:paraId="66D74685" w14:textId="365BC8D5" w:rsidR="0030771F" w:rsidRPr="008339F1" w:rsidRDefault="0030771F" w:rsidP="00A004C5">
            <w:pPr>
              <w:jc w:val="center"/>
              <w:rPr>
                <w:rFonts w:ascii="Times New Roman" w:hAnsi="Times New Roman" w:cs="Times New Roman"/>
                <w:sz w:val="16"/>
                <w:szCs w:val="16"/>
              </w:rPr>
            </w:pPr>
          </w:p>
        </w:tc>
      </w:tr>
      <w:tr w:rsidR="008339F1" w:rsidRPr="008339F1" w14:paraId="4DD9494A" w14:textId="77777777" w:rsidTr="002B37B8">
        <w:tc>
          <w:tcPr>
            <w:tcW w:w="503" w:type="dxa"/>
          </w:tcPr>
          <w:p w14:paraId="3BA18B3B" w14:textId="294CEBD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1</w:t>
            </w:r>
            <w:r w:rsidR="00D759B1" w:rsidRPr="008339F1">
              <w:rPr>
                <w:rFonts w:ascii="Times New Roman" w:hAnsi="Times New Roman" w:cs="Times New Roman"/>
                <w:sz w:val="16"/>
                <w:szCs w:val="16"/>
              </w:rPr>
              <w:t>1</w:t>
            </w:r>
          </w:p>
        </w:tc>
        <w:bookmarkStart w:id="18" w:name="OLE_LINK40"/>
        <w:tc>
          <w:tcPr>
            <w:tcW w:w="915" w:type="dxa"/>
          </w:tcPr>
          <w:p w14:paraId="3F671DD7"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AuthorYear="1"&gt;&lt;Author&gt;Ozili&lt;/Author&gt;&lt;Year&gt;2021&lt;/Year&gt;&lt;RecNum&gt;2463&lt;/RecNum&gt;&lt;DisplayText&gt;Ozili and Opene (2021)&lt;/DisplayText&gt;&lt;record&gt;&lt;rec-number&gt;2463&lt;/rec-number&gt;&lt;foreign-keys&gt;&lt;key app="EN" db-id="z959xtv5kdxdt0eawtt5ssvc90eradx50fpz" timestamp="1764919469"&gt;2463&lt;/key&gt;&lt;/foreign-keys&gt;&lt;ref-type name="Journal Article"&gt;17&lt;/ref-type&gt;&lt;contributors&gt;&lt;authors&gt;&lt;author&gt;Ozili, Peterson K&lt;/author&gt;&lt;author&gt;Opene, Francis&lt;/author&gt;&lt;/authors&gt;&lt;/contributors&gt;&lt;titles&gt;&lt;title&gt;The role of banks in the circular economy&lt;/title&gt;&lt;secondary-title&gt;Available at SSRN 3778196&lt;/secondary-title&gt;&lt;/titles&gt;&lt;periodical&gt;&lt;full-title&gt;Available at SSRN 3778196&lt;/full-title&gt;&lt;/periodical&gt;&lt;dates&gt;&lt;year&gt;2021&lt;/year&gt;&lt;/dates&gt;&lt;urls&gt;&lt;/urls&gt;&lt;/record&gt;&lt;/Cite&gt;&lt;/EndNote&gt;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Ozili and Opene (2021)</w:t>
            </w:r>
            <w:r w:rsidRPr="008339F1">
              <w:rPr>
                <w:rFonts w:ascii="Times New Roman" w:hAnsi="Times New Roman" w:cs="Times New Roman"/>
                <w:sz w:val="16"/>
                <w:szCs w:val="16"/>
              </w:rPr>
              <w:fldChar w:fldCharType="end"/>
            </w:r>
            <w:bookmarkEnd w:id="18"/>
          </w:p>
        </w:tc>
        <w:tc>
          <w:tcPr>
            <w:tcW w:w="992" w:type="dxa"/>
          </w:tcPr>
          <w:p w14:paraId="71F09EEA" w14:textId="77777777"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t>Nigeria</w:t>
            </w:r>
          </w:p>
        </w:tc>
        <w:tc>
          <w:tcPr>
            <w:tcW w:w="1559" w:type="dxa"/>
          </w:tcPr>
          <w:p w14:paraId="370D60BC" w14:textId="57D34C07" w:rsidR="0030771F" w:rsidRPr="008339F1" w:rsidRDefault="001E086A" w:rsidP="001E086A">
            <w:pPr>
              <w:rPr>
                <w:rFonts w:ascii="Times New Roman" w:hAnsi="Times New Roman" w:cs="Times New Roman"/>
                <w:sz w:val="16"/>
                <w:szCs w:val="16"/>
              </w:rPr>
            </w:pPr>
            <w:r w:rsidRPr="008339F1">
              <w:rPr>
                <w:rFonts w:ascii="Times New Roman" w:hAnsi="Times New Roman" w:cs="Times New Roman"/>
                <w:sz w:val="16"/>
                <w:szCs w:val="16"/>
              </w:rPr>
              <w:t xml:space="preserve">Role of banks and financial institutions in supporting </w:t>
            </w:r>
            <w:r w:rsidRPr="008339F1">
              <w:rPr>
                <w:rFonts w:ascii="Times New Roman" w:hAnsi="Times New Roman" w:cs="Times New Roman"/>
                <w:sz w:val="16"/>
                <w:szCs w:val="16"/>
              </w:rPr>
              <w:lastRenderedPageBreak/>
              <w:t>circular economy transition</w:t>
            </w:r>
            <w:r w:rsidR="0030771F" w:rsidRPr="008339F1">
              <w:rPr>
                <w:rFonts w:ascii="Times New Roman" w:hAnsi="Times New Roman" w:cs="Times New Roman"/>
                <w:sz w:val="16"/>
                <w:szCs w:val="16"/>
              </w:rPr>
              <w:t>.</w:t>
            </w:r>
          </w:p>
        </w:tc>
        <w:tc>
          <w:tcPr>
            <w:tcW w:w="1271" w:type="dxa"/>
          </w:tcPr>
          <w:p w14:paraId="02200DD8" w14:textId="346AB03A" w:rsidR="0030771F" w:rsidRPr="008339F1" w:rsidRDefault="00D42AD0" w:rsidP="00A004C5">
            <w:pPr>
              <w:jc w:val="both"/>
              <w:rPr>
                <w:rFonts w:ascii="Times New Roman" w:hAnsi="Times New Roman" w:cs="Times New Roman"/>
                <w:sz w:val="16"/>
                <w:szCs w:val="16"/>
              </w:rPr>
            </w:pPr>
            <w:r w:rsidRPr="008339F1">
              <w:rPr>
                <w:rFonts w:ascii="Times New Roman" w:hAnsi="Times New Roman" w:cs="Times New Roman"/>
                <w:sz w:val="16"/>
                <w:szCs w:val="16"/>
              </w:rPr>
              <w:lastRenderedPageBreak/>
              <w:t xml:space="preserve">Cross-cutting CE finance; project/business funding; </w:t>
            </w:r>
            <w:r w:rsidRPr="008339F1">
              <w:rPr>
                <w:rFonts w:ascii="Times New Roman" w:hAnsi="Times New Roman" w:cs="Times New Roman"/>
                <w:sz w:val="16"/>
                <w:szCs w:val="16"/>
              </w:rPr>
              <w:lastRenderedPageBreak/>
              <w:t>circular business support; risk governance</w:t>
            </w:r>
          </w:p>
        </w:tc>
        <w:tc>
          <w:tcPr>
            <w:tcW w:w="1990" w:type="dxa"/>
          </w:tcPr>
          <w:p w14:paraId="63BC2CE7" w14:textId="5232430B" w:rsidR="0030771F" w:rsidRPr="008339F1" w:rsidRDefault="00A940F3" w:rsidP="00A004C5">
            <w:pPr>
              <w:jc w:val="both"/>
              <w:rPr>
                <w:rFonts w:ascii="Times New Roman" w:hAnsi="Times New Roman" w:cs="Times New Roman"/>
                <w:sz w:val="16"/>
                <w:szCs w:val="16"/>
              </w:rPr>
            </w:pPr>
            <w:r w:rsidRPr="008339F1">
              <w:rPr>
                <w:rFonts w:ascii="Times New Roman" w:hAnsi="Times New Roman" w:cs="Times New Roman"/>
                <w:sz w:val="16"/>
                <w:szCs w:val="16"/>
              </w:rPr>
              <w:lastRenderedPageBreak/>
              <w:t xml:space="preserve">Conceptual literature discussion; role identification; </w:t>
            </w:r>
            <w:r w:rsidRPr="008339F1">
              <w:rPr>
                <w:rFonts w:ascii="Times New Roman" w:hAnsi="Times New Roman" w:cs="Times New Roman"/>
                <w:sz w:val="16"/>
                <w:szCs w:val="16"/>
              </w:rPr>
              <w:lastRenderedPageBreak/>
              <w:t>policy/finance-oriented synthesis</w:t>
            </w:r>
          </w:p>
        </w:tc>
        <w:tc>
          <w:tcPr>
            <w:tcW w:w="1843" w:type="dxa"/>
          </w:tcPr>
          <w:p w14:paraId="1744CB2A" w14:textId="6B29B736" w:rsidR="0030771F" w:rsidRPr="008339F1" w:rsidRDefault="0030771F" w:rsidP="00A004C5">
            <w:pPr>
              <w:jc w:val="both"/>
              <w:rPr>
                <w:rFonts w:ascii="Times New Roman" w:hAnsi="Times New Roman" w:cs="Times New Roman"/>
                <w:sz w:val="16"/>
                <w:szCs w:val="16"/>
              </w:rPr>
            </w:pPr>
            <w:r w:rsidRPr="008339F1">
              <w:rPr>
                <w:rFonts w:ascii="Times New Roman" w:hAnsi="Times New Roman" w:cs="Times New Roman"/>
                <w:sz w:val="16"/>
                <w:szCs w:val="16"/>
              </w:rPr>
              <w:lastRenderedPageBreak/>
              <w:t>Bank</w:t>
            </w:r>
            <w:r w:rsidR="00A411CB" w:rsidRPr="008339F1">
              <w:rPr>
                <w:rFonts w:ascii="Times New Roman" w:hAnsi="Times New Roman" w:cs="Times New Roman"/>
                <w:sz w:val="16"/>
                <w:szCs w:val="16"/>
              </w:rPr>
              <w:t>s; financial institutions</w:t>
            </w:r>
          </w:p>
        </w:tc>
        <w:tc>
          <w:tcPr>
            <w:tcW w:w="2126" w:type="dxa"/>
          </w:tcPr>
          <w:p w14:paraId="754C1FC1" w14:textId="1B7B876B" w:rsidR="0030771F" w:rsidRPr="008339F1" w:rsidRDefault="00A411CB" w:rsidP="00833FAD">
            <w:pPr>
              <w:rPr>
                <w:rFonts w:ascii="Times New Roman" w:hAnsi="Times New Roman" w:cs="Times New Roman"/>
                <w:sz w:val="16"/>
                <w:szCs w:val="16"/>
              </w:rPr>
            </w:pPr>
            <w:r w:rsidRPr="008339F1">
              <w:rPr>
                <w:rFonts w:ascii="Times New Roman" w:hAnsi="Times New Roman" w:cs="Times New Roman"/>
                <w:sz w:val="16"/>
                <w:szCs w:val="16"/>
              </w:rPr>
              <w:t>B</w:t>
            </w:r>
            <w:r w:rsidR="00484D01" w:rsidRPr="008339F1">
              <w:rPr>
                <w:rFonts w:ascii="Times New Roman" w:hAnsi="Times New Roman" w:cs="Times New Roman"/>
                <w:sz w:val="16"/>
                <w:szCs w:val="16"/>
              </w:rPr>
              <w:t xml:space="preserve">anks can provide funding for businesses transitioning from linear to circular models; offer credit lines to </w:t>
            </w:r>
            <w:r w:rsidR="00484D01" w:rsidRPr="008339F1">
              <w:rPr>
                <w:rFonts w:ascii="Times New Roman" w:hAnsi="Times New Roman" w:cs="Times New Roman"/>
                <w:sz w:val="16"/>
                <w:szCs w:val="16"/>
              </w:rPr>
              <w:lastRenderedPageBreak/>
              <w:t>circular businesses; issue circular finance guidelines; adapt finance models; train risk/compliance staff; and collaborate with stakeholders and government authorities to create an enabling policy environment.</w:t>
            </w:r>
          </w:p>
        </w:tc>
        <w:tc>
          <w:tcPr>
            <w:tcW w:w="2835" w:type="dxa"/>
          </w:tcPr>
          <w:p w14:paraId="208A2B59" w14:textId="0522F9D8" w:rsidR="0030771F" w:rsidRPr="008339F1" w:rsidRDefault="00EB36DE" w:rsidP="005F7FB9">
            <w:pPr>
              <w:rPr>
                <w:rFonts w:ascii="Times New Roman" w:hAnsi="Times New Roman" w:cs="Times New Roman"/>
                <w:sz w:val="16"/>
                <w:szCs w:val="16"/>
              </w:rPr>
            </w:pPr>
            <w:r w:rsidRPr="008339F1">
              <w:rPr>
                <w:rFonts w:ascii="Times New Roman" w:hAnsi="Times New Roman" w:cs="Times New Roman"/>
                <w:sz w:val="16"/>
                <w:szCs w:val="16"/>
              </w:rPr>
              <w:lastRenderedPageBreak/>
              <w:t xml:space="preserve">Banks/financial institutions = Responsible for assessing, financing and supporting circular businesses through loans/credit lines and adapted finance </w:t>
            </w:r>
            <w:r w:rsidRPr="008339F1">
              <w:rPr>
                <w:rFonts w:ascii="Times New Roman" w:hAnsi="Times New Roman" w:cs="Times New Roman"/>
                <w:sz w:val="16"/>
                <w:szCs w:val="16"/>
              </w:rPr>
              <w:lastRenderedPageBreak/>
              <w:t xml:space="preserve">models; </w:t>
            </w:r>
            <w:r w:rsidR="00435ACD" w:rsidRPr="008339F1">
              <w:rPr>
                <w:rFonts w:ascii="Times New Roman" w:hAnsi="Times New Roman" w:cs="Times New Roman"/>
                <w:sz w:val="16"/>
                <w:szCs w:val="16"/>
              </w:rPr>
              <w:t xml:space="preserve">training staffs; </w:t>
            </w:r>
            <w:r w:rsidRPr="008339F1">
              <w:rPr>
                <w:rFonts w:ascii="Times New Roman" w:hAnsi="Times New Roman" w:cs="Times New Roman"/>
                <w:sz w:val="16"/>
                <w:szCs w:val="16"/>
              </w:rPr>
              <w:t xml:space="preserve">Accountable for their own circular finance decisions, risk governance and internal waste-reduction practices; government = </w:t>
            </w:r>
            <w:r w:rsidR="00A12715" w:rsidRPr="008339F1">
              <w:rPr>
                <w:rFonts w:ascii="Times New Roman" w:hAnsi="Times New Roman" w:cs="Times New Roman"/>
                <w:sz w:val="16"/>
                <w:szCs w:val="16"/>
              </w:rPr>
              <w:t>a</w:t>
            </w:r>
            <w:r w:rsidRPr="008339F1">
              <w:rPr>
                <w:rFonts w:ascii="Times New Roman" w:hAnsi="Times New Roman" w:cs="Times New Roman"/>
                <w:sz w:val="16"/>
                <w:szCs w:val="16"/>
              </w:rPr>
              <w:t>ccountable for enabling policy and legislation</w:t>
            </w:r>
            <w:r w:rsidR="00640643" w:rsidRPr="008339F1">
              <w:rPr>
                <w:rFonts w:ascii="Times New Roman" w:hAnsi="Times New Roman" w:cs="Times New Roman"/>
                <w:sz w:val="16"/>
                <w:szCs w:val="16"/>
              </w:rPr>
              <w:t xml:space="preserve"> rela</w:t>
            </w:r>
            <w:r w:rsidR="00010A26" w:rsidRPr="008339F1">
              <w:rPr>
                <w:rFonts w:ascii="Times New Roman" w:hAnsi="Times New Roman" w:cs="Times New Roman"/>
                <w:sz w:val="16"/>
                <w:szCs w:val="16"/>
              </w:rPr>
              <w:t xml:space="preserve">ted to </w:t>
            </w:r>
            <w:proofErr w:type="spellStart"/>
            <w:r w:rsidR="00010A26" w:rsidRPr="008339F1">
              <w:rPr>
                <w:rFonts w:ascii="Times New Roman" w:hAnsi="Times New Roman" w:cs="Times New Roman"/>
                <w:sz w:val="16"/>
                <w:szCs w:val="16"/>
              </w:rPr>
              <w:t>ce</w:t>
            </w:r>
            <w:proofErr w:type="spellEnd"/>
            <w:r w:rsidR="00010A26" w:rsidRPr="008339F1">
              <w:rPr>
                <w:rFonts w:ascii="Times New Roman" w:hAnsi="Times New Roman" w:cs="Times New Roman"/>
                <w:sz w:val="16"/>
                <w:szCs w:val="16"/>
              </w:rPr>
              <w:t xml:space="preserve"> finance</w:t>
            </w:r>
            <w:r w:rsidRPr="008339F1">
              <w:rPr>
                <w:rFonts w:ascii="Times New Roman" w:hAnsi="Times New Roman" w:cs="Times New Roman"/>
                <w:sz w:val="16"/>
                <w:szCs w:val="16"/>
              </w:rPr>
              <w:t xml:space="preserve">; </w:t>
            </w:r>
          </w:p>
        </w:tc>
        <w:tc>
          <w:tcPr>
            <w:tcW w:w="3118" w:type="dxa"/>
          </w:tcPr>
          <w:p w14:paraId="4532CCF2" w14:textId="3F1D6E2F" w:rsidR="0030771F" w:rsidRPr="008339F1" w:rsidRDefault="0030771F" w:rsidP="00A004C5">
            <w:pPr>
              <w:jc w:val="center"/>
              <w:rPr>
                <w:rFonts w:ascii="Times New Roman" w:hAnsi="Times New Roman" w:cs="Times New Roman"/>
                <w:sz w:val="16"/>
                <w:szCs w:val="16"/>
              </w:rPr>
            </w:pPr>
          </w:p>
        </w:tc>
        <w:tc>
          <w:tcPr>
            <w:tcW w:w="2127" w:type="dxa"/>
          </w:tcPr>
          <w:p w14:paraId="58A59ABC" w14:textId="77777777" w:rsidR="0030771F" w:rsidRPr="008339F1" w:rsidRDefault="0030771F" w:rsidP="00A004C5">
            <w:pPr>
              <w:jc w:val="center"/>
              <w:rPr>
                <w:rFonts w:ascii="Times New Roman" w:hAnsi="Times New Roman" w:cs="Times New Roman"/>
                <w:sz w:val="16"/>
                <w:szCs w:val="16"/>
              </w:rPr>
            </w:pPr>
          </w:p>
        </w:tc>
        <w:tc>
          <w:tcPr>
            <w:tcW w:w="2268" w:type="dxa"/>
          </w:tcPr>
          <w:p w14:paraId="48ED2CB7" w14:textId="4E5CACD8" w:rsidR="0030771F" w:rsidRPr="008339F1" w:rsidRDefault="0030771F" w:rsidP="00A004C5">
            <w:pPr>
              <w:jc w:val="center"/>
              <w:rPr>
                <w:rFonts w:ascii="Times New Roman" w:hAnsi="Times New Roman" w:cs="Times New Roman"/>
                <w:sz w:val="16"/>
                <w:szCs w:val="16"/>
              </w:rPr>
            </w:pPr>
          </w:p>
        </w:tc>
      </w:tr>
      <w:tr w:rsidR="008339F1" w:rsidRPr="008339F1" w14:paraId="03204C21" w14:textId="77777777" w:rsidTr="002B37B8">
        <w:trPr>
          <w:trHeight w:val="1896"/>
        </w:trPr>
        <w:tc>
          <w:tcPr>
            <w:tcW w:w="503" w:type="dxa"/>
          </w:tcPr>
          <w:p w14:paraId="23DD6970" w14:textId="163E1A86" w:rsidR="00E519DB" w:rsidRPr="008339F1" w:rsidRDefault="00D759B1" w:rsidP="00E519DB">
            <w:pPr>
              <w:jc w:val="both"/>
              <w:rPr>
                <w:rFonts w:ascii="Times New Roman" w:hAnsi="Times New Roman" w:cs="Times New Roman"/>
                <w:sz w:val="16"/>
                <w:szCs w:val="16"/>
              </w:rPr>
            </w:pPr>
            <w:r w:rsidRPr="008339F1">
              <w:rPr>
                <w:rFonts w:ascii="Times New Roman" w:hAnsi="Times New Roman" w:cs="Times New Roman"/>
                <w:sz w:val="16"/>
                <w:szCs w:val="16"/>
              </w:rPr>
              <w:t>12</w:t>
            </w:r>
          </w:p>
        </w:tc>
        <w:tc>
          <w:tcPr>
            <w:tcW w:w="915" w:type="dxa"/>
          </w:tcPr>
          <w:p w14:paraId="0022A118" w14:textId="2BFC8BA9"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AuthorYear="1"&gt;&lt;Author&gt;Osaily&lt;/Author&gt;&lt;Year&gt;2019&lt;/Year&gt;&lt;RecNum&gt;1788&lt;/RecNum&gt;&lt;DisplayText&gt;Osaily et al. (2019)&lt;/DisplayText&gt;&lt;record&gt;&lt;rec-number&gt;1788&lt;/rec-number&gt;&lt;foreign-keys&gt;&lt;key app="EN" db-id="z959xtv5kdxdt0eawtt5ssvc90eradx50fpz" timestamp="1746448879"&gt;1788&lt;/key&gt;&lt;/foreign-keys&gt;&lt;ref-type name="Conference Proceedings"&gt;10&lt;/ref-type&gt;&lt;contributors&gt;&lt;authors&gt;&lt;author&gt;Osaily, Yazan&lt;/author&gt;&lt;author&gt;Copping, Alex&lt;/author&gt;&lt;author&gt;McCann, Stephen&lt;/author&gt;&lt;author&gt;Uddin, Tamil&lt;/author&gt;&lt;/authors&gt;&lt;/contributors&gt;&lt;titles&gt;&lt;title&gt;Exploring the value of demolition contractor involvement at the design stage of construction&lt;/title&gt;&lt;secondary-title&gt;Thirty-Fifth Annual Conference&lt;/secondary-title&gt;&lt;/titles&gt;&lt;pages&gt;334&lt;/pages&gt;&lt;dates&gt;&lt;year&gt;2019&lt;/year&gt;&lt;/dates&gt;&lt;urls&gt;&lt;/urls&gt;&lt;/record&gt;&lt;/Cite&gt;&lt;/EndNote&gt;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Osaily et al. (2019)</w:t>
            </w:r>
            <w:r w:rsidRPr="008339F1">
              <w:rPr>
                <w:rFonts w:ascii="Times New Roman" w:hAnsi="Times New Roman" w:cs="Times New Roman"/>
                <w:sz w:val="16"/>
                <w:szCs w:val="16"/>
              </w:rPr>
              <w:fldChar w:fldCharType="end"/>
            </w:r>
          </w:p>
        </w:tc>
        <w:tc>
          <w:tcPr>
            <w:tcW w:w="992" w:type="dxa"/>
          </w:tcPr>
          <w:p w14:paraId="4B8ABA0F" w14:textId="54144543"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United Kingdom</w:t>
            </w:r>
          </w:p>
        </w:tc>
        <w:tc>
          <w:tcPr>
            <w:tcW w:w="1559" w:type="dxa"/>
          </w:tcPr>
          <w:p w14:paraId="2410AEF7" w14:textId="4D208281"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Early demolition contractor involvement in circular economy transition.</w:t>
            </w:r>
          </w:p>
        </w:tc>
        <w:tc>
          <w:tcPr>
            <w:tcW w:w="1271" w:type="dxa"/>
          </w:tcPr>
          <w:p w14:paraId="22F57D0F" w14:textId="733B7164"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Design stage and end-of-life/demolition stage</w:t>
            </w:r>
          </w:p>
        </w:tc>
        <w:tc>
          <w:tcPr>
            <w:tcW w:w="1990" w:type="dxa"/>
          </w:tcPr>
          <w:p w14:paraId="660525ED" w14:textId="77777777" w:rsidR="00E519DB" w:rsidRPr="008339F1" w:rsidRDefault="00E519DB" w:rsidP="00E519DB">
            <w:pPr>
              <w:jc w:val="both"/>
              <w:rPr>
                <w:rFonts w:ascii="Times New Roman" w:hAnsi="Times New Roman" w:cs="Times New Roman"/>
                <w:sz w:val="16"/>
                <w:szCs w:val="16"/>
              </w:rPr>
            </w:pPr>
          </w:p>
        </w:tc>
        <w:tc>
          <w:tcPr>
            <w:tcW w:w="1843" w:type="dxa"/>
          </w:tcPr>
          <w:p w14:paraId="2F14EF9B" w14:textId="45FAA1AB"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Demolition contractors, designers/ construction professionals, clients, representative </w:t>
            </w:r>
            <w:proofErr w:type="spellStart"/>
            <w:r w:rsidRPr="008339F1">
              <w:rPr>
                <w:rFonts w:ascii="Times New Roman" w:hAnsi="Times New Roman" w:cs="Times New Roman"/>
                <w:sz w:val="16"/>
                <w:szCs w:val="16"/>
              </w:rPr>
              <w:t>organisations</w:t>
            </w:r>
            <w:proofErr w:type="spellEnd"/>
          </w:p>
        </w:tc>
        <w:tc>
          <w:tcPr>
            <w:tcW w:w="2126" w:type="dxa"/>
          </w:tcPr>
          <w:p w14:paraId="61D5C6DF" w14:textId="3B18FE61"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Demolition contractors contribute “end-of-life knowledge and experience to design” and provide deconstruction methodology and planning.</w:t>
            </w:r>
          </w:p>
        </w:tc>
        <w:tc>
          <w:tcPr>
            <w:tcW w:w="2835" w:type="dxa"/>
          </w:tcPr>
          <w:p w14:paraId="0647AF05" w14:textId="48E3A03C" w:rsidR="00E519DB" w:rsidRPr="008339F1" w:rsidRDefault="00E519DB" w:rsidP="007A6A0D">
            <w:pPr>
              <w:rPr>
                <w:rFonts w:ascii="Times New Roman" w:hAnsi="Times New Roman" w:cs="Times New Roman"/>
                <w:sz w:val="16"/>
                <w:szCs w:val="16"/>
              </w:rPr>
            </w:pPr>
            <w:r w:rsidRPr="008339F1">
              <w:rPr>
                <w:rFonts w:ascii="Times New Roman" w:hAnsi="Times New Roman" w:cs="Times New Roman"/>
                <w:sz w:val="16"/>
                <w:szCs w:val="16"/>
              </w:rPr>
              <w:t>Demolition contractor = Consulted at design stage; Responsible for deconstruction planning/risk assessment; Designers = Responsible for integrating deconstruction principles; Clients = Accountable for approving early involvement and paying for expertise.</w:t>
            </w:r>
          </w:p>
        </w:tc>
        <w:tc>
          <w:tcPr>
            <w:tcW w:w="3118" w:type="dxa"/>
          </w:tcPr>
          <w:p w14:paraId="5138D7C9" w14:textId="5F870532" w:rsidR="00E519DB" w:rsidRPr="008339F1" w:rsidRDefault="00E519DB" w:rsidP="007A6A0D">
            <w:pPr>
              <w:rPr>
                <w:rFonts w:ascii="Times New Roman" w:hAnsi="Times New Roman" w:cs="Times New Roman"/>
                <w:sz w:val="16"/>
                <w:szCs w:val="16"/>
              </w:rPr>
            </w:pPr>
            <w:r w:rsidRPr="008339F1">
              <w:rPr>
                <w:rFonts w:ascii="Times New Roman" w:hAnsi="Times New Roman" w:cs="Times New Roman"/>
                <w:sz w:val="16"/>
                <w:szCs w:val="16"/>
              </w:rPr>
              <w:t>Industry resistance to change; size of project/ company; lack of trust; time; additional cost to client; undervalued expertise of roles; fear of conflict between parties</w:t>
            </w:r>
          </w:p>
        </w:tc>
        <w:tc>
          <w:tcPr>
            <w:tcW w:w="2127" w:type="dxa"/>
          </w:tcPr>
          <w:p w14:paraId="067065E0" w14:textId="59DF427A" w:rsidR="00E519DB" w:rsidRPr="008339F1" w:rsidRDefault="00E519DB" w:rsidP="007A6A0D">
            <w:pPr>
              <w:rPr>
                <w:rFonts w:ascii="Times New Roman" w:hAnsi="Times New Roman" w:cs="Times New Roman"/>
                <w:sz w:val="16"/>
                <w:szCs w:val="16"/>
              </w:rPr>
            </w:pPr>
            <w:r w:rsidRPr="008339F1">
              <w:rPr>
                <w:rFonts w:ascii="Times New Roman" w:hAnsi="Times New Roman" w:cs="Times New Roman"/>
                <w:sz w:val="16"/>
                <w:szCs w:val="16"/>
              </w:rPr>
              <w:t>Affected: Demolition contractors, designers, clients, construction professionals Influencing: clients, designers, policymakers, industry bodies.</w:t>
            </w:r>
          </w:p>
        </w:tc>
        <w:tc>
          <w:tcPr>
            <w:tcW w:w="2268" w:type="dxa"/>
          </w:tcPr>
          <w:p w14:paraId="0CBB28FE" w14:textId="65063110" w:rsidR="00E519DB" w:rsidRPr="008339F1" w:rsidRDefault="00E519DB" w:rsidP="007A6A0D">
            <w:pPr>
              <w:rPr>
                <w:rFonts w:ascii="Times New Roman" w:hAnsi="Times New Roman" w:cs="Times New Roman"/>
                <w:sz w:val="16"/>
                <w:szCs w:val="16"/>
              </w:rPr>
            </w:pPr>
            <w:r w:rsidRPr="008339F1">
              <w:rPr>
                <w:rFonts w:ascii="Times New Roman" w:hAnsi="Times New Roman" w:cs="Times New Roman"/>
                <w:sz w:val="16"/>
                <w:szCs w:val="16"/>
              </w:rPr>
              <w:t>Early demolition contractor involvement, trust, transparency, collaboration, stringent legislation, successful case studies, industry-level collaboration between demolition/design/construction organization</w:t>
            </w:r>
          </w:p>
        </w:tc>
      </w:tr>
      <w:tr w:rsidR="008339F1" w:rsidRPr="008339F1" w14:paraId="4B5023A6" w14:textId="77777777" w:rsidTr="002B37B8">
        <w:trPr>
          <w:trHeight w:val="2703"/>
        </w:trPr>
        <w:tc>
          <w:tcPr>
            <w:tcW w:w="503" w:type="dxa"/>
          </w:tcPr>
          <w:p w14:paraId="62F13350" w14:textId="2BCE508C"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t>1</w:t>
            </w:r>
            <w:r w:rsidR="008F0BFD" w:rsidRPr="008339F1">
              <w:rPr>
                <w:rFonts w:ascii="Times New Roman" w:eastAsia="Times New Roman" w:hAnsi="Times New Roman" w:cs="Times New Roman"/>
                <w:sz w:val="16"/>
                <w:szCs w:val="16"/>
              </w:rPr>
              <w:t>3</w:t>
            </w:r>
          </w:p>
        </w:tc>
        <w:tc>
          <w:tcPr>
            <w:tcW w:w="915" w:type="dxa"/>
          </w:tcPr>
          <w:p w14:paraId="5A4A5DD3" w14:textId="77777777"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fldChar w:fldCharType="begin"/>
            </w:r>
            <w:r w:rsidRPr="008339F1">
              <w:rPr>
                <w:rFonts w:ascii="Times New Roman" w:eastAsia="Times New Roman" w:hAnsi="Times New Roman" w:cs="Times New Roman"/>
                <w:sz w:val="16"/>
                <w:szCs w:val="16"/>
              </w:rPr>
              <w:instrText xml:space="preserve"> ADDIN EN.CITE &lt;EndNote&gt;&lt;Cite AuthorYear="1"&gt;&lt;Author&gt;Rataj&lt;/Author&gt;&lt;Year&gt;2025&lt;/Year&gt;&lt;RecNum&gt;2469&lt;/RecNum&gt;&lt;DisplayText&gt;Rataj et al. (2025)&lt;/DisplayText&gt;&lt;record&gt;&lt;rec-number&gt;2469&lt;/rec-number&gt;&lt;foreign-keys&gt;&lt;key app="EN" db-id="z959xtv5kdxdt0eawtt5ssvc90eradx50fpz" timestamp="1765184921"&gt;2469&lt;/key&gt;&lt;/foreign-keys&gt;&lt;ref-type name="Journal Article"&gt;17&lt;/ref-type&gt;&lt;contributors&gt;&lt;authors&gt;&lt;author&gt;Rataj, Olga&lt;/author&gt;&lt;author&gt;Alcorta, Ludovico&lt;/author&gt;&lt;author&gt;Raes, Jan&lt;/author&gt;&lt;author&gt;Yilmaz, Ela&lt;/author&gt;&lt;author&gt;Riccardo, Luigi Eugenio&lt;/author&gt;&lt;author&gt;Sansini, Federico&lt;/author&gt;&lt;/authors&gt;&lt;/contributors&gt;&lt;titles&gt;&lt;title&gt;Sustainability vs profitability: Innovating in circular economy financing practices by European banks&lt;/title&gt;&lt;secondary-title&gt;Sustainable Production and Consumption&lt;/secondary-title&gt;&lt;/titles&gt;&lt;periodical&gt;&lt;full-title&gt;Sustainable Production and Consumption&lt;/full-title&gt;&lt;abbr-1&gt;Sustain. Prod. Consum.&lt;/abbr-1&gt;&lt;/periodical&gt;&lt;pages&gt;1-16&lt;/pages&gt;&lt;volume&gt;53&lt;/volume&gt;&lt;keywords&gt;&lt;keyword&gt;Circular economy financing&lt;/keyword&gt;&lt;keyword&gt;Sustainability vs profitability&lt;/keyword&gt;&lt;keyword&gt;Institutional change&lt;/keyword&gt;&lt;keyword&gt;Innovation&lt;/keyword&gt;&lt;keyword&gt;Regime actors&lt;/keyword&gt;&lt;keyword&gt;European banks&lt;/keyword&gt;&lt;/keywords&gt;&lt;dates&gt;&lt;year&gt;2025&lt;/year&gt;&lt;pub-dates&gt;&lt;date&gt;2025/01/01/&lt;/date&gt;&lt;/pub-dates&gt;&lt;/dates&gt;&lt;isbn&gt;2352-5509&lt;/isbn&gt;&lt;urls&gt;&lt;related-urls&gt;&lt;url&gt;https://www.sciencedirect.com/science/article/pii/S2352550924003373&lt;/url&gt;&lt;/related-urls&gt;&lt;/urls&gt;&lt;electronic-resource-num&gt;https://doi.org/10.1016/j.spc.2024.11.025&lt;/electronic-resource-num&gt;&lt;/record&gt;&lt;/Cite&gt;&lt;/EndNote&gt;</w:instrText>
            </w:r>
            <w:r w:rsidRPr="008339F1">
              <w:rPr>
                <w:rFonts w:ascii="Times New Roman" w:eastAsia="Times New Roman" w:hAnsi="Times New Roman" w:cs="Times New Roman"/>
                <w:sz w:val="16"/>
                <w:szCs w:val="16"/>
              </w:rPr>
              <w:fldChar w:fldCharType="separate"/>
            </w:r>
            <w:r w:rsidRPr="008339F1">
              <w:rPr>
                <w:rFonts w:ascii="Times New Roman" w:eastAsia="Times New Roman" w:hAnsi="Times New Roman" w:cs="Times New Roman"/>
                <w:noProof/>
                <w:sz w:val="16"/>
                <w:szCs w:val="16"/>
              </w:rPr>
              <w:t>Rataj et al. (2025)</w:t>
            </w:r>
            <w:r w:rsidRPr="008339F1">
              <w:rPr>
                <w:rFonts w:ascii="Times New Roman" w:eastAsia="Times New Roman" w:hAnsi="Times New Roman" w:cs="Times New Roman"/>
                <w:sz w:val="16"/>
                <w:szCs w:val="16"/>
              </w:rPr>
              <w:fldChar w:fldCharType="end"/>
            </w:r>
          </w:p>
        </w:tc>
        <w:tc>
          <w:tcPr>
            <w:tcW w:w="992" w:type="dxa"/>
          </w:tcPr>
          <w:p w14:paraId="71FE58B7" w14:textId="200F6D6A"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Europe / European banks</w:t>
            </w:r>
          </w:p>
        </w:tc>
        <w:tc>
          <w:tcPr>
            <w:tcW w:w="1559" w:type="dxa"/>
          </w:tcPr>
          <w:p w14:paraId="459E685B" w14:textId="4D64CEE5" w:rsidR="00E519DB" w:rsidRPr="008339F1" w:rsidRDefault="002127CF" w:rsidP="00E519DB">
            <w:pPr>
              <w:jc w:val="both"/>
              <w:rPr>
                <w:rFonts w:ascii="Times New Roman" w:hAnsi="Times New Roman" w:cs="Times New Roman"/>
                <w:sz w:val="16"/>
                <w:szCs w:val="16"/>
              </w:rPr>
            </w:pPr>
            <w:r w:rsidRPr="008339F1">
              <w:rPr>
                <w:rFonts w:ascii="Times New Roman" w:hAnsi="Times New Roman" w:cs="Times New Roman"/>
                <w:sz w:val="16"/>
                <w:szCs w:val="16"/>
              </w:rPr>
              <w:t>E</w:t>
            </w:r>
            <w:r w:rsidR="00E519DB" w:rsidRPr="008339F1">
              <w:rPr>
                <w:rFonts w:ascii="Times New Roman" w:hAnsi="Times New Roman" w:cs="Times New Roman"/>
                <w:sz w:val="16"/>
                <w:szCs w:val="16"/>
              </w:rPr>
              <w:t>xamines how European financial organizations innovate to support circular economy (CE) transitions, focusing on the tension between sustainability values and profitability goals during institutional change.</w:t>
            </w:r>
          </w:p>
        </w:tc>
        <w:tc>
          <w:tcPr>
            <w:tcW w:w="1271" w:type="dxa"/>
          </w:tcPr>
          <w:p w14:paraId="045DD7DF" w14:textId="77777777" w:rsidR="00E519DB" w:rsidRPr="008339F1" w:rsidRDefault="00E519DB" w:rsidP="00E519DB">
            <w:pPr>
              <w:jc w:val="both"/>
              <w:rPr>
                <w:rFonts w:ascii="Times New Roman" w:hAnsi="Times New Roman" w:cs="Times New Roman"/>
                <w:sz w:val="16"/>
                <w:szCs w:val="16"/>
              </w:rPr>
            </w:pPr>
          </w:p>
        </w:tc>
        <w:tc>
          <w:tcPr>
            <w:tcW w:w="1990" w:type="dxa"/>
          </w:tcPr>
          <w:p w14:paraId="03B5DF2C" w14:textId="37576585"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Qualitative exploratory multiple-case study; Literature review; semi-structured interviews</w:t>
            </w:r>
          </w:p>
        </w:tc>
        <w:tc>
          <w:tcPr>
            <w:tcW w:w="1843" w:type="dxa"/>
          </w:tcPr>
          <w:p w14:paraId="691638E8" w14:textId="7E27AD1C"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Banks/financial </w:t>
            </w:r>
            <w:proofErr w:type="spellStart"/>
            <w:r w:rsidRPr="008339F1">
              <w:rPr>
                <w:rFonts w:ascii="Times New Roman" w:hAnsi="Times New Roman" w:cs="Times New Roman"/>
                <w:sz w:val="16"/>
                <w:szCs w:val="16"/>
              </w:rPr>
              <w:t>organisations</w:t>
            </w:r>
            <w:proofErr w:type="spellEnd"/>
          </w:p>
        </w:tc>
        <w:tc>
          <w:tcPr>
            <w:tcW w:w="2126" w:type="dxa"/>
          </w:tcPr>
          <w:p w14:paraId="09685888" w14:textId="48079B3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The study reports that financial </w:t>
            </w:r>
            <w:proofErr w:type="spellStart"/>
            <w:r w:rsidRPr="008339F1">
              <w:rPr>
                <w:rFonts w:ascii="Times New Roman" w:hAnsi="Times New Roman" w:cs="Times New Roman"/>
                <w:sz w:val="16"/>
                <w:szCs w:val="16"/>
              </w:rPr>
              <w:t>organisations</w:t>
            </w:r>
            <w:proofErr w:type="spellEnd"/>
            <w:r w:rsidRPr="008339F1">
              <w:rPr>
                <w:rFonts w:ascii="Times New Roman" w:hAnsi="Times New Roman" w:cs="Times New Roman"/>
                <w:sz w:val="16"/>
                <w:szCs w:val="16"/>
              </w:rPr>
              <w:t xml:space="preserve"> contribute to CE transitions by funding circular economy business models and developing CE financing practices</w:t>
            </w:r>
          </w:p>
        </w:tc>
        <w:tc>
          <w:tcPr>
            <w:tcW w:w="2835" w:type="dxa"/>
          </w:tcPr>
          <w:p w14:paraId="36354B67" w14:textId="0E61D60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Banks/financial </w:t>
            </w:r>
            <w:proofErr w:type="spellStart"/>
            <w:r w:rsidRPr="008339F1">
              <w:rPr>
                <w:rFonts w:ascii="Times New Roman" w:hAnsi="Times New Roman" w:cs="Times New Roman"/>
                <w:sz w:val="16"/>
                <w:szCs w:val="16"/>
              </w:rPr>
              <w:t>organisations</w:t>
            </w:r>
            <w:proofErr w:type="spellEnd"/>
            <w:r w:rsidRPr="008339F1">
              <w:rPr>
                <w:rFonts w:ascii="Times New Roman" w:hAnsi="Times New Roman" w:cs="Times New Roman"/>
                <w:sz w:val="16"/>
                <w:szCs w:val="16"/>
              </w:rPr>
              <w:t xml:space="preserve"> = Responsible/Accountable for CE financing decisions, project appraisal, circular finance practices and internal risk governance;</w:t>
            </w:r>
          </w:p>
        </w:tc>
        <w:tc>
          <w:tcPr>
            <w:tcW w:w="3118" w:type="dxa"/>
          </w:tcPr>
          <w:p w14:paraId="149211EC" w14:textId="4EA1C712" w:rsidR="00E519DB" w:rsidRPr="008339F1" w:rsidRDefault="00E519DB" w:rsidP="00E519DB">
            <w:pPr>
              <w:jc w:val="center"/>
              <w:rPr>
                <w:rFonts w:ascii="Times New Roman" w:hAnsi="Times New Roman" w:cs="Times New Roman"/>
                <w:sz w:val="16"/>
                <w:szCs w:val="16"/>
              </w:rPr>
            </w:pPr>
          </w:p>
        </w:tc>
        <w:tc>
          <w:tcPr>
            <w:tcW w:w="2127" w:type="dxa"/>
          </w:tcPr>
          <w:p w14:paraId="042B4F84" w14:textId="77777777" w:rsidR="00E519DB" w:rsidRPr="008339F1" w:rsidRDefault="00E519DB" w:rsidP="00E519DB">
            <w:pPr>
              <w:jc w:val="center"/>
              <w:rPr>
                <w:rFonts w:ascii="Times New Roman" w:hAnsi="Times New Roman" w:cs="Times New Roman"/>
                <w:sz w:val="16"/>
                <w:szCs w:val="16"/>
              </w:rPr>
            </w:pPr>
          </w:p>
        </w:tc>
        <w:tc>
          <w:tcPr>
            <w:tcW w:w="2268" w:type="dxa"/>
          </w:tcPr>
          <w:p w14:paraId="42C644F4" w14:textId="027A62F8" w:rsidR="00E519DB" w:rsidRPr="008339F1" w:rsidRDefault="00E519DB" w:rsidP="00E519DB">
            <w:pPr>
              <w:jc w:val="center"/>
              <w:rPr>
                <w:rFonts w:ascii="Times New Roman" w:hAnsi="Times New Roman" w:cs="Times New Roman"/>
                <w:sz w:val="16"/>
                <w:szCs w:val="16"/>
              </w:rPr>
            </w:pPr>
          </w:p>
        </w:tc>
      </w:tr>
      <w:tr w:rsidR="008339F1" w:rsidRPr="008339F1" w14:paraId="7A937F32" w14:textId="77777777" w:rsidTr="002B37B8">
        <w:trPr>
          <w:trHeight w:val="156"/>
        </w:trPr>
        <w:tc>
          <w:tcPr>
            <w:tcW w:w="503" w:type="dxa"/>
          </w:tcPr>
          <w:p w14:paraId="5C747D6E" w14:textId="37F71FFA"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t>1</w:t>
            </w:r>
            <w:r w:rsidR="009B7AC2" w:rsidRPr="008339F1">
              <w:rPr>
                <w:rFonts w:ascii="Times New Roman" w:eastAsia="Times New Roman" w:hAnsi="Times New Roman" w:cs="Times New Roman"/>
                <w:sz w:val="16"/>
                <w:szCs w:val="16"/>
              </w:rPr>
              <w:t>4</w:t>
            </w:r>
          </w:p>
        </w:tc>
        <w:tc>
          <w:tcPr>
            <w:tcW w:w="915" w:type="dxa"/>
          </w:tcPr>
          <w:p w14:paraId="7BFCD4E7" w14:textId="77777777"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fldChar w:fldCharType="begin"/>
            </w:r>
            <w:r w:rsidRPr="008339F1">
              <w:rPr>
                <w:rFonts w:ascii="Times New Roman" w:eastAsia="Times New Roman" w:hAnsi="Times New Roman" w:cs="Times New Roman"/>
                <w:sz w:val="16"/>
                <w:szCs w:val="16"/>
              </w:rPr>
              <w:instrText xml:space="preserve"> ADDIN EN.CITE &lt;EndNote&gt;&lt;Cite AuthorYear="1"&gt;&lt;Author&gt;Sepetis&lt;/Author&gt;&lt;Year&gt;2022&lt;/Year&gt;&lt;RecNum&gt;2471&lt;/RecNum&gt;&lt;DisplayText&gt;Sepetis (2022)&lt;/DisplayText&gt;&lt;record&gt;&lt;rec-number&gt;2471&lt;/rec-number&gt;&lt;foreign-keys&gt;&lt;key app="EN" db-id="z959xtv5kdxdt0eawtt5ssvc90eradx50fpz" timestamp="1765191628"&gt;2471&lt;/key&gt;&lt;/foreign-keys&gt;&lt;ref-type name="Book Section"&gt;5&lt;/ref-type&gt;&lt;contributors&gt;&lt;authors&gt;&lt;author&gt;Sepetis, Anastasios&lt;/author&gt;&lt;/authors&gt;&lt;secondary-authors&gt;&lt;author&gt;Stefanakis, Alexandros&lt;/author&gt;&lt;author&gt;Nikolaou, Ioannis&lt;/author&gt;&lt;/secondary-authors&gt;&lt;/contributors&gt;&lt;titles&gt;&lt;title&gt;Chapter 13 - Sustainable finance and circular economy&lt;/title&gt;&lt;secondary-title&gt;Circular Economy and Sustainability&lt;/secondary-title&gt;&lt;/titles&gt;&lt;periodical&gt;&lt;full-title&gt;Circular Economy and Sustainability&lt;/full-title&gt;&lt;/periodical&gt;&lt;pages&gt;207-226&lt;/pages&gt;&lt;keywords&gt;&lt;keyword&gt;Sustainable finance&lt;/keyword&gt;&lt;keyword&gt;Circular economy&lt;/keyword&gt;&lt;keyword&gt;Environmental, social, and governance&lt;/keyword&gt;&lt;keyword&gt;Circular business model&lt;/keyword&gt;&lt;keyword&gt;Sustainable capital market&lt;/keyword&gt;&lt;/keywords&gt;&lt;dates&gt;&lt;year&gt;2022&lt;/year&gt;&lt;pub-dates&gt;&lt;date&gt;2022/01/01/&lt;/date&gt;&lt;/pub-dates&gt;&lt;/dates&gt;&lt;publisher&gt;Elsevier&lt;/publisher&gt;&lt;isbn&gt;978-0-12-819817-9&lt;/isbn&gt;&lt;urls&gt;&lt;related-urls&gt;&lt;url&gt;https://www.sciencedirect.com/science/article/pii/B9780128198179000028&lt;/url&gt;&lt;/related-urls&gt;&lt;/urls&gt;&lt;electronic-resource-num&gt;https://doi.org/10.1016/B978-0-12-819817-9.00002-8&lt;/electronic-resource-num&gt;&lt;/record&gt;&lt;/Cite&gt;&lt;/EndNote&gt;</w:instrText>
            </w:r>
            <w:r w:rsidRPr="008339F1">
              <w:rPr>
                <w:rFonts w:ascii="Times New Roman" w:eastAsia="Times New Roman" w:hAnsi="Times New Roman" w:cs="Times New Roman"/>
                <w:sz w:val="16"/>
                <w:szCs w:val="16"/>
              </w:rPr>
              <w:fldChar w:fldCharType="separate"/>
            </w:r>
            <w:r w:rsidRPr="008339F1">
              <w:rPr>
                <w:rFonts w:ascii="Times New Roman" w:eastAsia="Times New Roman" w:hAnsi="Times New Roman" w:cs="Times New Roman"/>
                <w:noProof/>
                <w:sz w:val="16"/>
                <w:szCs w:val="16"/>
              </w:rPr>
              <w:t>Sepetis (2022)</w:t>
            </w:r>
            <w:r w:rsidRPr="008339F1">
              <w:rPr>
                <w:rFonts w:ascii="Times New Roman" w:eastAsia="Times New Roman" w:hAnsi="Times New Roman" w:cs="Times New Roman"/>
                <w:sz w:val="16"/>
                <w:szCs w:val="16"/>
              </w:rPr>
              <w:fldChar w:fldCharType="end"/>
            </w:r>
          </w:p>
        </w:tc>
        <w:tc>
          <w:tcPr>
            <w:tcW w:w="992" w:type="dxa"/>
          </w:tcPr>
          <w:p w14:paraId="2D8089FF"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Greece</w:t>
            </w:r>
          </w:p>
        </w:tc>
        <w:tc>
          <w:tcPr>
            <w:tcW w:w="1559" w:type="dxa"/>
          </w:tcPr>
          <w:p w14:paraId="373ABAA7" w14:textId="7BF18C68" w:rsidR="00E519DB" w:rsidRPr="008339F1" w:rsidRDefault="002127CF" w:rsidP="00E519DB">
            <w:pPr>
              <w:jc w:val="both"/>
              <w:rPr>
                <w:rFonts w:ascii="Times New Roman" w:hAnsi="Times New Roman" w:cs="Times New Roman"/>
                <w:sz w:val="16"/>
                <w:szCs w:val="16"/>
              </w:rPr>
            </w:pPr>
            <w:r w:rsidRPr="008339F1">
              <w:rPr>
                <w:rFonts w:ascii="Times New Roman" w:hAnsi="Times New Roman" w:cs="Times New Roman"/>
                <w:sz w:val="16"/>
                <w:szCs w:val="16"/>
              </w:rPr>
              <w:t>E</w:t>
            </w:r>
            <w:r w:rsidR="00E519DB" w:rsidRPr="008339F1">
              <w:rPr>
                <w:rFonts w:ascii="Times New Roman" w:hAnsi="Times New Roman" w:cs="Times New Roman"/>
                <w:sz w:val="16"/>
                <w:szCs w:val="16"/>
              </w:rPr>
              <w:t xml:space="preserve">xplores the role the financial sector can play in transitioning to a circular economy by integrating environmental, social, and governance (ESG) factors into investment decisions. </w:t>
            </w:r>
          </w:p>
        </w:tc>
        <w:tc>
          <w:tcPr>
            <w:tcW w:w="1271" w:type="dxa"/>
          </w:tcPr>
          <w:p w14:paraId="6CD608D9" w14:textId="77777777" w:rsidR="00E519DB" w:rsidRPr="008339F1" w:rsidRDefault="00E519DB" w:rsidP="00E519DB">
            <w:pPr>
              <w:jc w:val="both"/>
              <w:rPr>
                <w:rFonts w:ascii="Times New Roman" w:hAnsi="Times New Roman" w:cs="Times New Roman"/>
                <w:sz w:val="16"/>
                <w:szCs w:val="16"/>
              </w:rPr>
            </w:pPr>
          </w:p>
        </w:tc>
        <w:tc>
          <w:tcPr>
            <w:tcW w:w="1990" w:type="dxa"/>
          </w:tcPr>
          <w:p w14:paraId="45C18CB7" w14:textId="32EA5DD5" w:rsidR="00E519DB" w:rsidRPr="008339F1" w:rsidRDefault="009C306F" w:rsidP="00E519DB">
            <w:pPr>
              <w:jc w:val="both"/>
              <w:rPr>
                <w:rFonts w:ascii="Times New Roman" w:hAnsi="Times New Roman" w:cs="Times New Roman"/>
                <w:sz w:val="16"/>
                <w:szCs w:val="16"/>
              </w:rPr>
            </w:pPr>
            <w:r w:rsidRPr="008339F1">
              <w:rPr>
                <w:rFonts w:ascii="Times New Roman" w:hAnsi="Times New Roman" w:cs="Times New Roman"/>
                <w:sz w:val="16"/>
                <w:szCs w:val="16"/>
              </w:rPr>
              <w:t>P</w:t>
            </w:r>
            <w:r w:rsidR="00E519DB" w:rsidRPr="008339F1">
              <w:rPr>
                <w:rFonts w:ascii="Times New Roman" w:hAnsi="Times New Roman" w:cs="Times New Roman"/>
                <w:sz w:val="16"/>
                <w:szCs w:val="16"/>
              </w:rPr>
              <w:t xml:space="preserve">olicy and literature </w:t>
            </w:r>
            <w:proofErr w:type="spellStart"/>
            <w:r w:rsidR="00E519DB" w:rsidRPr="008339F1">
              <w:rPr>
                <w:rFonts w:ascii="Times New Roman" w:hAnsi="Times New Roman" w:cs="Times New Roman"/>
                <w:sz w:val="16"/>
                <w:szCs w:val="16"/>
              </w:rPr>
              <w:t>synthes</w:t>
            </w:r>
            <w:proofErr w:type="spellEnd"/>
          </w:p>
        </w:tc>
        <w:tc>
          <w:tcPr>
            <w:tcW w:w="1843" w:type="dxa"/>
          </w:tcPr>
          <w:p w14:paraId="6317694A" w14:textId="32B0DAAA"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Banks/financing institutions</w:t>
            </w:r>
          </w:p>
        </w:tc>
        <w:tc>
          <w:tcPr>
            <w:tcW w:w="2126" w:type="dxa"/>
          </w:tcPr>
          <w:p w14:paraId="10F2891A" w14:textId="4859261F" w:rsidR="00E519DB" w:rsidRPr="008339F1" w:rsidRDefault="009C306F" w:rsidP="00E519DB">
            <w:pPr>
              <w:rPr>
                <w:rFonts w:ascii="Times New Roman" w:hAnsi="Times New Roman" w:cs="Times New Roman"/>
                <w:sz w:val="16"/>
                <w:szCs w:val="16"/>
              </w:rPr>
            </w:pPr>
            <w:r w:rsidRPr="008339F1">
              <w:rPr>
                <w:rFonts w:ascii="Times New Roman" w:hAnsi="Times New Roman" w:cs="Times New Roman"/>
                <w:sz w:val="16"/>
                <w:szCs w:val="16"/>
              </w:rPr>
              <w:t>F</w:t>
            </w:r>
            <w:r w:rsidR="00E519DB" w:rsidRPr="008339F1">
              <w:rPr>
                <w:rFonts w:ascii="Times New Roman" w:hAnsi="Times New Roman" w:cs="Times New Roman"/>
                <w:sz w:val="16"/>
                <w:szCs w:val="16"/>
              </w:rPr>
              <w:t>inancial stakeholders, especially banks and institutional/pension fund investors, develop products and initiatives that encourage ESG and circular performance and can provide sustainable businesses with easier and lower-cost access to capital. It also states that the finance industry can provide resources for circular investments, offer insurance products suitable for circular practices, develop rating systems and information disclosure requirements, and raise client awareness through dialogue.</w:t>
            </w:r>
          </w:p>
        </w:tc>
        <w:tc>
          <w:tcPr>
            <w:tcW w:w="2835" w:type="dxa"/>
          </w:tcPr>
          <w:p w14:paraId="7DB3444C" w14:textId="207DEDE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Banks and investors may be interpreted as Responsible/Influencing actors for providing finance, assessing ESG/circular risk and supporting circular investment. Policymakers and public finance bodies may be interpreted as Accountable/Influencing actors for taxonomy, regulation, disclosure rules and finance platforms.</w:t>
            </w:r>
          </w:p>
        </w:tc>
        <w:tc>
          <w:tcPr>
            <w:tcW w:w="3118" w:type="dxa"/>
          </w:tcPr>
          <w:p w14:paraId="142F26CF" w14:textId="660CD893" w:rsidR="00E519DB" w:rsidRPr="008339F1" w:rsidRDefault="00E519DB" w:rsidP="00E519DB">
            <w:pPr>
              <w:jc w:val="center"/>
              <w:rPr>
                <w:rFonts w:ascii="Times New Roman" w:hAnsi="Times New Roman" w:cs="Times New Roman"/>
                <w:sz w:val="16"/>
                <w:szCs w:val="16"/>
              </w:rPr>
            </w:pPr>
          </w:p>
        </w:tc>
        <w:tc>
          <w:tcPr>
            <w:tcW w:w="2127" w:type="dxa"/>
          </w:tcPr>
          <w:p w14:paraId="5334C2DD" w14:textId="77777777" w:rsidR="00E519DB" w:rsidRPr="008339F1" w:rsidRDefault="00E519DB" w:rsidP="00E519DB">
            <w:pPr>
              <w:jc w:val="center"/>
              <w:rPr>
                <w:rFonts w:ascii="Times New Roman" w:hAnsi="Times New Roman" w:cs="Times New Roman"/>
                <w:sz w:val="16"/>
                <w:szCs w:val="16"/>
              </w:rPr>
            </w:pPr>
          </w:p>
        </w:tc>
        <w:tc>
          <w:tcPr>
            <w:tcW w:w="2268" w:type="dxa"/>
          </w:tcPr>
          <w:p w14:paraId="6FF08E64" w14:textId="7C412C62" w:rsidR="00E519DB" w:rsidRPr="008339F1" w:rsidRDefault="00E519DB" w:rsidP="00E519DB">
            <w:pPr>
              <w:jc w:val="center"/>
              <w:rPr>
                <w:rFonts w:ascii="Times New Roman" w:hAnsi="Times New Roman" w:cs="Times New Roman"/>
                <w:sz w:val="16"/>
                <w:szCs w:val="16"/>
              </w:rPr>
            </w:pPr>
          </w:p>
        </w:tc>
      </w:tr>
      <w:tr w:rsidR="008339F1" w:rsidRPr="008339F1" w14:paraId="2A4C6111" w14:textId="77777777" w:rsidTr="002B37B8">
        <w:trPr>
          <w:trHeight w:val="3115"/>
        </w:trPr>
        <w:tc>
          <w:tcPr>
            <w:tcW w:w="503" w:type="dxa"/>
          </w:tcPr>
          <w:p w14:paraId="07839E86" w14:textId="040342D8"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t>1</w:t>
            </w:r>
            <w:r w:rsidR="00DB1685" w:rsidRPr="008339F1">
              <w:rPr>
                <w:rFonts w:ascii="Times New Roman" w:eastAsia="Times New Roman" w:hAnsi="Times New Roman" w:cs="Times New Roman"/>
                <w:sz w:val="16"/>
                <w:szCs w:val="16"/>
              </w:rPr>
              <w:t>5</w:t>
            </w:r>
          </w:p>
        </w:tc>
        <w:bookmarkStart w:id="19" w:name="OLE_LINK48"/>
        <w:tc>
          <w:tcPr>
            <w:tcW w:w="915" w:type="dxa"/>
          </w:tcPr>
          <w:p w14:paraId="5F6529CF" w14:textId="77777777"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fldChar w:fldCharType="begin"/>
            </w:r>
            <w:r w:rsidRPr="008339F1">
              <w:rPr>
                <w:rFonts w:ascii="Times New Roman" w:eastAsia="Times New Roman" w:hAnsi="Times New Roman" w:cs="Times New Roman"/>
                <w:sz w:val="16"/>
                <w:szCs w:val="16"/>
              </w:rPr>
              <w:instrText xml:space="preserve"> ADDIN EN.CITE &lt;EndNote&gt;&lt;Cite AuthorYear="1"&gt;&lt;Author&gt;Zheng&lt;/Author&gt;&lt;Year&gt;2021&lt;/Year&gt;&lt;RecNum&gt;2473&lt;/RecNum&gt;&lt;DisplayText&gt;Zheng et al. (2021)&lt;/DisplayText&gt;&lt;record&gt;&lt;rec-number&gt;2473&lt;/rec-number&gt;&lt;foreign-keys&gt;&lt;key app="EN" db-id="z959xtv5kdxdt0eawtt5ssvc90eradx50fpz" timestamp="1765195959"&gt;2473&lt;/key&gt;&lt;/foreign-keys&gt;&lt;ref-type name="Electronic Article"&gt;43&lt;/ref-type&gt;&lt;contributors&gt;&lt;authors&gt;&lt;author&gt;Zheng, Guang-Wen&lt;/author&gt;&lt;author&gt;Siddik, Abu B.&lt;/author&gt;&lt;author&gt;Masukujjaman, Mohammad&lt;/author&gt;&lt;author&gt;Fatema, Nazneen&lt;/author&gt;&lt;author&gt;Alam, Syed S.&lt;/author&gt;&lt;/authors&gt;&lt;/contributors&gt;&lt;titles&gt;&lt;title&gt;Green Finance Development in Bangladesh: The Role of Private Commercial Banks (PCBs)&lt;/title&gt;&lt;secondary-title&gt;Sustainability&lt;/secondary-title&gt;&lt;/titles&gt;&lt;periodical&gt;&lt;full-title&gt;Sustainability (Switzerland)&lt;/full-title&gt;&lt;abbr-1&gt;Sustainability&lt;/abbr-1&gt;&lt;/periodical&gt;&lt;pages&gt;795&lt;/pages&gt;&lt;volume&gt;13&lt;/volume&gt;&lt;number&gt;2&lt;/number&gt;&lt;keywords&gt;&lt;keyword&gt;green finance&lt;/keyword&gt;&lt;keyword&gt;bankers’ perception&lt;/keyword&gt;&lt;keyword&gt;banks&lt;/keyword&gt;&lt;keyword&gt;CFA&lt;/keyword&gt;&lt;keyword&gt;Bangladesh&lt;/keyword&gt;&lt;/keywords&gt;&lt;dates&gt;&lt;year&gt;2021&lt;/year&gt;&lt;/dates&gt;&lt;isbn&gt;2071-1050&lt;/isbn&gt;&lt;urls&gt;&lt;/urls&gt;&lt;electronic-resource-num&gt;10.3390/su13020795&lt;/electronic-resource-num&gt;&lt;/record&gt;&lt;/Cite&gt;&lt;/EndNote&gt;</w:instrText>
            </w:r>
            <w:r w:rsidRPr="008339F1">
              <w:rPr>
                <w:rFonts w:ascii="Times New Roman" w:eastAsia="Times New Roman" w:hAnsi="Times New Roman" w:cs="Times New Roman"/>
                <w:sz w:val="16"/>
                <w:szCs w:val="16"/>
              </w:rPr>
              <w:fldChar w:fldCharType="separate"/>
            </w:r>
            <w:r w:rsidRPr="008339F1">
              <w:rPr>
                <w:rFonts w:ascii="Times New Roman" w:eastAsia="Times New Roman" w:hAnsi="Times New Roman" w:cs="Times New Roman"/>
                <w:noProof/>
                <w:sz w:val="16"/>
                <w:szCs w:val="16"/>
              </w:rPr>
              <w:t>Zheng et al. (2021)</w:t>
            </w:r>
            <w:r w:rsidRPr="008339F1">
              <w:rPr>
                <w:rFonts w:ascii="Times New Roman" w:eastAsia="Times New Roman" w:hAnsi="Times New Roman" w:cs="Times New Roman"/>
                <w:sz w:val="16"/>
                <w:szCs w:val="16"/>
              </w:rPr>
              <w:fldChar w:fldCharType="end"/>
            </w:r>
            <w:bookmarkEnd w:id="19"/>
          </w:p>
        </w:tc>
        <w:tc>
          <w:tcPr>
            <w:tcW w:w="992" w:type="dxa"/>
          </w:tcPr>
          <w:p w14:paraId="4701CDB4"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Bangladesh</w:t>
            </w:r>
          </w:p>
        </w:tc>
        <w:tc>
          <w:tcPr>
            <w:tcW w:w="1559" w:type="dxa"/>
          </w:tcPr>
          <w:p w14:paraId="2B3D54A0"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Explores the development of green finance in Bangladesh, focusing on the role of private commercial banks (PCBs) as the main contributors. </w:t>
            </w:r>
          </w:p>
        </w:tc>
        <w:tc>
          <w:tcPr>
            <w:tcW w:w="1271" w:type="dxa"/>
          </w:tcPr>
          <w:p w14:paraId="34BC871A" w14:textId="291A0681" w:rsidR="00E519DB" w:rsidRPr="008339F1" w:rsidRDefault="00E519DB" w:rsidP="00E519DB">
            <w:pPr>
              <w:jc w:val="both"/>
              <w:rPr>
                <w:rFonts w:ascii="Times New Roman" w:hAnsi="Times New Roman" w:cs="Times New Roman"/>
                <w:sz w:val="16"/>
                <w:szCs w:val="16"/>
              </w:rPr>
            </w:pPr>
          </w:p>
        </w:tc>
        <w:tc>
          <w:tcPr>
            <w:tcW w:w="1990" w:type="dxa"/>
          </w:tcPr>
          <w:p w14:paraId="3D62DBAA" w14:textId="1D8090AE"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Quantitative survey and Descriptive statistics; exploratory factor analysis; confirmatory factor analysis using SPSS and AMOS;</w:t>
            </w:r>
          </w:p>
        </w:tc>
        <w:tc>
          <w:tcPr>
            <w:tcW w:w="1843" w:type="dxa"/>
          </w:tcPr>
          <w:p w14:paraId="6AE4369E" w14:textId="4BEF21B4"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Private commercial banks; Bangladesh Bank/central bank; non-bank financial institutions; green project clients; small-scale green businesses; government authorities</w:t>
            </w:r>
          </w:p>
        </w:tc>
        <w:tc>
          <w:tcPr>
            <w:tcW w:w="2126" w:type="dxa"/>
          </w:tcPr>
          <w:p w14:paraId="37B08412" w14:textId="37999BA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The study reports that private commercial banks are the largest contributors to direct green finance in Bangladesh and that Bangladesh Bank supports green finance through refinancing schemes, green banking policies, credit allocations and mandatory green finance targets. It also identifies bank staff perceptions of economic, social and environmental dimensions of green finance</w:t>
            </w:r>
          </w:p>
        </w:tc>
        <w:tc>
          <w:tcPr>
            <w:tcW w:w="2835" w:type="dxa"/>
          </w:tcPr>
          <w:p w14:paraId="599778DD" w14:textId="6C070E4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Bangladesh Bank/central bank = Accountable for green finance policy, refinancing schemes, green banking guidelines, credit targets and monitoring compliance; private commercial banks = Responsible/Accountable for appraising, approving and disbursing green finance; bank staff = Responsible/Consulted for loan appraisal, client assessment and green finance implementation; clients/green businesses = Responsible for preparing viable green project proposals and repaying loans.</w:t>
            </w:r>
          </w:p>
        </w:tc>
        <w:tc>
          <w:tcPr>
            <w:tcW w:w="3118" w:type="dxa"/>
          </w:tcPr>
          <w:p w14:paraId="501049F4" w14:textId="1BAB5F8D" w:rsidR="00E519DB" w:rsidRPr="008339F1" w:rsidRDefault="00E519DB" w:rsidP="00E519DB">
            <w:pPr>
              <w:jc w:val="center"/>
              <w:rPr>
                <w:rFonts w:ascii="Times New Roman" w:hAnsi="Times New Roman" w:cs="Times New Roman"/>
                <w:sz w:val="16"/>
                <w:szCs w:val="16"/>
              </w:rPr>
            </w:pPr>
          </w:p>
        </w:tc>
        <w:tc>
          <w:tcPr>
            <w:tcW w:w="2127" w:type="dxa"/>
          </w:tcPr>
          <w:p w14:paraId="1C6B7BF6" w14:textId="77777777" w:rsidR="00E519DB" w:rsidRPr="008339F1" w:rsidRDefault="00E519DB" w:rsidP="00E519DB">
            <w:pPr>
              <w:jc w:val="center"/>
              <w:rPr>
                <w:rFonts w:ascii="Times New Roman" w:hAnsi="Times New Roman" w:cs="Times New Roman"/>
                <w:sz w:val="16"/>
                <w:szCs w:val="16"/>
              </w:rPr>
            </w:pPr>
          </w:p>
        </w:tc>
        <w:tc>
          <w:tcPr>
            <w:tcW w:w="2268" w:type="dxa"/>
          </w:tcPr>
          <w:p w14:paraId="1BF1E78A" w14:textId="17C6586D" w:rsidR="00E519DB" w:rsidRPr="008339F1" w:rsidRDefault="00E519DB" w:rsidP="00E519DB">
            <w:pPr>
              <w:jc w:val="center"/>
              <w:rPr>
                <w:rFonts w:ascii="Times New Roman" w:hAnsi="Times New Roman" w:cs="Times New Roman"/>
                <w:sz w:val="16"/>
                <w:szCs w:val="16"/>
              </w:rPr>
            </w:pPr>
          </w:p>
        </w:tc>
      </w:tr>
      <w:tr w:rsidR="008339F1" w:rsidRPr="008339F1" w14:paraId="3C0FC5FC" w14:textId="77777777" w:rsidTr="002B37B8">
        <w:trPr>
          <w:trHeight w:val="4962"/>
        </w:trPr>
        <w:tc>
          <w:tcPr>
            <w:tcW w:w="503" w:type="dxa"/>
          </w:tcPr>
          <w:p w14:paraId="4F348B0A" w14:textId="783F4A7F"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1</w:t>
            </w:r>
            <w:r w:rsidR="00DB1685" w:rsidRPr="008339F1">
              <w:rPr>
                <w:rFonts w:ascii="Times New Roman" w:hAnsi="Times New Roman" w:cs="Times New Roman"/>
                <w:sz w:val="16"/>
                <w:szCs w:val="16"/>
              </w:rPr>
              <w:t>6</w:t>
            </w:r>
          </w:p>
        </w:tc>
        <w:tc>
          <w:tcPr>
            <w:tcW w:w="915" w:type="dxa"/>
          </w:tcPr>
          <w:p w14:paraId="2DC6CB83" w14:textId="77777777" w:rsidR="00E519DB" w:rsidRPr="008339F1" w:rsidRDefault="00E519DB" w:rsidP="00E519DB">
            <w:pPr>
              <w:spacing w:before="100" w:beforeAutospacing="1" w:after="100" w:afterAutospacing="1"/>
              <w:rPr>
                <w:rFonts w:ascii="Times New Roman" w:eastAsia="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AuthorYear="1"&gt;&lt;Author&gt;Ababio&lt;/Author&gt;&lt;Year&gt;2025&lt;/Year&gt;&lt;RecNum&gt;2315&lt;/RecNum&gt;&lt;DisplayText&gt;Ababio et al. (2025)&lt;/DisplayText&gt;&lt;record&gt;&lt;rec-number&gt;2315&lt;/rec-number&gt;&lt;foreign-keys&gt;&lt;key app="EN" db-id="z959xtv5kdxdt0eawtt5ssvc90eradx50fpz" timestamp="1761647806"&gt;2315&lt;/key&gt;&lt;/foreign-keys&gt;&lt;ref-type name="Journal Article"&gt;17&lt;/ref-type&gt;&lt;contributors&gt;&lt;authors&gt;&lt;author&gt;Ababio, Benjamin Kwaku&lt;/author&gt;&lt;author&gt;Lu, Weisheng&lt;/author&gt;&lt;author&gt;Agyekum, Kofi&lt;/author&gt;&lt;author&gt;Ghansah, Frank Ato&lt;/author&gt;&lt;/authors&gt;&lt;/contributors&gt;&lt;titles&gt;&lt;title&gt;Enhancing circular construction through procurement: A conceptual stakeholder-centric collaborative framework for sustainable outcomes&lt;/title&gt;&lt;secondary-title&gt;Environmental Impact Assessment Review&lt;/secondary-title&gt;&lt;/titles&gt;&lt;periodical&gt;&lt;full-title&gt;ENVIRONMENTAL IMPACT ASSESSMENT REVIEW&lt;/full-title&gt;&lt;/periodical&gt;&lt;pages&gt;107784&lt;/pages&gt;&lt;volume&gt;112&lt;/volume&gt;&lt;keywords&gt;&lt;keyword&gt;Circular procurement&lt;/keyword&gt;&lt;keyword&gt;Circular economy&lt;/keyword&gt;&lt;keyword&gt;Stakeholder&lt;/keyword&gt;&lt;keyword&gt;Collaboration&lt;/keyword&gt;&lt;keyword&gt;Capabilities&lt;/keyword&gt;&lt;keyword&gt;Construction industry&lt;/keyword&gt;&lt;/keywords&gt;&lt;dates&gt;&lt;year&gt;2025&lt;/year&gt;&lt;pub-dates&gt;&lt;date&gt;2025/03/01/&lt;/date&gt;&lt;/pub-dates&gt;&lt;/dates&gt;&lt;isbn&gt;0195-9255&lt;/isbn&gt;&lt;urls&gt;&lt;related-urls&gt;&lt;url&gt;https://www.sciencedirect.com/science/article/pii/S0195925524003718&lt;/url&gt;&lt;/related-urls&gt;&lt;/urls&gt;&lt;electronic-resource-num&gt;https://doi.org/10.1016/j.eiar.2024.107784&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Ababio et al. (2025)</w:t>
            </w:r>
            <w:r w:rsidRPr="008339F1">
              <w:rPr>
                <w:rFonts w:ascii="Times New Roman" w:hAnsi="Times New Roman" w:cs="Times New Roman"/>
                <w:sz w:val="16"/>
                <w:szCs w:val="16"/>
              </w:rPr>
              <w:fldChar w:fldCharType="end"/>
            </w:r>
          </w:p>
        </w:tc>
        <w:tc>
          <w:tcPr>
            <w:tcW w:w="992" w:type="dxa"/>
          </w:tcPr>
          <w:p w14:paraId="3E7A2201"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Hong Kong</w:t>
            </w:r>
          </w:p>
        </w:tc>
        <w:tc>
          <w:tcPr>
            <w:tcW w:w="1559" w:type="dxa"/>
          </w:tcPr>
          <w:p w14:paraId="6E7749CA" w14:textId="7D72FC4D"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Stakeholder roles and collaborative capabilities for circular procurement implementation in construction</w:t>
            </w:r>
          </w:p>
        </w:tc>
        <w:tc>
          <w:tcPr>
            <w:tcW w:w="1271" w:type="dxa"/>
          </w:tcPr>
          <w:p w14:paraId="7CA3F223" w14:textId="070019D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Strategic definition/policy planning; preparation and briefing; concept/design; tendering; execution/construction; monitoring; use; end-of-life/recover</w:t>
            </w:r>
          </w:p>
        </w:tc>
        <w:tc>
          <w:tcPr>
            <w:tcW w:w="1990" w:type="dxa"/>
          </w:tcPr>
          <w:p w14:paraId="19232872" w14:textId="5D208D20"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Systematic literature review and expert focus group discussion</w:t>
            </w:r>
          </w:p>
        </w:tc>
        <w:tc>
          <w:tcPr>
            <w:tcW w:w="1843" w:type="dxa"/>
          </w:tcPr>
          <w:p w14:paraId="602FDDDA" w14:textId="34105E7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Government; regulatory authorities; certification agencies; clients/project owners; design team; project managers; procurement consultants; contractors; suppliers/distributors; manufacturers; financial institutions; technology providers; local communities; </w:t>
            </w:r>
            <w:proofErr w:type="spellStart"/>
            <w:r w:rsidRPr="008339F1">
              <w:rPr>
                <w:rFonts w:ascii="Times New Roman" w:hAnsi="Times New Roman" w:cs="Times New Roman"/>
                <w:sz w:val="16"/>
                <w:szCs w:val="16"/>
              </w:rPr>
              <w:t>labour</w:t>
            </w:r>
            <w:proofErr w:type="spellEnd"/>
            <w:r w:rsidRPr="008339F1">
              <w:rPr>
                <w:rFonts w:ascii="Times New Roman" w:hAnsi="Times New Roman" w:cs="Times New Roman"/>
                <w:sz w:val="16"/>
                <w:szCs w:val="16"/>
              </w:rPr>
              <w:t xml:space="preserve"> unions; NGOs; end-of-life/recovery professionals</w:t>
            </w:r>
          </w:p>
        </w:tc>
        <w:tc>
          <w:tcPr>
            <w:tcW w:w="2126" w:type="dxa"/>
          </w:tcPr>
          <w:p w14:paraId="71B31502" w14:textId="77777777" w:rsidR="00E16234"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Policy stage: Government, regulators, communities</w:t>
            </w:r>
          </w:p>
          <w:p w14:paraId="7E39F066" w14:textId="77777777" w:rsidR="00E16234"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Preparation/design: Clients, designers, project managers</w:t>
            </w:r>
          </w:p>
          <w:p w14:paraId="0FC870DE" w14:textId="77777777" w:rsidR="00E16234"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Tendering: Procurement consultants, clients</w:t>
            </w:r>
          </w:p>
          <w:p w14:paraId="179EB936" w14:textId="77777777" w:rsidR="00E16234"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Execution: Contractors, suppliers</w:t>
            </w:r>
          </w:p>
          <w:p w14:paraId="3F3407D0" w14:textId="77777777" w:rsidR="00E16234"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Monitoring: Regulators and auditors</w:t>
            </w:r>
          </w:p>
          <w:p w14:paraId="6850F068" w14:textId="4A1C7D12" w:rsidR="00E519DB" w:rsidRPr="008339F1" w:rsidRDefault="00E16234" w:rsidP="00E16234">
            <w:pPr>
              <w:rPr>
                <w:rFonts w:ascii="Times New Roman" w:hAnsi="Times New Roman" w:cs="Times New Roman"/>
                <w:sz w:val="16"/>
                <w:szCs w:val="16"/>
              </w:rPr>
            </w:pPr>
            <w:r w:rsidRPr="008339F1">
              <w:rPr>
                <w:rFonts w:ascii="Times New Roman" w:hAnsi="Times New Roman" w:cs="Times New Roman"/>
                <w:sz w:val="16"/>
                <w:szCs w:val="16"/>
              </w:rPr>
              <w:t>End‑of‑life: Waste managers, recyclers</w:t>
            </w:r>
          </w:p>
        </w:tc>
        <w:tc>
          <w:tcPr>
            <w:tcW w:w="2835" w:type="dxa"/>
          </w:tcPr>
          <w:p w14:paraId="25292F29" w14:textId="29059000" w:rsidR="00E519DB" w:rsidRPr="008339F1" w:rsidRDefault="00DC6A9C" w:rsidP="00E519DB">
            <w:pPr>
              <w:rPr>
                <w:rFonts w:ascii="Times New Roman" w:hAnsi="Times New Roman" w:cs="Times New Roman"/>
                <w:sz w:val="16"/>
                <w:szCs w:val="16"/>
              </w:rPr>
            </w:pPr>
            <w:r w:rsidRPr="008339F1">
              <w:rPr>
                <w:rFonts w:ascii="Times New Roman" w:hAnsi="Times New Roman" w:cs="Times New Roman"/>
                <w:sz w:val="16"/>
                <w:szCs w:val="16"/>
              </w:rPr>
              <w:t>Government/regulators = Accountable for policy, regulation, oversight, compliance and market direction; clients/project owners = Accountable for funding, project objectives and circular procurement requirements; design teams = Responsible/Consulted for integrating circular principles into design; project managers = Responsible for coordination and implementation control; procurement consultants = Responsible/Consulted for sourcing strategy, tender criteria and circular supplier evaluation; contractors = Responsible for construction execution, waste management and circular practice implementation;</w:t>
            </w:r>
            <w:r w:rsidR="003565F1" w:rsidRPr="008339F1">
              <w:rPr>
                <w:rFonts w:ascii="Times New Roman" w:hAnsi="Times New Roman" w:cs="Times New Roman"/>
                <w:sz w:val="16"/>
                <w:szCs w:val="16"/>
              </w:rPr>
              <w:t xml:space="preserve"> </w:t>
            </w:r>
            <w:r w:rsidRPr="008339F1">
              <w:rPr>
                <w:rFonts w:ascii="Times New Roman" w:hAnsi="Times New Roman" w:cs="Times New Roman"/>
                <w:sz w:val="16"/>
                <w:szCs w:val="16"/>
              </w:rPr>
              <w:t>manufacturers = Responsible for circular materials/products; end-of-life professionals/recovery contractors = Responsible for deconstruction, recycling, reverse logistics and material recovery.</w:t>
            </w:r>
          </w:p>
        </w:tc>
        <w:tc>
          <w:tcPr>
            <w:tcW w:w="3118" w:type="dxa"/>
          </w:tcPr>
          <w:p w14:paraId="275EE75D" w14:textId="0E118695" w:rsidR="00E519DB" w:rsidRPr="008339F1" w:rsidRDefault="00E519DB" w:rsidP="00E519DB">
            <w:pPr>
              <w:rPr>
                <w:rFonts w:ascii="Times New Roman" w:hAnsi="Times New Roman" w:cs="Times New Roman"/>
                <w:sz w:val="16"/>
                <w:szCs w:val="16"/>
              </w:rPr>
            </w:pPr>
          </w:p>
        </w:tc>
        <w:tc>
          <w:tcPr>
            <w:tcW w:w="2127" w:type="dxa"/>
          </w:tcPr>
          <w:p w14:paraId="715F6AA7" w14:textId="77777777" w:rsidR="00E519DB" w:rsidRPr="008339F1" w:rsidRDefault="00E519DB" w:rsidP="00E519DB">
            <w:pPr>
              <w:jc w:val="center"/>
              <w:rPr>
                <w:rFonts w:ascii="Times New Roman" w:hAnsi="Times New Roman" w:cs="Times New Roman"/>
                <w:sz w:val="16"/>
                <w:szCs w:val="16"/>
              </w:rPr>
            </w:pPr>
          </w:p>
        </w:tc>
        <w:tc>
          <w:tcPr>
            <w:tcW w:w="2268" w:type="dxa"/>
          </w:tcPr>
          <w:p w14:paraId="7EDE953A" w14:textId="4EC00BFE" w:rsidR="00E519DB" w:rsidRPr="008339F1" w:rsidRDefault="00E519DB" w:rsidP="00E519DB">
            <w:pPr>
              <w:jc w:val="center"/>
              <w:rPr>
                <w:rFonts w:ascii="Times New Roman" w:hAnsi="Times New Roman" w:cs="Times New Roman"/>
                <w:sz w:val="16"/>
                <w:szCs w:val="16"/>
              </w:rPr>
            </w:pPr>
          </w:p>
        </w:tc>
      </w:tr>
      <w:tr w:rsidR="008339F1" w:rsidRPr="008339F1" w14:paraId="2C6AF92E" w14:textId="77777777" w:rsidTr="002B37B8">
        <w:trPr>
          <w:trHeight w:val="156"/>
        </w:trPr>
        <w:tc>
          <w:tcPr>
            <w:tcW w:w="503" w:type="dxa"/>
          </w:tcPr>
          <w:p w14:paraId="442B2E63" w14:textId="0E00F739"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1</w:t>
            </w:r>
            <w:r w:rsidR="00DB1685" w:rsidRPr="008339F1">
              <w:rPr>
                <w:rFonts w:ascii="Times New Roman" w:hAnsi="Times New Roman" w:cs="Times New Roman"/>
                <w:sz w:val="16"/>
                <w:szCs w:val="16"/>
              </w:rPr>
              <w:t>7</w:t>
            </w:r>
          </w:p>
        </w:tc>
        <w:bookmarkStart w:id="20" w:name="OLE_LINK227"/>
        <w:tc>
          <w:tcPr>
            <w:tcW w:w="915" w:type="dxa"/>
          </w:tcPr>
          <w:p w14:paraId="479F5DA3" w14:textId="144D87B0"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AuthorYear="1"&gt;&lt;Author&gt;Anastasiades&lt;/Author&gt;&lt;Year&gt;2023&lt;/Year&gt;&lt;RecNum&gt;1635&lt;/RecNum&gt;&lt;DisplayText&gt;Anastasiades et al. (2023)&lt;/DisplayText&gt;&lt;record&gt;&lt;rec-number&gt;1635&lt;/rec-number&gt;&lt;foreign-keys&gt;&lt;key app="EN" db-id="52rwd92asss9zrett925swxewtr59dp2v0wp" timestamp="1742099179"&gt;1635&lt;/key&gt;&lt;/foreign-keys&gt;&lt;ref-type name="Journal Article"&gt;17&lt;/ref-type&gt;&lt;contributors&gt;&lt;authors&gt;&lt;author&gt;Anastasiades, Kostas&lt;/author&gt;&lt;author&gt;Dockx, Joos&lt;/author&gt;&lt;author&gt;van den Berg, Marc&lt;/author&gt;&lt;author&gt;Rinke, Mario&lt;/author&gt;&lt;author&gt;Blom, Johan&lt;/author&gt;&lt;author&gt;Audenaert, Amaryllis&lt;/author&gt;&lt;/authors&gt;&lt;/contributors&gt;&lt;titles&gt;&lt;title&gt;Stakeholder perceptions on implementing design for disassembly and standardisation for heterogeneous construction components&lt;/title&gt;&lt;secondary-title&gt;Waste Management &amp;amp; Research&lt;/secondary-title&gt;&lt;/titles&gt;&lt;periodical&gt;&lt;full-title&gt;Waste Management &amp;amp; Research&lt;/full-title&gt;&lt;/periodical&gt;&lt;pages&gt;1372-1381&lt;/pages&gt;&lt;volume&gt;41&lt;/volume&gt;&lt;number&gt;8&lt;/number&gt;&lt;keywords&gt;&lt;keyword&gt;Circular economy, design for disassembly, systems thinking, standardisation, waste management, reuse&lt;/keyword&gt;&lt;/keywords&gt;&lt;dates&gt;&lt;year&gt;2023&lt;/year&gt;&lt;/dates&gt;&lt;accession-num&gt;37052248&lt;/accession-num&gt;&lt;urls&gt;&lt;related-urls&gt;&lt;url&gt;https://journals.sagepub.com/doi/abs/10.1177/0734242X231154140&lt;/url&gt;&lt;/related-urls&gt;&lt;/urls&gt;&lt;electronic-resource-num&gt;10.1177/0734242x231154140&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Anastasiades et al. (2023)</w:t>
            </w:r>
            <w:r w:rsidRPr="008339F1">
              <w:rPr>
                <w:rFonts w:ascii="Times New Roman" w:hAnsi="Times New Roman" w:cs="Times New Roman"/>
                <w:sz w:val="16"/>
                <w:szCs w:val="16"/>
              </w:rPr>
              <w:fldChar w:fldCharType="end"/>
            </w:r>
            <w:bookmarkEnd w:id="20"/>
          </w:p>
        </w:tc>
        <w:tc>
          <w:tcPr>
            <w:tcW w:w="992" w:type="dxa"/>
          </w:tcPr>
          <w:p w14:paraId="47D80F9B" w14:textId="50BDDED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Belgium/</w:t>
            </w:r>
            <w:proofErr w:type="spellStart"/>
            <w:r w:rsidRPr="008339F1">
              <w:rPr>
                <w:rFonts w:ascii="Times New Roman" w:hAnsi="Times New Roman" w:cs="Times New Roman"/>
                <w:sz w:val="16"/>
                <w:szCs w:val="16"/>
              </w:rPr>
              <w:t>flanders</w:t>
            </w:r>
            <w:proofErr w:type="spellEnd"/>
          </w:p>
        </w:tc>
        <w:tc>
          <w:tcPr>
            <w:tcW w:w="1559" w:type="dxa"/>
          </w:tcPr>
          <w:p w14:paraId="46DB7B89"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Investigates stakeholder perceptions on circular construction implementation as well as the actors who are responsible for implementation.  </w:t>
            </w:r>
          </w:p>
        </w:tc>
        <w:tc>
          <w:tcPr>
            <w:tcW w:w="1271" w:type="dxa"/>
          </w:tcPr>
          <w:p w14:paraId="0B01B951" w14:textId="75333F0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Conceptual design; construction; component reuse; design for disassembly; end-of-life </w:t>
            </w:r>
          </w:p>
        </w:tc>
        <w:tc>
          <w:tcPr>
            <w:tcW w:w="1990" w:type="dxa"/>
          </w:tcPr>
          <w:p w14:paraId="54D39C54" w14:textId="007DC014"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Questionnaire survey</w:t>
            </w:r>
          </w:p>
        </w:tc>
        <w:tc>
          <w:tcPr>
            <w:tcW w:w="1843" w:type="dxa"/>
          </w:tcPr>
          <w:p w14:paraId="51514844" w14:textId="417D859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Designers (architects, engineers), contractors, manufacturers, clients/building owners, governments, external parties (brokers/testing bodies), academics</w:t>
            </w:r>
          </w:p>
        </w:tc>
        <w:tc>
          <w:tcPr>
            <w:tcW w:w="2126" w:type="dxa"/>
          </w:tcPr>
          <w:p w14:paraId="730D645B" w14:textId="2B77A2BB" w:rsidR="00E519DB" w:rsidRPr="008339F1" w:rsidRDefault="004C225B" w:rsidP="00E519DB">
            <w:pPr>
              <w:rPr>
                <w:rFonts w:ascii="Times New Roman" w:hAnsi="Times New Roman" w:cs="Times New Roman"/>
                <w:sz w:val="16"/>
                <w:szCs w:val="16"/>
              </w:rPr>
            </w:pPr>
            <w:r w:rsidRPr="008339F1">
              <w:rPr>
                <w:rFonts w:ascii="Times New Roman" w:hAnsi="Times New Roman" w:cs="Times New Roman"/>
                <w:sz w:val="16"/>
                <w:szCs w:val="16"/>
              </w:rPr>
              <w:t>C</w:t>
            </w:r>
            <w:r w:rsidR="00E519DB" w:rsidRPr="008339F1">
              <w:rPr>
                <w:rFonts w:ascii="Times New Roman" w:hAnsi="Times New Roman" w:cs="Times New Roman"/>
                <w:sz w:val="16"/>
                <w:szCs w:val="16"/>
              </w:rPr>
              <w:t xml:space="preserve">lients and design teams have the largest impact on decisions to reuse components and apply </w:t>
            </w:r>
            <w:proofErr w:type="spellStart"/>
            <w:r w:rsidR="00E519DB" w:rsidRPr="008339F1">
              <w:rPr>
                <w:rFonts w:ascii="Times New Roman" w:hAnsi="Times New Roman" w:cs="Times New Roman"/>
                <w:sz w:val="16"/>
                <w:szCs w:val="16"/>
              </w:rPr>
              <w:t>DfD</w:t>
            </w:r>
            <w:proofErr w:type="spellEnd"/>
            <w:r w:rsidR="00E519DB" w:rsidRPr="008339F1">
              <w:rPr>
                <w:rFonts w:ascii="Times New Roman" w:hAnsi="Times New Roman" w:cs="Times New Roman"/>
                <w:sz w:val="16"/>
                <w:szCs w:val="16"/>
              </w:rPr>
              <w:t xml:space="preserve">. It also identifies action-point actors: designers, manufacturers and governments for component/connection </w:t>
            </w:r>
            <w:proofErr w:type="spellStart"/>
            <w:r w:rsidR="00E519DB" w:rsidRPr="008339F1">
              <w:rPr>
                <w:rFonts w:ascii="Times New Roman" w:hAnsi="Times New Roman" w:cs="Times New Roman"/>
                <w:sz w:val="16"/>
                <w:szCs w:val="16"/>
              </w:rPr>
              <w:t>standardisation</w:t>
            </w:r>
            <w:proofErr w:type="spellEnd"/>
            <w:r w:rsidR="00E519DB" w:rsidRPr="008339F1">
              <w:rPr>
                <w:rFonts w:ascii="Times New Roman" w:hAnsi="Times New Roman" w:cs="Times New Roman"/>
                <w:sz w:val="16"/>
                <w:szCs w:val="16"/>
              </w:rPr>
              <w:t>; designers and contractors for early conceptual-stage involvement; designers, manufacturers, contractors and governments for information management; manufacturers/external parties for testing and logistics; manufacturers/insurance companies for warranty; and government for legislation.</w:t>
            </w:r>
          </w:p>
        </w:tc>
        <w:tc>
          <w:tcPr>
            <w:tcW w:w="2835" w:type="dxa"/>
          </w:tcPr>
          <w:p w14:paraId="3DD52595" w14:textId="6CD1B915"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Clients/project owners = Accountable for deciding whether reuse and </w:t>
            </w: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are adopted; designers/architects/engineers = Responsible/Consulted for circular design, </w:t>
            </w: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w:t>
            </w:r>
            <w:proofErr w:type="spellStart"/>
            <w:r w:rsidRPr="008339F1">
              <w:rPr>
                <w:rFonts w:ascii="Times New Roman" w:hAnsi="Times New Roman" w:cs="Times New Roman"/>
                <w:sz w:val="16"/>
                <w:szCs w:val="16"/>
              </w:rPr>
              <w:t>standardised</w:t>
            </w:r>
            <w:proofErr w:type="spellEnd"/>
            <w:r w:rsidRPr="008339F1">
              <w:rPr>
                <w:rFonts w:ascii="Times New Roman" w:hAnsi="Times New Roman" w:cs="Times New Roman"/>
                <w:sz w:val="16"/>
                <w:szCs w:val="16"/>
              </w:rPr>
              <w:t xml:space="preserve"> components and early design decisions; contractors = Responsible/Consulted for buildability, dismantling feasibility and practical reuse knowledge; manufacturers = Responsible/Consulted for component/connection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testing input and warranty support; building owners = Responsible/Accountable for maintaining component information where BIM/material passports are used; external parties/brokers = Responsible/Consulted for independent testing and intermediate storage; insurance companies = Consulted for warranty/risk coverage; government = Accountable for legislation and enabling legal framework.</w:t>
            </w:r>
          </w:p>
        </w:tc>
        <w:tc>
          <w:tcPr>
            <w:tcW w:w="3118" w:type="dxa"/>
          </w:tcPr>
          <w:p w14:paraId="364E4C78" w14:textId="4C8476CA" w:rsidR="00E519DB" w:rsidRPr="008339F1" w:rsidRDefault="00E519DB" w:rsidP="00E519DB">
            <w:pPr>
              <w:jc w:val="center"/>
              <w:rPr>
                <w:rFonts w:ascii="Times New Roman" w:hAnsi="Times New Roman" w:cs="Times New Roman"/>
                <w:sz w:val="16"/>
                <w:szCs w:val="16"/>
              </w:rPr>
            </w:pPr>
          </w:p>
        </w:tc>
        <w:tc>
          <w:tcPr>
            <w:tcW w:w="2127" w:type="dxa"/>
          </w:tcPr>
          <w:p w14:paraId="3FB3FEEC" w14:textId="77777777" w:rsidR="00E519DB" w:rsidRPr="008339F1" w:rsidRDefault="00E519DB" w:rsidP="00E519DB">
            <w:pPr>
              <w:jc w:val="center"/>
              <w:rPr>
                <w:rFonts w:ascii="Times New Roman" w:hAnsi="Times New Roman" w:cs="Times New Roman"/>
                <w:sz w:val="16"/>
                <w:szCs w:val="16"/>
              </w:rPr>
            </w:pPr>
          </w:p>
        </w:tc>
        <w:tc>
          <w:tcPr>
            <w:tcW w:w="2268" w:type="dxa"/>
          </w:tcPr>
          <w:p w14:paraId="74D8636B" w14:textId="3FB0E5E3" w:rsidR="00E519DB" w:rsidRPr="008339F1" w:rsidRDefault="00E519DB" w:rsidP="00E519DB">
            <w:pPr>
              <w:jc w:val="center"/>
              <w:rPr>
                <w:rFonts w:ascii="Times New Roman" w:hAnsi="Times New Roman" w:cs="Times New Roman"/>
                <w:sz w:val="16"/>
                <w:szCs w:val="16"/>
              </w:rPr>
            </w:pPr>
          </w:p>
        </w:tc>
      </w:tr>
      <w:tr w:rsidR="008339F1" w:rsidRPr="008339F1" w14:paraId="3CC4FA39" w14:textId="77777777" w:rsidTr="002B37B8">
        <w:trPr>
          <w:trHeight w:val="5302"/>
        </w:trPr>
        <w:tc>
          <w:tcPr>
            <w:tcW w:w="503" w:type="dxa"/>
          </w:tcPr>
          <w:p w14:paraId="1EE6368D" w14:textId="4B8BD7AD" w:rsidR="00E519DB" w:rsidRPr="008339F1" w:rsidRDefault="008F3ED4"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18</w:t>
            </w:r>
          </w:p>
        </w:tc>
        <w:tc>
          <w:tcPr>
            <w:tcW w:w="915" w:type="dxa"/>
          </w:tcPr>
          <w:p w14:paraId="00C774BA"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AuthorYear="1"&gt;&lt;Author&gt;Almeida&lt;/Author&gt;&lt;Year&gt;2022&lt;/Year&gt;&lt;RecNum&gt;2372&lt;/RecNum&gt;&lt;DisplayText&gt;Almeida et al. (2022)&lt;/DisplayText&gt;&lt;record&gt;&lt;rec-number&gt;2372&lt;/rec-number&gt;&lt;foreign-keys&gt;&lt;key app="EN" db-id="z959xtv5kdxdt0eawtt5ssvc90eradx50fpz" timestamp="1762263847"&gt;2372&lt;/key&gt;&lt;/foreign-keys&gt;&lt;ref-type name="Electronic Article"&gt;43&lt;/ref-type&gt;&lt;contributors&gt;&lt;authors&gt;&lt;author&gt;Almeida, Filipe&lt;/author&gt;&lt;author&gt;Vieira, Castorina S.&lt;/author&gt;&lt;author&gt;Carneiro, José R.&lt;/author&gt;&lt;author&gt;Lopes, Maria D.&lt;/author&gt;&lt;/authors&gt;&lt;/contributors&gt;&lt;titles&gt;&lt;title&gt;Drawing a Path towards Circular Construction: An Approach to Engage Stakeholders&lt;/title&gt;&lt;secondary-title&gt;Sustainability&lt;/secondary-title&gt;&lt;/titles&gt;&lt;periodical&gt;&lt;full-title&gt;Sustainability (Switzerland)&lt;/full-title&gt;&lt;abbr-1&gt;Sustainability&lt;/abbr-1&gt;&lt;/periodical&gt;&lt;volume&gt;14&lt;/volume&gt;&lt;number&gt;9&lt;/number&gt;&lt;keywords&gt;&lt;keyword&gt;sustainable development&lt;/keyword&gt;&lt;keyword&gt;building and construction sector&lt;/keyword&gt;&lt;keyword&gt;circular construction&lt;/keyword&gt;&lt;keyword&gt;construction and demolition waste management&lt;/keyword&gt;&lt;keyword&gt;sustainable practices at the construction site&lt;/keyword&gt;&lt;/keywords&gt;&lt;dates&gt;&lt;year&gt;2022&lt;/year&gt;&lt;/dates&gt;&lt;isbn&gt;2071-1050&lt;/isbn&gt;&lt;urls&gt;&lt;/urls&gt;&lt;electronic-resource-num&gt;10.3390/su14095314&lt;/electronic-resource-num&gt;&lt;/record&gt;&lt;/Cite&gt;&lt;/EndNote&gt;</w:instrText>
            </w:r>
            <w:r w:rsidRPr="008339F1">
              <w:rPr>
                <w:rFonts w:ascii="Times New Roman" w:hAnsi="Times New Roman" w:cs="Times New Roman"/>
                <w:sz w:val="16"/>
                <w:szCs w:val="16"/>
              </w:rPr>
              <w:fldChar w:fldCharType="separate"/>
            </w:r>
            <w:bookmarkStart w:id="21" w:name="OLE_LINK230"/>
            <w:r w:rsidRPr="008339F1">
              <w:rPr>
                <w:rFonts w:ascii="Times New Roman" w:hAnsi="Times New Roman" w:cs="Times New Roman"/>
                <w:noProof/>
                <w:sz w:val="16"/>
                <w:szCs w:val="16"/>
              </w:rPr>
              <w:t>Almeida et al.</w:t>
            </w:r>
            <w:bookmarkEnd w:id="21"/>
            <w:r w:rsidRPr="008339F1">
              <w:rPr>
                <w:rFonts w:ascii="Times New Roman" w:hAnsi="Times New Roman" w:cs="Times New Roman"/>
                <w:noProof/>
                <w:sz w:val="16"/>
                <w:szCs w:val="16"/>
              </w:rPr>
              <w:t xml:space="preserve"> (2022)</w:t>
            </w:r>
            <w:r w:rsidRPr="008339F1">
              <w:rPr>
                <w:rFonts w:ascii="Times New Roman" w:hAnsi="Times New Roman" w:cs="Times New Roman"/>
                <w:sz w:val="16"/>
                <w:szCs w:val="16"/>
              </w:rPr>
              <w:fldChar w:fldCharType="end"/>
            </w:r>
          </w:p>
        </w:tc>
        <w:tc>
          <w:tcPr>
            <w:tcW w:w="992" w:type="dxa"/>
          </w:tcPr>
          <w:p w14:paraId="7ED5AB34" w14:textId="3A5FE5B2"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Portugal/general</w:t>
            </w:r>
          </w:p>
        </w:tc>
        <w:tc>
          <w:tcPr>
            <w:tcW w:w="1559" w:type="dxa"/>
          </w:tcPr>
          <w:p w14:paraId="6615ED77"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Investigates the role of stakeholder engagement in circular construction</w:t>
            </w:r>
          </w:p>
        </w:tc>
        <w:tc>
          <w:tcPr>
            <w:tcW w:w="1271" w:type="dxa"/>
          </w:tcPr>
          <w:p w14:paraId="5AB2C36D" w14:textId="293D7007"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Design/</w:t>
            </w:r>
            <w:r w:rsidR="008409A4">
              <w:rPr>
                <w:rFonts w:ascii="Times New Roman" w:hAnsi="Times New Roman" w:cs="Times New Roman"/>
                <w:sz w:val="16"/>
                <w:szCs w:val="16"/>
              </w:rPr>
              <w:t xml:space="preserve"> </w:t>
            </w:r>
            <w:r w:rsidRPr="008339F1">
              <w:rPr>
                <w:rFonts w:ascii="Times New Roman" w:hAnsi="Times New Roman" w:cs="Times New Roman"/>
                <w:sz w:val="16"/>
                <w:szCs w:val="16"/>
              </w:rPr>
              <w:t>planni</w:t>
            </w:r>
            <w:r w:rsidR="008409A4">
              <w:rPr>
                <w:rFonts w:ascii="Times New Roman" w:hAnsi="Times New Roman" w:cs="Times New Roman"/>
                <w:sz w:val="16"/>
                <w:szCs w:val="16"/>
              </w:rPr>
              <w:t>n</w:t>
            </w:r>
            <w:r w:rsidRPr="008339F1">
              <w:rPr>
                <w:rFonts w:ascii="Times New Roman" w:hAnsi="Times New Roman" w:cs="Times New Roman"/>
                <w:sz w:val="16"/>
                <w:szCs w:val="16"/>
              </w:rPr>
              <w:t>g; construction</w:t>
            </w:r>
            <w:r w:rsidR="008409A4">
              <w:rPr>
                <w:rFonts w:ascii="Times New Roman" w:hAnsi="Times New Roman" w:cs="Times New Roman"/>
                <w:sz w:val="16"/>
                <w:szCs w:val="16"/>
              </w:rPr>
              <w:t>, end of life</w:t>
            </w:r>
          </w:p>
        </w:tc>
        <w:tc>
          <w:tcPr>
            <w:tcW w:w="1990" w:type="dxa"/>
          </w:tcPr>
          <w:p w14:paraId="0627D962" w14:textId="2F90B33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Literature review</w:t>
            </w:r>
          </w:p>
        </w:tc>
        <w:tc>
          <w:tcPr>
            <w:tcW w:w="1843" w:type="dxa"/>
          </w:tcPr>
          <w:p w14:paraId="79C67A59" w14:textId="621CCE6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and regulatory bodies, designers, manufacturers, engineers, researchers, contractors, architects.</w:t>
            </w:r>
          </w:p>
        </w:tc>
        <w:tc>
          <w:tcPr>
            <w:tcW w:w="2126" w:type="dxa"/>
          </w:tcPr>
          <w:p w14:paraId="5D86E543" w14:textId="468042F7"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It is a government’s responsibility for the development and implementation of policies targeting the transition to a circular construction… tools should also be developed to monitor both the progress of the transition and whether the B&amp;C sector is complying; Architects and designers should boost the use of these resources in engineering projects… designers should develop manuals explaining how the materials should be </w:t>
            </w:r>
            <w:proofErr w:type="spellStart"/>
            <w:r w:rsidRPr="008339F1">
              <w:rPr>
                <w:rFonts w:ascii="Times New Roman" w:hAnsi="Times New Roman" w:cs="Times New Roman"/>
                <w:sz w:val="16"/>
                <w:szCs w:val="16"/>
              </w:rPr>
              <w:t>appliedneeds</w:t>
            </w:r>
            <w:proofErr w:type="spellEnd"/>
            <w:r w:rsidRPr="008339F1">
              <w:rPr>
                <w:rFonts w:ascii="Times New Roman" w:hAnsi="Times New Roman" w:cs="Times New Roman"/>
                <w:sz w:val="16"/>
                <w:szCs w:val="16"/>
              </w:rPr>
              <w:t xml:space="preserve"> to adapt… development of facilities to manage C&amp;D waste… four fundamental priorities: equipment, good manufacturing practices, staff training and quality </w:t>
            </w:r>
            <w:proofErr w:type="spellStart"/>
            <w:r w:rsidRPr="008339F1">
              <w:rPr>
                <w:rFonts w:ascii="Times New Roman" w:hAnsi="Times New Roman" w:cs="Times New Roman"/>
                <w:sz w:val="16"/>
                <w:szCs w:val="16"/>
              </w:rPr>
              <w:t>control”etc</w:t>
            </w:r>
            <w:proofErr w:type="spellEnd"/>
          </w:p>
        </w:tc>
        <w:tc>
          <w:tcPr>
            <w:tcW w:w="2835" w:type="dxa"/>
          </w:tcPr>
          <w:p w14:paraId="711132BC" w14:textId="0D347619"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Government = Accountable for policy, legislation, standards, funding instruments, fiscal incentives and monitoring; designers/architects/engineers = Responsible/Consulted for specifying recycled materials, developing manuals, planning waste management and guiding construction-site practices; manufacturers/industry = Responsible for developing recycled materials/products, facilities, equipment, staff training and quality control; contractors/project managers/site teams = Responsible for construction-site implementation, material handling, waste sorting and forwarding waste to </w:t>
            </w:r>
            <w:proofErr w:type="spellStart"/>
            <w:r w:rsidRPr="008339F1">
              <w:rPr>
                <w:rFonts w:ascii="Times New Roman" w:hAnsi="Times New Roman" w:cs="Times New Roman"/>
                <w:sz w:val="16"/>
                <w:szCs w:val="16"/>
              </w:rPr>
              <w:t>valorisation</w:t>
            </w:r>
            <w:proofErr w:type="spellEnd"/>
            <w:r w:rsidRPr="008339F1">
              <w:rPr>
                <w:rFonts w:ascii="Times New Roman" w:hAnsi="Times New Roman" w:cs="Times New Roman"/>
                <w:sz w:val="16"/>
                <w:szCs w:val="16"/>
              </w:rPr>
              <w:t xml:space="preserve"> chains; recycling plants = Responsible for sorting, treatment and quality control of recovered materials; researchers/academia = Consulted for R&amp;D, LCA, testing and innovation support.</w:t>
            </w:r>
          </w:p>
        </w:tc>
        <w:tc>
          <w:tcPr>
            <w:tcW w:w="3118" w:type="dxa"/>
          </w:tcPr>
          <w:p w14:paraId="4E50B2E0" w14:textId="68197C38" w:rsidR="00E519DB" w:rsidRPr="008339F1" w:rsidRDefault="00E519DB" w:rsidP="00E519DB">
            <w:pPr>
              <w:jc w:val="center"/>
              <w:rPr>
                <w:rFonts w:ascii="Times New Roman" w:hAnsi="Times New Roman" w:cs="Times New Roman"/>
                <w:sz w:val="16"/>
                <w:szCs w:val="16"/>
              </w:rPr>
            </w:pPr>
          </w:p>
        </w:tc>
        <w:tc>
          <w:tcPr>
            <w:tcW w:w="2127" w:type="dxa"/>
          </w:tcPr>
          <w:p w14:paraId="70B5576E" w14:textId="77777777" w:rsidR="00E519DB" w:rsidRPr="008339F1" w:rsidRDefault="00E519DB" w:rsidP="00E519DB">
            <w:pPr>
              <w:jc w:val="center"/>
              <w:rPr>
                <w:rFonts w:ascii="Times New Roman" w:hAnsi="Times New Roman" w:cs="Times New Roman"/>
                <w:sz w:val="16"/>
                <w:szCs w:val="16"/>
              </w:rPr>
            </w:pPr>
          </w:p>
        </w:tc>
        <w:tc>
          <w:tcPr>
            <w:tcW w:w="2268" w:type="dxa"/>
          </w:tcPr>
          <w:p w14:paraId="08EB0FAC" w14:textId="1DD6EB42" w:rsidR="00E519DB" w:rsidRPr="008339F1" w:rsidRDefault="00E519DB" w:rsidP="00E519DB">
            <w:pPr>
              <w:jc w:val="center"/>
              <w:rPr>
                <w:rFonts w:ascii="Times New Roman" w:hAnsi="Times New Roman" w:cs="Times New Roman"/>
                <w:sz w:val="16"/>
                <w:szCs w:val="16"/>
              </w:rPr>
            </w:pPr>
          </w:p>
        </w:tc>
      </w:tr>
      <w:tr w:rsidR="008339F1" w:rsidRPr="008339F1" w14:paraId="426DA7FD" w14:textId="77777777" w:rsidTr="002B37B8">
        <w:trPr>
          <w:trHeight w:val="4058"/>
        </w:trPr>
        <w:tc>
          <w:tcPr>
            <w:tcW w:w="503" w:type="dxa"/>
          </w:tcPr>
          <w:p w14:paraId="6BC03425" w14:textId="6D06CAEE" w:rsidR="00E519DB" w:rsidRPr="008339F1" w:rsidRDefault="008F3ED4"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19</w:t>
            </w:r>
          </w:p>
        </w:tc>
        <w:tc>
          <w:tcPr>
            <w:tcW w:w="915" w:type="dxa"/>
          </w:tcPr>
          <w:p w14:paraId="479D6EAB"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fldData xml:space="preserve">PEVuZE5vdGU+PENpdGUgQXV0aG9yWWVhcj0iMSI+PEF1dGhvcj5BbC1GYWVzbHk8L0F1dGhvcj48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</w:fldData>
              </w:fldChar>
            </w:r>
            <w:r w:rsidRPr="008339F1">
              <w:rPr>
                <w:rFonts w:ascii="Times New Roman" w:hAnsi="Times New Roman" w:cs="Times New Roman"/>
                <w:sz w:val="16"/>
                <w:szCs w:val="16"/>
              </w:rPr>
              <w:instrText xml:space="preserve"> ADDIN EN.CITE </w:instrText>
            </w:r>
            <w:r w:rsidRPr="008339F1">
              <w:rPr>
                <w:rFonts w:ascii="Times New Roman" w:hAnsi="Times New Roman" w:cs="Times New Roman"/>
                <w:sz w:val="16"/>
                <w:szCs w:val="16"/>
              </w:rPr>
              <w:fldChar w:fldCharType="begin">
                <w:fldData xml:space="preserve">PEVuZE5vdGU+PENpdGUgQXV0aG9yWWVhcj0iMSI+PEF1dGhvcj5BbC1GYWVzbHk8L0F1dGhvcj48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</w:fldData>
              </w:fldChar>
            </w:r>
            <w:r w:rsidRPr="008339F1">
              <w:rPr>
                <w:rFonts w:ascii="Times New Roman" w:hAnsi="Times New Roman" w:cs="Times New Roman"/>
                <w:sz w:val="16"/>
                <w:szCs w:val="16"/>
              </w:rPr>
              <w:instrText xml:space="preserve"> ADDIN EN.CITE.DATA </w:instrText>
            </w:r>
            <w:r w:rsidRPr="008339F1">
              <w:rPr>
                <w:rFonts w:ascii="Times New Roman" w:hAnsi="Times New Roman" w:cs="Times New Roman"/>
                <w:sz w:val="16"/>
                <w:szCs w:val="16"/>
              </w:rPr>
            </w:r>
            <w:r w:rsidRPr="008339F1">
              <w:rPr>
                <w:rFonts w:ascii="Times New Roman" w:hAnsi="Times New Roman" w:cs="Times New Roman"/>
                <w:sz w:val="16"/>
                <w:szCs w:val="16"/>
              </w:rPr>
              <w:fldChar w:fldCharType="end"/>
            </w:r>
            <w:r w:rsidRPr="008339F1">
              <w:rPr>
                <w:rFonts w:ascii="Times New Roman" w:hAnsi="Times New Roman" w:cs="Times New Roman"/>
                <w:sz w:val="16"/>
                <w:szCs w:val="16"/>
              </w:rPr>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Al-Faesly and Noël (2023)</w:t>
            </w:r>
            <w:r w:rsidRPr="008339F1">
              <w:rPr>
                <w:rFonts w:ascii="Times New Roman" w:hAnsi="Times New Roman" w:cs="Times New Roman"/>
                <w:sz w:val="16"/>
                <w:szCs w:val="16"/>
              </w:rPr>
              <w:fldChar w:fldCharType="end"/>
            </w:r>
          </w:p>
        </w:tc>
        <w:tc>
          <w:tcPr>
            <w:tcW w:w="992" w:type="dxa"/>
          </w:tcPr>
          <w:p w14:paraId="7DAB8071" w14:textId="77777777" w:rsidR="00E519DB" w:rsidRPr="008339F1" w:rsidRDefault="00E519DB" w:rsidP="00E519DB">
            <w:pPr>
              <w:jc w:val="both"/>
              <w:rPr>
                <w:rFonts w:ascii="Times New Roman" w:hAnsi="Times New Roman" w:cs="Times New Roman"/>
                <w:sz w:val="16"/>
                <w:szCs w:val="16"/>
              </w:rPr>
            </w:pPr>
            <w:bookmarkStart w:id="22" w:name="OLE_LINK233"/>
            <w:r w:rsidRPr="008339F1">
              <w:rPr>
                <w:rFonts w:ascii="Times New Roman" w:hAnsi="Times New Roman" w:cs="Times New Roman"/>
                <w:sz w:val="16"/>
                <w:szCs w:val="16"/>
              </w:rPr>
              <w:t>Canada</w:t>
            </w:r>
            <w:bookmarkEnd w:id="22"/>
          </w:p>
        </w:tc>
        <w:tc>
          <w:tcPr>
            <w:tcW w:w="1559" w:type="dxa"/>
          </w:tcPr>
          <w:p w14:paraId="376B6597" w14:textId="77777777"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Investigate the feasibility of concrete reuse.</w:t>
            </w:r>
          </w:p>
        </w:tc>
        <w:tc>
          <w:tcPr>
            <w:tcW w:w="1271" w:type="dxa"/>
          </w:tcPr>
          <w:p w14:paraId="0D5D5700" w14:textId="6790B500"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End-of-life; concrete reclamation; reuse; recycling/downcycling; design for disassembly; material supply; construction implementation</w:t>
            </w:r>
          </w:p>
        </w:tc>
        <w:tc>
          <w:tcPr>
            <w:tcW w:w="1990" w:type="dxa"/>
          </w:tcPr>
          <w:p w14:paraId="6DC2222A" w14:textId="1B3F1F0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Questionnaire survey</w:t>
            </w:r>
          </w:p>
        </w:tc>
        <w:tc>
          <w:tcPr>
            <w:tcW w:w="1843" w:type="dxa"/>
          </w:tcPr>
          <w:p w14:paraId="5F5B47C1" w14:textId="417DA4D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Concrete professionals (engineers, consultants, quality control personnel); concrete structure owners; concrete suppliers (ready mix or precast); concrete contractors/builders/demolishers; clients; site administrators</w:t>
            </w:r>
          </w:p>
        </w:tc>
        <w:tc>
          <w:tcPr>
            <w:tcW w:w="2126" w:type="dxa"/>
          </w:tcPr>
          <w:p w14:paraId="34C2BBAD" w14:textId="1ED1ED76" w:rsidR="00E519DB" w:rsidRPr="008339F1" w:rsidRDefault="00EA130E" w:rsidP="00E519DB">
            <w:pPr>
              <w:rPr>
                <w:rFonts w:ascii="Times New Roman" w:hAnsi="Times New Roman" w:cs="Times New Roman"/>
                <w:sz w:val="16"/>
                <w:szCs w:val="16"/>
              </w:rPr>
            </w:pPr>
            <w:r w:rsidRPr="008339F1">
              <w:rPr>
                <w:rFonts w:ascii="Times New Roman" w:hAnsi="Times New Roman" w:cs="Times New Roman"/>
                <w:sz w:val="16"/>
                <w:szCs w:val="16"/>
              </w:rPr>
              <w:t>Stakeholders play differentiated roles, with engineers acting as technical gatekeepers, owners as risk controllers, suppliers as market enablers, and contractors as implementation agents.</w:t>
            </w:r>
          </w:p>
        </w:tc>
        <w:tc>
          <w:tcPr>
            <w:tcW w:w="2835" w:type="dxa"/>
          </w:tcPr>
          <w:p w14:paraId="75A9805B" w14:textId="088C54B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Concrete professionals</w:t>
            </w:r>
            <w:r w:rsidR="00656D46" w:rsidRPr="008339F1">
              <w:rPr>
                <w:rFonts w:ascii="Times New Roman" w:hAnsi="Times New Roman" w:cs="Times New Roman"/>
                <w:sz w:val="16"/>
                <w:szCs w:val="16"/>
              </w:rPr>
              <w:t xml:space="preserve">= </w:t>
            </w:r>
            <w:r w:rsidRPr="008339F1">
              <w:rPr>
                <w:rFonts w:ascii="Times New Roman" w:hAnsi="Times New Roman" w:cs="Times New Roman"/>
                <w:sz w:val="16"/>
                <w:szCs w:val="16"/>
              </w:rPr>
              <w:t xml:space="preserve">Responsible for technical assessment, approval and quality verification where reused concrete is evaluated for project </w:t>
            </w:r>
            <w:proofErr w:type="gramStart"/>
            <w:r w:rsidRPr="008339F1">
              <w:rPr>
                <w:rFonts w:ascii="Times New Roman" w:hAnsi="Times New Roman" w:cs="Times New Roman"/>
                <w:sz w:val="16"/>
                <w:szCs w:val="16"/>
              </w:rPr>
              <w:t>use,</w:t>
            </w:r>
            <w:r w:rsidR="005B0487" w:rsidRPr="008339F1">
              <w:rPr>
                <w:rFonts w:ascii="Times New Roman" w:hAnsi="Times New Roman" w:cs="Times New Roman"/>
                <w:sz w:val="16"/>
                <w:szCs w:val="16"/>
              </w:rPr>
              <w:t>;</w:t>
            </w:r>
            <w:proofErr w:type="gramEnd"/>
            <w:r w:rsidR="005B0487" w:rsidRPr="008339F1">
              <w:rPr>
                <w:rFonts w:ascii="Times New Roman" w:hAnsi="Times New Roman" w:cs="Times New Roman"/>
                <w:sz w:val="16"/>
                <w:szCs w:val="16"/>
              </w:rPr>
              <w:t xml:space="preserve"> C</w:t>
            </w:r>
            <w:r w:rsidRPr="008339F1">
              <w:rPr>
                <w:rFonts w:ascii="Times New Roman" w:hAnsi="Times New Roman" w:cs="Times New Roman"/>
                <w:sz w:val="16"/>
                <w:szCs w:val="16"/>
              </w:rPr>
              <w:t xml:space="preserve">onsultants </w:t>
            </w:r>
            <w:r w:rsidR="005B0487" w:rsidRPr="008339F1">
              <w:rPr>
                <w:rFonts w:ascii="Times New Roman" w:hAnsi="Times New Roman" w:cs="Times New Roman"/>
                <w:sz w:val="16"/>
                <w:szCs w:val="16"/>
              </w:rPr>
              <w:t xml:space="preserve">= </w:t>
            </w:r>
            <w:r w:rsidRPr="008339F1">
              <w:rPr>
                <w:rFonts w:ascii="Times New Roman" w:hAnsi="Times New Roman" w:cs="Times New Roman"/>
                <w:sz w:val="16"/>
                <w:szCs w:val="16"/>
              </w:rPr>
              <w:t>Consulted for technical guidance and feasibility advice</w:t>
            </w:r>
            <w:r w:rsidR="005B0487" w:rsidRPr="008339F1">
              <w:rPr>
                <w:rFonts w:ascii="Times New Roman" w:hAnsi="Times New Roman" w:cs="Times New Roman"/>
                <w:sz w:val="16"/>
                <w:szCs w:val="16"/>
              </w:rPr>
              <w:t xml:space="preserve">; </w:t>
            </w:r>
            <w:r w:rsidRPr="008339F1">
              <w:rPr>
                <w:rFonts w:ascii="Times New Roman" w:hAnsi="Times New Roman" w:cs="Times New Roman"/>
                <w:sz w:val="16"/>
                <w:szCs w:val="16"/>
              </w:rPr>
              <w:t xml:space="preserve">Structure owners/clients </w:t>
            </w:r>
            <w:r w:rsidR="005B0487" w:rsidRPr="008339F1">
              <w:rPr>
                <w:rFonts w:ascii="Times New Roman" w:hAnsi="Times New Roman" w:cs="Times New Roman"/>
                <w:sz w:val="16"/>
                <w:szCs w:val="16"/>
              </w:rPr>
              <w:t xml:space="preserve">= </w:t>
            </w:r>
            <w:r w:rsidRPr="008339F1">
              <w:rPr>
                <w:rFonts w:ascii="Times New Roman" w:hAnsi="Times New Roman" w:cs="Times New Roman"/>
                <w:sz w:val="16"/>
                <w:szCs w:val="16"/>
              </w:rPr>
              <w:t xml:space="preserve">Accountable for accepting reused concrete in projects. Suppliers </w:t>
            </w:r>
            <w:r w:rsidR="005B0487" w:rsidRPr="008339F1">
              <w:rPr>
                <w:rFonts w:ascii="Times New Roman" w:hAnsi="Times New Roman" w:cs="Times New Roman"/>
                <w:sz w:val="16"/>
                <w:szCs w:val="16"/>
              </w:rPr>
              <w:t xml:space="preserve">= </w:t>
            </w:r>
            <w:r w:rsidRPr="008339F1">
              <w:rPr>
                <w:rFonts w:ascii="Times New Roman" w:hAnsi="Times New Roman" w:cs="Times New Roman"/>
                <w:sz w:val="16"/>
                <w:szCs w:val="16"/>
              </w:rPr>
              <w:t xml:space="preserve">Responsible for supplying reused/reclaimed concrete products where market demand and accessible inventory exist, and consulted regarding availability, quality and cost. Contractors/demolishers were coded as Responsible for dismantling, recovery and practical site implementation, and </w:t>
            </w:r>
            <w:proofErr w:type="gramStart"/>
            <w:r w:rsidRPr="008339F1">
              <w:rPr>
                <w:rFonts w:ascii="Times New Roman" w:hAnsi="Times New Roman" w:cs="Times New Roman"/>
                <w:sz w:val="16"/>
                <w:szCs w:val="16"/>
              </w:rPr>
              <w:t>Consulted</w:t>
            </w:r>
            <w:proofErr w:type="gramEnd"/>
            <w:r w:rsidRPr="008339F1">
              <w:rPr>
                <w:rFonts w:ascii="Times New Roman" w:hAnsi="Times New Roman" w:cs="Times New Roman"/>
                <w:sz w:val="16"/>
                <w:szCs w:val="16"/>
              </w:rPr>
              <w:t xml:space="preserve"> on constructability, cost and logistical feasibility</w:t>
            </w:r>
          </w:p>
        </w:tc>
        <w:tc>
          <w:tcPr>
            <w:tcW w:w="3118" w:type="dxa"/>
          </w:tcPr>
          <w:p w14:paraId="4BDC997E" w14:textId="1892D4C0" w:rsidR="00E519DB" w:rsidRPr="008339F1" w:rsidRDefault="00E519DB" w:rsidP="00E519DB">
            <w:pPr>
              <w:jc w:val="center"/>
              <w:rPr>
                <w:rFonts w:ascii="Times New Roman" w:hAnsi="Times New Roman" w:cs="Times New Roman"/>
                <w:sz w:val="16"/>
                <w:szCs w:val="16"/>
              </w:rPr>
            </w:pPr>
          </w:p>
        </w:tc>
        <w:tc>
          <w:tcPr>
            <w:tcW w:w="2127" w:type="dxa"/>
          </w:tcPr>
          <w:p w14:paraId="7B09B0E2" w14:textId="77777777" w:rsidR="00E519DB" w:rsidRPr="008339F1" w:rsidRDefault="00E519DB" w:rsidP="00E519DB">
            <w:pPr>
              <w:jc w:val="center"/>
              <w:rPr>
                <w:rFonts w:ascii="Times New Roman" w:hAnsi="Times New Roman" w:cs="Times New Roman"/>
                <w:sz w:val="16"/>
                <w:szCs w:val="16"/>
              </w:rPr>
            </w:pPr>
          </w:p>
        </w:tc>
        <w:tc>
          <w:tcPr>
            <w:tcW w:w="2268" w:type="dxa"/>
          </w:tcPr>
          <w:p w14:paraId="68F96391" w14:textId="63A2297D" w:rsidR="00E519DB" w:rsidRPr="008339F1" w:rsidRDefault="00E519DB" w:rsidP="00E519DB">
            <w:pPr>
              <w:jc w:val="center"/>
              <w:rPr>
                <w:rFonts w:ascii="Times New Roman" w:hAnsi="Times New Roman" w:cs="Times New Roman"/>
                <w:sz w:val="16"/>
                <w:szCs w:val="16"/>
              </w:rPr>
            </w:pPr>
          </w:p>
        </w:tc>
      </w:tr>
      <w:tr w:rsidR="008339F1" w:rsidRPr="008339F1" w14:paraId="496FFD9D" w14:textId="77777777" w:rsidTr="002B37B8">
        <w:trPr>
          <w:trHeight w:val="2088"/>
        </w:trPr>
        <w:tc>
          <w:tcPr>
            <w:tcW w:w="503" w:type="dxa"/>
          </w:tcPr>
          <w:p w14:paraId="03D2677C" w14:textId="05B807D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2</w:t>
            </w:r>
            <w:r w:rsidR="008F3ED4" w:rsidRPr="008339F1">
              <w:rPr>
                <w:rFonts w:ascii="Times New Roman" w:hAnsi="Times New Roman" w:cs="Times New Roman"/>
                <w:sz w:val="16"/>
                <w:szCs w:val="16"/>
              </w:rPr>
              <w:t>0</w:t>
            </w:r>
          </w:p>
        </w:tc>
        <w:tc>
          <w:tcPr>
            <w:tcW w:w="915" w:type="dxa"/>
          </w:tcPr>
          <w:p w14:paraId="39D8B9F8"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AuthorYear="1"&gt;&lt;Author&gt;Riuttala&lt;/Author&gt;&lt;Year&gt;2024&lt;/Year&gt;&lt;RecNum&gt;1817&lt;/RecNum&gt;&lt;DisplayText&gt;Riuttala et al. (2024)&lt;/DisplayText&gt;&lt;record&gt;&lt;rec-number&gt;1817&lt;/rec-number&gt;&lt;foreign-keys&gt;&lt;key app="EN" db-id="z959xtv5kdxdt0eawtt5ssvc90eradx50fpz" timestamp="1747839211"&gt;1817&lt;/key&gt;&lt;/foreign-keys&gt;&lt;ref-type name="Journal Article"&gt;17&lt;/ref-type&gt;&lt;contributors&gt;&lt;authors&gt;&lt;author&gt;Riuttala, Mari&lt;/author&gt;&lt;author&gt;Harala, Linnea&lt;/author&gt;&lt;author&gt;Aarikka-Stenroos, Leena&lt;/author&gt;&lt;author&gt;Huuhka, Satu&lt;/author&gt;&lt;/authors&gt;&lt;/contributors&gt;&lt;titles&gt;&lt;title&gt;How building component reuse creates economic value – Identifying value capture determinants from a case study&lt;/title&gt;&lt;secondary-title&gt;Journal of Cleaner Production&lt;/secondary-title&gt;&lt;/titles&gt;&lt;periodical&gt;&lt;full-title&gt;Journal of Cleaner Production&lt;/full-title&gt;&lt;abbr-1&gt;J. Clean. Prod.&lt;/abbr-1&gt;&lt;/periodical&gt;&lt;pages&gt;141112&lt;/pages&gt;&lt;volume&gt;443&lt;/volume&gt;&lt;keywords&gt;&lt;keyword&gt;Circular economy&lt;/keyword&gt;&lt;keyword&gt;Circular construction&lt;/keyword&gt;&lt;keyword&gt;Precast concrete&lt;/keyword&gt;&lt;keyword&gt;Building component reuse&lt;/keyword&gt;&lt;keyword&gt;Value creation and capture&lt;/keyword&gt;&lt;keyword&gt;Qualitative case study&lt;/keyword&gt;&lt;/keywords&gt;&lt;dates&gt;&lt;year&gt;2024&lt;/year&gt;&lt;pub-dates&gt;&lt;date&gt;2024/03/01/&lt;/date&gt;&lt;/pub-dates&gt;&lt;/dates&gt;&lt;isbn&gt;0959-6526&lt;/isbn&gt;&lt;urls&gt;&lt;related-urls&gt;&lt;url&gt;https://www.sciencedirect.com/science/article/pii/S0959652624005596&lt;/url&gt;&lt;/related-urls&gt;&lt;/urls&gt;&lt;electronic-resource-num&gt;https://doi.org/10.1016/j.jclepro.2024.141112&lt;/electronic-resource-num&gt;&lt;/record&gt;&lt;/Cite&gt;&lt;/EndNote&gt;</w:instrText>
            </w:r>
            <w:r w:rsidRPr="008339F1">
              <w:rPr>
                <w:rFonts w:ascii="Times New Roman" w:hAnsi="Times New Roman" w:cs="Times New Roman"/>
                <w:sz w:val="16"/>
                <w:szCs w:val="16"/>
              </w:rPr>
              <w:fldChar w:fldCharType="separate"/>
            </w:r>
            <w:bookmarkStart w:id="23" w:name="OLE_LINK197"/>
            <w:r w:rsidRPr="008339F1">
              <w:rPr>
                <w:rFonts w:ascii="Times New Roman" w:hAnsi="Times New Roman" w:cs="Times New Roman"/>
                <w:noProof/>
                <w:sz w:val="16"/>
                <w:szCs w:val="16"/>
              </w:rPr>
              <w:t>Riuttala</w:t>
            </w:r>
            <w:bookmarkEnd w:id="23"/>
            <w:r w:rsidRPr="008339F1">
              <w:rPr>
                <w:rFonts w:ascii="Times New Roman" w:hAnsi="Times New Roman" w:cs="Times New Roman"/>
                <w:noProof/>
                <w:sz w:val="16"/>
                <w:szCs w:val="16"/>
              </w:rPr>
              <w:t xml:space="preserve"> et al. (2024)</w:t>
            </w:r>
            <w:r w:rsidRPr="008339F1">
              <w:rPr>
                <w:rFonts w:ascii="Times New Roman" w:hAnsi="Times New Roman" w:cs="Times New Roman"/>
                <w:sz w:val="16"/>
                <w:szCs w:val="16"/>
              </w:rPr>
              <w:fldChar w:fldCharType="end"/>
            </w:r>
          </w:p>
        </w:tc>
        <w:tc>
          <w:tcPr>
            <w:tcW w:w="992" w:type="dxa"/>
          </w:tcPr>
          <w:p w14:paraId="4A63223B" w14:textId="77777777" w:rsidR="00E519DB" w:rsidRPr="008339F1" w:rsidRDefault="00E519DB" w:rsidP="00E519DB">
            <w:pPr>
              <w:jc w:val="both"/>
              <w:rPr>
                <w:rFonts w:ascii="Times New Roman" w:hAnsi="Times New Roman" w:cs="Times New Roman"/>
                <w:sz w:val="16"/>
                <w:szCs w:val="16"/>
              </w:rPr>
            </w:pPr>
            <w:bookmarkStart w:id="24" w:name="OLE_LINK234"/>
            <w:r w:rsidRPr="008339F1">
              <w:rPr>
                <w:rFonts w:ascii="Times New Roman" w:hAnsi="Times New Roman" w:cs="Times New Roman"/>
                <w:sz w:val="16"/>
                <w:szCs w:val="16"/>
              </w:rPr>
              <w:t>Finland</w:t>
            </w:r>
            <w:bookmarkEnd w:id="24"/>
          </w:p>
        </w:tc>
        <w:tc>
          <w:tcPr>
            <w:tcW w:w="1559" w:type="dxa"/>
          </w:tcPr>
          <w:p w14:paraId="582501AE"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Explores how reusing building components, especially precast concrete elements, can generate economic value within circular construction. </w:t>
            </w:r>
          </w:p>
        </w:tc>
        <w:tc>
          <w:tcPr>
            <w:tcW w:w="1271" w:type="dxa"/>
          </w:tcPr>
          <w:p w14:paraId="6415E5CE" w14:textId="70480017" w:rsidR="00E519DB" w:rsidRPr="008339F1" w:rsidRDefault="004565F9" w:rsidP="00E519DB">
            <w:pPr>
              <w:rPr>
                <w:rFonts w:ascii="Times New Roman" w:hAnsi="Times New Roman" w:cs="Times New Roman"/>
                <w:sz w:val="16"/>
                <w:szCs w:val="16"/>
              </w:rPr>
            </w:pPr>
            <w:r>
              <w:rPr>
                <w:rFonts w:ascii="Times New Roman" w:hAnsi="Times New Roman" w:cs="Times New Roman"/>
                <w:sz w:val="16"/>
                <w:szCs w:val="16"/>
              </w:rPr>
              <w:t>End-of life</w:t>
            </w:r>
          </w:p>
        </w:tc>
        <w:tc>
          <w:tcPr>
            <w:tcW w:w="1990" w:type="dxa"/>
          </w:tcPr>
          <w:p w14:paraId="6CE9B284" w14:textId="27BD9F91"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Qualitative multiple-case study; Semi-structured interviews</w:t>
            </w:r>
          </w:p>
        </w:tc>
        <w:tc>
          <w:tcPr>
            <w:tcW w:w="1843" w:type="dxa"/>
          </w:tcPr>
          <w:p w14:paraId="1EBE5EA8" w14:textId="74EAC08C"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Designers, contractors, manufacturers, demolition firms, and policymakers, cities and municipalities.</w:t>
            </w:r>
          </w:p>
        </w:tc>
        <w:tc>
          <w:tcPr>
            <w:tcW w:w="2126" w:type="dxa"/>
          </w:tcPr>
          <w:p w14:paraId="754F30A5" w14:textId="260CBE09"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The study reports that in Case 1 the housing company/client owned the donor buildings and selected downsizing/reuse after comparing demolition and deconstruction. Architects developed the reuse-oriented solution, and the contractor managed project planning and execution. In Case 2, the construction company owned the donor building and oversaw the BCR process; the architectural designer investigated reuse opportunities in new designs; the structural designer assessed element condition and safe deconstruction sequencing; the demolition </w:t>
            </w:r>
            <w:r w:rsidRPr="008339F1">
              <w:rPr>
                <w:rFonts w:ascii="Times New Roman" w:hAnsi="Times New Roman" w:cs="Times New Roman"/>
                <w:sz w:val="16"/>
                <w:szCs w:val="16"/>
              </w:rPr>
              <w:lastRenderedPageBreak/>
              <w:t>company planned and executed deconstruction; and the concrete element manufacturer developed reprocessing and certification processes with university researchers.</w:t>
            </w:r>
          </w:p>
        </w:tc>
        <w:tc>
          <w:tcPr>
            <w:tcW w:w="2835" w:type="dxa"/>
          </w:tcPr>
          <w:p w14:paraId="31560C5F" w14:textId="6D2B16F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lastRenderedPageBreak/>
              <w:t xml:space="preserve">Client/building owner = Accountable for project-level reuse decision, ownership of donor building and economic feasibility; construction company/project manager = Responsible for coordinating BCR process, project planning and execution; architects/architectural designers = Responsible for reuse-oriented design and Consulted for creative reuse options; structural designer = Responsible for structural assessment, safe deconstruction sequencing and receiver-building structural design; demolition company = Responsible for deconstruction planning and element salvage; concrete element manufacturer = Responsible for refurbishment/reprocessing and certification process development; university/researchers = </w:t>
            </w:r>
            <w:proofErr w:type="spellStart"/>
            <w:r w:rsidRPr="008339F1">
              <w:rPr>
                <w:rFonts w:ascii="Times New Roman" w:hAnsi="Times New Roman" w:cs="Times New Roman"/>
                <w:sz w:val="16"/>
                <w:szCs w:val="16"/>
              </w:rPr>
              <w:t>Fhei</w:t>
            </w:r>
            <w:proofErr w:type="spellEnd"/>
            <w:r w:rsidRPr="008339F1">
              <w:rPr>
                <w:rFonts w:ascii="Times New Roman" w:hAnsi="Times New Roman" w:cs="Times New Roman"/>
                <w:sz w:val="16"/>
                <w:szCs w:val="16"/>
              </w:rPr>
              <w:t xml:space="preserve"> </w:t>
            </w:r>
            <w:r w:rsidRPr="008339F1">
              <w:rPr>
                <w:rFonts w:ascii="Times New Roman" w:hAnsi="Times New Roman" w:cs="Times New Roman"/>
                <w:sz w:val="16"/>
                <w:szCs w:val="16"/>
              </w:rPr>
              <w:lastRenderedPageBreak/>
              <w:t>knowledge; city/regulators = Consulted/Accountable where reuse requires permission or regulatory acceptance.</w:t>
            </w:r>
          </w:p>
        </w:tc>
        <w:tc>
          <w:tcPr>
            <w:tcW w:w="3118" w:type="dxa"/>
          </w:tcPr>
          <w:p w14:paraId="084222D5" w14:textId="2DFBC6BC" w:rsidR="00E519DB" w:rsidRPr="008339F1" w:rsidRDefault="00E519DB" w:rsidP="00E519DB">
            <w:pPr>
              <w:jc w:val="center"/>
              <w:rPr>
                <w:rFonts w:ascii="Times New Roman" w:hAnsi="Times New Roman" w:cs="Times New Roman"/>
                <w:sz w:val="16"/>
                <w:szCs w:val="16"/>
              </w:rPr>
            </w:pPr>
          </w:p>
        </w:tc>
        <w:tc>
          <w:tcPr>
            <w:tcW w:w="2127" w:type="dxa"/>
          </w:tcPr>
          <w:p w14:paraId="743521E1" w14:textId="77777777" w:rsidR="00E519DB" w:rsidRPr="008339F1" w:rsidRDefault="00E519DB" w:rsidP="00E519DB">
            <w:pPr>
              <w:jc w:val="center"/>
              <w:rPr>
                <w:rFonts w:ascii="Times New Roman" w:hAnsi="Times New Roman" w:cs="Times New Roman"/>
                <w:sz w:val="16"/>
                <w:szCs w:val="16"/>
              </w:rPr>
            </w:pPr>
          </w:p>
        </w:tc>
        <w:tc>
          <w:tcPr>
            <w:tcW w:w="2268" w:type="dxa"/>
          </w:tcPr>
          <w:p w14:paraId="6C3F0A03" w14:textId="1FC02C9F" w:rsidR="00E519DB" w:rsidRPr="008339F1" w:rsidRDefault="00E519DB" w:rsidP="00E519DB">
            <w:pPr>
              <w:jc w:val="center"/>
              <w:rPr>
                <w:rFonts w:ascii="Times New Roman" w:hAnsi="Times New Roman" w:cs="Times New Roman"/>
                <w:sz w:val="16"/>
                <w:szCs w:val="16"/>
              </w:rPr>
            </w:pPr>
          </w:p>
        </w:tc>
      </w:tr>
      <w:tr w:rsidR="008339F1" w:rsidRPr="008339F1" w14:paraId="496904D9" w14:textId="77777777" w:rsidTr="002B37B8">
        <w:trPr>
          <w:trHeight w:val="5572"/>
        </w:trPr>
        <w:tc>
          <w:tcPr>
            <w:tcW w:w="503" w:type="dxa"/>
          </w:tcPr>
          <w:p w14:paraId="686158DC" w14:textId="3924621F"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2</w:t>
            </w:r>
            <w:r w:rsidR="008F3ED4" w:rsidRPr="008339F1">
              <w:rPr>
                <w:rFonts w:ascii="Times New Roman" w:hAnsi="Times New Roman" w:cs="Times New Roman"/>
                <w:sz w:val="16"/>
                <w:szCs w:val="16"/>
              </w:rPr>
              <w:t>1</w:t>
            </w:r>
          </w:p>
        </w:tc>
        <w:tc>
          <w:tcPr>
            <w:tcW w:w="915" w:type="dxa"/>
          </w:tcPr>
          <w:p w14:paraId="799ACE2E" w14:textId="665E52AC"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AuthorYear="1"&gt;&lt;Author&gt;Tam&lt;/Author&gt;&lt;Year&gt;2009&lt;/Year&gt;&lt;RecNum&gt;1296&lt;/RecNum&gt;&lt;DisplayText&gt;Tam (2009)&lt;/DisplayText&gt;&lt;record&gt;&lt;rec-number&gt;1296&lt;/rec-number&gt;&lt;foreign-keys&gt;&lt;key app="EN" db-id="52rwd92asss9zrett925swxewtr59dp2v0wp" timestamp="1739688261"&gt;1296&lt;/key&gt;&lt;/foreign-keys&gt;&lt;ref-type name="Journal Article"&gt;17&lt;/ref-type&gt;&lt;contributors&gt;&lt;authors&gt;&lt;author&gt;Tam, V. W. Y.&lt;/author&gt;&lt;/authors&gt;&lt;/contributors&gt;&lt;auth-address&gt;School of Engineering, University of Western Sydney, Penrith South DC, NSW 1797, Locked Bag 1797, Australia&lt;/auth-address&gt;&lt;titles&gt;&lt;title&gt;Comparing the implementation of concrete recycling in the Australian and Japanese construction industries&lt;/title&gt;&lt;secondary-title&gt;Journal of Cleaner Production&lt;/secondary-title&gt;&lt;alt-title&gt;J. Clean. Prod.&lt;/alt-title&gt;&lt;/titles&gt;&lt;pages&gt;688-702&lt;/pages&gt;&lt;volume&gt;17&lt;/volume&gt;&lt;number&gt;7&lt;/number&gt;&lt;keywords&gt;&lt;keyword&gt;Australia&lt;/keyword&gt;&lt;keyword&gt;Benefit&lt;/keyword&gt;&lt;keyword&gt;Concrete recycling&lt;/keyword&gt;&lt;keyword&gt;Construction&lt;/keyword&gt;&lt;keyword&gt;Difficulties&lt;/keyword&gt;&lt;keyword&gt;Japan&lt;/keyword&gt;&lt;keyword&gt;Recommendation&lt;/keyword&gt;&lt;keyword&gt;Construction industry&lt;/keyword&gt;&lt;keyword&gt;Demolition&lt;/keyword&gt;&lt;keyword&gt;Recycling&lt;/keyword&gt;&lt;keyword&gt;Standardization&lt;/keyword&gt;&lt;keyword&gt;Surveys&lt;/keyword&gt;&lt;keyword&gt;Waste management&lt;/keyword&gt;&lt;keyword&gt;Wireless telecommunication systems&lt;/keyword&gt;&lt;keyword&gt;Concretes&lt;/keyword&gt;&lt;/keywords&gt;&lt;dates&gt;&lt;year&gt;2009&lt;/year&gt;&lt;/dates&gt;&lt;isbn&gt;09596526 (ISSN)&lt;/isbn&gt;&lt;work-type&gt;Article&lt;/work-type&gt;&lt;urls&gt;&lt;related-urls&gt;&lt;url&gt;https://www.scopus.com/inward/record.uri?eid=2-s2.0-60849116122&amp;amp;doi=10.1016%2fj.jclepro.2008.11.015&amp;amp;partnerID=40&amp;amp;md5=aeed8a301cfbb5b0eda07782a8f70d20&lt;/url&gt;&lt;/related-urls&gt;&lt;/urls&gt;&lt;electronic-resource-num&gt;10.1016/j.jclepro.2008.11.015&lt;/electronic-resource-num&gt;&lt;remote-database-name&gt;Scopus&lt;/remote-database-name&gt;&lt;language&gt;English&lt;/language&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Tam (2009)</w:t>
            </w:r>
            <w:r w:rsidRPr="008339F1">
              <w:rPr>
                <w:rFonts w:ascii="Times New Roman" w:hAnsi="Times New Roman" w:cs="Times New Roman"/>
                <w:sz w:val="16"/>
                <w:szCs w:val="16"/>
              </w:rPr>
              <w:fldChar w:fldCharType="end"/>
            </w:r>
          </w:p>
        </w:tc>
        <w:tc>
          <w:tcPr>
            <w:tcW w:w="992" w:type="dxa"/>
          </w:tcPr>
          <w:p w14:paraId="42E4A7E2" w14:textId="2333EA16"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Australia and Japan</w:t>
            </w:r>
          </w:p>
        </w:tc>
        <w:tc>
          <w:tcPr>
            <w:tcW w:w="1559" w:type="dxa"/>
          </w:tcPr>
          <w:p w14:paraId="5909559A" w14:textId="77777777"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Investigate the implementation of concrete recycling in Australia and Japan.</w:t>
            </w:r>
          </w:p>
          <w:p w14:paraId="5625E03E" w14:textId="77777777" w:rsidR="00E519DB" w:rsidRPr="008339F1" w:rsidRDefault="00E519DB" w:rsidP="00E519DB">
            <w:pPr>
              <w:rPr>
                <w:rFonts w:ascii="Times New Roman" w:hAnsi="Times New Roman" w:cs="Times New Roman"/>
                <w:sz w:val="16"/>
                <w:szCs w:val="16"/>
              </w:rPr>
            </w:pPr>
          </w:p>
        </w:tc>
        <w:tc>
          <w:tcPr>
            <w:tcW w:w="1271" w:type="dxa"/>
          </w:tcPr>
          <w:p w14:paraId="381BA0FE" w14:textId="2A6E7DA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Demolition; concrete waste sorting; recycling; recycled aggregate production; new concrete/material use</w:t>
            </w:r>
          </w:p>
        </w:tc>
        <w:tc>
          <w:tcPr>
            <w:tcW w:w="1990" w:type="dxa"/>
          </w:tcPr>
          <w:p w14:paraId="7D5C48C9" w14:textId="11765931"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Questionnaire survey of 134 respondents; structured interviews with eight respondents</w:t>
            </w:r>
          </w:p>
        </w:tc>
        <w:tc>
          <w:tcPr>
            <w:tcW w:w="1843" w:type="dxa"/>
          </w:tcPr>
          <w:p w14:paraId="06188890" w14:textId="755FF58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client, contractor, recycling firm.</w:t>
            </w:r>
          </w:p>
        </w:tc>
        <w:tc>
          <w:tcPr>
            <w:tcW w:w="2126" w:type="dxa"/>
          </w:tcPr>
          <w:p w14:paraId="4F8F0F4D" w14:textId="7E66A175"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Japan’s construction material recycling law requires clients of designated construction/demolition works to submit </w:t>
            </w:r>
            <w:r w:rsidR="004B7971">
              <w:rPr>
                <w:rFonts w:ascii="Times New Roman" w:hAnsi="Times New Roman" w:cs="Times New Roman"/>
                <w:sz w:val="16"/>
                <w:szCs w:val="16"/>
              </w:rPr>
              <w:t xml:space="preserve">a </w:t>
            </w:r>
            <w:r w:rsidRPr="008339F1">
              <w:rPr>
                <w:rFonts w:ascii="Times New Roman" w:hAnsi="Times New Roman" w:cs="Times New Roman"/>
                <w:sz w:val="16"/>
                <w:szCs w:val="16"/>
              </w:rPr>
              <w:t>notification to prefecture governments, contractors to sort and recycle specified construction materials, and prime contractors to report completion of recycling to clients.</w:t>
            </w:r>
            <w:r w:rsidR="004B7971">
              <w:rPr>
                <w:rFonts w:ascii="Times New Roman" w:hAnsi="Times New Roman" w:cs="Times New Roman"/>
                <w:sz w:val="16"/>
                <w:szCs w:val="16"/>
              </w:rPr>
              <w:t xml:space="preserve"> </w:t>
            </w:r>
            <w:r w:rsidR="00981CCC" w:rsidRPr="008339F1">
              <w:rPr>
                <w:rFonts w:ascii="Times New Roman" w:hAnsi="Times New Roman" w:cs="Times New Roman"/>
                <w:sz w:val="16"/>
                <w:szCs w:val="16"/>
              </w:rPr>
              <w:t>P</w:t>
            </w:r>
            <w:r w:rsidRPr="008339F1">
              <w:rPr>
                <w:rFonts w:ascii="Times New Roman" w:hAnsi="Times New Roman" w:cs="Times New Roman"/>
                <w:sz w:val="16"/>
                <w:szCs w:val="16"/>
              </w:rPr>
              <w:t xml:space="preserve">reparation of sorted demolition plans, agreement/notification between </w:t>
            </w:r>
            <w:r w:rsidR="004B7971">
              <w:rPr>
                <w:rFonts w:ascii="Times New Roman" w:hAnsi="Times New Roman" w:cs="Times New Roman"/>
                <w:sz w:val="16"/>
                <w:szCs w:val="16"/>
              </w:rPr>
              <w:t xml:space="preserve">the </w:t>
            </w:r>
            <w:r w:rsidRPr="008339F1">
              <w:rPr>
                <w:rFonts w:ascii="Times New Roman" w:hAnsi="Times New Roman" w:cs="Times New Roman"/>
                <w:sz w:val="16"/>
                <w:szCs w:val="16"/>
              </w:rPr>
              <w:t>main contractor and sub-contractor, and carrying out sorted demolition work. It further notes that coordination among design and construction actors is essential for reducing construction waste</w:t>
            </w:r>
            <w:r w:rsidR="00FA64E9">
              <w:rPr>
                <w:rFonts w:ascii="Times New Roman" w:hAnsi="Times New Roman" w:cs="Times New Roman"/>
                <w:sz w:val="16"/>
                <w:szCs w:val="16"/>
              </w:rPr>
              <w:t>.</w:t>
            </w:r>
          </w:p>
        </w:tc>
        <w:tc>
          <w:tcPr>
            <w:tcW w:w="2835" w:type="dxa"/>
          </w:tcPr>
          <w:p w14:paraId="5EDEDD2A" w14:textId="2D76AA68"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Clients were coded as Accountable</w:t>
            </w:r>
            <w:r w:rsidR="00C54AF0">
              <w:rPr>
                <w:rFonts w:ascii="Times New Roman" w:hAnsi="Times New Roman" w:cs="Times New Roman"/>
                <w:sz w:val="16"/>
                <w:szCs w:val="16"/>
              </w:rPr>
              <w:t>,</w:t>
            </w:r>
            <w:r w:rsidRPr="008339F1">
              <w:rPr>
                <w:rFonts w:ascii="Times New Roman" w:hAnsi="Times New Roman" w:cs="Times New Roman"/>
                <w:sz w:val="16"/>
                <w:szCs w:val="16"/>
              </w:rPr>
              <w:t xml:space="preserve"> where the Japanese system requires project notification and where project-level requirements influence recycling implementation. Main/prime contractors were coded as Accountable/Responsible for preparing sorted demolition plans, coordinating sub-contractors, implementing recycling procedures and reporting completion. Sub-contractors/demolition contractors were coded as Responsible for carrying out sorted demolition, waste separation and recycling-related site activities. Government/regulatory bodies were coded as Accountable for recycling laws, standards, classifications and enforcement. Recycling companies were coded as Responsible/Consulted for receiving, processing and supplying recycled concrete/aggregate. Consultants/developers were coded as Consulted/Influencing actors where they support policy, specifications, project decisions or technical advice.</w:t>
            </w:r>
          </w:p>
        </w:tc>
        <w:tc>
          <w:tcPr>
            <w:tcW w:w="3118" w:type="dxa"/>
          </w:tcPr>
          <w:p w14:paraId="763BAE36" w14:textId="5586B3BB" w:rsidR="00E519DB" w:rsidRPr="008339F1" w:rsidRDefault="00E519DB" w:rsidP="00E519DB">
            <w:pPr>
              <w:jc w:val="center"/>
              <w:rPr>
                <w:rFonts w:ascii="Times New Roman" w:hAnsi="Times New Roman" w:cs="Times New Roman"/>
                <w:sz w:val="16"/>
                <w:szCs w:val="16"/>
              </w:rPr>
            </w:pPr>
          </w:p>
        </w:tc>
        <w:tc>
          <w:tcPr>
            <w:tcW w:w="2127" w:type="dxa"/>
          </w:tcPr>
          <w:p w14:paraId="5B8DC885" w14:textId="77777777" w:rsidR="00E519DB" w:rsidRPr="008339F1" w:rsidRDefault="00E519DB" w:rsidP="00E519DB">
            <w:pPr>
              <w:jc w:val="center"/>
              <w:rPr>
                <w:rFonts w:ascii="Times New Roman" w:hAnsi="Times New Roman" w:cs="Times New Roman"/>
                <w:sz w:val="16"/>
                <w:szCs w:val="16"/>
              </w:rPr>
            </w:pPr>
          </w:p>
        </w:tc>
        <w:tc>
          <w:tcPr>
            <w:tcW w:w="2268" w:type="dxa"/>
          </w:tcPr>
          <w:p w14:paraId="6A974CC5" w14:textId="357D8681" w:rsidR="00E519DB" w:rsidRPr="008339F1" w:rsidRDefault="00E519DB" w:rsidP="00E519DB">
            <w:pPr>
              <w:jc w:val="center"/>
              <w:rPr>
                <w:rFonts w:ascii="Times New Roman" w:hAnsi="Times New Roman" w:cs="Times New Roman"/>
                <w:sz w:val="16"/>
                <w:szCs w:val="16"/>
              </w:rPr>
            </w:pPr>
          </w:p>
        </w:tc>
      </w:tr>
      <w:tr w:rsidR="008339F1" w:rsidRPr="008339F1" w14:paraId="1BA47574" w14:textId="77777777" w:rsidTr="002B37B8">
        <w:trPr>
          <w:trHeight w:val="1564"/>
        </w:trPr>
        <w:tc>
          <w:tcPr>
            <w:tcW w:w="503" w:type="dxa"/>
          </w:tcPr>
          <w:p w14:paraId="5CEBC628" w14:textId="707D7621"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2</w:t>
            </w:r>
            <w:r w:rsidR="00B82728" w:rsidRPr="008339F1">
              <w:rPr>
                <w:rFonts w:ascii="Times New Roman" w:hAnsi="Times New Roman" w:cs="Times New Roman"/>
                <w:sz w:val="16"/>
                <w:szCs w:val="16"/>
              </w:rPr>
              <w:t>2</w:t>
            </w:r>
          </w:p>
        </w:tc>
        <w:tc>
          <w:tcPr>
            <w:tcW w:w="915" w:type="dxa"/>
          </w:tcPr>
          <w:p w14:paraId="5C1DD7C1"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AuthorYear="1"&gt;&lt;Author&gt;Uotila&lt;/Author&gt;&lt;Year&gt;2024&lt;/Year&gt;&lt;RecNum&gt;1573&lt;/RecNum&gt;&lt;DisplayText&gt;Uotila et al. (2024)&lt;/DisplayText&gt;&lt;record&gt;&lt;rec-number&gt;1573&lt;/rec-number&gt;&lt;foreign-keys&gt;&lt;key app="EN" db-id="52rwd92asss9zrett925swxewtr59dp2v0wp" timestamp="1741624969"&gt;1573&lt;/key&gt;&lt;/foreign-keys&gt;&lt;ref-type name="Journal Article"&gt;17&lt;/ref-type&gt;&lt;contributors&gt;&lt;authors&gt;&lt;author&gt;Uotila, Ulrika&lt;/author&gt;&lt;author&gt;Saari, Arto&lt;/author&gt;&lt;author&gt;Joensuu, Tuomo&lt;/author&gt;&lt;/authors&gt;&lt;/contributors&gt;&lt;titles&gt;&lt;title&gt;Demands for DfD data characteristics: a step towards enabling reuse of prefabricated concrete components&lt;/title&gt;&lt;secondary-title&gt;Environmental Research: Infrastructure and Sustainability&lt;/secondary-title&gt;&lt;/titles&gt;&lt;pages&gt;015014&lt;/pages&gt;&lt;volume&gt;4&lt;/volume&gt;&lt;number&gt;1&lt;/number&gt;&lt;dates&gt;&lt;year&gt;2024&lt;/year&gt;&lt;pub-dates&gt;&lt;date&gt;2024/03/28&lt;/date&gt;&lt;/pub-dates&gt;&lt;/dates&gt;&lt;publisher&gt;IOP Publishing&lt;/publisher&gt;&lt;isbn&gt;2634-4505&lt;/isbn&gt;&lt;urls&gt;&lt;related-urls&gt;&lt;url&gt;https://dx.doi.org/10.1088/2634-4505/ad3579&lt;/url&gt;&lt;/related-urls&gt;&lt;/urls&gt;&lt;electronic-resource-num&gt;10.1088/2634-4505/ad3579&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Uotila et al. (2024)</w:t>
            </w:r>
            <w:r w:rsidRPr="008339F1">
              <w:rPr>
                <w:rFonts w:ascii="Times New Roman" w:hAnsi="Times New Roman" w:cs="Times New Roman"/>
                <w:sz w:val="16"/>
                <w:szCs w:val="16"/>
              </w:rPr>
              <w:fldChar w:fldCharType="end"/>
            </w:r>
          </w:p>
        </w:tc>
        <w:tc>
          <w:tcPr>
            <w:tcW w:w="992" w:type="dxa"/>
          </w:tcPr>
          <w:p w14:paraId="7FEADE2D"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Finland</w:t>
            </w:r>
          </w:p>
        </w:tc>
        <w:tc>
          <w:tcPr>
            <w:tcW w:w="1559" w:type="dxa"/>
          </w:tcPr>
          <w:p w14:paraId="705A6718" w14:textId="783F8A91"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Data requirements for design-for-disassembly concrete components to enable future reuse</w:t>
            </w:r>
          </w:p>
        </w:tc>
        <w:tc>
          <w:tcPr>
            <w:tcW w:w="1271" w:type="dxa"/>
          </w:tcPr>
          <w:p w14:paraId="4DB18C78" w14:textId="1E1CFC8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Design; prefabricated component production; construction; data storage/management; building operation; disassembly; subsequent reuse</w:t>
            </w:r>
          </w:p>
        </w:tc>
        <w:tc>
          <w:tcPr>
            <w:tcW w:w="1990" w:type="dxa"/>
          </w:tcPr>
          <w:p w14:paraId="79C7BBB4" w14:textId="7F914723"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Literature review; expert workshop with nine building/concrete-sector experts</w:t>
            </w:r>
          </w:p>
        </w:tc>
        <w:tc>
          <w:tcPr>
            <w:tcW w:w="1843" w:type="dxa"/>
          </w:tcPr>
          <w:p w14:paraId="57320292" w14:textId="469FC14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Designers, architects, structural engineers, building owners, </w:t>
            </w: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component producers, distributors, and disassemblers </w:t>
            </w:r>
          </w:p>
        </w:tc>
        <w:tc>
          <w:tcPr>
            <w:tcW w:w="2126" w:type="dxa"/>
          </w:tcPr>
          <w:p w14:paraId="3D852B4E" w14:textId="424CF286" w:rsidR="00E519DB" w:rsidRPr="008339F1" w:rsidRDefault="00FA64E9" w:rsidP="00E519DB">
            <w:pPr>
              <w:rPr>
                <w:rFonts w:ascii="Times New Roman" w:hAnsi="Times New Roman" w:cs="Times New Roman"/>
                <w:sz w:val="16"/>
                <w:szCs w:val="16"/>
              </w:rPr>
            </w:pPr>
            <w:r>
              <w:rPr>
                <w:rFonts w:ascii="Times New Roman" w:hAnsi="Times New Roman" w:cs="Times New Roman"/>
                <w:sz w:val="16"/>
                <w:szCs w:val="16"/>
              </w:rPr>
              <w:t xml:space="preserve">The </w:t>
            </w:r>
            <w:proofErr w:type="spellStart"/>
            <w:r w:rsidR="00E519DB" w:rsidRPr="008339F1">
              <w:rPr>
                <w:rFonts w:ascii="Times New Roman" w:hAnsi="Times New Roman" w:cs="Times New Roman"/>
                <w:sz w:val="16"/>
                <w:szCs w:val="16"/>
              </w:rPr>
              <w:t>DfD</w:t>
            </w:r>
            <w:proofErr w:type="spellEnd"/>
            <w:r w:rsidR="00E519DB" w:rsidRPr="008339F1">
              <w:rPr>
                <w:rFonts w:ascii="Times New Roman" w:hAnsi="Times New Roman" w:cs="Times New Roman"/>
                <w:sz w:val="16"/>
                <w:szCs w:val="16"/>
              </w:rPr>
              <w:t xml:space="preserve"> component producer should provide general component information; the designer uses this information and produces BIM and information on connections and construction; and some information should also be saved in a building inspection database. It also identifies the need for a cooperative digital platform for sharing information on buildings containing </w:t>
            </w:r>
            <w:proofErr w:type="spellStart"/>
            <w:r w:rsidR="00E519DB" w:rsidRPr="008339F1">
              <w:rPr>
                <w:rFonts w:ascii="Times New Roman" w:hAnsi="Times New Roman" w:cs="Times New Roman"/>
                <w:sz w:val="16"/>
                <w:szCs w:val="16"/>
              </w:rPr>
              <w:t>DfD</w:t>
            </w:r>
            <w:proofErr w:type="spellEnd"/>
            <w:r w:rsidR="00E519DB" w:rsidRPr="008339F1">
              <w:rPr>
                <w:rFonts w:ascii="Times New Roman" w:hAnsi="Times New Roman" w:cs="Times New Roman"/>
                <w:sz w:val="16"/>
                <w:szCs w:val="16"/>
              </w:rPr>
              <w:t xml:space="preserve"> components.</w:t>
            </w:r>
          </w:p>
        </w:tc>
        <w:tc>
          <w:tcPr>
            <w:tcW w:w="2835" w:type="dxa"/>
          </w:tcPr>
          <w:p w14:paraId="223A017D" w14:textId="66B34AC7" w:rsidR="00E519DB" w:rsidRPr="008339F1" w:rsidRDefault="00E519DB" w:rsidP="00E519DB">
            <w:pPr>
              <w:rPr>
                <w:rFonts w:ascii="Times New Roman" w:hAnsi="Times New Roman" w:cs="Times New Roman"/>
                <w:sz w:val="16"/>
                <w:szCs w:val="16"/>
              </w:rPr>
            </w:pP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component producer = Responsible for providing general component/product data; element designer/architect/structural engineer/HVAC designer = Responsible for producing design, BIM, connection and construction information, and Consulted for technical data requirements; building owner = Accountable for ensuring component information is saved and traceable over the building lifecycle; building consultant = Consulted for data coordination and technical guidance; </w:t>
            </w: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component distributor = Responsible for distribution-related information where components enter future reuse markets; </w:t>
            </w:r>
            <w:proofErr w:type="spellStart"/>
            <w:r w:rsidRPr="008339F1">
              <w:rPr>
                <w:rFonts w:ascii="Times New Roman" w:hAnsi="Times New Roman" w:cs="Times New Roman"/>
                <w:sz w:val="16"/>
                <w:szCs w:val="16"/>
              </w:rPr>
              <w:t>DfD</w:t>
            </w:r>
            <w:proofErr w:type="spellEnd"/>
            <w:r w:rsidRPr="008339F1">
              <w:rPr>
                <w:rFonts w:ascii="Times New Roman" w:hAnsi="Times New Roman" w:cs="Times New Roman"/>
                <w:sz w:val="16"/>
                <w:szCs w:val="16"/>
              </w:rPr>
              <w:t xml:space="preserve"> disassembler = Responsible for disassembly-stage information and condition feedback; building inspection/database authority = Accountable/Informed for storing or receiving formal component/building data where the database is use</w:t>
            </w:r>
          </w:p>
        </w:tc>
        <w:tc>
          <w:tcPr>
            <w:tcW w:w="3118" w:type="dxa"/>
          </w:tcPr>
          <w:p w14:paraId="349988CF" w14:textId="55915458" w:rsidR="00E519DB" w:rsidRPr="008339F1" w:rsidRDefault="00E519DB" w:rsidP="00E519DB">
            <w:pPr>
              <w:jc w:val="center"/>
              <w:rPr>
                <w:rFonts w:ascii="Times New Roman" w:hAnsi="Times New Roman" w:cs="Times New Roman"/>
                <w:sz w:val="16"/>
                <w:szCs w:val="16"/>
              </w:rPr>
            </w:pPr>
          </w:p>
        </w:tc>
        <w:tc>
          <w:tcPr>
            <w:tcW w:w="2127" w:type="dxa"/>
          </w:tcPr>
          <w:p w14:paraId="672DCB4C" w14:textId="77777777" w:rsidR="00E519DB" w:rsidRPr="008339F1" w:rsidRDefault="00E519DB" w:rsidP="00E519DB">
            <w:pPr>
              <w:jc w:val="center"/>
              <w:rPr>
                <w:rFonts w:ascii="Times New Roman" w:hAnsi="Times New Roman" w:cs="Times New Roman"/>
                <w:sz w:val="16"/>
                <w:szCs w:val="16"/>
              </w:rPr>
            </w:pPr>
          </w:p>
        </w:tc>
        <w:tc>
          <w:tcPr>
            <w:tcW w:w="2268" w:type="dxa"/>
          </w:tcPr>
          <w:p w14:paraId="01224B03" w14:textId="20985051" w:rsidR="00E519DB" w:rsidRPr="008339F1" w:rsidRDefault="00E519DB" w:rsidP="00E519DB">
            <w:pPr>
              <w:jc w:val="center"/>
              <w:rPr>
                <w:rFonts w:ascii="Times New Roman" w:hAnsi="Times New Roman" w:cs="Times New Roman"/>
                <w:sz w:val="16"/>
                <w:szCs w:val="16"/>
              </w:rPr>
            </w:pPr>
          </w:p>
        </w:tc>
      </w:tr>
      <w:tr w:rsidR="008339F1" w:rsidRPr="008339F1" w14:paraId="20FEC434" w14:textId="77777777" w:rsidTr="002B37B8">
        <w:trPr>
          <w:trHeight w:val="5240"/>
        </w:trPr>
        <w:tc>
          <w:tcPr>
            <w:tcW w:w="503" w:type="dxa"/>
          </w:tcPr>
          <w:p w14:paraId="6C684760" w14:textId="145BD9A0"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2</w:t>
            </w:r>
            <w:r w:rsidR="00B82728" w:rsidRPr="008339F1">
              <w:rPr>
                <w:rFonts w:ascii="Times New Roman" w:hAnsi="Times New Roman" w:cs="Times New Roman"/>
                <w:sz w:val="16"/>
                <w:szCs w:val="16"/>
              </w:rPr>
              <w:t>3</w:t>
            </w:r>
          </w:p>
        </w:tc>
        <w:tc>
          <w:tcPr>
            <w:tcW w:w="915" w:type="dxa"/>
          </w:tcPr>
          <w:p w14:paraId="77871F63"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AuthorYear="1"&gt;&lt;Author&gt;AlJaber&lt;/Author&gt;&lt;Year&gt;2025&lt;/Year&gt;&lt;RecNum&gt;2307&lt;/RecNum&gt;&lt;DisplayText&gt;AlJaber et al. (2025)&lt;/DisplayText&gt;&lt;record&gt;&lt;rec-number&gt;2307&lt;/rec-number&gt;&lt;foreign-keys&gt;&lt;key app="EN" db-id="z959xtv5kdxdt0eawtt5ssvc90eradx50fpz" timestamp="1761551282"&gt;2307&lt;/key&gt;&lt;/foreign-keys&gt;&lt;ref-type name="Journal Article"&gt;17&lt;/ref-type&gt;&lt;contributors&gt;&lt;authors&gt;&lt;author&gt;AlJaber, Abdulaziz&lt;/author&gt;&lt;author&gt;Martinez-Vazquez, Pedro&lt;/author&gt;&lt;author&gt;Baniotopoulos, Charalampos&lt;/author&gt;&lt;/authors&gt;&lt;/contributors&gt;&lt;titles&gt;&lt;title&gt;Exploring Circular Economy Strategies in Buildings: Evaluating Feasibility, Stakeholders Influence, and the Role of the Building Lifecycle in Effective Adoption&lt;/title&gt;&lt;secondary-title&gt;Applied Sciences&lt;/secondary-title&gt;&lt;/titles&gt;&lt;periodical&gt;&lt;full-title&gt;Applied sciences&lt;/full-title&gt;&lt;/periodical&gt;&lt;pages&gt;1174&lt;/pages&gt;&lt;volume&gt;15&lt;/volume&gt;&lt;number&gt;3&lt;/number&gt;&lt;dates&gt;&lt;year&gt;2025&lt;/year&gt;&lt;/dates&gt;&lt;isbn&gt;2076-3417&lt;/isbn&gt;&lt;accession-num&gt;doi:10.3390/app15031174&lt;/accession-num&gt;&lt;urls&gt;&lt;related-urls&gt;&lt;url&gt;https://www.mdpi.com/2076-3417/15/3/1174&lt;/url&gt;&lt;/related-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sz w:val="16"/>
                <w:szCs w:val="16"/>
              </w:rPr>
              <w:t>AlJaber et al. (2025)</w:t>
            </w:r>
            <w:r w:rsidRPr="008339F1">
              <w:rPr>
                <w:rFonts w:ascii="Times New Roman" w:hAnsi="Times New Roman" w:cs="Times New Roman"/>
                <w:sz w:val="16"/>
                <w:szCs w:val="16"/>
              </w:rPr>
              <w:fldChar w:fldCharType="end"/>
            </w:r>
          </w:p>
        </w:tc>
        <w:tc>
          <w:tcPr>
            <w:tcW w:w="992" w:type="dxa"/>
          </w:tcPr>
          <w:p w14:paraId="15CC205D"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UK</w:t>
            </w:r>
          </w:p>
        </w:tc>
        <w:tc>
          <w:tcPr>
            <w:tcW w:w="1559" w:type="dxa"/>
          </w:tcPr>
          <w:p w14:paraId="53024BF4"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Investigates CE strategies and stakeholders' influence on adoption</w:t>
            </w:r>
          </w:p>
        </w:tc>
        <w:tc>
          <w:tcPr>
            <w:tcW w:w="1271" w:type="dxa"/>
          </w:tcPr>
          <w:p w14:paraId="47CAD52E" w14:textId="613A37F8"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Initiation/planning; design; procurement; construction; operation and maintenance; end-of-life</w:t>
            </w:r>
          </w:p>
        </w:tc>
        <w:tc>
          <w:tcPr>
            <w:tcW w:w="1990" w:type="dxa"/>
          </w:tcPr>
          <w:p w14:paraId="6DC2EE9A" w14:textId="35B506D4"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Mixed-method study Systematic literature review; pre-interview questionnaire; semi-structured interviews </w:t>
            </w:r>
          </w:p>
        </w:tc>
        <w:tc>
          <w:tcPr>
            <w:tcW w:w="1843" w:type="dxa"/>
          </w:tcPr>
          <w:p w14:paraId="1A28A403" w14:textId="201C039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Owner, designer, consultant, manufacturer, contractor, subcontractor, and demolition contractor.</w:t>
            </w:r>
          </w:p>
        </w:tc>
        <w:tc>
          <w:tcPr>
            <w:tcW w:w="2126" w:type="dxa"/>
          </w:tcPr>
          <w:p w14:paraId="648CDFDC" w14:textId="5FE4D4D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The study ranks owners as the most influential stakeholder</w:t>
            </w:r>
            <w:r w:rsidR="00FA64E9">
              <w:rPr>
                <w:rFonts w:ascii="Times New Roman" w:hAnsi="Times New Roman" w:cs="Times New Roman"/>
                <w:sz w:val="16"/>
                <w:szCs w:val="16"/>
              </w:rPr>
              <w:t>s</w:t>
            </w:r>
            <w:r w:rsidRPr="008339F1">
              <w:rPr>
                <w:rFonts w:ascii="Times New Roman" w:hAnsi="Times New Roman" w:cs="Times New Roman"/>
                <w:sz w:val="16"/>
                <w:szCs w:val="16"/>
              </w:rPr>
              <w:t xml:space="preserve"> in CE adoption, followed by designers and consultants. It states that owners control project budget, scope and priorities, while designers influence material selection, building layout and construction methods. Consultants provide technical expertise and guidance, manufacturers supply CE-aligned materials/components, contractors implement CE through construction methods, material procurement and waste management, and demolition contractors influence material recovery at end-of-life</w:t>
            </w:r>
            <w:r w:rsidR="006F1DD6">
              <w:rPr>
                <w:rFonts w:ascii="Times New Roman" w:hAnsi="Times New Roman" w:cs="Times New Roman"/>
                <w:sz w:val="16"/>
                <w:szCs w:val="16"/>
              </w:rPr>
              <w:t>.</w:t>
            </w:r>
          </w:p>
        </w:tc>
        <w:tc>
          <w:tcPr>
            <w:tcW w:w="2835" w:type="dxa"/>
          </w:tcPr>
          <w:p w14:paraId="21F77D43" w14:textId="27D5592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Owners = Accountable for CE goals, project scope, budget, investment decisions and circularity requirements. Designers = Responsible for translating CE objectives into design decisions, material selection, adaptability, durability, disassembly and lifecycle-oriented solutions. Consultants = Consulted for technical expertise, CE guidance, LCA/LCC advice and sustainability evaluation. Manufacturers = Responsible for supplying circular products, reusable/recyclable materials and CE-compliant components. Contractors = Responsible for implementing CE practices during construction, including prefabrication, waste reduction, material handling and procurement execution. Demolition contractors = Responsible for selective demolition, deconstruction and material recovery at end-of-life, but with lower strategic influence because most CE decisions are made earlier.</w:t>
            </w:r>
          </w:p>
        </w:tc>
        <w:tc>
          <w:tcPr>
            <w:tcW w:w="3118" w:type="dxa"/>
          </w:tcPr>
          <w:p w14:paraId="2428CECC" w14:textId="2048F61F" w:rsidR="00E519DB" w:rsidRPr="008339F1" w:rsidRDefault="00E519DB" w:rsidP="00E519DB">
            <w:pPr>
              <w:rPr>
                <w:rFonts w:ascii="Times New Roman" w:hAnsi="Times New Roman" w:cs="Times New Roman"/>
                <w:sz w:val="16"/>
                <w:szCs w:val="16"/>
              </w:rPr>
            </w:pPr>
            <w:bookmarkStart w:id="25" w:name="OLE_LINK610"/>
            <w:r w:rsidRPr="008339F1">
              <w:rPr>
                <w:rFonts w:ascii="Times New Roman" w:hAnsi="Times New Roman" w:cs="Times New Roman"/>
                <w:sz w:val="16"/>
                <w:szCs w:val="16"/>
              </w:rPr>
              <w:t>Undervalued expertise of roles and power dynamics</w:t>
            </w:r>
            <w:bookmarkEnd w:id="25"/>
            <w:r w:rsidRPr="008339F1">
              <w:rPr>
                <w:rFonts w:ascii="Times New Roman" w:hAnsi="Times New Roman" w:cs="Times New Roman"/>
                <w:sz w:val="16"/>
                <w:szCs w:val="16"/>
              </w:rPr>
              <w:t xml:space="preserve">; resistance to change; lack of standards and </w:t>
            </w:r>
            <w:r w:rsidR="00FA64E9">
              <w:rPr>
                <w:rFonts w:ascii="Times New Roman" w:hAnsi="Times New Roman" w:cs="Times New Roman"/>
                <w:sz w:val="16"/>
                <w:szCs w:val="16"/>
              </w:rPr>
              <w:t>regulatory contracts</w:t>
            </w:r>
            <w:r w:rsidRPr="008339F1">
              <w:rPr>
                <w:rFonts w:ascii="Times New Roman" w:hAnsi="Times New Roman" w:cs="Times New Roman"/>
                <w:sz w:val="16"/>
                <w:szCs w:val="16"/>
              </w:rPr>
              <w:t>; lack of understanding of CE goals and benefits; absence of collaborative frameworks; weak knowledge exchange; absence of economic Incentives and policy support</w:t>
            </w:r>
          </w:p>
        </w:tc>
        <w:tc>
          <w:tcPr>
            <w:tcW w:w="2127" w:type="dxa"/>
          </w:tcPr>
          <w:p w14:paraId="008D89B1" w14:textId="0B02AB1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Affected: owners, designers, contractors, manufacturers, procurement actors, demolition contractors and building users. Influencing: owners, designers, consultants, policymakers, manufacturers, contractors, suppliers and regulatory authorities.</w:t>
            </w:r>
          </w:p>
        </w:tc>
        <w:tc>
          <w:tcPr>
            <w:tcW w:w="2268" w:type="dxa"/>
          </w:tcPr>
          <w:p w14:paraId="4C923B6E" w14:textId="1D00E39C"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Incentives or policy mandates rewarding CE performance</w:t>
            </w:r>
            <w:r w:rsidR="00FA64E9">
              <w:rPr>
                <w:rFonts w:ascii="Times New Roman" w:hAnsi="Times New Roman" w:cs="Times New Roman"/>
                <w:sz w:val="16"/>
                <w:szCs w:val="16"/>
              </w:rPr>
              <w:t>.</w:t>
            </w:r>
          </w:p>
        </w:tc>
      </w:tr>
      <w:tr w:rsidR="008339F1" w:rsidRPr="008339F1" w14:paraId="1FAF52F8" w14:textId="77777777" w:rsidTr="002B37B8">
        <w:trPr>
          <w:trHeight w:val="156"/>
        </w:trPr>
        <w:tc>
          <w:tcPr>
            <w:tcW w:w="503" w:type="dxa"/>
          </w:tcPr>
          <w:p w14:paraId="68B9BF2D" w14:textId="1A604C2A" w:rsidR="00E519DB" w:rsidRPr="008339F1" w:rsidRDefault="00E519DB" w:rsidP="00E519DB">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2</w:t>
            </w:r>
            <w:r w:rsidR="00B82728" w:rsidRPr="008339F1">
              <w:rPr>
                <w:rFonts w:ascii="Times New Roman" w:hAnsi="Times New Roman" w:cs="Times New Roman"/>
                <w:sz w:val="16"/>
                <w:szCs w:val="16"/>
                <w:lang w:val="en-HK"/>
              </w:rPr>
              <w:t>4</w:t>
            </w:r>
          </w:p>
        </w:tc>
        <w:tc>
          <w:tcPr>
            <w:tcW w:w="915" w:type="dxa"/>
          </w:tcPr>
          <w:p w14:paraId="38E81BB5" w14:textId="3F224E18"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lang w:val="en-HK"/>
              </w:rPr>
              <w:fldChar w:fldCharType="begin"/>
            </w:r>
            <w:r w:rsidR="00DE7A23">
              <w:rPr>
                <w:rFonts w:ascii="Times New Roman" w:hAnsi="Times New Roman" w:cs="Times New Roman"/>
                <w:sz w:val="16"/>
                <w:szCs w:val="16"/>
                <w:lang w:val="en-HK"/>
              </w:rPr>
              <w:instrText xml:space="preserve"> ADDIN EN.CITE &lt;EndNote&gt;&lt;Cite AuthorYear="1"&gt;&lt;Author&gt;Shooshtarian&lt;/Author&gt;&lt;Year&gt;2020&lt;/Year&gt;&lt;RecNum&gt;1471&lt;/RecNum&gt;&lt;DisplayText&gt;Shooshtarian et al. (2020)&lt;/DisplayText&gt;&lt;record&gt;&lt;rec-number&gt;1471&lt;/rec-number&gt;&lt;foreign-keys&gt;&lt;key app="EN" db-id="52rwd92asss9zrett925swxewtr59dp2v0wp" timestamp="1740226042"&gt;1471&lt;/key&gt;&lt;/foreign-keys&gt;&lt;ref-type name="Journal Article"&gt;17&lt;/ref-type&gt;&lt;contributors&gt;&lt;authors&gt;&lt;author&gt;Shooshtarian, Salman&lt;/author&gt;&lt;author&gt;Caldera, Savindi&lt;/author&gt;&lt;author&gt;Maqsood, Tayyab&lt;/author&gt;&lt;author&gt;Ryley, Tim&lt;/author&gt;&lt;/authors&gt;&lt;/contributors&gt;&lt;titles&gt;&lt;title&gt;Using Recycled Construction and Demolition Waste Products: A Review of Stakeholders’ Perceptions, Decisions, and Motivations&lt;/title&gt;&lt;secondary-title&gt;Recycling&lt;/secondary-title&gt;&lt;/titles&gt;&lt;pages&gt;31&lt;/pages&gt;&lt;volume&gt;5&lt;/volume&gt;&lt;number&gt;4&lt;/number&gt;&lt;dates&gt;&lt;year&gt;2020&lt;/year&gt;&lt;/dates&gt;&lt;urls&gt;&lt;/urls&gt;&lt;electronic-resource-num&gt;10.3390/recycling5040031&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Shooshtarian et al. (2020)</w:t>
            </w:r>
            <w:r w:rsidRPr="008339F1">
              <w:rPr>
                <w:rFonts w:ascii="Times New Roman" w:hAnsi="Times New Roman" w:cs="Times New Roman"/>
                <w:sz w:val="16"/>
                <w:szCs w:val="16"/>
              </w:rPr>
              <w:fldChar w:fldCharType="end"/>
            </w:r>
          </w:p>
        </w:tc>
        <w:tc>
          <w:tcPr>
            <w:tcW w:w="992" w:type="dxa"/>
          </w:tcPr>
          <w:p w14:paraId="3B7BB9FC" w14:textId="603114DC" w:rsidR="00E519DB" w:rsidRPr="008339F1" w:rsidRDefault="00E519DB" w:rsidP="00E519DB">
            <w:pPr>
              <w:jc w:val="both"/>
              <w:rPr>
                <w:rFonts w:ascii="Times New Roman" w:hAnsi="Times New Roman" w:cs="Times New Roman"/>
                <w:sz w:val="16"/>
                <w:szCs w:val="16"/>
              </w:rPr>
            </w:pPr>
            <w:bookmarkStart w:id="26" w:name="OLE_LINK236"/>
            <w:bookmarkStart w:id="27" w:name="OLE_LINK237"/>
            <w:r w:rsidRPr="008339F1">
              <w:rPr>
                <w:rFonts w:ascii="Times New Roman" w:hAnsi="Times New Roman" w:cs="Times New Roman"/>
                <w:sz w:val="16"/>
                <w:szCs w:val="16"/>
              </w:rPr>
              <w:t>Australia</w:t>
            </w:r>
            <w:bookmarkEnd w:id="26"/>
            <w:r w:rsidRPr="008339F1">
              <w:rPr>
                <w:rFonts w:ascii="Times New Roman" w:hAnsi="Times New Roman" w:cs="Times New Roman"/>
                <w:sz w:val="16"/>
                <w:szCs w:val="16"/>
              </w:rPr>
              <w:t>/ Global literature</w:t>
            </w:r>
            <w:bookmarkEnd w:id="27"/>
          </w:p>
        </w:tc>
        <w:tc>
          <w:tcPr>
            <w:tcW w:w="1559" w:type="dxa"/>
          </w:tcPr>
          <w:p w14:paraId="149ABA1D" w14:textId="057F13F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Stakeholder perceptions, decisions and motivations affecting the use of recycled C&amp;D waste products in construction projects</w:t>
            </w:r>
          </w:p>
        </w:tc>
        <w:tc>
          <w:tcPr>
            <w:tcW w:w="1271" w:type="dxa"/>
          </w:tcPr>
          <w:p w14:paraId="43A9134B" w14:textId="5685FE8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Recycled C&amp;D product supply chain; design/specification; procurement/material selection; recycling/product supply; construction use; policy/market development</w:t>
            </w:r>
          </w:p>
        </w:tc>
        <w:tc>
          <w:tcPr>
            <w:tcW w:w="1990" w:type="dxa"/>
          </w:tcPr>
          <w:p w14:paraId="3BABE481" w14:textId="601AC44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Structured/systematic literature review</w:t>
            </w:r>
          </w:p>
        </w:tc>
        <w:tc>
          <w:tcPr>
            <w:tcW w:w="1843" w:type="dxa"/>
          </w:tcPr>
          <w:p w14:paraId="0EE29B8B" w14:textId="374E62E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Clients; government/policymakers; recyclers/manufacturers/suppliers; architects/designers; builders; civil/structural engineers</w:t>
            </w:r>
          </w:p>
        </w:tc>
        <w:tc>
          <w:tcPr>
            <w:tcW w:w="2126" w:type="dxa"/>
          </w:tcPr>
          <w:p w14:paraId="0EC1D571" w14:textId="1D080A2D" w:rsidR="00E519DB" w:rsidRPr="008339F1" w:rsidRDefault="003124A0" w:rsidP="00E519DB">
            <w:pPr>
              <w:rPr>
                <w:rFonts w:ascii="Times New Roman" w:hAnsi="Times New Roman" w:cs="Times New Roman"/>
                <w:sz w:val="16"/>
                <w:szCs w:val="16"/>
              </w:rPr>
            </w:pPr>
            <w:r w:rsidRPr="008339F1">
              <w:rPr>
                <w:rFonts w:ascii="Times New Roman" w:hAnsi="Times New Roman" w:cs="Times New Roman"/>
                <w:sz w:val="16"/>
                <w:szCs w:val="16"/>
              </w:rPr>
              <w:t>C</w:t>
            </w:r>
            <w:r w:rsidR="00E519DB" w:rsidRPr="008339F1">
              <w:rPr>
                <w:rFonts w:ascii="Times New Roman" w:hAnsi="Times New Roman" w:cs="Times New Roman"/>
                <w:sz w:val="16"/>
                <w:szCs w:val="16"/>
              </w:rPr>
              <w:t>lients play a critical role as end-users; governments support recycled product use through information sharing, technical specifications, sustainable procurement, policy and market stimulation; recyclers produce and sell recycled products; architects specify recycled products before construction in consultation with structural engineers; structural engineers influence material, application and specification decisions; and builders’ knowledge and experience affect recycled product uptake.; “Clients are not interested … due to reduction of warranty.”; “Recyclers face issues in selling their products … lack of viable market.”; “Builders’ knowledge and experience … central to increased product usage.”</w:t>
            </w:r>
          </w:p>
        </w:tc>
        <w:tc>
          <w:tcPr>
            <w:tcW w:w="2835" w:type="dxa"/>
          </w:tcPr>
          <w:p w14:paraId="1F4D0275" w14:textId="0CF72A19"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Clients = Accountable for accepting or rejecting recycled products in projects where they influence demand and approval. Government/policymakers = Accountable for policy, specifications, procurement rules, standards, incentives and market creation. Recyclers/manufacturers/suppliers = Responsible for producing, processing, quality-controlling and supplying recycled products. Architects/designers = Responsible for specifying recycled products in design documents and </w:t>
            </w:r>
            <w:proofErr w:type="gramStart"/>
            <w:r w:rsidRPr="008339F1">
              <w:rPr>
                <w:rFonts w:ascii="Times New Roman" w:hAnsi="Times New Roman" w:cs="Times New Roman"/>
                <w:sz w:val="16"/>
                <w:szCs w:val="16"/>
              </w:rPr>
              <w:t>Consulted</w:t>
            </w:r>
            <w:proofErr w:type="gramEnd"/>
            <w:r w:rsidRPr="008339F1">
              <w:rPr>
                <w:rFonts w:ascii="Times New Roman" w:hAnsi="Times New Roman" w:cs="Times New Roman"/>
                <w:sz w:val="16"/>
                <w:szCs w:val="16"/>
              </w:rPr>
              <w:t xml:space="preserve"> where design feasibility is assessed. Civil/structural engineers = Responsible for technical specification and structural-material decisions, especially where safety/performance is involved. Builders/contractors = Responsible for using recycled products during construction and </w:t>
            </w:r>
            <w:proofErr w:type="gramStart"/>
            <w:r w:rsidRPr="008339F1">
              <w:rPr>
                <w:rFonts w:ascii="Times New Roman" w:hAnsi="Times New Roman" w:cs="Times New Roman"/>
                <w:sz w:val="16"/>
                <w:szCs w:val="16"/>
              </w:rPr>
              <w:t>Consulted</w:t>
            </w:r>
            <w:proofErr w:type="gramEnd"/>
            <w:r w:rsidRPr="008339F1">
              <w:rPr>
                <w:rFonts w:ascii="Times New Roman" w:hAnsi="Times New Roman" w:cs="Times New Roman"/>
                <w:sz w:val="16"/>
                <w:szCs w:val="16"/>
              </w:rPr>
              <w:t xml:space="preserve"> on constructability, cost and practical application</w:t>
            </w:r>
          </w:p>
        </w:tc>
        <w:tc>
          <w:tcPr>
            <w:tcW w:w="3118" w:type="dxa"/>
          </w:tcPr>
          <w:p w14:paraId="2675CF08" w14:textId="7CABFB9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Fragmented responsibilities; lack of collaboration across </w:t>
            </w:r>
            <w:r w:rsidR="006F1DD6">
              <w:rPr>
                <w:rFonts w:ascii="Times New Roman" w:hAnsi="Times New Roman" w:cs="Times New Roman"/>
                <w:sz w:val="16"/>
                <w:szCs w:val="16"/>
              </w:rPr>
              <w:t xml:space="preserve">the </w:t>
            </w:r>
            <w:r w:rsidRPr="008339F1">
              <w:rPr>
                <w:rFonts w:ascii="Times New Roman" w:hAnsi="Times New Roman" w:cs="Times New Roman"/>
                <w:sz w:val="16"/>
                <w:szCs w:val="16"/>
              </w:rPr>
              <w:t>supply chain; negative perceptions; unclear standards; weak market signals; limited information flow between designers, engineers, recyclers, and clients.</w:t>
            </w:r>
          </w:p>
        </w:tc>
        <w:tc>
          <w:tcPr>
            <w:tcW w:w="2127" w:type="dxa"/>
          </w:tcPr>
          <w:p w14:paraId="1E4D6337" w14:textId="631C63AC"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Affected: clients, builders/contractors, architects, engineers, recyclers and recycled-product users. Influencing: government/policymakers, recyclers/suppliers, architects, civil/structural engineers, clients, builders, certification bodies and market actors.</w:t>
            </w:r>
          </w:p>
        </w:tc>
        <w:tc>
          <w:tcPr>
            <w:tcW w:w="2268" w:type="dxa"/>
          </w:tcPr>
          <w:p w14:paraId="10942DD7" w14:textId="438F825D" w:rsidR="00E519DB" w:rsidRPr="008339F1" w:rsidRDefault="009D7683" w:rsidP="00E519DB">
            <w:pPr>
              <w:rPr>
                <w:rFonts w:ascii="Times New Roman" w:hAnsi="Times New Roman" w:cs="Times New Roman"/>
                <w:sz w:val="16"/>
                <w:szCs w:val="16"/>
              </w:rPr>
            </w:pPr>
            <w:r w:rsidRPr="008339F1">
              <w:rPr>
                <w:rFonts w:ascii="Times New Roman" w:hAnsi="Times New Roman" w:cs="Times New Roman"/>
                <w:sz w:val="16"/>
                <w:szCs w:val="16"/>
              </w:rPr>
              <w:t>I</w:t>
            </w:r>
            <w:r w:rsidR="00E519DB" w:rsidRPr="008339F1">
              <w:rPr>
                <w:rFonts w:ascii="Times New Roman" w:hAnsi="Times New Roman" w:cs="Times New Roman"/>
                <w:sz w:val="16"/>
                <w:szCs w:val="16"/>
              </w:rPr>
              <w:t xml:space="preserve">ncrease awareness and education on recycled products; develop supportive regulations, policies and specifications; use sustainable procurement and mandatory recycled-content policies; facilitate sustainability </w:t>
            </w:r>
            <w:proofErr w:type="spellStart"/>
            <w:r w:rsidR="00E519DB" w:rsidRPr="008339F1">
              <w:rPr>
                <w:rFonts w:ascii="Times New Roman" w:hAnsi="Times New Roman" w:cs="Times New Roman"/>
                <w:sz w:val="16"/>
                <w:szCs w:val="16"/>
              </w:rPr>
              <w:t>programmes</w:t>
            </w:r>
            <w:proofErr w:type="spellEnd"/>
            <w:r w:rsidR="00E519DB" w:rsidRPr="008339F1">
              <w:rPr>
                <w:rFonts w:ascii="Times New Roman" w:hAnsi="Times New Roman" w:cs="Times New Roman"/>
                <w:sz w:val="16"/>
                <w:szCs w:val="16"/>
              </w:rPr>
              <w:t>; promote product certification and quality control; invest in targeted technologies and innovative recovery practices; improve knowledge sharing and collaboration among designers, contractors, recyclers and policymakers.</w:t>
            </w:r>
          </w:p>
        </w:tc>
      </w:tr>
      <w:tr w:rsidR="008339F1" w:rsidRPr="008339F1" w14:paraId="659BF750" w14:textId="77777777" w:rsidTr="002B37B8">
        <w:trPr>
          <w:trHeight w:val="5655"/>
        </w:trPr>
        <w:tc>
          <w:tcPr>
            <w:tcW w:w="503" w:type="dxa"/>
          </w:tcPr>
          <w:p w14:paraId="240EC0F9" w14:textId="5C9976FC"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2</w:t>
            </w:r>
            <w:r w:rsidR="0032652D" w:rsidRPr="008339F1">
              <w:rPr>
                <w:rFonts w:ascii="Times New Roman" w:hAnsi="Times New Roman" w:cs="Times New Roman"/>
                <w:sz w:val="16"/>
                <w:szCs w:val="16"/>
              </w:rPr>
              <w:t>5</w:t>
            </w:r>
          </w:p>
        </w:tc>
        <w:tc>
          <w:tcPr>
            <w:tcW w:w="915" w:type="dxa"/>
          </w:tcPr>
          <w:p w14:paraId="650DD1DE"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AuthorYear="1"&gt;&lt;Author&gt;Muigai&lt;/Author&gt;&lt;Year&gt;2018&lt;/Year&gt;&lt;RecNum&gt;2516&lt;/RecNum&gt;&lt;DisplayText&gt;Muigai (2018)&lt;/DisplayText&gt;&lt;record&gt;&lt;rec-number&gt;2516&lt;/rec-number&gt;&lt;foreign-keys&gt;&lt;key app="EN" db-id="z959xtv5kdxdt0eawtt5ssvc90eradx50fpz" timestamp="1765988702"&gt;2516&lt;/key&gt;&lt;/foreign-keys&gt;&lt;ref-type name="Book Section"&gt;5&lt;/ref-type&gt;&lt;contributors&gt;&lt;authors&gt;&lt;author&gt;Muigai, Rachel&lt;/author&gt;&lt;/authors&gt;&lt;secondary-authors&gt;&lt;author&gt;Pacheco-Torgal, F.&lt;/author&gt;&lt;author&gt;Melchers, Robert E.&lt;/author&gt;&lt;author&gt;Shi, Xianming&lt;/author&gt;&lt;author&gt;Belie, Nele De&lt;/author&gt;&lt;author&gt;Tittelboom, Kim Van&lt;/author&gt;&lt;author&gt;Sáez, Andrés&lt;/author&gt;&lt;/secondary-authors&gt;&lt;/contributors&gt;&lt;titles&gt;&lt;title&gt;21 - Eco-efficient design of concrete repair and rehabilitation&lt;/title&gt;&lt;secondary-title&gt;Eco-Efficient Repair and Rehabilitation of Concrete Infrastructures&lt;/secondary-title&gt;&lt;/titles&gt;&lt;pages&gt;591-611&lt;/pages&gt;&lt;keywords&gt;&lt;keyword&gt;Eco-efficiency&lt;/keyword&gt;&lt;keyword&gt;durability&lt;/keyword&gt;&lt;keyword&gt;concrete repair&lt;/keyword&gt;&lt;keyword&gt;rehabilitation&lt;/keyword&gt;&lt;keyword&gt;CO emission reductions&lt;/keyword&gt;&lt;/keywords&gt;&lt;dates&gt;&lt;year&gt;2018&lt;/year&gt;&lt;pub-dates&gt;&lt;date&gt;2018/01/01/&lt;/date&gt;&lt;/pub-dates&gt;&lt;/dates&gt;&lt;publisher&gt;Woodhead Publishing&lt;/publisher&gt;&lt;isbn&gt;978-0-08-102181-1&lt;/isbn&gt;&lt;urls&gt;&lt;related-urls&gt;&lt;url&gt;https://www.sciencedirect.com/science/article/pii/B9780081021811000216&lt;/url&gt;&lt;/related-urls&gt;&lt;/urls&gt;&lt;electronic-resource-num&gt;https://doi.org/10.1016/B978-0-08-102181-1.00021-6&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Muigai (2018)</w:t>
            </w:r>
            <w:r w:rsidRPr="008339F1">
              <w:rPr>
                <w:rFonts w:ascii="Times New Roman" w:hAnsi="Times New Roman" w:cs="Times New Roman"/>
                <w:sz w:val="16"/>
                <w:szCs w:val="16"/>
              </w:rPr>
              <w:fldChar w:fldCharType="end"/>
            </w:r>
          </w:p>
        </w:tc>
        <w:tc>
          <w:tcPr>
            <w:tcW w:w="992" w:type="dxa"/>
          </w:tcPr>
          <w:p w14:paraId="5E392171" w14:textId="77777777" w:rsidR="00E519DB" w:rsidRPr="008339F1" w:rsidRDefault="00E519DB" w:rsidP="00E519DB">
            <w:pPr>
              <w:jc w:val="both"/>
              <w:rPr>
                <w:rFonts w:ascii="Times New Roman" w:hAnsi="Times New Roman" w:cs="Times New Roman"/>
                <w:sz w:val="16"/>
                <w:szCs w:val="16"/>
              </w:rPr>
            </w:pPr>
            <w:bookmarkStart w:id="28" w:name="OLE_LINK238"/>
            <w:r w:rsidRPr="008339F1">
              <w:rPr>
                <w:rFonts w:ascii="Times New Roman" w:hAnsi="Times New Roman" w:cs="Times New Roman"/>
                <w:sz w:val="16"/>
                <w:szCs w:val="16"/>
              </w:rPr>
              <w:t>South Africa</w:t>
            </w:r>
            <w:bookmarkEnd w:id="28"/>
          </w:p>
        </w:tc>
        <w:tc>
          <w:tcPr>
            <w:tcW w:w="1559" w:type="dxa"/>
          </w:tcPr>
          <w:p w14:paraId="50C4C630" w14:textId="36B7B1E0"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Eco-efficient design of concrete repair and rehabilitation systems</w:t>
            </w:r>
          </w:p>
        </w:tc>
        <w:tc>
          <w:tcPr>
            <w:tcW w:w="1271" w:type="dxa"/>
          </w:tcPr>
          <w:p w14:paraId="42C3AFD1" w14:textId="7CE1F6C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Materials production; design/specification; construction; use/maintenance; repair and rehabilitation; deconstruction/disassembly; recycling</w:t>
            </w:r>
          </w:p>
        </w:tc>
        <w:tc>
          <w:tcPr>
            <w:tcW w:w="1990" w:type="dxa"/>
          </w:tcPr>
          <w:p w14:paraId="5A9CD9B9" w14:textId="74C91C4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Literature-based conceptual analysis</w:t>
            </w:r>
          </w:p>
        </w:tc>
        <w:tc>
          <w:tcPr>
            <w:tcW w:w="1843" w:type="dxa"/>
          </w:tcPr>
          <w:p w14:paraId="27F40CFC" w14:textId="6C2ECDD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Material producers, design and construction team including the architect, structural and materials engineer, geotechnical engineer, mechanical and electrical engineer, quantity surveyor, project manager, contractor, and the client.</w:t>
            </w:r>
          </w:p>
        </w:tc>
        <w:tc>
          <w:tcPr>
            <w:tcW w:w="2126" w:type="dxa"/>
          </w:tcPr>
          <w:p w14:paraId="23DDB856" w14:textId="7728A57C" w:rsidR="00E519DB" w:rsidRPr="008339F1" w:rsidRDefault="00D720F6" w:rsidP="00E519DB">
            <w:pPr>
              <w:rPr>
                <w:rFonts w:ascii="Times New Roman" w:hAnsi="Times New Roman" w:cs="Times New Roman"/>
                <w:sz w:val="16"/>
                <w:szCs w:val="16"/>
              </w:rPr>
            </w:pPr>
            <w:r w:rsidRPr="008339F1">
              <w:rPr>
                <w:rFonts w:ascii="Times New Roman" w:hAnsi="Times New Roman" w:cs="Times New Roman"/>
                <w:sz w:val="16"/>
                <w:szCs w:val="16"/>
              </w:rPr>
              <w:t>S</w:t>
            </w:r>
            <w:r w:rsidR="00E519DB" w:rsidRPr="008339F1">
              <w:rPr>
                <w:rFonts w:ascii="Times New Roman" w:hAnsi="Times New Roman" w:cs="Times New Roman"/>
                <w:sz w:val="16"/>
                <w:szCs w:val="16"/>
              </w:rPr>
              <w:t xml:space="preserve">tructural and materials engineers have a major role in selecting repair and rehabilitation systems that consume fewer natural raw materials, emit less CO₂, provide reliability and improve durability. </w:t>
            </w:r>
          </w:p>
        </w:tc>
        <w:tc>
          <w:tcPr>
            <w:tcW w:w="2835" w:type="dxa"/>
          </w:tcPr>
          <w:p w14:paraId="14DA69B5" w14:textId="109E0B8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Client = Accountable for setting functional and sustainability requirements, including remaining service-life expectations. Structural/materials engineer = Responsible for durability assessment, material selection, repair-system design and eco-efficient repair/rehabilitation decisions. Architect = Responsible/Consulted for design layout, aesthetics and design-for-deconstruction considerations. Project manager = Responsible for coordinating design/construction/repair decisions. Contractor = Responsible for construction and repair execution, workmanship, curing and quality control. Material producers/suppliers = Responsible for material production, efficient production technology and supplying lower-impact materials. Quantity surveyor = Consulted for cost-related evaluation. Mechanical/electrical engineers = Responsible/Consulted for operational energy-efficiency measures where relevant.</w:t>
            </w:r>
          </w:p>
        </w:tc>
        <w:tc>
          <w:tcPr>
            <w:tcW w:w="3118" w:type="dxa"/>
          </w:tcPr>
          <w:p w14:paraId="58A2E873" w14:textId="03E1F989" w:rsidR="00E519DB" w:rsidRPr="008339F1" w:rsidRDefault="00E519DB" w:rsidP="00E519DB">
            <w:pPr>
              <w:jc w:val="center"/>
              <w:rPr>
                <w:rFonts w:ascii="Times New Roman" w:hAnsi="Times New Roman" w:cs="Times New Roman"/>
                <w:sz w:val="16"/>
                <w:szCs w:val="16"/>
              </w:rPr>
            </w:pPr>
          </w:p>
        </w:tc>
        <w:tc>
          <w:tcPr>
            <w:tcW w:w="2127" w:type="dxa"/>
          </w:tcPr>
          <w:p w14:paraId="28B1FB00" w14:textId="77777777" w:rsidR="00E519DB" w:rsidRPr="008339F1" w:rsidRDefault="00E519DB" w:rsidP="00E519DB">
            <w:pPr>
              <w:jc w:val="center"/>
              <w:rPr>
                <w:rFonts w:ascii="Times New Roman" w:hAnsi="Times New Roman" w:cs="Times New Roman"/>
                <w:sz w:val="16"/>
                <w:szCs w:val="16"/>
              </w:rPr>
            </w:pPr>
          </w:p>
        </w:tc>
        <w:tc>
          <w:tcPr>
            <w:tcW w:w="2268" w:type="dxa"/>
          </w:tcPr>
          <w:p w14:paraId="7CBC79DC" w14:textId="6C3D20F9" w:rsidR="00E519DB" w:rsidRPr="008339F1" w:rsidRDefault="00E519DB" w:rsidP="00E519DB">
            <w:pPr>
              <w:jc w:val="center"/>
              <w:rPr>
                <w:rFonts w:ascii="Times New Roman" w:hAnsi="Times New Roman" w:cs="Times New Roman"/>
                <w:sz w:val="16"/>
                <w:szCs w:val="16"/>
              </w:rPr>
            </w:pPr>
          </w:p>
        </w:tc>
      </w:tr>
      <w:tr w:rsidR="008339F1" w:rsidRPr="008339F1" w14:paraId="2D8DA3C2" w14:textId="77777777" w:rsidTr="002B37B8">
        <w:trPr>
          <w:trHeight w:val="2268"/>
        </w:trPr>
        <w:tc>
          <w:tcPr>
            <w:tcW w:w="503" w:type="dxa"/>
          </w:tcPr>
          <w:p w14:paraId="2B6BA4C9" w14:textId="0A097AE8"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2</w:t>
            </w:r>
            <w:r w:rsidR="0032652D" w:rsidRPr="008339F1">
              <w:rPr>
                <w:rFonts w:ascii="Times New Roman" w:hAnsi="Times New Roman" w:cs="Times New Roman"/>
                <w:sz w:val="16"/>
                <w:szCs w:val="16"/>
              </w:rPr>
              <w:t>6</w:t>
            </w:r>
          </w:p>
        </w:tc>
        <w:bookmarkStart w:id="29" w:name="OLE_LINK296"/>
        <w:tc>
          <w:tcPr>
            <w:tcW w:w="915" w:type="dxa"/>
          </w:tcPr>
          <w:p w14:paraId="5B9D7C00" w14:textId="658EAE9F"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fldData xml:space="preserve">PEVuZE5vdGU+PENpdGUgQXV0aG9yWWVhcj0iMSI+PEF1dGhvcj5IYXJhbGE8L0F1dGhvcj48WWVh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</w:fldData>
              </w:fldChar>
            </w:r>
            <w:r w:rsidR="00DE7A23">
              <w:rPr>
                <w:rFonts w:ascii="Times New Roman" w:hAnsi="Times New Roman" w:cs="Times New Roman"/>
                <w:sz w:val="16"/>
                <w:szCs w:val="16"/>
              </w:rPr>
              <w:instrText xml:space="preserve"> ADDIN EN.CITE </w:instrText>
            </w:r>
            <w:r w:rsidR="00DE7A23">
              <w:rPr>
                <w:rFonts w:ascii="Times New Roman" w:hAnsi="Times New Roman" w:cs="Times New Roman"/>
                <w:sz w:val="16"/>
                <w:szCs w:val="16"/>
              </w:rPr>
              <w:fldChar w:fldCharType="begin">
                <w:fldData xml:space="preserve">PEVuZE5vdGU+PENpdGUgQXV0aG9yWWVhcj0iMSI+PEF1dGhvcj5IYXJhbGE8L0F1dGhvcj48WWVh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</w:fldData>
              </w:fldChar>
            </w:r>
            <w:r w:rsidR="00DE7A23">
              <w:rPr>
                <w:rFonts w:ascii="Times New Roman" w:hAnsi="Times New Roman" w:cs="Times New Roman"/>
                <w:sz w:val="16"/>
                <w:szCs w:val="16"/>
              </w:rPr>
              <w:instrText xml:space="preserve"> ADDIN EN.CITE.DATA </w:instrText>
            </w:r>
            <w:r w:rsidR="00DE7A23">
              <w:rPr>
                <w:rFonts w:ascii="Times New Roman" w:hAnsi="Times New Roman" w:cs="Times New Roman"/>
                <w:sz w:val="16"/>
                <w:szCs w:val="16"/>
              </w:rPr>
            </w:r>
            <w:r w:rsidR="00DE7A23">
              <w:rPr>
                <w:rFonts w:ascii="Times New Roman" w:hAnsi="Times New Roman" w:cs="Times New Roman"/>
                <w:sz w:val="16"/>
                <w:szCs w:val="16"/>
              </w:rPr>
              <w:fldChar w:fldCharType="end"/>
            </w:r>
            <w:r w:rsidRPr="008339F1">
              <w:rPr>
                <w:rFonts w:ascii="Times New Roman" w:hAnsi="Times New Roman" w:cs="Times New Roman"/>
                <w:sz w:val="16"/>
                <w:szCs w:val="16"/>
              </w:rPr>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Harala et al. (2023)</w:t>
            </w:r>
            <w:r w:rsidRPr="008339F1">
              <w:rPr>
                <w:rFonts w:ascii="Times New Roman" w:hAnsi="Times New Roman" w:cs="Times New Roman"/>
                <w:sz w:val="16"/>
                <w:szCs w:val="16"/>
              </w:rPr>
              <w:fldChar w:fldCharType="end"/>
            </w:r>
            <w:bookmarkEnd w:id="29"/>
          </w:p>
        </w:tc>
        <w:tc>
          <w:tcPr>
            <w:tcW w:w="992" w:type="dxa"/>
          </w:tcPr>
          <w:p w14:paraId="43AAE2B1" w14:textId="77777777" w:rsidR="00E519DB" w:rsidRPr="008339F1" w:rsidRDefault="00E519DB" w:rsidP="00E519DB">
            <w:pPr>
              <w:jc w:val="both"/>
              <w:rPr>
                <w:rFonts w:ascii="Times New Roman" w:hAnsi="Times New Roman" w:cs="Times New Roman"/>
                <w:sz w:val="16"/>
                <w:szCs w:val="16"/>
              </w:rPr>
            </w:pPr>
            <w:bookmarkStart w:id="30" w:name="OLE_LINK263"/>
            <w:r w:rsidRPr="008339F1">
              <w:rPr>
                <w:rFonts w:ascii="Times New Roman" w:hAnsi="Times New Roman" w:cs="Times New Roman"/>
                <w:sz w:val="16"/>
                <w:szCs w:val="16"/>
              </w:rPr>
              <w:t>Finland and Sweden</w:t>
            </w:r>
            <w:bookmarkEnd w:id="30"/>
          </w:p>
        </w:tc>
        <w:tc>
          <w:tcPr>
            <w:tcW w:w="1559" w:type="dxa"/>
          </w:tcPr>
          <w:p w14:paraId="0DC78036"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Investigates how industrial ecosystems in the construction sector can transition toward circular economy (CE) principles, focusing on concrete reuse </w:t>
            </w:r>
          </w:p>
          <w:p w14:paraId="398E5E46" w14:textId="77777777" w:rsidR="00E519DB" w:rsidRPr="008339F1" w:rsidRDefault="00E519DB" w:rsidP="00E519DB">
            <w:pPr>
              <w:jc w:val="both"/>
              <w:rPr>
                <w:rFonts w:ascii="Times New Roman" w:hAnsi="Times New Roman" w:cs="Times New Roman"/>
                <w:sz w:val="16"/>
                <w:szCs w:val="16"/>
              </w:rPr>
            </w:pPr>
          </w:p>
        </w:tc>
        <w:tc>
          <w:tcPr>
            <w:tcW w:w="1271" w:type="dxa"/>
          </w:tcPr>
          <w:p w14:paraId="5390BE0E" w14:textId="2EB6DB49" w:rsidR="00E519DB" w:rsidRPr="008339F1" w:rsidRDefault="00C91062" w:rsidP="00E519DB">
            <w:pPr>
              <w:rPr>
                <w:rFonts w:ascii="Times New Roman" w:hAnsi="Times New Roman" w:cs="Times New Roman"/>
                <w:sz w:val="16"/>
                <w:szCs w:val="16"/>
              </w:rPr>
            </w:pPr>
            <w:r>
              <w:rPr>
                <w:rFonts w:ascii="Times New Roman" w:hAnsi="Times New Roman" w:cs="Times New Roman"/>
                <w:sz w:val="16"/>
                <w:szCs w:val="16"/>
              </w:rPr>
              <w:t>End-of-life</w:t>
            </w:r>
            <w:r w:rsidR="00460CB1">
              <w:rPr>
                <w:rFonts w:ascii="Times New Roman" w:hAnsi="Times New Roman" w:cs="Times New Roman"/>
                <w:sz w:val="16"/>
                <w:szCs w:val="16"/>
              </w:rPr>
              <w:t xml:space="preserve">; </w:t>
            </w:r>
            <w:r w:rsidR="00E519DB" w:rsidRPr="008339F1">
              <w:rPr>
                <w:rFonts w:ascii="Times New Roman" w:hAnsi="Times New Roman" w:cs="Times New Roman"/>
                <w:sz w:val="16"/>
                <w:szCs w:val="16"/>
              </w:rPr>
              <w:t>Donor-building selection; deconstruction planning; deconstruction; logistics; testing/quality assurance; refurbishment; intermediate storage; redesign; reconstruction/reuse; regulation/market development</w:t>
            </w:r>
          </w:p>
        </w:tc>
        <w:tc>
          <w:tcPr>
            <w:tcW w:w="1990" w:type="dxa"/>
          </w:tcPr>
          <w:p w14:paraId="67F34924" w14:textId="5C31E9A3"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Qualitative multiple-case study Semi-structured interviews</w:t>
            </w:r>
          </w:p>
        </w:tc>
        <w:tc>
          <w:tcPr>
            <w:tcW w:w="1843" w:type="dxa"/>
          </w:tcPr>
          <w:p w14:paraId="25C38849" w14:textId="6988FC1D"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consultant, contractor, manufacturer, academic institution, public, and industry association. Construction company; demolition company; concrete-element manufacturer; architect; engineering/structural design company; university/researchers; city/municipal authorities; housing company/client; logistics company; lifting contractor; accredited laboratory; equipment suppliers; public authorities; industry associations</w:t>
            </w:r>
          </w:p>
        </w:tc>
        <w:tc>
          <w:tcPr>
            <w:tcW w:w="2126" w:type="dxa"/>
          </w:tcPr>
          <w:p w14:paraId="3E5ABCC5" w14:textId="688C0DD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In the Finnish pilot, companies handled operational tasks such as demolition planning, deconstruction, logistics, quality assurance, redesign and construction, while the city supported regulatory tasks and the university coordinated/researched the project. </w:t>
            </w:r>
            <w:r w:rsidR="005B54DF" w:rsidRPr="008339F1">
              <w:rPr>
                <w:rFonts w:ascii="Times New Roman" w:hAnsi="Times New Roman" w:cs="Times New Roman"/>
                <w:sz w:val="16"/>
                <w:szCs w:val="16"/>
              </w:rPr>
              <w:t>D</w:t>
            </w:r>
            <w:r w:rsidRPr="008339F1">
              <w:rPr>
                <w:rFonts w:ascii="Times New Roman" w:hAnsi="Times New Roman" w:cs="Times New Roman"/>
                <w:sz w:val="16"/>
                <w:szCs w:val="16"/>
              </w:rPr>
              <w:t>emolition company conducted deconstruction, the engineering company supported work-safety and demolition planning, the concrete-element manufacturer provided knowledge of joints, elements and lifting, the architect led redesign, and laboratories supported condition assessment.</w:t>
            </w:r>
          </w:p>
        </w:tc>
        <w:tc>
          <w:tcPr>
            <w:tcW w:w="2835" w:type="dxa"/>
          </w:tcPr>
          <w:p w14:paraId="7F2EA58B" w14:textId="79085EB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Client/building owner/housing company = Accountable for donor-building decisions, project objectives, reuse acceptance and site/building-permit decisions. Construction company/main contractor = Responsible for project coordination, construction implementation, site knowledge, work-safety responsibility and reuse execution. Demolition company = Responsible for deconstruction planning, careful element detachment and salvage. Concrete-element manufacturer = Responsible for technical knowledge on elements, joints, lifting, refurbishment and potential second-hand product development.</w:t>
            </w:r>
            <w:r w:rsidR="00E155E2" w:rsidRPr="008339F1">
              <w:rPr>
                <w:rFonts w:ascii="Times New Roman" w:hAnsi="Times New Roman" w:cs="Times New Roman"/>
                <w:sz w:val="16"/>
                <w:szCs w:val="16"/>
              </w:rPr>
              <w:t xml:space="preserve"> Architects/designers and structural engineers = </w:t>
            </w:r>
            <w:r w:rsidR="003B709E" w:rsidRPr="008339F1">
              <w:rPr>
                <w:rFonts w:ascii="Times New Roman" w:hAnsi="Times New Roman" w:cs="Times New Roman"/>
                <w:sz w:val="16"/>
                <w:szCs w:val="16"/>
              </w:rPr>
              <w:t>Responsible for reuse-based redesign, condition assessment, demolition planning, structural verification and technical design</w:t>
            </w:r>
            <w:r w:rsidRPr="008339F1">
              <w:rPr>
                <w:rFonts w:ascii="Times New Roman" w:hAnsi="Times New Roman" w:cs="Times New Roman"/>
                <w:sz w:val="16"/>
                <w:szCs w:val="16"/>
              </w:rPr>
              <w:t>. University/researchers = Consulted for research, coordination, testing knowledge and environmental/</w:t>
            </w:r>
            <w:r w:rsidR="003B709E" w:rsidRPr="008339F1">
              <w:rPr>
                <w:rFonts w:ascii="Times New Roman" w:hAnsi="Times New Roman" w:cs="Times New Roman"/>
                <w:sz w:val="16"/>
                <w:szCs w:val="16"/>
              </w:rPr>
              <w:t xml:space="preserve"> </w:t>
            </w:r>
            <w:r w:rsidRPr="008339F1">
              <w:rPr>
                <w:rFonts w:ascii="Times New Roman" w:hAnsi="Times New Roman" w:cs="Times New Roman"/>
                <w:sz w:val="16"/>
                <w:szCs w:val="16"/>
              </w:rPr>
              <w:t>business/social assessment. City/authorities =</w:t>
            </w:r>
            <w:r w:rsidR="003B709E" w:rsidRPr="008339F1">
              <w:rPr>
                <w:rFonts w:ascii="Times New Roman" w:hAnsi="Times New Roman" w:cs="Times New Roman"/>
                <w:sz w:val="16"/>
                <w:szCs w:val="16"/>
              </w:rPr>
              <w:t xml:space="preserve"> </w:t>
            </w:r>
            <w:r w:rsidRPr="008339F1">
              <w:rPr>
                <w:rFonts w:ascii="Times New Roman" w:hAnsi="Times New Roman" w:cs="Times New Roman"/>
                <w:sz w:val="16"/>
                <w:szCs w:val="16"/>
              </w:rPr>
              <w:t>Accountable/</w:t>
            </w:r>
            <w:r w:rsidR="003B709E" w:rsidRPr="008339F1">
              <w:rPr>
                <w:rFonts w:ascii="Times New Roman" w:hAnsi="Times New Roman" w:cs="Times New Roman"/>
                <w:sz w:val="16"/>
                <w:szCs w:val="16"/>
              </w:rPr>
              <w:t xml:space="preserve"> </w:t>
            </w:r>
            <w:r w:rsidRPr="008339F1">
              <w:rPr>
                <w:rFonts w:ascii="Times New Roman" w:hAnsi="Times New Roman" w:cs="Times New Roman"/>
                <w:sz w:val="16"/>
                <w:szCs w:val="16"/>
              </w:rPr>
              <w:t>Consulted for permits, regulatory acceptance and public-sector support. Logistics/lifting actors/laboratories = Responsible for transport, lifting, testing and quality assurance within assigned tasks.</w:t>
            </w:r>
          </w:p>
        </w:tc>
        <w:tc>
          <w:tcPr>
            <w:tcW w:w="3118" w:type="dxa"/>
          </w:tcPr>
          <w:p w14:paraId="59501EBA" w14:textId="7C7FFB1A"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Unclear role boundaries; uncertainty over “who does what” and who is financially responsible; lack of established supply and demand for reused concrete elements; need to build a reuse market; regulatory uncertainty; lack of ready-made guidance from authorities; need for close communication among actors; risk of value destruction when detached elements are treated as waste; tight schedules; difficulty finding suitable donor elements; storage and logistics challenges; resistance to new digital tools; need to change design thinking from starting from scratch to designing with available elements.</w:t>
            </w:r>
          </w:p>
        </w:tc>
        <w:tc>
          <w:tcPr>
            <w:tcW w:w="2127" w:type="dxa"/>
          </w:tcPr>
          <w:p w14:paraId="7971ACD5" w14:textId="5DF122CC"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Affected: construction companies, demolition companies, concrete-element manufacturers, designers, engineers, clients/building owners, logistics actors, reuse-market actors and public authorities. Influencing: clients/building owners, main contractors, demolition contractors, manufacturers, architects, engineers, universities, cities, regulatory authorities, laboratories, logistics/lifting actors and industry associations.</w:t>
            </w:r>
          </w:p>
        </w:tc>
        <w:tc>
          <w:tcPr>
            <w:tcW w:w="2268" w:type="dxa"/>
          </w:tcPr>
          <w:p w14:paraId="03FED451" w14:textId="77777777" w:rsidR="00E519DB" w:rsidRPr="008339F1" w:rsidRDefault="00E519DB" w:rsidP="00E519DB">
            <w:pPr>
              <w:rPr>
                <w:rFonts w:ascii="Times New Roman" w:hAnsi="Times New Roman" w:cs="Times New Roman"/>
                <w:sz w:val="16"/>
                <w:szCs w:val="16"/>
              </w:rPr>
            </w:pPr>
            <w:bookmarkStart w:id="31" w:name="OLE_LINK630"/>
            <w:r w:rsidRPr="008339F1">
              <w:rPr>
                <w:rFonts w:ascii="Times New Roman" w:hAnsi="Times New Roman" w:cs="Times New Roman"/>
                <w:sz w:val="16"/>
                <w:szCs w:val="16"/>
              </w:rPr>
              <w:t>Digital information sharing platform</w:t>
            </w:r>
            <w:bookmarkEnd w:id="31"/>
            <w:r w:rsidRPr="008339F1">
              <w:rPr>
                <w:rFonts w:ascii="Times New Roman" w:hAnsi="Times New Roman" w:cs="Times New Roman"/>
                <w:sz w:val="16"/>
                <w:szCs w:val="16"/>
              </w:rPr>
              <w:t xml:space="preserve"> </w:t>
            </w:r>
          </w:p>
          <w:p w14:paraId="71B7A6F9" w14:textId="7BD70C46"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Expand stakeholder roles beyond conventional construction; engage actors early in deconstruction and redesign planning; use open communication and collaborative problem-solving; clarify responsibility and financial accountability; treat detached elements as valuable resources rather than waste; use digital tools such as 3D inventory models and RFID tracking; conduct condition surveys and quality assurance; plan logistics, storage, work safety, moisture control and lifting; involve authorities early; develop market niches for refurbishment, storage and second-hand sales of concrete elements.</w:t>
            </w:r>
          </w:p>
        </w:tc>
      </w:tr>
      <w:tr w:rsidR="008339F1" w:rsidRPr="008339F1" w14:paraId="7577DBE2" w14:textId="77777777" w:rsidTr="002B37B8">
        <w:trPr>
          <w:trHeight w:val="4678"/>
        </w:trPr>
        <w:tc>
          <w:tcPr>
            <w:tcW w:w="503" w:type="dxa"/>
          </w:tcPr>
          <w:p w14:paraId="2DD00259" w14:textId="7163CAF1" w:rsidR="00E519DB" w:rsidRPr="008339F1" w:rsidRDefault="000D42B6"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27</w:t>
            </w:r>
          </w:p>
        </w:tc>
        <w:tc>
          <w:tcPr>
            <w:tcW w:w="915" w:type="dxa"/>
          </w:tcPr>
          <w:p w14:paraId="1FF6E501"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AuthorYear="1"&gt;&lt;Author&gt;Wang&lt;/Author&gt;&lt;Year&gt;2024&lt;/Year&gt;&lt;RecNum&gt;2483&lt;/RecNum&gt;&lt;DisplayText&gt;Wang et al. (2024)&lt;/DisplayText&gt;&lt;record&gt;&lt;rec-number&gt;2483&lt;/rec-number&gt;&lt;foreign-keys&gt;&lt;key app="EN" db-id="z959xtv5kdxdt0eawtt5ssvc90eradx50fpz" timestamp="1765790368"&gt;2483&lt;/key&gt;&lt;/foreign-keys&gt;&lt;ref-type name="Journal Article"&gt;17&lt;/ref-type&gt;&lt;contributors&gt;&lt;authors&gt;&lt;author&gt;Wang, Yingchen&lt;/author&gt;&lt;author&gt;Liu, Yan&lt;/author&gt;&lt;author&gt;Wang, Tao&lt;/author&gt;&lt;author&gt;Xing, Xiumin&lt;/author&gt;&lt;author&gt;Geng, Xiaoxiao&lt;/author&gt;&lt;/authors&gt;&lt;/contributors&gt;&lt;titles&gt;&lt;title&gt;Evolutionary game and simulation analysis of construction waste recycling from the perspective of stakeholders&lt;/title&gt;&lt;secondary-title&gt;Plos one&lt;/secondary-title&gt;&lt;/titles&gt;&lt;periodical&gt;&lt;full-title&gt;PLoS ONE&lt;/full-title&gt;&lt;abbr-1&gt;PLoS ONE&lt;/abbr-1&gt;&lt;/periodical&gt;&lt;pages&gt;e0307652&lt;/pages&gt;&lt;volume&gt;19&lt;/volume&gt;&lt;number&gt;8&lt;/number&gt;&lt;dates&gt;&lt;year&gt;2024&lt;/year&gt;&lt;/dates&gt;&lt;isbn&gt;1932-6203&lt;/isbn&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Wang et al. (2024)</w:t>
            </w:r>
            <w:r w:rsidRPr="008339F1">
              <w:rPr>
                <w:rFonts w:ascii="Times New Roman" w:hAnsi="Times New Roman" w:cs="Times New Roman"/>
                <w:sz w:val="16"/>
                <w:szCs w:val="16"/>
              </w:rPr>
              <w:fldChar w:fldCharType="end"/>
            </w:r>
          </w:p>
        </w:tc>
        <w:tc>
          <w:tcPr>
            <w:tcW w:w="992" w:type="dxa"/>
          </w:tcPr>
          <w:p w14:paraId="5DBC1494" w14:textId="77777777" w:rsidR="00E519DB" w:rsidRPr="008339F1" w:rsidRDefault="00E519DB" w:rsidP="00E519DB">
            <w:pPr>
              <w:jc w:val="both"/>
              <w:rPr>
                <w:rFonts w:ascii="Times New Roman" w:hAnsi="Times New Roman" w:cs="Times New Roman"/>
                <w:sz w:val="16"/>
                <w:szCs w:val="16"/>
              </w:rPr>
            </w:pPr>
            <w:bookmarkStart w:id="32" w:name="OLE_LINK239"/>
            <w:r w:rsidRPr="008339F1">
              <w:rPr>
                <w:rFonts w:ascii="Times New Roman" w:hAnsi="Times New Roman" w:cs="Times New Roman"/>
                <w:sz w:val="16"/>
                <w:szCs w:val="16"/>
              </w:rPr>
              <w:t>China</w:t>
            </w:r>
            <w:bookmarkEnd w:id="32"/>
          </w:p>
        </w:tc>
        <w:tc>
          <w:tcPr>
            <w:tcW w:w="1559" w:type="dxa"/>
          </w:tcPr>
          <w:p w14:paraId="136E5AF8" w14:textId="64C2FFA9"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Stakeholder decision-making in construction waste recycling involving government, construction units, recycling/reprocessing enterprises and public participation. </w:t>
            </w:r>
          </w:p>
        </w:tc>
        <w:tc>
          <w:tcPr>
            <w:tcW w:w="1271" w:type="dxa"/>
          </w:tcPr>
          <w:p w14:paraId="16AD1F59" w14:textId="1E8913F9" w:rsidR="00E519DB" w:rsidRPr="008339F1" w:rsidRDefault="00460CB1" w:rsidP="00E519DB">
            <w:pPr>
              <w:rPr>
                <w:rFonts w:ascii="Times New Roman" w:hAnsi="Times New Roman" w:cs="Times New Roman"/>
                <w:sz w:val="16"/>
                <w:szCs w:val="16"/>
              </w:rPr>
            </w:pPr>
            <w:r>
              <w:rPr>
                <w:rFonts w:ascii="Times New Roman" w:hAnsi="Times New Roman" w:cs="Times New Roman"/>
                <w:sz w:val="16"/>
                <w:szCs w:val="16"/>
              </w:rPr>
              <w:t>End of life</w:t>
            </w:r>
          </w:p>
        </w:tc>
        <w:tc>
          <w:tcPr>
            <w:tcW w:w="1990" w:type="dxa"/>
          </w:tcPr>
          <w:p w14:paraId="43AB73FC" w14:textId="067148A9"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Stakeholder decision-making in construction waste recycling involving government, construction units, recycling/reprocessing enterprises and public participation</w:t>
            </w:r>
          </w:p>
        </w:tc>
        <w:tc>
          <w:tcPr>
            <w:tcW w:w="1843" w:type="dxa"/>
          </w:tcPr>
          <w:p w14:paraId="0BA49079" w14:textId="3FEE840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construction units; recycling enterprises, and public</w:t>
            </w:r>
            <w:r w:rsidR="00EB2FC4" w:rsidRPr="008339F1">
              <w:rPr>
                <w:rFonts w:ascii="Times New Roman" w:hAnsi="Times New Roman" w:cs="Times New Roman"/>
                <w:sz w:val="16"/>
                <w:szCs w:val="16"/>
              </w:rPr>
              <w:t xml:space="preserve"> </w:t>
            </w:r>
            <w:r w:rsidRPr="008339F1">
              <w:rPr>
                <w:rFonts w:ascii="Times New Roman" w:hAnsi="Times New Roman" w:cs="Times New Roman"/>
                <w:sz w:val="16"/>
                <w:szCs w:val="16"/>
              </w:rPr>
              <w:t>actors.</w:t>
            </w:r>
          </w:p>
        </w:tc>
        <w:tc>
          <w:tcPr>
            <w:tcW w:w="2126" w:type="dxa"/>
          </w:tcPr>
          <w:p w14:paraId="66DA7C81" w14:textId="1AF3A319" w:rsidR="00E519DB" w:rsidRPr="008339F1" w:rsidRDefault="00EB2FC4" w:rsidP="00E519DB">
            <w:pPr>
              <w:rPr>
                <w:rFonts w:ascii="Times New Roman" w:hAnsi="Times New Roman" w:cs="Times New Roman"/>
                <w:sz w:val="16"/>
                <w:szCs w:val="16"/>
              </w:rPr>
            </w:pPr>
            <w:r w:rsidRPr="008339F1">
              <w:rPr>
                <w:rFonts w:ascii="Times New Roman" w:hAnsi="Times New Roman" w:cs="Times New Roman"/>
                <w:sz w:val="16"/>
                <w:szCs w:val="16"/>
              </w:rPr>
              <w:t>G</w:t>
            </w:r>
            <w:r w:rsidR="00E519DB" w:rsidRPr="008339F1">
              <w:rPr>
                <w:rFonts w:ascii="Times New Roman" w:hAnsi="Times New Roman" w:cs="Times New Roman"/>
                <w:sz w:val="16"/>
                <w:szCs w:val="16"/>
              </w:rPr>
              <w:t>overnment is responsible for supervision and policy making, construction units are the source of construction waste, and</w:t>
            </w:r>
            <w:r w:rsidRPr="008339F1">
              <w:rPr>
                <w:rFonts w:ascii="Times New Roman" w:hAnsi="Times New Roman" w:cs="Times New Roman"/>
                <w:sz w:val="16"/>
                <w:szCs w:val="16"/>
              </w:rPr>
              <w:t xml:space="preserve"> </w:t>
            </w:r>
            <w:r w:rsidR="00E519DB" w:rsidRPr="008339F1">
              <w:rPr>
                <w:rFonts w:ascii="Times New Roman" w:hAnsi="Times New Roman" w:cs="Times New Roman"/>
                <w:sz w:val="16"/>
                <w:szCs w:val="16"/>
              </w:rPr>
              <w:t>recycling/</w:t>
            </w:r>
            <w:r w:rsidRPr="008339F1">
              <w:rPr>
                <w:rFonts w:ascii="Times New Roman" w:hAnsi="Times New Roman" w:cs="Times New Roman"/>
                <w:sz w:val="16"/>
                <w:szCs w:val="16"/>
              </w:rPr>
              <w:t xml:space="preserve"> </w:t>
            </w:r>
            <w:r w:rsidR="00E519DB" w:rsidRPr="008339F1">
              <w:rPr>
                <w:rFonts w:ascii="Times New Roman" w:hAnsi="Times New Roman" w:cs="Times New Roman"/>
                <w:sz w:val="16"/>
                <w:szCs w:val="16"/>
              </w:rPr>
              <w:t xml:space="preserve">reprocessing enterprises are key stakeholders in producing recycled products. </w:t>
            </w:r>
            <w:r w:rsidRPr="008339F1">
              <w:rPr>
                <w:rFonts w:ascii="Times New Roman" w:hAnsi="Times New Roman" w:cs="Times New Roman"/>
                <w:sz w:val="16"/>
                <w:szCs w:val="16"/>
              </w:rPr>
              <w:t>T</w:t>
            </w:r>
            <w:r w:rsidR="00E519DB" w:rsidRPr="008339F1">
              <w:rPr>
                <w:rFonts w:ascii="Times New Roman" w:hAnsi="Times New Roman" w:cs="Times New Roman"/>
                <w:sz w:val="16"/>
                <w:szCs w:val="16"/>
              </w:rPr>
              <w:t xml:space="preserve">he public serves as a supervisor of the construction waste recycling process. The model assumes three strategic actors: </w:t>
            </w:r>
            <w:r w:rsidR="00460CB1">
              <w:rPr>
                <w:rFonts w:ascii="Times New Roman" w:hAnsi="Times New Roman" w:cs="Times New Roman"/>
                <w:sz w:val="16"/>
                <w:szCs w:val="16"/>
              </w:rPr>
              <w:t xml:space="preserve">the </w:t>
            </w:r>
            <w:r w:rsidR="00E519DB" w:rsidRPr="008339F1">
              <w:rPr>
                <w:rFonts w:ascii="Times New Roman" w:hAnsi="Times New Roman" w:cs="Times New Roman"/>
                <w:sz w:val="16"/>
                <w:szCs w:val="16"/>
              </w:rPr>
              <w:t>government choosing regulation/non-regulation, construction units choosing legal/illegal treatment, and recycling/reprocessing enterprises choosing high-quality/low-quality reproduction.</w:t>
            </w:r>
          </w:p>
        </w:tc>
        <w:tc>
          <w:tcPr>
            <w:tcW w:w="2835" w:type="dxa"/>
          </w:tcPr>
          <w:p w14:paraId="7560126B" w14:textId="13A5CBE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Government: Accountable for policy direction, regulatory framework, fines, subsidies and supervision rules; Responsible for active regulation/enforcement where supervision is selected. Construction units: Responsible for legal treatment of construction waste because they generate the waste and their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xml:space="preserve"> directly affects recycling efficiency. Recycling/reprocessing enterprises: Responsible for high-quality reproduction, processing quality and recycled-product output. Public: mainly </w:t>
            </w:r>
            <w:r w:rsidR="00460CB1">
              <w:rPr>
                <w:rFonts w:ascii="Times New Roman" w:hAnsi="Times New Roman" w:cs="Times New Roman"/>
                <w:sz w:val="16"/>
                <w:szCs w:val="16"/>
              </w:rPr>
              <w:t>c</w:t>
            </w:r>
            <w:r w:rsidRPr="008339F1">
              <w:rPr>
                <w:rFonts w:ascii="Times New Roman" w:hAnsi="Times New Roman" w:cs="Times New Roman"/>
                <w:sz w:val="16"/>
                <w:szCs w:val="16"/>
              </w:rPr>
              <w:t>onsulted/Informed through supervision, reporting, reputation effects and public participation; may support monitoring but is not accountable for the system.</w:t>
            </w:r>
          </w:p>
        </w:tc>
        <w:tc>
          <w:tcPr>
            <w:tcW w:w="3118" w:type="dxa"/>
          </w:tcPr>
          <w:p w14:paraId="43472429" w14:textId="73DBAC6E" w:rsidR="00E519DB" w:rsidRPr="008339F1" w:rsidRDefault="00E130CF" w:rsidP="00E519DB">
            <w:pPr>
              <w:rPr>
                <w:rFonts w:ascii="Times New Roman" w:hAnsi="Times New Roman" w:cs="Times New Roman"/>
                <w:sz w:val="16"/>
                <w:szCs w:val="16"/>
              </w:rPr>
            </w:pPr>
            <w:r w:rsidRPr="008339F1">
              <w:rPr>
                <w:rFonts w:ascii="Times New Roman" w:hAnsi="Times New Roman" w:cs="Times New Roman"/>
                <w:sz w:val="16"/>
                <w:szCs w:val="16"/>
              </w:rPr>
              <w:t>U</w:t>
            </w:r>
            <w:r w:rsidR="00E519DB" w:rsidRPr="008339F1">
              <w:rPr>
                <w:rFonts w:ascii="Times New Roman" w:hAnsi="Times New Roman" w:cs="Times New Roman"/>
                <w:sz w:val="16"/>
                <w:szCs w:val="16"/>
              </w:rPr>
              <w:t>nclear/inefficient government supervision; illegal treatment by construction units; low-quality reproduction by recycling/reprocessing enterprises; high cost of green operations; conflict of interest among stakeholders; short-term profit orientation; weak public participation; limited government information channels; reputation/incentive weakness; and the possibility that excessive or poorly designed subsidies weaken the regulatory effect of fines.</w:t>
            </w:r>
          </w:p>
        </w:tc>
        <w:tc>
          <w:tcPr>
            <w:tcW w:w="2127" w:type="dxa"/>
          </w:tcPr>
          <w:p w14:paraId="5BFE1353" w14:textId="313E8088"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Affected: construction units, recycling/reprocessing enterprises, government regulators, public/environmental beneficiaries and recycled-product users. Influencing: government through fines, subsidies and policy; public through supervision and reputation pressure; construction units through legal/illegal treatment decisions; recycling/reprocessing enterprises through high- or low-quality production; technology providers through cost-reduction innovations.</w:t>
            </w:r>
          </w:p>
        </w:tc>
        <w:tc>
          <w:tcPr>
            <w:tcW w:w="2268" w:type="dxa"/>
          </w:tcPr>
          <w:p w14:paraId="1B430732" w14:textId="108945BB"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Adjust fines and subsidies carefully; increase penalties for illegal treatment and low-quality reproduction; avoid excessive subsidies that weaken compliance incentives; reduce green-operation costs through technological innovation; raise stakeholder awareness of resource utilization; encourage public supervision; use public reputation pressure to incentivize green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support digital supervision, data collection, intelligent sorting and cross-sector cooperation between digital technology firms and waste-treatment enterprises.</w:t>
            </w:r>
          </w:p>
        </w:tc>
      </w:tr>
      <w:tr w:rsidR="008339F1" w:rsidRPr="008339F1" w14:paraId="70EDD969" w14:textId="77777777" w:rsidTr="002B37B8">
        <w:trPr>
          <w:trHeight w:val="156"/>
        </w:trPr>
        <w:tc>
          <w:tcPr>
            <w:tcW w:w="503" w:type="dxa"/>
          </w:tcPr>
          <w:p w14:paraId="123B5B53" w14:textId="6946A540" w:rsidR="00E519DB" w:rsidRPr="008339F1" w:rsidRDefault="00AC7224"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28</w:t>
            </w:r>
          </w:p>
        </w:tc>
        <w:tc>
          <w:tcPr>
            <w:tcW w:w="915" w:type="dxa"/>
          </w:tcPr>
          <w:p w14:paraId="0A2B3A20"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AuthorYear="1"&gt;&lt;Author&gt;Song&lt;/Author&gt;&lt;Year&gt;2024&lt;/Year&gt;&lt;RecNum&gt;2488&lt;/RecNum&gt;&lt;DisplayText&gt;Song et al. (2024)&lt;/DisplayText&gt;&lt;record&gt;&lt;rec-number&gt;2488&lt;/rec-number&gt;&lt;foreign-keys&gt;&lt;key app="EN" db-id="z959xtv5kdxdt0eawtt5ssvc90eradx50fpz" timestamp="1765857638"&gt;2488&lt;/key&gt;&lt;/foreign-keys&gt;&lt;ref-type name="Electronic Article"&gt;43&lt;/ref-type&gt;&lt;contributors&gt;&lt;authors&gt;&lt;author&gt;Song, Wenxuan&lt;/author&gt;&lt;author&gt;Hou, Guisheng&lt;/author&gt;&lt;author&gt;Yang, Lei&lt;/author&gt;&lt;author&gt;Wang, Pengmin&lt;/author&gt;&lt;author&gt;Guo, Yanlu&lt;/author&gt;&lt;/authors&gt;&lt;/contributors&gt;&lt;titles&gt;&lt;title&gt;Evolutionary Game Analysis for Promoting the Realization of Construction Waste Recycling and Resource Utilization: Based on a Multi-Agent Collaboration Perspective&lt;/title&gt;&lt;secondary-title&gt;Buildings&lt;/secondary-title&gt;&lt;/titles&gt;&lt;periodical&gt;&lt;full-title&gt;Buildings&lt;/full-title&gt;&lt;/periodical&gt;&lt;pages&gt;2368&lt;/pages&gt;&lt;volume&gt;14&lt;/volume&gt;&lt;number&gt;8&lt;/number&gt;&lt;keywords&gt;&lt;keyword&gt;construction waste reduction&lt;/keyword&gt;&lt;keyword&gt;construction waste recycling&lt;/keyword&gt;&lt;keyword&gt;multi-agent collaboration&lt;/keyword&gt;&lt;keyword&gt;evolutionary game model&lt;/keyword&gt;&lt;keyword&gt;numerical simulation&lt;/keyword&gt;&lt;/keywords&gt;&lt;dates&gt;&lt;year&gt;2024&lt;/year&gt;&lt;/dates&gt;&lt;isbn&gt;2075-5309&lt;/isbn&gt;&lt;urls&gt;&lt;/urls&gt;&lt;electronic-resource-num&gt;10.3390/buildings14082368&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Song et al. (2024)</w:t>
            </w:r>
            <w:r w:rsidRPr="008339F1">
              <w:rPr>
                <w:rFonts w:ascii="Times New Roman" w:hAnsi="Times New Roman" w:cs="Times New Roman"/>
                <w:sz w:val="16"/>
                <w:szCs w:val="16"/>
              </w:rPr>
              <w:fldChar w:fldCharType="end"/>
            </w:r>
          </w:p>
        </w:tc>
        <w:tc>
          <w:tcPr>
            <w:tcW w:w="992" w:type="dxa"/>
          </w:tcPr>
          <w:p w14:paraId="37618F3A"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34C0875A" w14:textId="76BE7019"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Multi-agent collaboration among construction enterprises, construction waste recyclers/building material manufacturers, and government in construction waste recycling</w:t>
            </w:r>
          </w:p>
        </w:tc>
        <w:tc>
          <w:tcPr>
            <w:tcW w:w="1271" w:type="dxa"/>
          </w:tcPr>
          <w:p w14:paraId="70A361D6" w14:textId="348798BB" w:rsidR="00E519DB" w:rsidRPr="008339F1" w:rsidRDefault="00854C8E" w:rsidP="00E519DB">
            <w:pPr>
              <w:rPr>
                <w:rFonts w:ascii="Times New Roman" w:hAnsi="Times New Roman" w:cs="Times New Roman"/>
                <w:sz w:val="16"/>
                <w:szCs w:val="16"/>
              </w:rPr>
            </w:pPr>
            <w:r>
              <w:rPr>
                <w:rFonts w:ascii="Times New Roman" w:hAnsi="Times New Roman" w:cs="Times New Roman"/>
                <w:sz w:val="16"/>
                <w:szCs w:val="16"/>
              </w:rPr>
              <w:t>End-of-life</w:t>
            </w:r>
          </w:p>
        </w:tc>
        <w:tc>
          <w:tcPr>
            <w:tcW w:w="1990" w:type="dxa"/>
          </w:tcPr>
          <w:p w14:paraId="4F03F95A" w14:textId="0B2ED4AE"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Quantitative modelling / evolutionary game analysis</w:t>
            </w:r>
          </w:p>
        </w:tc>
        <w:tc>
          <w:tcPr>
            <w:tcW w:w="1843" w:type="dxa"/>
          </w:tcPr>
          <w:p w14:paraId="59155505" w14:textId="0BCFEEAF"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Construction enterprises</w:t>
            </w:r>
            <w:r w:rsidR="00460CB1">
              <w:rPr>
                <w:rFonts w:ascii="Times New Roman" w:hAnsi="Times New Roman" w:cs="Times New Roman"/>
                <w:sz w:val="16"/>
                <w:szCs w:val="16"/>
              </w:rPr>
              <w:t>,</w:t>
            </w:r>
            <w:r w:rsidRPr="008339F1">
              <w:rPr>
                <w:rFonts w:ascii="Times New Roman" w:hAnsi="Times New Roman" w:cs="Times New Roman"/>
                <w:sz w:val="16"/>
                <w:szCs w:val="16"/>
              </w:rPr>
              <w:t xml:space="preserve"> recyclers and government.</w:t>
            </w:r>
          </w:p>
        </w:tc>
        <w:tc>
          <w:tcPr>
            <w:tcW w:w="2126" w:type="dxa"/>
          </w:tcPr>
          <w:p w14:paraId="00F70BAF" w14:textId="4931063A" w:rsidR="00E519DB" w:rsidRPr="008339F1" w:rsidRDefault="00AC7224" w:rsidP="00E519DB">
            <w:pPr>
              <w:rPr>
                <w:rFonts w:ascii="Times New Roman" w:hAnsi="Times New Roman" w:cs="Times New Roman"/>
                <w:sz w:val="16"/>
                <w:szCs w:val="16"/>
              </w:rPr>
            </w:pPr>
            <w:r w:rsidRPr="008339F1">
              <w:rPr>
                <w:rFonts w:ascii="Times New Roman" w:hAnsi="Times New Roman" w:cs="Times New Roman"/>
                <w:sz w:val="16"/>
                <w:szCs w:val="16"/>
              </w:rPr>
              <w:t>C</w:t>
            </w:r>
            <w:r w:rsidR="00E519DB" w:rsidRPr="008339F1">
              <w:rPr>
                <w:rFonts w:ascii="Times New Roman" w:hAnsi="Times New Roman" w:cs="Times New Roman"/>
                <w:sz w:val="16"/>
                <w:szCs w:val="16"/>
              </w:rPr>
              <w:t xml:space="preserve">onstruction enterprises as the “producers” of construction waste, building material manufacturers as “recyclers”, and </w:t>
            </w:r>
            <w:r w:rsidR="00460CB1">
              <w:rPr>
                <w:rFonts w:ascii="Times New Roman" w:hAnsi="Times New Roman" w:cs="Times New Roman"/>
                <w:sz w:val="16"/>
                <w:szCs w:val="16"/>
              </w:rPr>
              <w:t xml:space="preserve">the </w:t>
            </w:r>
            <w:r w:rsidR="00E519DB" w:rsidRPr="008339F1">
              <w:rPr>
                <w:rFonts w:ascii="Times New Roman" w:hAnsi="Times New Roman" w:cs="Times New Roman"/>
                <w:sz w:val="16"/>
                <w:szCs w:val="16"/>
              </w:rPr>
              <w:t xml:space="preserve">government as the “leader and supervisor.” It also states that construction enterprises should </w:t>
            </w:r>
            <w:proofErr w:type="spellStart"/>
            <w:r w:rsidR="00E519DB" w:rsidRPr="008339F1">
              <w:rPr>
                <w:rFonts w:ascii="Times New Roman" w:hAnsi="Times New Roman" w:cs="Times New Roman"/>
                <w:sz w:val="16"/>
                <w:szCs w:val="16"/>
              </w:rPr>
              <w:t>minimise</w:t>
            </w:r>
            <w:proofErr w:type="spellEnd"/>
            <w:r w:rsidR="00E519DB" w:rsidRPr="008339F1">
              <w:rPr>
                <w:rFonts w:ascii="Times New Roman" w:hAnsi="Times New Roman" w:cs="Times New Roman"/>
                <w:sz w:val="16"/>
                <w:szCs w:val="16"/>
              </w:rPr>
              <w:t xml:space="preserve"> construction waste generation and adopt proper disposal methods, including collection, classification, stacking and transportation. Recyclers are described as actors that dismantle, pre-classify, screen, crush and remanufacture construction waste into reusable building materials. The government is described as the key actor that provides policy design, incentives, supervision, fines, subsidies, technical support and market support.</w:t>
            </w:r>
          </w:p>
        </w:tc>
        <w:tc>
          <w:tcPr>
            <w:tcW w:w="2835" w:type="dxa"/>
          </w:tcPr>
          <w:p w14:paraId="5276C517" w14:textId="14EA01E9"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Accountable for policy design, incentive–constraint mechanisms, fines, market support, technical/talent support, procurement preference and coordination of multi-agent collaboration; Responsible for active supervision/enforcement when incentive-constraint policy is adopted; Consulted where policy design requires industry input. Construction enterprises/producers: Responsible for reducing waste at source, compliant disposal, collection, classification, storage and legal handling of generated construction waste. Construction waste recyclers/building material manufacturers: Responsible for investing in recycling/resource-utilization projects, collecting/screening/processing waste, producing recycled building materials and improving resource-utilization capacity. Buyers/consumers: mainly Informed/Consulted because market acceptance affects recycled-product sales, although they are not modelled as core game actors.</w:t>
            </w:r>
          </w:p>
        </w:tc>
        <w:tc>
          <w:tcPr>
            <w:tcW w:w="3118" w:type="dxa"/>
          </w:tcPr>
          <w:p w14:paraId="226B8C0A" w14:textId="67B785D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 xml:space="preserve">The study directly addresses collaboration and implementation barriers: weak willingness of producers and recyclers to participate; excessive reliance on government effort; policy inefficiency; ambiguous accountability; insufficient incentives; conflict between environmental responsibility and profit </w:t>
            </w:r>
            <w:proofErr w:type="spellStart"/>
            <w:r w:rsidRPr="008339F1">
              <w:rPr>
                <w:rFonts w:ascii="Times New Roman" w:hAnsi="Times New Roman" w:cs="Times New Roman"/>
                <w:sz w:val="16"/>
                <w:szCs w:val="16"/>
              </w:rPr>
              <w:t>maximisation</w:t>
            </w:r>
            <w:proofErr w:type="spellEnd"/>
            <w:r w:rsidRPr="008339F1">
              <w:rPr>
                <w:rFonts w:ascii="Times New Roman" w:hAnsi="Times New Roman" w:cs="Times New Roman"/>
                <w:sz w:val="16"/>
                <w:szCs w:val="16"/>
              </w:rPr>
              <w:t xml:space="preserve">; free-rider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xml:space="preserve">; low sales and low price of recycled products; high fixed investment/entry cost for recyclers; high participation cost and uncertainty; risk of direct subsidies creating speculative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poor market acceptance of recycled building materials; and incomplete consideration of wider stakeholders such as buyers, private investors and banks.</w:t>
            </w:r>
          </w:p>
        </w:tc>
        <w:tc>
          <w:tcPr>
            <w:tcW w:w="2127" w:type="dxa"/>
          </w:tcPr>
          <w:p w14:paraId="022AF416" w14:textId="28553045"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Affected: construction enterprises, recyclers/building material manufacturers, government, recycled-product market actors and end-users. Influencing: government through fines, policy tools, procurement, technical support and market guarantees; construction enterprises through compliant or illegal disposal; recyclers through investment and recycled-product production; buyers/consumers through market acceptance; investors/banks indirectly through financing conditions</w:t>
            </w:r>
          </w:p>
        </w:tc>
        <w:tc>
          <w:tcPr>
            <w:tcW w:w="2268" w:type="dxa"/>
          </w:tcPr>
          <w:p w14:paraId="12E832B4" w14:textId="07A7ABDA" w:rsidR="00E519DB" w:rsidRPr="008339F1" w:rsidRDefault="00E519DB" w:rsidP="00E519DB">
            <w:pPr>
              <w:jc w:val="center"/>
              <w:rPr>
                <w:rFonts w:ascii="Times New Roman" w:hAnsi="Times New Roman" w:cs="Times New Roman"/>
                <w:sz w:val="16"/>
                <w:szCs w:val="16"/>
              </w:rPr>
            </w:pPr>
          </w:p>
        </w:tc>
      </w:tr>
      <w:tr w:rsidR="008339F1" w:rsidRPr="008339F1" w14:paraId="3CE0DE7C" w14:textId="77777777" w:rsidTr="002B37B8">
        <w:trPr>
          <w:trHeight w:val="1258"/>
        </w:trPr>
        <w:tc>
          <w:tcPr>
            <w:tcW w:w="503" w:type="dxa"/>
          </w:tcPr>
          <w:p w14:paraId="6FBA8FEC" w14:textId="6D51879C" w:rsidR="00E519DB" w:rsidRPr="008339F1" w:rsidRDefault="00DF2503" w:rsidP="00E519DB">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29</w:t>
            </w:r>
          </w:p>
        </w:tc>
        <w:tc>
          <w:tcPr>
            <w:tcW w:w="915" w:type="dxa"/>
          </w:tcPr>
          <w:p w14:paraId="63303776"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AuthorYear="1"&gt;&lt;Author&gt;Hwang&lt;/Author&gt;&lt;Year&gt;2013&lt;/Year&gt;&lt;RecNum&gt;2331&lt;/RecNum&gt;&lt;DisplayText&gt;Hwang and Ng (2013)&lt;/DisplayText&gt;&lt;record&gt;&lt;rec-number&gt;2331&lt;/rec-number&gt;&lt;foreign-keys&gt;&lt;key app="EN" db-id="z959xtv5kdxdt0eawtt5ssvc90eradx50fpz" timestamp="1761812621"&gt;2331&lt;/key&gt;&lt;/foreign-keys&gt;&lt;ref-type name="Journal Article"&gt;17&lt;/ref-type&gt;&lt;contributors&gt;&lt;authors&gt;&lt;author&gt;Hwang, Bon-Gang&lt;/author&gt;&lt;author&gt;Ng, Wei Jian&lt;/author&gt;&lt;/authors&gt;&lt;/contributors&gt;&lt;titles&gt;&lt;title&gt;Project management knowledge and skills for green construction: Overcoming challenges&lt;/title&gt;&lt;secondary-title&gt;International journal of project management&lt;/secondary-title&gt;&lt;/titles&gt;&lt;periodical&gt;&lt;full-title&gt;International Journal of Project Management&lt;/full-title&gt;&lt;/periodical&gt;&lt;pages&gt;272-284&lt;/pages&gt;&lt;volume&gt;31&lt;/volume&gt;&lt;number&gt;2&lt;/number&gt;&lt;dates&gt;&lt;year&gt;2013&lt;/year&gt;&lt;/dates&gt;&lt;isbn&gt;0263-7863&lt;/isbn&gt;&lt;urls&gt;&lt;/urls&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Hwang and Ng (2013)</w:t>
            </w:r>
            <w:r w:rsidRPr="008339F1">
              <w:rPr>
                <w:rFonts w:ascii="Times New Roman" w:hAnsi="Times New Roman" w:cs="Times New Roman"/>
                <w:sz w:val="16"/>
                <w:szCs w:val="16"/>
              </w:rPr>
              <w:fldChar w:fldCharType="end"/>
            </w:r>
          </w:p>
        </w:tc>
        <w:tc>
          <w:tcPr>
            <w:tcW w:w="992" w:type="dxa"/>
          </w:tcPr>
          <w:p w14:paraId="4BCC84E8" w14:textId="5A3934FC" w:rsidR="00E519DB" w:rsidRPr="008339F1" w:rsidRDefault="00A23E80" w:rsidP="00E519DB">
            <w:pPr>
              <w:jc w:val="both"/>
              <w:rPr>
                <w:rFonts w:ascii="Times New Roman" w:hAnsi="Times New Roman" w:cs="Times New Roman"/>
                <w:sz w:val="16"/>
                <w:szCs w:val="16"/>
              </w:rPr>
            </w:pPr>
            <w:r w:rsidRPr="00A23E80">
              <w:rPr>
                <w:rFonts w:ascii="Times New Roman" w:hAnsi="Times New Roman" w:cs="Times New Roman"/>
                <w:sz w:val="16"/>
                <w:szCs w:val="16"/>
              </w:rPr>
              <w:t>Singapore</w:t>
            </w:r>
          </w:p>
        </w:tc>
        <w:tc>
          <w:tcPr>
            <w:tcW w:w="1559" w:type="dxa"/>
          </w:tcPr>
          <w:p w14:paraId="0013865C"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Investigate project management knowledge and skills for green construction.</w:t>
            </w:r>
          </w:p>
        </w:tc>
        <w:tc>
          <w:tcPr>
            <w:tcW w:w="1271" w:type="dxa"/>
          </w:tcPr>
          <w:p w14:paraId="7DB1F70C" w14:textId="77777777" w:rsidR="00E519DB" w:rsidRDefault="009B287E" w:rsidP="00E519DB">
            <w:pPr>
              <w:rPr>
                <w:rFonts w:ascii="Times New Roman" w:hAnsi="Times New Roman" w:cs="Times New Roman"/>
                <w:sz w:val="16"/>
                <w:szCs w:val="16"/>
              </w:rPr>
            </w:pPr>
            <w:r>
              <w:rPr>
                <w:rFonts w:ascii="Times New Roman" w:hAnsi="Times New Roman" w:cs="Times New Roman"/>
                <w:sz w:val="16"/>
                <w:szCs w:val="16"/>
              </w:rPr>
              <w:t>Planning and design</w:t>
            </w:r>
          </w:p>
          <w:p w14:paraId="25B0D7AC" w14:textId="77777777" w:rsidR="009B287E" w:rsidRDefault="009B287E" w:rsidP="00E519DB">
            <w:pPr>
              <w:rPr>
                <w:rFonts w:ascii="Times New Roman" w:hAnsi="Times New Roman" w:cs="Times New Roman"/>
                <w:sz w:val="16"/>
                <w:szCs w:val="16"/>
              </w:rPr>
            </w:pPr>
            <w:r>
              <w:rPr>
                <w:rFonts w:ascii="Times New Roman" w:hAnsi="Times New Roman" w:cs="Times New Roman"/>
                <w:sz w:val="16"/>
                <w:szCs w:val="16"/>
              </w:rPr>
              <w:t>Construction</w:t>
            </w:r>
          </w:p>
          <w:p w14:paraId="3B320DE5" w14:textId="0BB7CFF0" w:rsidR="00EC78E7" w:rsidRPr="008339F1" w:rsidRDefault="00EC78E7" w:rsidP="00E519DB">
            <w:pPr>
              <w:rPr>
                <w:rFonts w:ascii="Times New Roman" w:hAnsi="Times New Roman" w:cs="Times New Roman"/>
                <w:sz w:val="16"/>
                <w:szCs w:val="16"/>
              </w:rPr>
            </w:pPr>
          </w:p>
        </w:tc>
        <w:tc>
          <w:tcPr>
            <w:tcW w:w="1990" w:type="dxa"/>
          </w:tcPr>
          <w:p w14:paraId="345E5A67" w14:textId="77777777" w:rsidR="00E519DB" w:rsidRPr="008339F1" w:rsidRDefault="00E519DB" w:rsidP="00E519DB">
            <w:pPr>
              <w:rPr>
                <w:rFonts w:ascii="Times New Roman" w:hAnsi="Times New Roman" w:cs="Times New Roman"/>
                <w:sz w:val="16"/>
                <w:szCs w:val="16"/>
              </w:rPr>
            </w:pPr>
          </w:p>
        </w:tc>
        <w:tc>
          <w:tcPr>
            <w:tcW w:w="1843" w:type="dxa"/>
          </w:tcPr>
          <w:p w14:paraId="0816353E" w14:textId="15E95B40"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Project manager</w:t>
            </w:r>
          </w:p>
        </w:tc>
        <w:tc>
          <w:tcPr>
            <w:tcW w:w="2126" w:type="dxa"/>
          </w:tcPr>
          <w:p w14:paraId="2A77751B" w14:textId="77777777" w:rsidR="00E223D1" w:rsidRPr="00E223D1" w:rsidRDefault="00E223D1" w:rsidP="00E223D1">
            <w:pPr>
              <w:rPr>
                <w:rFonts w:ascii="Times New Roman" w:hAnsi="Times New Roman" w:cs="Times New Roman"/>
                <w:sz w:val="16"/>
                <w:szCs w:val="16"/>
              </w:rPr>
            </w:pPr>
            <w:r w:rsidRPr="00E223D1">
              <w:rPr>
                <w:rFonts w:ascii="Times New Roman" w:hAnsi="Times New Roman" w:cs="Times New Roman"/>
                <w:sz w:val="16"/>
                <w:szCs w:val="16"/>
              </w:rPr>
              <w:t>Coordinate and align stakeholder objectives</w:t>
            </w:r>
          </w:p>
          <w:p w14:paraId="43D4509E" w14:textId="77777777" w:rsidR="00E223D1" w:rsidRPr="00E223D1" w:rsidRDefault="00E223D1" w:rsidP="00E223D1">
            <w:pPr>
              <w:rPr>
                <w:rFonts w:ascii="Times New Roman" w:hAnsi="Times New Roman" w:cs="Times New Roman"/>
                <w:sz w:val="16"/>
                <w:szCs w:val="16"/>
              </w:rPr>
            </w:pPr>
            <w:r w:rsidRPr="00E223D1">
              <w:rPr>
                <w:rFonts w:ascii="Times New Roman" w:hAnsi="Times New Roman" w:cs="Times New Roman"/>
                <w:sz w:val="16"/>
                <w:szCs w:val="16"/>
              </w:rPr>
              <w:t>Manage expectations (especially client goals)</w:t>
            </w:r>
          </w:p>
          <w:p w14:paraId="32B2D13B" w14:textId="74F7C46E" w:rsidR="00E223D1" w:rsidRPr="00E223D1" w:rsidRDefault="00E223D1" w:rsidP="00E223D1">
            <w:pPr>
              <w:rPr>
                <w:rFonts w:ascii="Times New Roman" w:hAnsi="Times New Roman" w:cs="Times New Roman"/>
                <w:sz w:val="16"/>
                <w:szCs w:val="16"/>
              </w:rPr>
            </w:pPr>
            <w:r w:rsidRPr="00E223D1">
              <w:rPr>
                <w:rFonts w:ascii="Times New Roman" w:hAnsi="Times New Roman" w:cs="Times New Roman"/>
                <w:sz w:val="16"/>
                <w:szCs w:val="16"/>
              </w:rPr>
              <w:t>Ensure all parties understand</w:t>
            </w:r>
            <w:r>
              <w:rPr>
                <w:rFonts w:ascii="Times New Roman" w:hAnsi="Times New Roman" w:cs="Times New Roman"/>
                <w:sz w:val="16"/>
                <w:szCs w:val="16"/>
              </w:rPr>
              <w:t xml:space="preserve"> </w:t>
            </w:r>
            <w:r w:rsidRPr="00E223D1">
              <w:rPr>
                <w:rFonts w:ascii="Times New Roman" w:hAnsi="Times New Roman" w:cs="Times New Roman"/>
                <w:sz w:val="16"/>
                <w:szCs w:val="16"/>
              </w:rPr>
              <w:t>Project requirements</w:t>
            </w:r>
            <w:r>
              <w:rPr>
                <w:rFonts w:ascii="Times New Roman" w:hAnsi="Times New Roman" w:cs="Times New Roman"/>
                <w:sz w:val="16"/>
                <w:szCs w:val="16"/>
              </w:rPr>
              <w:t xml:space="preserve"> and </w:t>
            </w:r>
          </w:p>
          <w:p w14:paraId="3EC4433F" w14:textId="11118FBD" w:rsidR="00E519DB" w:rsidRPr="008339F1" w:rsidRDefault="00E223D1" w:rsidP="00E223D1">
            <w:pPr>
              <w:rPr>
                <w:rFonts w:ascii="Times New Roman" w:hAnsi="Times New Roman" w:cs="Times New Roman"/>
                <w:sz w:val="16"/>
                <w:szCs w:val="16"/>
              </w:rPr>
            </w:pPr>
            <w:r w:rsidRPr="00E223D1">
              <w:rPr>
                <w:rFonts w:ascii="Times New Roman" w:hAnsi="Times New Roman" w:cs="Times New Roman"/>
                <w:sz w:val="16"/>
                <w:szCs w:val="16"/>
              </w:rPr>
              <w:t>Sustainability targets</w:t>
            </w:r>
          </w:p>
        </w:tc>
        <w:tc>
          <w:tcPr>
            <w:tcW w:w="2835" w:type="dxa"/>
          </w:tcPr>
          <w:p w14:paraId="7FCDCE2A" w14:textId="0C3B5821" w:rsidR="00E519DB" w:rsidRPr="008339F1" w:rsidRDefault="006A4D43" w:rsidP="00E519DB">
            <w:pPr>
              <w:rPr>
                <w:rFonts w:ascii="Times New Roman" w:hAnsi="Times New Roman" w:cs="Times New Roman"/>
                <w:sz w:val="16"/>
                <w:szCs w:val="16"/>
              </w:rPr>
            </w:pPr>
            <w:r>
              <w:rPr>
                <w:rFonts w:ascii="Times New Roman" w:hAnsi="Times New Roman" w:cs="Times New Roman"/>
                <w:sz w:val="16"/>
                <w:szCs w:val="16"/>
              </w:rPr>
              <w:t>R</w:t>
            </w:r>
            <w:r w:rsidRPr="006A4D43">
              <w:rPr>
                <w:rFonts w:ascii="Times New Roman" w:hAnsi="Times New Roman" w:cs="Times New Roman"/>
                <w:sz w:val="16"/>
                <w:szCs w:val="16"/>
              </w:rPr>
              <w:t>esponsible for planning, coordinating, and controlling the construction project to ensure it is completed on time, within budget, and to the required quality standards</w:t>
            </w:r>
          </w:p>
        </w:tc>
        <w:tc>
          <w:tcPr>
            <w:tcW w:w="3118" w:type="dxa"/>
          </w:tcPr>
          <w:p w14:paraId="57053961" w14:textId="58AF2609" w:rsidR="00E519DB" w:rsidRPr="008339F1" w:rsidRDefault="00E519DB" w:rsidP="00E519DB">
            <w:pPr>
              <w:jc w:val="center"/>
              <w:rPr>
                <w:rFonts w:ascii="Times New Roman" w:hAnsi="Times New Roman" w:cs="Times New Roman"/>
                <w:sz w:val="16"/>
                <w:szCs w:val="16"/>
              </w:rPr>
            </w:pPr>
          </w:p>
        </w:tc>
        <w:tc>
          <w:tcPr>
            <w:tcW w:w="2127" w:type="dxa"/>
          </w:tcPr>
          <w:p w14:paraId="0A80FBF0" w14:textId="77777777" w:rsidR="00E519DB" w:rsidRPr="008339F1" w:rsidRDefault="00E519DB" w:rsidP="0020022B">
            <w:pPr>
              <w:rPr>
                <w:rFonts w:ascii="Times New Roman" w:hAnsi="Times New Roman" w:cs="Times New Roman"/>
                <w:sz w:val="16"/>
                <w:szCs w:val="16"/>
              </w:rPr>
            </w:pPr>
          </w:p>
        </w:tc>
        <w:tc>
          <w:tcPr>
            <w:tcW w:w="2268" w:type="dxa"/>
          </w:tcPr>
          <w:p w14:paraId="7E772C06" w14:textId="3ED01C1B" w:rsidR="00E519DB" w:rsidRPr="008339F1" w:rsidRDefault="00E519DB" w:rsidP="00E519DB">
            <w:pPr>
              <w:jc w:val="center"/>
              <w:rPr>
                <w:rFonts w:ascii="Times New Roman" w:hAnsi="Times New Roman" w:cs="Times New Roman"/>
                <w:sz w:val="16"/>
                <w:szCs w:val="16"/>
              </w:rPr>
            </w:pPr>
          </w:p>
        </w:tc>
      </w:tr>
      <w:tr w:rsidR="008339F1" w:rsidRPr="008339F1" w14:paraId="04AC3662" w14:textId="77777777" w:rsidTr="002B37B8">
        <w:trPr>
          <w:trHeight w:val="3901"/>
        </w:trPr>
        <w:tc>
          <w:tcPr>
            <w:tcW w:w="503" w:type="dxa"/>
          </w:tcPr>
          <w:p w14:paraId="70513F62" w14:textId="52477882" w:rsidR="00E519DB" w:rsidRPr="008339F1" w:rsidRDefault="008339F1"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30</w:t>
            </w:r>
          </w:p>
        </w:tc>
        <w:tc>
          <w:tcPr>
            <w:tcW w:w="915" w:type="dxa"/>
          </w:tcPr>
          <w:p w14:paraId="77F98397" w14:textId="77777777" w:rsidR="00E519DB" w:rsidRPr="008339F1" w:rsidRDefault="00E519DB" w:rsidP="00E519DB">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AuthorYear="1"&gt;&lt;Author&gt;Su&lt;/Author&gt;&lt;Year&gt;2020&lt;/Year&gt;&lt;RecNum&gt;2493&lt;/RecNum&gt;&lt;DisplayText&gt;Su (2020)&lt;/DisplayText&gt;&lt;record&gt;&lt;rec-number&gt;2493&lt;/rec-number&gt;&lt;foreign-keys&gt;&lt;key app="EN" db-id="z959xtv5kdxdt0eawtt5ssvc90eradx50fpz" timestamp="1765885087"&gt;2493&lt;/key&gt;&lt;/foreign-keys&gt;&lt;ref-type name="Journal Article"&gt;17&lt;/ref-type&gt;&lt;contributors&gt;&lt;authors&gt;&lt;author&gt;Su, Yongbo&lt;/author&gt;&lt;/authors&gt;&lt;/contributors&gt;&lt;titles&gt;&lt;title&gt;Multi-agent evolutionary game in the recycling utilization of construction waste&lt;/title&gt;&lt;secondary-title&gt;Science of The Total Environment&lt;/secondary-title&gt;&lt;/titles&gt;&lt;periodical&gt;&lt;full-title&gt;Science of the Total Environment&lt;/full-title&gt;&lt;/periodical&gt;&lt;pages&gt;139826&lt;/pages&gt;&lt;volume&gt;738&lt;/volume&gt;&lt;keywords&gt;&lt;keyword&gt;Construction waste&lt;/keyword&gt;&lt;keyword&gt;Tripartite evolutionary game&lt;/keyword&gt;&lt;keyword&gt;Recycling utilization&lt;/keyword&gt;&lt;keyword&gt;Industrial life circle theory&lt;/keyword&gt;&lt;/keywords&gt;&lt;dates&gt;&lt;year&gt;2020&lt;/year&gt;&lt;pub-dates&gt;&lt;date&gt;2020/10/10/&lt;/date&gt;&lt;/pub-dates&gt;&lt;/dates&gt;&lt;isbn&gt;0048-9697&lt;/isbn&gt;&lt;urls&gt;&lt;related-urls&gt;&lt;url&gt;https://www.sciencedirect.com/science/article/pii/S0048969720333465&lt;/url&gt;&lt;/related-urls&gt;&lt;/urls&gt;&lt;electronic-resource-num&gt;https://doi.org/10.1016/j.scitotenv.2020.139826&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Su (2020)</w:t>
            </w:r>
            <w:r w:rsidRPr="008339F1">
              <w:rPr>
                <w:rFonts w:ascii="Times New Roman" w:hAnsi="Times New Roman" w:cs="Times New Roman"/>
                <w:sz w:val="16"/>
                <w:szCs w:val="16"/>
              </w:rPr>
              <w:fldChar w:fldCharType="end"/>
            </w:r>
          </w:p>
        </w:tc>
        <w:tc>
          <w:tcPr>
            <w:tcW w:w="992" w:type="dxa"/>
          </w:tcPr>
          <w:p w14:paraId="3A3A34C3"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6606EEE2" w14:textId="77777777" w:rsidR="00E519DB" w:rsidRPr="008339F1" w:rsidRDefault="00E519DB" w:rsidP="00E519DB">
            <w:pPr>
              <w:jc w:val="both"/>
              <w:rPr>
                <w:rFonts w:ascii="Times New Roman" w:hAnsi="Times New Roman" w:cs="Times New Roman"/>
                <w:sz w:val="16"/>
                <w:szCs w:val="16"/>
              </w:rPr>
            </w:pPr>
            <w:r w:rsidRPr="008339F1">
              <w:rPr>
                <w:rFonts w:ascii="Times New Roman" w:hAnsi="Times New Roman" w:cs="Times New Roman"/>
                <w:sz w:val="16"/>
                <w:szCs w:val="16"/>
              </w:rPr>
              <w:t xml:space="preserve">Develops a tripartite evolutionary game model involving </w:t>
            </w:r>
            <w:bookmarkStart w:id="33" w:name="OLE_LINK186"/>
            <w:r w:rsidRPr="008339F1">
              <w:rPr>
                <w:rFonts w:ascii="Times New Roman" w:hAnsi="Times New Roman" w:cs="Times New Roman"/>
                <w:sz w:val="16"/>
                <w:szCs w:val="16"/>
              </w:rPr>
              <w:t xml:space="preserve">government agencies, waste producers (contractors), and recyclers </w:t>
            </w:r>
            <w:bookmarkEnd w:id="33"/>
            <w:r w:rsidRPr="008339F1">
              <w:rPr>
                <w:rFonts w:ascii="Times New Roman" w:hAnsi="Times New Roman" w:cs="Times New Roman"/>
                <w:sz w:val="16"/>
                <w:szCs w:val="16"/>
              </w:rPr>
              <w:t xml:space="preserve">to analyze strategies for recycling construction waste. </w:t>
            </w:r>
          </w:p>
        </w:tc>
        <w:tc>
          <w:tcPr>
            <w:tcW w:w="1271" w:type="dxa"/>
          </w:tcPr>
          <w:p w14:paraId="02D6A173" w14:textId="0CCEB36C"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construction waste generation; classification and sorting; transportation; landfill/disposal; recycling and reprocessing; production of renewable building materials; policy supervision</w:t>
            </w:r>
          </w:p>
        </w:tc>
        <w:tc>
          <w:tcPr>
            <w:tcW w:w="1990" w:type="dxa"/>
          </w:tcPr>
          <w:p w14:paraId="0C043696" w14:textId="04F31D92"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Quantitative modelling / tripartite evolutionary game study</w:t>
            </w:r>
          </w:p>
        </w:tc>
        <w:tc>
          <w:tcPr>
            <w:tcW w:w="1843" w:type="dxa"/>
          </w:tcPr>
          <w:p w14:paraId="33075055" w14:textId="77898E2E" w:rsidR="00E519DB" w:rsidRPr="008339F1" w:rsidRDefault="00B4472D" w:rsidP="00E519DB">
            <w:pPr>
              <w:rPr>
                <w:rFonts w:ascii="Times New Roman" w:hAnsi="Times New Roman" w:cs="Times New Roman"/>
                <w:sz w:val="16"/>
                <w:szCs w:val="16"/>
              </w:rPr>
            </w:pPr>
            <w:r w:rsidRPr="008339F1">
              <w:rPr>
                <w:rFonts w:ascii="Times New Roman" w:hAnsi="Times New Roman" w:cs="Times New Roman"/>
                <w:sz w:val="16"/>
                <w:szCs w:val="16"/>
              </w:rPr>
              <w:t>Government agency (GA), waste recyclers (WRs), and waste producers (WPs).</w:t>
            </w:r>
          </w:p>
        </w:tc>
        <w:tc>
          <w:tcPr>
            <w:tcW w:w="2126" w:type="dxa"/>
          </w:tcPr>
          <w:p w14:paraId="59DBD883" w14:textId="59C7760A" w:rsidR="00E519DB" w:rsidRPr="008339F1" w:rsidRDefault="00B4472D" w:rsidP="00E519DB">
            <w:pPr>
              <w:rPr>
                <w:rFonts w:ascii="Times New Roman" w:hAnsi="Times New Roman" w:cs="Times New Roman"/>
                <w:sz w:val="16"/>
                <w:szCs w:val="16"/>
              </w:rPr>
            </w:pPr>
            <w:r w:rsidRPr="008339F1">
              <w:rPr>
                <w:rFonts w:ascii="Times New Roman" w:hAnsi="Times New Roman" w:cs="Times New Roman"/>
                <w:sz w:val="16"/>
                <w:szCs w:val="16"/>
              </w:rPr>
              <w:t>C</w:t>
            </w:r>
            <w:r w:rsidR="00E519DB" w:rsidRPr="008339F1">
              <w:rPr>
                <w:rFonts w:ascii="Times New Roman" w:hAnsi="Times New Roman" w:cs="Times New Roman"/>
                <w:sz w:val="16"/>
                <w:szCs w:val="16"/>
              </w:rPr>
              <w:t>onstruction waste is generated, classified and sorted by WPs; recyclable waste is further disposed and reprocessed by WRs; and GA promotes recycling through economic incentives and policy constraints. GA supervision and policies are critical in the early stage, while WRs and WPs become the main market actors when the recycling industry matures.</w:t>
            </w:r>
          </w:p>
        </w:tc>
        <w:tc>
          <w:tcPr>
            <w:tcW w:w="2835" w:type="dxa"/>
          </w:tcPr>
          <w:p w14:paraId="22E2FD9F" w14:textId="60517334" w:rsidR="00E519DB" w:rsidRPr="008339F1" w:rsidRDefault="00E519DB" w:rsidP="00E519DB">
            <w:pPr>
              <w:rPr>
                <w:rFonts w:ascii="Times New Roman" w:hAnsi="Times New Roman" w:cs="Times New Roman"/>
                <w:sz w:val="16"/>
                <w:szCs w:val="16"/>
              </w:rPr>
            </w:pPr>
            <w:r w:rsidRPr="008339F1">
              <w:rPr>
                <w:rFonts w:ascii="Times New Roman" w:hAnsi="Times New Roman" w:cs="Times New Roman"/>
                <w:sz w:val="16"/>
                <w:szCs w:val="16"/>
              </w:rPr>
              <w:t>Government agency was coded as Accountable for policy direction, supervision design, economic incentives, penalties and stage-based governance of the recycling system, and Responsible for active supervision where government intervention is adopted. Waste producers were coded as Responsible for construction waste generation, classification, sorting, legal disposal/transportation and choosing whether to implement recycling practices. Waste recyclers were coded as Responsible for receiving, processing, recycling, reprocessing and converting recyclable waste into new construction materials.</w:t>
            </w:r>
          </w:p>
        </w:tc>
        <w:tc>
          <w:tcPr>
            <w:tcW w:w="3118" w:type="dxa"/>
          </w:tcPr>
          <w:p w14:paraId="3AA1ACDD" w14:textId="3C6B11F1" w:rsidR="00E519DB" w:rsidRPr="008339F1" w:rsidRDefault="00E519DB" w:rsidP="00E519DB">
            <w:pPr>
              <w:jc w:val="center"/>
              <w:rPr>
                <w:rFonts w:ascii="Times New Roman" w:hAnsi="Times New Roman" w:cs="Times New Roman"/>
                <w:sz w:val="16"/>
                <w:szCs w:val="16"/>
              </w:rPr>
            </w:pPr>
          </w:p>
        </w:tc>
        <w:tc>
          <w:tcPr>
            <w:tcW w:w="2127" w:type="dxa"/>
          </w:tcPr>
          <w:p w14:paraId="155DA47D" w14:textId="77777777" w:rsidR="00E519DB" w:rsidRPr="008339F1" w:rsidRDefault="00E519DB" w:rsidP="00E519DB">
            <w:pPr>
              <w:jc w:val="center"/>
              <w:rPr>
                <w:rFonts w:ascii="Times New Roman" w:hAnsi="Times New Roman" w:cs="Times New Roman"/>
                <w:sz w:val="16"/>
                <w:szCs w:val="16"/>
              </w:rPr>
            </w:pPr>
          </w:p>
        </w:tc>
        <w:tc>
          <w:tcPr>
            <w:tcW w:w="2268" w:type="dxa"/>
          </w:tcPr>
          <w:p w14:paraId="677167E9" w14:textId="1D843856" w:rsidR="00E519DB" w:rsidRPr="008339F1" w:rsidRDefault="00E519DB" w:rsidP="00E519DB">
            <w:pPr>
              <w:jc w:val="center"/>
              <w:rPr>
                <w:rFonts w:ascii="Times New Roman" w:hAnsi="Times New Roman" w:cs="Times New Roman"/>
                <w:sz w:val="16"/>
                <w:szCs w:val="16"/>
              </w:rPr>
            </w:pPr>
          </w:p>
        </w:tc>
      </w:tr>
      <w:tr w:rsidR="008339F1" w:rsidRPr="008339F1" w14:paraId="6DE3D6CE" w14:textId="77777777" w:rsidTr="002B37B8">
        <w:trPr>
          <w:trHeight w:val="4395"/>
        </w:trPr>
        <w:tc>
          <w:tcPr>
            <w:tcW w:w="503" w:type="dxa"/>
          </w:tcPr>
          <w:p w14:paraId="5DAEEDD2" w14:textId="474F5656"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31</w:t>
            </w:r>
          </w:p>
        </w:tc>
        <w:tc>
          <w:tcPr>
            <w:tcW w:w="915" w:type="dxa"/>
          </w:tcPr>
          <w:p w14:paraId="1AE66F2D" w14:textId="77777777"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AuthorYear="1"&gt;&lt;Author&gt;Knoeri&lt;/Author&gt;&lt;Year&gt;2011&lt;/Year&gt;&lt;RecNum&gt;2495&lt;/RecNum&gt;&lt;DisplayText&gt;Knoeri et al. (2011)&lt;/DisplayText&gt;&lt;record&gt;&lt;rec-number&gt;2495&lt;/rec-number&gt;&lt;foreign-keys&gt;&lt;key app="EN" db-id="z959xtv5kdxdt0eawtt5ssvc90eradx50fpz" timestamp="1765887736"&gt;2495&lt;/key&gt;&lt;/foreign-keys&gt;&lt;ref-type name="Journal Article"&gt;17&lt;/ref-type&gt;&lt;contributors&gt;&lt;authors&gt;&lt;author&gt;Knoeri, Christof&lt;/author&gt;&lt;author&gt;Binder, Claudia R.&lt;/author&gt;&lt;author&gt;Althaus, Hans-Joerg&lt;/author&gt;&lt;/authors&gt;&lt;/contributors&gt;&lt;titles&gt;&lt;title&gt;Decisions on recycling: Construction stakeholders’ decisions regarding recycled mineral construction materials&lt;/title&gt;&lt;secondary-title&gt;Resources, Conservation and Recycling&lt;/secondary-title&gt;&lt;/titles&gt;&lt;periodical&gt;&lt;full-title&gt;Resources, Conservation and Recycling&lt;/full-title&gt;&lt;abbr-1&gt;Resour. Conserv. Recycl.&lt;/abbr-1&gt;&lt;/periodical&gt;&lt;pages&gt;1039-1050&lt;/pages&gt;&lt;volume&gt;55&lt;/volume&gt;&lt;number&gt;11&lt;/number&gt;&lt;keywords&gt;&lt;keyword&gt;Construction and demolition waste&lt;/keyword&gt;&lt;keyword&gt;Recycled mineral construction materials&lt;/keyword&gt;&lt;keyword&gt;Recycling behavior&lt;/keyword&gt;&lt;keyword&gt;Decision-making&lt;/keyword&gt;&lt;keyword&gt;Analytical hierarchy process&lt;/keyword&gt;&lt;/keywords&gt;&lt;dates&gt;&lt;year&gt;2011&lt;/year&gt;&lt;pub-dates&gt;&lt;date&gt;2011/09/01/&lt;/date&gt;&lt;/pub-dates&gt;&lt;/dates&gt;&lt;isbn&gt;0921-3449&lt;/isbn&gt;&lt;urls&gt;&lt;related-urls&gt;&lt;url&gt;https://www.sciencedirect.com/science/article/pii/S0921344911001017&lt;/url&gt;&lt;/related-urls&gt;&lt;/urls&gt;&lt;electronic-resource-num&gt;https://doi.org/10.1016/j.resconrec.2011.05.018&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Knoeri et al. (2011)</w:t>
            </w:r>
            <w:r w:rsidRPr="008339F1">
              <w:rPr>
                <w:rFonts w:ascii="Times New Roman" w:hAnsi="Times New Roman" w:cs="Times New Roman"/>
                <w:sz w:val="16"/>
                <w:szCs w:val="16"/>
              </w:rPr>
              <w:fldChar w:fldCharType="end"/>
            </w:r>
          </w:p>
        </w:tc>
        <w:tc>
          <w:tcPr>
            <w:tcW w:w="992" w:type="dxa"/>
          </w:tcPr>
          <w:p w14:paraId="1543DBAE" w14:textId="77777777" w:rsidR="008339F1" w:rsidRPr="008339F1" w:rsidRDefault="008339F1" w:rsidP="008339F1">
            <w:pPr>
              <w:jc w:val="both"/>
              <w:rPr>
                <w:rFonts w:ascii="Times New Roman" w:hAnsi="Times New Roman" w:cs="Times New Roman"/>
                <w:sz w:val="16"/>
                <w:szCs w:val="16"/>
              </w:rPr>
            </w:pPr>
            <w:bookmarkStart w:id="34" w:name="OLE_LINK241"/>
            <w:r w:rsidRPr="008339F1">
              <w:rPr>
                <w:rFonts w:ascii="Times New Roman" w:hAnsi="Times New Roman" w:cs="Times New Roman"/>
                <w:sz w:val="16"/>
                <w:szCs w:val="16"/>
              </w:rPr>
              <w:t>Switzerland</w:t>
            </w:r>
            <w:bookmarkEnd w:id="34"/>
          </w:p>
        </w:tc>
        <w:tc>
          <w:tcPr>
            <w:tcW w:w="1559" w:type="dxa"/>
          </w:tcPr>
          <w:p w14:paraId="674F5CE1" w14:textId="5B9E5BEC"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Construction stakeholders’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xml:space="preserve"> and decision-making regarding the use of recycled mineral construction materials</w:t>
            </w:r>
          </w:p>
        </w:tc>
        <w:tc>
          <w:tcPr>
            <w:tcW w:w="1271" w:type="dxa"/>
          </w:tcPr>
          <w:p w14:paraId="2B0F3EB7" w14:textId="01130538" w:rsidR="008339F1" w:rsidRPr="008339F1" w:rsidRDefault="000F453C" w:rsidP="008339F1">
            <w:pPr>
              <w:rPr>
                <w:rFonts w:ascii="Times New Roman" w:hAnsi="Times New Roman" w:cs="Times New Roman"/>
                <w:sz w:val="16"/>
                <w:szCs w:val="16"/>
              </w:rPr>
            </w:pPr>
            <w:r>
              <w:rPr>
                <w:rFonts w:ascii="Times New Roman" w:hAnsi="Times New Roman" w:cs="Times New Roman"/>
                <w:sz w:val="16"/>
                <w:szCs w:val="16"/>
              </w:rPr>
              <w:t>Design and planning</w:t>
            </w:r>
          </w:p>
        </w:tc>
        <w:tc>
          <w:tcPr>
            <w:tcW w:w="1990" w:type="dxa"/>
          </w:tcPr>
          <w:p w14:paraId="61BAE3FA" w14:textId="2BFC8B94"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Quantitative stakeholder survey, analytical Hierarchy Process</w:t>
            </w:r>
          </w:p>
        </w:tc>
        <w:tc>
          <w:tcPr>
            <w:tcW w:w="1843" w:type="dxa"/>
          </w:tcPr>
          <w:p w14:paraId="6AAB0631" w14:textId="15081C9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Awarding authorities/clients; architects; structural engineers; civil engineers; contractors</w:t>
            </w:r>
          </w:p>
        </w:tc>
        <w:tc>
          <w:tcPr>
            <w:tcW w:w="2126" w:type="dxa"/>
          </w:tcPr>
          <w:p w14:paraId="029D451A" w14:textId="4ABA11F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Awarding authorities make project specifications, structural engineers make design specifications, architects make project recommendations, awarding authorities confirm the project and contractors submit tenders. Engineers’ recommendations have high impact on subsequent decisions, and their decisions are strongly influenced by laws, standards, expected costs and experience, while contractors are strongly influenced by tender documents.</w:t>
            </w:r>
          </w:p>
        </w:tc>
        <w:tc>
          <w:tcPr>
            <w:tcW w:w="2835" w:type="dxa"/>
          </w:tcPr>
          <w:p w14:paraId="3B83BCD4" w14:textId="5D94FE2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Awarding authorities/clients were coded as Accountable for initial project specification, project confirmation and final tender selection because they set project requirements and select preferred tenders. Structural/civil engineers were coded as Responsible for design specifications and technical material recommendations because their decisions initiate the material-specific decision chain and strongly influence later choices. Architects were coded as Responsible for project design/recommendation and </w:t>
            </w:r>
            <w:proofErr w:type="gramStart"/>
            <w:r w:rsidRPr="008339F1">
              <w:rPr>
                <w:rFonts w:ascii="Times New Roman" w:hAnsi="Times New Roman" w:cs="Times New Roman"/>
                <w:sz w:val="16"/>
                <w:szCs w:val="16"/>
              </w:rPr>
              <w:t>Consulted</w:t>
            </w:r>
            <w:proofErr w:type="gramEnd"/>
            <w:r w:rsidRPr="008339F1">
              <w:rPr>
                <w:rFonts w:ascii="Times New Roman" w:hAnsi="Times New Roman" w:cs="Times New Roman"/>
                <w:sz w:val="16"/>
                <w:szCs w:val="16"/>
              </w:rPr>
              <w:t xml:space="preserve"> where they rely on engineers’ technical recommendations. Contractors were coded as Responsible for tender submission and practical material offer, and Informed/Constrained by tender documents and specifications.</w:t>
            </w:r>
          </w:p>
        </w:tc>
        <w:tc>
          <w:tcPr>
            <w:tcW w:w="3118" w:type="dxa"/>
          </w:tcPr>
          <w:p w14:paraId="3E197991" w14:textId="74E7D50D" w:rsidR="008339F1" w:rsidRPr="008339F1" w:rsidRDefault="008339F1" w:rsidP="008339F1">
            <w:pPr>
              <w:rPr>
                <w:rFonts w:ascii="Times New Roman" w:hAnsi="Times New Roman" w:cs="Times New Roman"/>
                <w:sz w:val="16"/>
                <w:szCs w:val="16"/>
              </w:rPr>
            </w:pPr>
          </w:p>
        </w:tc>
        <w:tc>
          <w:tcPr>
            <w:tcW w:w="2127" w:type="dxa"/>
          </w:tcPr>
          <w:p w14:paraId="6FAC2FCD" w14:textId="77777777" w:rsidR="008339F1" w:rsidRPr="008339F1" w:rsidRDefault="008339F1" w:rsidP="008339F1">
            <w:pPr>
              <w:jc w:val="center"/>
              <w:rPr>
                <w:rFonts w:ascii="Times New Roman" w:hAnsi="Times New Roman" w:cs="Times New Roman"/>
                <w:sz w:val="16"/>
                <w:szCs w:val="16"/>
              </w:rPr>
            </w:pPr>
          </w:p>
        </w:tc>
        <w:tc>
          <w:tcPr>
            <w:tcW w:w="2268" w:type="dxa"/>
          </w:tcPr>
          <w:p w14:paraId="72597B80" w14:textId="20EC6F30" w:rsidR="008339F1" w:rsidRPr="008339F1" w:rsidRDefault="008339F1" w:rsidP="008339F1">
            <w:pPr>
              <w:jc w:val="center"/>
              <w:rPr>
                <w:rFonts w:ascii="Times New Roman" w:hAnsi="Times New Roman" w:cs="Times New Roman"/>
                <w:sz w:val="16"/>
                <w:szCs w:val="16"/>
              </w:rPr>
            </w:pPr>
          </w:p>
        </w:tc>
      </w:tr>
      <w:tr w:rsidR="008339F1" w:rsidRPr="008339F1" w14:paraId="350B3A82" w14:textId="77777777" w:rsidTr="002B37B8">
        <w:trPr>
          <w:trHeight w:val="156"/>
        </w:trPr>
        <w:tc>
          <w:tcPr>
            <w:tcW w:w="503" w:type="dxa"/>
          </w:tcPr>
          <w:p w14:paraId="58B4A009" w14:textId="49B00738"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32</w:t>
            </w:r>
          </w:p>
        </w:tc>
        <w:tc>
          <w:tcPr>
            <w:tcW w:w="915" w:type="dxa"/>
          </w:tcPr>
          <w:p w14:paraId="246C5535" w14:textId="3F0E1F9A"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AuthorYear="1"&gt;&lt;Author&gt;Superti&lt;/Author&gt;&lt;Year&gt;2021&lt;/Year&gt;&lt;RecNum&gt;1276&lt;/RecNum&gt;&lt;DisplayText&gt;Superti et al. (2021)&lt;/DisplayText&gt;&lt;record&gt;&lt;rec-number&gt;1276&lt;/rec-number&gt;&lt;foreign-keys&gt;&lt;key app="EN" db-id="52rwd92asss9zrett925swxewtr59dp2v0wp" timestamp="1739688258"&gt;1276&lt;/key&gt;&lt;/foreign-keys&gt;&lt;ref-type name="Journal Article"&gt;17&lt;/ref-type&gt;&lt;contributors&gt;&lt;authors&gt;&lt;author&gt;Superti, V.&lt;/author&gt;&lt;author&gt;Houmani, C.&lt;/author&gt;&lt;author&gt;Hansmann, R.&lt;/author&gt;&lt;author&gt;Baur, I.&lt;/author&gt;&lt;author&gt;Binder, C. R.&lt;/author&gt;&lt;/authors&gt;&lt;/contributors&gt;&lt;auth-address&gt;Laboratory on Human-Environment Relations in Urban Systems (HERUS), École Polytechnique Fédérale de Lausanne (EPFL), Lausanne, 1015, Switzerland&amp;#xD;Transdisciplinarity Lab (TdLab), Department of Environmental Systems Science (D-USYS), ETH Zurich, Zurich, 8092, Switzerland&amp;#xD;Canton of Glarus, Agricultural Department, Zwinglistrasse 6, Glarus, 8750, Switzerland&lt;/auth-address&gt;&lt;titles&gt;&lt;title&gt;Strategies for a circular economy in the construction and demolition sector: Identifying the factors affecting the recommendation of recycled concrete&lt;/title&gt;&lt;secondary-title&gt;Sustainability (Switzerland)&lt;/secondary-title&gt;&lt;alt-title&gt;Sustainability&lt;/alt-title&gt;&lt;/titles&gt;&lt;volume&gt;13&lt;/volume&gt;&lt;number&gt;8&lt;/number&gt;&lt;keywords&gt;&lt;keyword&gt;Circular economy&lt;/keyword&gt;&lt;keyword&gt;Construction and demolition&lt;/keyword&gt;&lt;keyword&gt;Recycled concrete&lt;/keyword&gt;&lt;keyword&gt;Survey&lt;/keyword&gt;&lt;/keywords&gt;&lt;dates&gt;&lt;year&gt;2021&lt;/year&gt;&lt;/dates&gt;&lt;publisher&gt;MDPI AG&lt;/publisher&gt;&lt;isbn&gt;20711050 (ISSN)&lt;/isbn&gt;&lt;work-type&gt;Article&lt;/work-type&gt;&lt;urls&gt;&lt;related-urls&gt;&lt;url&gt;https://www.scopus.com/inward/record.uri?eid=2-s2.0-85104685207&amp;amp;doi=10.3390%2fsu13084113&amp;amp;partnerID=40&amp;amp;md5=19f1da8fa1a5fb19b8bfc96c6fe1b712&lt;/url&gt;&lt;/related-urls&gt;&lt;/urls&gt;&lt;custom7&gt;4113&lt;/custom7&gt;&lt;electronic-resource-num&gt;10.3390/su13084113&lt;/electronic-resource-num&gt;&lt;remote-database-name&gt;Scopus&lt;/remote-database-name&gt;&lt;language&gt;English&lt;/language&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Superti et al. (2021)</w:t>
            </w:r>
            <w:r w:rsidRPr="008339F1">
              <w:rPr>
                <w:rFonts w:ascii="Times New Roman" w:hAnsi="Times New Roman" w:cs="Times New Roman"/>
                <w:sz w:val="16"/>
                <w:szCs w:val="16"/>
              </w:rPr>
              <w:fldChar w:fldCharType="end"/>
            </w:r>
          </w:p>
        </w:tc>
        <w:tc>
          <w:tcPr>
            <w:tcW w:w="992" w:type="dxa"/>
          </w:tcPr>
          <w:p w14:paraId="6B0DA738" w14:textId="77777777" w:rsidR="008339F1" w:rsidRPr="008339F1" w:rsidRDefault="008339F1" w:rsidP="008339F1">
            <w:pPr>
              <w:jc w:val="both"/>
              <w:rPr>
                <w:rFonts w:ascii="Times New Roman" w:hAnsi="Times New Roman" w:cs="Times New Roman"/>
                <w:sz w:val="16"/>
                <w:szCs w:val="16"/>
              </w:rPr>
            </w:pPr>
            <w:bookmarkStart w:id="35" w:name="OLE_LINK242"/>
            <w:r w:rsidRPr="008339F1">
              <w:rPr>
                <w:rFonts w:ascii="Times New Roman" w:hAnsi="Times New Roman" w:cs="Times New Roman"/>
                <w:sz w:val="16"/>
                <w:szCs w:val="16"/>
              </w:rPr>
              <w:t>Australia</w:t>
            </w:r>
            <w:bookmarkEnd w:id="35"/>
          </w:p>
        </w:tc>
        <w:tc>
          <w:tcPr>
            <w:tcW w:w="1559" w:type="dxa"/>
          </w:tcPr>
          <w:p w14:paraId="05D50ECD" w14:textId="1F12C0EE"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Factors affecting architects’ recommendation of recycled concrete in construction projects.</w:t>
            </w:r>
          </w:p>
        </w:tc>
        <w:tc>
          <w:tcPr>
            <w:tcW w:w="1271" w:type="dxa"/>
          </w:tcPr>
          <w:p w14:paraId="0063C736" w14:textId="0D80B83E"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Design stage</w:t>
            </w:r>
          </w:p>
        </w:tc>
        <w:tc>
          <w:tcPr>
            <w:tcW w:w="1990" w:type="dxa"/>
          </w:tcPr>
          <w:p w14:paraId="5F579821" w14:textId="6DE8553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Mixed-method; Literature review; online questionnaire survey, semi-structured interviews</w:t>
            </w:r>
          </w:p>
        </w:tc>
        <w:tc>
          <w:tcPr>
            <w:tcW w:w="1843" w:type="dxa"/>
          </w:tcPr>
          <w:p w14:paraId="59A580E6" w14:textId="4C250E6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Architects; clients/awarding authorities; engineers; other architects; construction companies; policy makers; researchers; suppliers; </w:t>
            </w:r>
            <w:proofErr w:type="spellStart"/>
            <w:r w:rsidRPr="008339F1">
              <w:rPr>
                <w:rFonts w:ascii="Times New Roman" w:hAnsi="Times New Roman" w:cs="Times New Roman"/>
                <w:sz w:val="16"/>
                <w:szCs w:val="16"/>
              </w:rPr>
              <w:t>Minergie</w:t>
            </w:r>
            <w:proofErr w:type="spellEnd"/>
            <w:r w:rsidRPr="008339F1">
              <w:rPr>
                <w:rFonts w:ascii="Times New Roman" w:hAnsi="Times New Roman" w:cs="Times New Roman"/>
                <w:sz w:val="16"/>
                <w:szCs w:val="16"/>
              </w:rPr>
              <w:t>/label actors</w:t>
            </w:r>
          </w:p>
        </w:tc>
        <w:tc>
          <w:tcPr>
            <w:tcW w:w="2126" w:type="dxa"/>
          </w:tcPr>
          <w:p w14:paraId="64D5FB6C" w14:textId="3509FECD"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Architects are key actors in the building design process who submit proposals and deliver recommendations on project specifications. Architects’ recommendation of RC is significantly influenced by senior position, knowledge of the </w:t>
            </w:r>
            <w:proofErr w:type="spellStart"/>
            <w:r w:rsidRPr="008339F1">
              <w:rPr>
                <w:rFonts w:ascii="Times New Roman" w:hAnsi="Times New Roman" w:cs="Times New Roman"/>
                <w:sz w:val="16"/>
                <w:szCs w:val="16"/>
              </w:rPr>
              <w:t>Minergie</w:t>
            </w:r>
            <w:proofErr w:type="spellEnd"/>
            <w:r w:rsidRPr="008339F1">
              <w:rPr>
                <w:rFonts w:ascii="Times New Roman" w:hAnsi="Times New Roman" w:cs="Times New Roman"/>
                <w:sz w:val="16"/>
                <w:szCs w:val="16"/>
              </w:rPr>
              <w:t xml:space="preserve"> label, having seen RC, belief that RC has lower environmental impact, and prescriptive social influence from clients and other architects. The interviews also state that architects should be “proactive”, consider ecological responsibility, and suggest ecological measures to clients, but suggestions need to be discussed, checked and approved mainly by other architects, engineers and clients.</w:t>
            </w:r>
          </w:p>
        </w:tc>
        <w:tc>
          <w:tcPr>
            <w:tcW w:w="2835" w:type="dxa"/>
          </w:tcPr>
          <w:p w14:paraId="28C09404" w14:textId="0A3C0EFE"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Architects were coded as Responsible for recommending RC during project design/specification and for proactively proposing circular/sustainable material options. Clients/awarding authorities were coded as Accountable for accepting or requesting RC, especially where client demand or label targets shape the design brief. Engineers were coded as Consulted because architects’ RC recommendations require technical checking and approval from engineering actors. Other architects were coded as Consulted/Influencing actors through professional norms and peer recommendation. Policy makers/label bodies were coded as Accountable/Influencing actors where regulations, labels and standards shape RC adoption, but they are not directly modelled as lifecycle actors in the study.</w:t>
            </w:r>
          </w:p>
        </w:tc>
        <w:tc>
          <w:tcPr>
            <w:tcW w:w="3118" w:type="dxa"/>
          </w:tcPr>
          <w:p w14:paraId="3D4EDAC3" w14:textId="79ED5DF7" w:rsidR="008339F1" w:rsidRPr="008339F1" w:rsidRDefault="008339F1" w:rsidP="008339F1">
            <w:pPr>
              <w:jc w:val="center"/>
              <w:rPr>
                <w:rFonts w:ascii="Times New Roman" w:hAnsi="Times New Roman" w:cs="Times New Roman"/>
                <w:sz w:val="16"/>
                <w:szCs w:val="16"/>
              </w:rPr>
            </w:pPr>
          </w:p>
        </w:tc>
        <w:tc>
          <w:tcPr>
            <w:tcW w:w="2127" w:type="dxa"/>
          </w:tcPr>
          <w:p w14:paraId="7C8B6F32" w14:textId="77777777" w:rsidR="008339F1" w:rsidRPr="008339F1" w:rsidRDefault="008339F1" w:rsidP="008339F1">
            <w:pPr>
              <w:jc w:val="center"/>
              <w:rPr>
                <w:rFonts w:ascii="Times New Roman" w:hAnsi="Times New Roman" w:cs="Times New Roman"/>
                <w:sz w:val="16"/>
                <w:szCs w:val="16"/>
              </w:rPr>
            </w:pPr>
          </w:p>
        </w:tc>
        <w:tc>
          <w:tcPr>
            <w:tcW w:w="2268" w:type="dxa"/>
          </w:tcPr>
          <w:p w14:paraId="152B3133" w14:textId="2B9336A3" w:rsidR="008339F1" w:rsidRPr="008339F1" w:rsidRDefault="008339F1" w:rsidP="008339F1">
            <w:pPr>
              <w:jc w:val="center"/>
              <w:rPr>
                <w:rFonts w:ascii="Times New Roman" w:hAnsi="Times New Roman" w:cs="Times New Roman"/>
                <w:sz w:val="16"/>
                <w:szCs w:val="16"/>
              </w:rPr>
            </w:pPr>
          </w:p>
        </w:tc>
      </w:tr>
      <w:tr w:rsidR="008339F1" w:rsidRPr="008339F1" w14:paraId="04655967" w14:textId="77777777" w:rsidTr="002B37B8">
        <w:trPr>
          <w:trHeight w:val="5242"/>
        </w:trPr>
        <w:tc>
          <w:tcPr>
            <w:tcW w:w="503" w:type="dxa"/>
          </w:tcPr>
          <w:p w14:paraId="0AD063EC" w14:textId="0111D15B"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33</w:t>
            </w:r>
          </w:p>
        </w:tc>
        <w:tc>
          <w:tcPr>
            <w:tcW w:w="915" w:type="dxa"/>
          </w:tcPr>
          <w:p w14:paraId="77960E47" w14:textId="0CDC32C5"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AuthorYear="1"&gt;&lt;Author&gt;Shooshtarian&lt;/Author&gt;&lt;Year&gt;2022&lt;/Year&gt;&lt;RecNum&gt;1492&lt;/RecNum&gt;&lt;DisplayText&gt;Shooshtarian et al. (2022)&lt;/DisplayText&gt;&lt;record&gt;&lt;rec-number&gt;1492&lt;/rec-number&gt;&lt;foreign-keys&gt;&lt;key app="EN" db-id="52rwd92asss9zrett925swxewtr59dp2v0wp" timestamp="1740226045"&gt;1492&lt;/key&gt;&lt;/foreign-keys&gt;&lt;ref-type name="Journal Article"&gt;17&lt;/ref-type&gt;&lt;contributors&gt;&lt;authors&gt;&lt;author&gt;Shooshtarian, Salman&lt;/author&gt;&lt;author&gt;Caldera, Savindi&lt;/author&gt;&lt;author&gt;Maqsood, Tayyab&lt;/author&gt;&lt;author&gt;Ryley, Tim&lt;/author&gt;&lt;author&gt;Wong, Peter S. P.&lt;/author&gt;&lt;author&gt;Zaman, Atiq&lt;/author&gt;&lt;/authors&gt;&lt;/contributors&gt;&lt;titles&gt;&lt;title&gt;Analysis of factors influencing the creation and stimulation of the Australian market for recycled construction and demolition waste products&lt;/title&gt;&lt;secondary-title&gt;Sustainable Production and Consumption&lt;/secondary-title&gt;&lt;/titles&gt;&lt;pages&gt;163-176&lt;/pages&gt;&lt;volume&gt;34&lt;/volume&gt;&lt;keywords&gt;&lt;keyword&gt;Construction and demolition waste&lt;/keyword&gt;&lt;keyword&gt;Recycled C&amp;amp;D waste&lt;/keyword&gt;&lt;keyword&gt;Australia&lt;/keyword&gt;&lt;keyword&gt;Waste management&lt;/keyword&gt;&lt;keyword&gt;Circular economy&lt;/keyword&gt;&lt;keyword&gt;Institutional theory&lt;/keyword&gt;&lt;/keywords&gt;&lt;dates&gt;&lt;year&gt;2022&lt;/year&gt;&lt;pub-dates&gt;&lt;date&gt;2022/11/01/&lt;/date&gt;&lt;/pub-dates&gt;&lt;/dates&gt;&lt;isbn&gt;2352-5509&lt;/isbn&gt;&lt;urls&gt;&lt;related-urls&gt;&lt;url&gt;https://www.sciencedirect.com/science/article/pii/S2352550922002445&lt;/url&gt;&lt;/related-urls&gt;&lt;/urls&gt;&lt;electronic-resource-num&gt;https://doi.org/10.1016/j.spc.2022.09.005&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Shooshtarian et al. (2022)</w:t>
            </w:r>
            <w:r w:rsidRPr="008339F1">
              <w:rPr>
                <w:rFonts w:ascii="Times New Roman" w:hAnsi="Times New Roman" w:cs="Times New Roman"/>
                <w:sz w:val="16"/>
                <w:szCs w:val="16"/>
              </w:rPr>
              <w:fldChar w:fldCharType="end"/>
            </w:r>
          </w:p>
        </w:tc>
        <w:tc>
          <w:tcPr>
            <w:tcW w:w="992" w:type="dxa"/>
          </w:tcPr>
          <w:p w14:paraId="52AEA6D0"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Australia</w:t>
            </w:r>
          </w:p>
        </w:tc>
        <w:tc>
          <w:tcPr>
            <w:tcW w:w="1559" w:type="dxa"/>
          </w:tcPr>
          <w:p w14:paraId="11425E7E" w14:textId="5DBFC16F"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Factors influencing the creation and stimulation of markets for recycled C&amp;D waste products. </w:t>
            </w:r>
          </w:p>
        </w:tc>
        <w:tc>
          <w:tcPr>
            <w:tcW w:w="1271" w:type="dxa"/>
          </w:tcPr>
          <w:p w14:paraId="4FA0F739" w14:textId="0E6567BB" w:rsidR="008339F1" w:rsidRPr="008339F1" w:rsidRDefault="000F453C" w:rsidP="008339F1">
            <w:pPr>
              <w:rPr>
                <w:rFonts w:ascii="Times New Roman" w:hAnsi="Times New Roman" w:cs="Times New Roman"/>
                <w:sz w:val="16"/>
                <w:szCs w:val="16"/>
              </w:rPr>
            </w:pPr>
            <w:r>
              <w:rPr>
                <w:rFonts w:ascii="Times New Roman" w:hAnsi="Times New Roman" w:cs="Times New Roman"/>
                <w:sz w:val="16"/>
                <w:szCs w:val="16"/>
              </w:rPr>
              <w:t>End-of-life</w:t>
            </w:r>
          </w:p>
        </w:tc>
        <w:tc>
          <w:tcPr>
            <w:tcW w:w="1990" w:type="dxa"/>
          </w:tcPr>
          <w:p w14:paraId="6C7BB7BC" w14:textId="7AC56D8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Qualitative interview study</w:t>
            </w:r>
          </w:p>
        </w:tc>
        <w:tc>
          <w:tcPr>
            <w:tcW w:w="1843" w:type="dxa"/>
          </w:tcPr>
          <w:p w14:paraId="3A2FD4F3" w14:textId="17EFFAF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 sector (public organizations and policymakers), recyclers, C&amp;D professionals, the sustainability rating system, and quality assurance auditors.</w:t>
            </w:r>
          </w:p>
        </w:tc>
        <w:tc>
          <w:tcPr>
            <w:tcW w:w="2126" w:type="dxa"/>
          </w:tcPr>
          <w:p w14:paraId="6EB38D0C" w14:textId="5D680B0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Government should improve sustainable procurement, awareness raising, recycling approvals, traceability, material specifications, contract conditions and financial support; recyclers should invest in advanced processing technologies, develop infrastructure close to metropolitan areas, and generate material catalogues. For the AEC sector, it highlights information sharing with the recycling industry, on-site source separation and collaboration with manufacturers. </w:t>
            </w:r>
          </w:p>
        </w:tc>
        <w:tc>
          <w:tcPr>
            <w:tcW w:w="2835" w:type="dxa"/>
          </w:tcPr>
          <w:p w14:paraId="7A462CAB" w14:textId="3D14864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Government/public = Accountable for policy, procurement requirements, landfill levy design, recycled-content targets, supportive regulations, approvals, financial support and market creation. Recyclers/waste recovery firms were coded as Responsible for processing technologies, recycling infrastructure, recycled-product production, material catalogues and supply capacity. C&amp;D professionals/construction firms were coded as Responsible for on-site source separation, information sharing, sustainable procurement implementation and use of recycled products in projects. Manufacturers were coded as Responsible/Consulted for product development and extended producer responsibility collaboration. Independent auditors/quality assurance actors were coded as Responsible for testing, certification and performance assurance.</w:t>
            </w:r>
          </w:p>
        </w:tc>
        <w:tc>
          <w:tcPr>
            <w:tcW w:w="3118" w:type="dxa"/>
          </w:tcPr>
          <w:p w14:paraId="58094B90" w14:textId="2C879C4D" w:rsidR="008339F1" w:rsidRPr="008339F1" w:rsidRDefault="008339F1" w:rsidP="008339F1">
            <w:pPr>
              <w:rPr>
                <w:rFonts w:ascii="Times New Roman" w:hAnsi="Times New Roman" w:cs="Times New Roman"/>
                <w:sz w:val="16"/>
                <w:szCs w:val="16"/>
              </w:rPr>
            </w:pPr>
          </w:p>
        </w:tc>
        <w:tc>
          <w:tcPr>
            <w:tcW w:w="2127" w:type="dxa"/>
          </w:tcPr>
          <w:p w14:paraId="64B7D83D" w14:textId="3A1AADBA" w:rsidR="008339F1" w:rsidRPr="008339F1" w:rsidRDefault="008339F1" w:rsidP="008339F1">
            <w:pPr>
              <w:rPr>
                <w:rFonts w:ascii="Times New Roman" w:hAnsi="Times New Roman" w:cs="Times New Roman"/>
                <w:sz w:val="16"/>
                <w:szCs w:val="16"/>
              </w:rPr>
            </w:pPr>
          </w:p>
        </w:tc>
        <w:tc>
          <w:tcPr>
            <w:tcW w:w="2268" w:type="dxa"/>
          </w:tcPr>
          <w:p w14:paraId="77A4B29E" w14:textId="1470D239" w:rsidR="008339F1" w:rsidRPr="008339F1" w:rsidRDefault="008339F1" w:rsidP="008339F1">
            <w:pPr>
              <w:jc w:val="center"/>
              <w:rPr>
                <w:rFonts w:ascii="Times New Roman" w:hAnsi="Times New Roman" w:cs="Times New Roman"/>
                <w:sz w:val="16"/>
                <w:szCs w:val="16"/>
              </w:rPr>
            </w:pPr>
          </w:p>
        </w:tc>
      </w:tr>
      <w:tr w:rsidR="008339F1" w:rsidRPr="008339F1" w14:paraId="6200046C" w14:textId="77777777" w:rsidTr="002B37B8">
        <w:trPr>
          <w:trHeight w:val="2240"/>
        </w:trPr>
        <w:tc>
          <w:tcPr>
            <w:tcW w:w="503" w:type="dxa"/>
          </w:tcPr>
          <w:p w14:paraId="3F237D97" w14:textId="239933A7"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34</w:t>
            </w:r>
          </w:p>
        </w:tc>
        <w:tc>
          <w:tcPr>
            <w:tcW w:w="915" w:type="dxa"/>
          </w:tcPr>
          <w:p w14:paraId="4F95D409" w14:textId="1E53BC61"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AuthorYear="1"&gt;&lt;Author&gt;Domingo&lt;/Author&gt;&lt;Year&gt;2017&lt;/Year&gt;&lt;RecNum&gt;1422&lt;/RecNum&gt;&lt;DisplayText&gt;Domingo and Luo (2017)&lt;/DisplayText&gt;&lt;record&gt;&lt;rec-number&gt;1422&lt;/rec-number&gt;&lt;foreign-keys&gt;&lt;key app="EN" db-id="52rwd92asss9zrett925swxewtr59dp2v0wp" timestamp="1739710540"&gt;1422&lt;/key&gt;&lt;/foreign-keys&gt;&lt;ref-type name="Journal Article"&gt;17&lt;/ref-type&gt;&lt;contributors&gt;&lt;authors&gt;&lt;author&gt;Domingo, Niluka&lt;/author&gt;&lt;author&gt;Luo, HAO&lt;/author&gt;&lt;/authors&gt;&lt;/contributors&gt;&lt;titles&gt;&lt;title&gt;Canterbury earthquake construction and demolition waste management: issues and improvement suggestions&lt;/title&gt;&lt;secondary-title&gt;International journal of disaster risk reduction&lt;/secondary-title&gt;&lt;/titles&gt;&lt;pages&gt;130-138&lt;/pages&gt;&lt;volume&gt;22&lt;/volume&gt;&lt;dates&gt;&lt;year&gt;2017&lt;/year&gt;&lt;/dates&gt;&lt;isbn&gt;2212-4209&lt;/isbn&gt;&lt;urls&gt;&lt;/urls&gt;&lt;/record&gt;&lt;/Cite&gt;&lt;/EndNote&gt;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Domingo and Luo (2017)</w:t>
            </w:r>
            <w:r w:rsidRPr="008339F1">
              <w:rPr>
                <w:rFonts w:ascii="Times New Roman" w:hAnsi="Times New Roman" w:cs="Times New Roman"/>
                <w:sz w:val="16"/>
                <w:szCs w:val="16"/>
              </w:rPr>
              <w:fldChar w:fldCharType="end"/>
            </w:r>
          </w:p>
        </w:tc>
        <w:tc>
          <w:tcPr>
            <w:tcW w:w="992" w:type="dxa"/>
          </w:tcPr>
          <w:p w14:paraId="41F4305D" w14:textId="77777777" w:rsidR="008339F1" w:rsidRPr="008339F1" w:rsidRDefault="008339F1" w:rsidP="008339F1">
            <w:pPr>
              <w:jc w:val="both"/>
              <w:rPr>
                <w:rFonts w:ascii="Times New Roman" w:hAnsi="Times New Roman" w:cs="Times New Roman"/>
                <w:sz w:val="16"/>
                <w:szCs w:val="16"/>
              </w:rPr>
            </w:pPr>
            <w:bookmarkStart w:id="36" w:name="OLE_LINK244"/>
            <w:r w:rsidRPr="008339F1">
              <w:rPr>
                <w:rFonts w:ascii="Times New Roman" w:hAnsi="Times New Roman" w:cs="Times New Roman"/>
                <w:sz w:val="16"/>
                <w:szCs w:val="16"/>
              </w:rPr>
              <w:t>New Zealand</w:t>
            </w:r>
            <w:bookmarkEnd w:id="36"/>
          </w:p>
        </w:tc>
        <w:tc>
          <w:tcPr>
            <w:tcW w:w="1559" w:type="dxa"/>
          </w:tcPr>
          <w:p w14:paraId="4FF04A7B" w14:textId="3DFDC7F6"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Post-disaster construction and demolition waste management process, issues and improvement suggestions after the Canterbury earthquake</w:t>
            </w:r>
          </w:p>
        </w:tc>
        <w:tc>
          <w:tcPr>
            <w:tcW w:w="1271" w:type="dxa"/>
          </w:tcPr>
          <w:p w14:paraId="78F39D50" w14:textId="7855FAB6" w:rsidR="008339F1" w:rsidRPr="008339F1" w:rsidRDefault="000F453C" w:rsidP="008339F1">
            <w:pPr>
              <w:rPr>
                <w:rFonts w:ascii="Times New Roman" w:hAnsi="Times New Roman" w:cs="Times New Roman"/>
                <w:sz w:val="16"/>
                <w:szCs w:val="16"/>
              </w:rPr>
            </w:pPr>
            <w:r>
              <w:rPr>
                <w:rFonts w:ascii="Times New Roman" w:hAnsi="Times New Roman" w:cs="Times New Roman"/>
                <w:sz w:val="16"/>
                <w:szCs w:val="16"/>
              </w:rPr>
              <w:t>End-of-life</w:t>
            </w:r>
          </w:p>
        </w:tc>
        <w:tc>
          <w:tcPr>
            <w:tcW w:w="1990" w:type="dxa"/>
          </w:tcPr>
          <w:p w14:paraId="20F48002" w14:textId="21496DC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Mixed-method case study; Literature review, semi-structured interviews, questionnaire survey</w:t>
            </w:r>
          </w:p>
        </w:tc>
        <w:tc>
          <w:tcPr>
            <w:tcW w:w="1843" w:type="dxa"/>
          </w:tcPr>
          <w:p w14:paraId="506643B3" w14:textId="3F5D3E6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Government/waste management authority (the canterbury earthquake recovery authority), demolition contractors, the city council, waste treatment facilities, civil defense, insurance companies, and regional councils.</w:t>
            </w:r>
          </w:p>
        </w:tc>
        <w:tc>
          <w:tcPr>
            <w:tcW w:w="2126" w:type="dxa"/>
          </w:tcPr>
          <w:p w14:paraId="0B33535A" w14:textId="3D88B3D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It states that demolition contractors had to be accredited by CERA, while Civil </w:t>
            </w:r>
            <w:proofErr w:type="spellStart"/>
            <w:r w:rsidRPr="008339F1">
              <w:rPr>
                <w:rFonts w:ascii="Times New Roman" w:hAnsi="Times New Roman" w:cs="Times New Roman"/>
                <w:sz w:val="16"/>
                <w:szCs w:val="16"/>
              </w:rPr>
              <w:t>Defence</w:t>
            </w:r>
            <w:proofErr w:type="spellEnd"/>
            <w:r w:rsidRPr="008339F1">
              <w:rPr>
                <w:rFonts w:ascii="Times New Roman" w:hAnsi="Times New Roman" w:cs="Times New Roman"/>
                <w:sz w:val="16"/>
                <w:szCs w:val="16"/>
              </w:rPr>
              <w:t>, insurance companies and regional councils helped plan and execute waste strategies. It also reports that “quick pick and go” directed clean waste to the end-use market, while mixed waste was transferred to processing facilities or landfills.</w:t>
            </w:r>
          </w:p>
        </w:tc>
        <w:tc>
          <w:tcPr>
            <w:tcW w:w="2835" w:type="dxa"/>
          </w:tcPr>
          <w:p w14:paraId="7BA9E149" w14:textId="600E5D7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Government recovery authority = Accountable for post-disaster demolition decisions, recovery coordination, contractor accreditation and overall waste-management direction, and Responsible where it monitored demolition plans and granted approvals. Demolition contractors = Responsible for demolition, debris handling, on-site sorting and compliance with approved procedures. Local authorities, Civil </w:t>
            </w:r>
            <w:proofErr w:type="spellStart"/>
            <w:r w:rsidRPr="008339F1">
              <w:rPr>
                <w:rFonts w:ascii="Times New Roman" w:hAnsi="Times New Roman" w:cs="Times New Roman"/>
                <w:sz w:val="16"/>
                <w:szCs w:val="16"/>
              </w:rPr>
              <w:t>Defence</w:t>
            </w:r>
            <w:proofErr w:type="spellEnd"/>
            <w:r w:rsidRPr="008339F1">
              <w:rPr>
                <w:rFonts w:ascii="Times New Roman" w:hAnsi="Times New Roman" w:cs="Times New Roman"/>
                <w:sz w:val="16"/>
                <w:szCs w:val="16"/>
              </w:rPr>
              <w:t xml:space="preserve"> and regional councils = Consulted for planning, coordination and emergency support. Insurance companies = Accountable for privately managed residential demolition decisions, while recyclers/waste-processing facilities were Responsible for sorting, processing and recycling mixed waste. The public/community groups = Informed/Consulted, </w:t>
            </w:r>
          </w:p>
        </w:tc>
        <w:tc>
          <w:tcPr>
            <w:tcW w:w="3118" w:type="dxa"/>
          </w:tcPr>
          <w:p w14:paraId="7E3FFCE5" w14:textId="02EDF58D" w:rsidR="008339F1" w:rsidRPr="008339F1" w:rsidRDefault="008339F1" w:rsidP="008339F1">
            <w:pPr>
              <w:jc w:val="center"/>
              <w:rPr>
                <w:rFonts w:ascii="Times New Roman" w:hAnsi="Times New Roman" w:cs="Times New Roman"/>
                <w:sz w:val="16"/>
                <w:szCs w:val="16"/>
              </w:rPr>
            </w:pPr>
          </w:p>
        </w:tc>
        <w:tc>
          <w:tcPr>
            <w:tcW w:w="2127" w:type="dxa"/>
          </w:tcPr>
          <w:p w14:paraId="0C665F0F" w14:textId="77777777" w:rsidR="008339F1" w:rsidRPr="008339F1" w:rsidRDefault="008339F1" w:rsidP="008339F1">
            <w:pPr>
              <w:jc w:val="center"/>
              <w:rPr>
                <w:rFonts w:ascii="Times New Roman" w:hAnsi="Times New Roman" w:cs="Times New Roman"/>
                <w:sz w:val="16"/>
                <w:szCs w:val="16"/>
              </w:rPr>
            </w:pPr>
          </w:p>
        </w:tc>
        <w:tc>
          <w:tcPr>
            <w:tcW w:w="2268" w:type="dxa"/>
          </w:tcPr>
          <w:p w14:paraId="77D5D958" w14:textId="436F24A1" w:rsidR="008339F1" w:rsidRPr="008339F1" w:rsidRDefault="008339F1" w:rsidP="008339F1">
            <w:pPr>
              <w:jc w:val="center"/>
              <w:rPr>
                <w:rFonts w:ascii="Times New Roman" w:hAnsi="Times New Roman" w:cs="Times New Roman"/>
                <w:sz w:val="16"/>
                <w:szCs w:val="16"/>
              </w:rPr>
            </w:pPr>
          </w:p>
        </w:tc>
      </w:tr>
      <w:tr w:rsidR="008339F1" w:rsidRPr="008339F1" w14:paraId="0C25D81F" w14:textId="77777777" w:rsidTr="009275E9">
        <w:trPr>
          <w:trHeight w:val="5661"/>
        </w:trPr>
        <w:tc>
          <w:tcPr>
            <w:tcW w:w="503" w:type="dxa"/>
          </w:tcPr>
          <w:p w14:paraId="35B67C06" w14:textId="475F4BDC"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lastRenderedPageBreak/>
              <w:t>35</w:t>
            </w:r>
          </w:p>
        </w:tc>
        <w:tc>
          <w:tcPr>
            <w:tcW w:w="915" w:type="dxa"/>
          </w:tcPr>
          <w:p w14:paraId="34C0D563" w14:textId="0ECA8F21"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00DE7A23">
              <w:rPr>
                <w:rFonts w:ascii="Times New Roman" w:hAnsi="Times New Roman" w:cs="Times New Roman"/>
                <w:sz w:val="16"/>
                <w:szCs w:val="16"/>
              </w:rPr>
              <w:instrText xml:space="preserve"> ADDIN EN.CITE &lt;EndNote&gt;&lt;Cite AuthorYear="1"&gt;&lt;Author&gt;Rokio&lt;/Author&gt;&lt;Year&gt;2024&lt;/Year&gt;&lt;RecNum&gt;1631&lt;/RecNum&gt;&lt;DisplayText&gt;Rokio et al. (2024)&lt;/DisplayText&gt;&lt;record&gt;&lt;rec-number&gt;1631&lt;/rec-number&gt;&lt;foreign-keys&gt;&lt;key app="EN" db-id="52rwd92asss9zrett925swxewtr59dp2v0wp" timestamp="1742099178"&gt;1631&lt;/key&gt;&lt;/foreign-keys&gt;&lt;ref-type name="Journal Article"&gt;17&lt;/ref-type&gt;&lt;contributors&gt;&lt;authors&gt;&lt;author&gt;Rokio, Matias&lt;/author&gt;&lt;author&gt;Ahola, Tuomas&lt;/author&gt;&lt;author&gt;Alkki, Lauri&lt;/author&gt;&lt;author&gt;Ståhle, Matias&lt;/author&gt;&lt;/authors&gt;&lt;/contributors&gt;&lt;titles&gt;&lt;title&gt;Projects as drivers of sustainability: How the adoption of the reuse principle affects the front-end of a construction project&lt;/title&gt;&lt;secondary-title&gt;International Journal of Project Management&lt;/secondary-title&gt;&lt;/titles&gt;&lt;pages&gt;102647&lt;/pages&gt;&lt;volume&gt;42&lt;/volume&gt;&lt;number&gt;7&lt;/number&gt;&lt;keywords&gt;&lt;keyword&gt;Project front-end&lt;/keyword&gt;&lt;keyword&gt;Project management&lt;/keyword&gt;&lt;keyword&gt;Circular economy&lt;/keyword&gt;&lt;keyword&gt;Value creation potential&lt;/keyword&gt;&lt;keyword&gt;Construction industry&lt;/keyword&gt;&lt;/keywords&gt;&lt;dates&gt;&lt;year&gt;2024&lt;/year&gt;&lt;pub-dates&gt;&lt;date&gt;2024/10/01/&lt;/date&gt;&lt;/pub-dates&gt;&lt;/dates&gt;&lt;isbn&gt;0263-7863&lt;/isbn&gt;&lt;urls&gt;&lt;related-urls&gt;&lt;url&gt;https://www.sciencedirect.com/science/article/pii/S0263786324000899&lt;/url&gt;&lt;/related-urls&gt;&lt;/urls&gt;&lt;electronic-resource-num&gt;https://doi.org/10.1016/j.ijproman.2024.102647&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Rokio et al. (2024)</w:t>
            </w:r>
            <w:r w:rsidRPr="008339F1">
              <w:rPr>
                <w:rFonts w:ascii="Times New Roman" w:hAnsi="Times New Roman" w:cs="Times New Roman"/>
                <w:sz w:val="16"/>
                <w:szCs w:val="16"/>
              </w:rPr>
              <w:fldChar w:fldCharType="end"/>
            </w:r>
          </w:p>
        </w:tc>
        <w:tc>
          <w:tcPr>
            <w:tcW w:w="992" w:type="dxa"/>
          </w:tcPr>
          <w:p w14:paraId="64C6FD52" w14:textId="77777777" w:rsidR="008339F1" w:rsidRPr="008339F1" w:rsidRDefault="008339F1" w:rsidP="008339F1">
            <w:pPr>
              <w:jc w:val="both"/>
              <w:rPr>
                <w:rFonts w:ascii="Times New Roman" w:hAnsi="Times New Roman" w:cs="Times New Roman"/>
                <w:sz w:val="16"/>
                <w:szCs w:val="16"/>
              </w:rPr>
            </w:pPr>
            <w:bookmarkStart w:id="37" w:name="OLE_LINK245"/>
            <w:r w:rsidRPr="008339F1">
              <w:rPr>
                <w:rFonts w:ascii="Times New Roman" w:hAnsi="Times New Roman" w:cs="Times New Roman"/>
                <w:sz w:val="16"/>
                <w:szCs w:val="16"/>
              </w:rPr>
              <w:t>Finland</w:t>
            </w:r>
            <w:bookmarkEnd w:id="37"/>
          </w:p>
        </w:tc>
        <w:tc>
          <w:tcPr>
            <w:tcW w:w="1559" w:type="dxa"/>
          </w:tcPr>
          <w:p w14:paraId="40F12222" w14:textId="20769F65"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How adopting the reuse principle affects actor roles and value creation during the front-end of a construction project</w:t>
            </w:r>
          </w:p>
        </w:tc>
        <w:tc>
          <w:tcPr>
            <w:tcW w:w="1271" w:type="dxa"/>
          </w:tcPr>
          <w:p w14:paraId="33C53DED" w14:textId="05FDE544" w:rsidR="008339F1" w:rsidRPr="008339F1" w:rsidRDefault="008339F1" w:rsidP="008339F1">
            <w:pPr>
              <w:rPr>
                <w:rFonts w:ascii="Times New Roman" w:hAnsi="Times New Roman" w:cs="Times New Roman"/>
                <w:sz w:val="16"/>
                <w:szCs w:val="16"/>
              </w:rPr>
            </w:pPr>
          </w:p>
        </w:tc>
        <w:tc>
          <w:tcPr>
            <w:tcW w:w="1990" w:type="dxa"/>
          </w:tcPr>
          <w:p w14:paraId="165BF75E" w14:textId="1967F326" w:rsidR="008339F1" w:rsidRPr="008339F1" w:rsidRDefault="008339F1" w:rsidP="008339F1">
            <w:pPr>
              <w:rPr>
                <w:rFonts w:ascii="Times New Roman" w:hAnsi="Times New Roman" w:cs="Times New Roman"/>
                <w:sz w:val="16"/>
                <w:szCs w:val="16"/>
              </w:rPr>
            </w:pPr>
            <w:bookmarkStart w:id="38" w:name="OLE_LINK83"/>
            <w:r w:rsidRPr="008339F1">
              <w:rPr>
                <w:rFonts w:ascii="Times New Roman" w:hAnsi="Times New Roman" w:cs="Times New Roman"/>
                <w:sz w:val="16"/>
                <w:szCs w:val="16"/>
              </w:rPr>
              <w:t>Qualitative case study, 22 semi-structured interviews</w:t>
            </w:r>
            <w:bookmarkEnd w:id="38"/>
          </w:p>
        </w:tc>
        <w:tc>
          <w:tcPr>
            <w:tcW w:w="1843" w:type="dxa"/>
          </w:tcPr>
          <w:p w14:paraId="7DB7490A" w14:textId="2D835332"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Demolition company, construction company/project owner, architect, structural engineering firm, element manufacturer, city authorities, and university researchers.</w:t>
            </w:r>
          </w:p>
        </w:tc>
        <w:tc>
          <w:tcPr>
            <w:tcW w:w="2126" w:type="dxa"/>
          </w:tcPr>
          <w:p w14:paraId="1DCF6CBC" w14:textId="485FB17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The construction company found the donor building, owned the deconstruction site and detached elements, and would construct the new building(s). The demolition company was responsible for deconstruction planning and deconstruction. The architect created the 3D inventory model and designed the new building(s). The structural engineering company conducted the condition survey, deconstruction planning and structural design. The element manufacturer handled concrete-element testing, refurbishment, intermediate storage and logistics planning. The city helped with permits and bureaucratic tasks, while the university coordinated </w:t>
            </w:r>
            <w:proofErr w:type="spellStart"/>
            <w:r w:rsidRPr="008339F1">
              <w:rPr>
                <w:rFonts w:ascii="Times New Roman" w:hAnsi="Times New Roman" w:cs="Times New Roman"/>
                <w:sz w:val="16"/>
                <w:szCs w:val="16"/>
              </w:rPr>
              <w:t>NewLife</w:t>
            </w:r>
            <w:proofErr w:type="spellEnd"/>
            <w:r w:rsidRPr="008339F1">
              <w:rPr>
                <w:rFonts w:ascii="Times New Roman" w:hAnsi="Times New Roman" w:cs="Times New Roman"/>
                <w:sz w:val="16"/>
                <w:szCs w:val="16"/>
              </w:rPr>
              <w:t xml:space="preserve"> and created knowledge. </w:t>
            </w:r>
          </w:p>
        </w:tc>
        <w:tc>
          <w:tcPr>
            <w:tcW w:w="2835" w:type="dxa"/>
          </w:tcPr>
          <w:p w14:paraId="4DD457B5" w14:textId="2F2721A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company/project owner was coded as Accountable for donor-building selection, site ownership, ownership/allocation of detached elements and project-level reuse decisions, and Responsible for construction implementation. Demolition company was coded as Responsible for deconstruction planning, safe detachment and demolition-site execution. Architect was coded as Responsible for 3D inventory modelling and reuse-oriented design. Structural engineer was coded as Responsible for condition survey, deconstruction sequencing, lifting/safety planning and structural design. Element manufacturer was coded as Responsible for testing, refurbishment, storage and logistics planning. City was coded as Consulted/Accountable for permits and regulatory facilitation. University was coded as Consulted/Responsible for knowledge creation, coordination and project facilitation.</w:t>
            </w:r>
          </w:p>
        </w:tc>
        <w:tc>
          <w:tcPr>
            <w:tcW w:w="3118" w:type="dxa"/>
          </w:tcPr>
          <w:p w14:paraId="7B7A0AE7" w14:textId="669C4AFD" w:rsidR="008339F1" w:rsidRPr="008339F1" w:rsidRDefault="008339F1" w:rsidP="008339F1">
            <w:pPr>
              <w:jc w:val="center"/>
              <w:rPr>
                <w:rFonts w:ascii="Times New Roman" w:hAnsi="Times New Roman" w:cs="Times New Roman"/>
                <w:sz w:val="16"/>
                <w:szCs w:val="16"/>
              </w:rPr>
            </w:pPr>
          </w:p>
        </w:tc>
        <w:tc>
          <w:tcPr>
            <w:tcW w:w="2127" w:type="dxa"/>
          </w:tcPr>
          <w:p w14:paraId="181288CA" w14:textId="77777777" w:rsidR="008339F1" w:rsidRPr="008339F1" w:rsidRDefault="008339F1" w:rsidP="008339F1">
            <w:pPr>
              <w:jc w:val="center"/>
              <w:rPr>
                <w:rFonts w:ascii="Times New Roman" w:hAnsi="Times New Roman" w:cs="Times New Roman"/>
                <w:sz w:val="16"/>
                <w:szCs w:val="16"/>
              </w:rPr>
            </w:pPr>
          </w:p>
        </w:tc>
        <w:tc>
          <w:tcPr>
            <w:tcW w:w="2268" w:type="dxa"/>
          </w:tcPr>
          <w:p w14:paraId="14012CF1" w14:textId="07F5DF30" w:rsidR="008339F1" w:rsidRPr="008339F1" w:rsidRDefault="008339F1" w:rsidP="008339F1">
            <w:pPr>
              <w:jc w:val="center"/>
              <w:rPr>
                <w:rFonts w:ascii="Times New Roman" w:hAnsi="Times New Roman" w:cs="Times New Roman"/>
                <w:sz w:val="16"/>
                <w:szCs w:val="16"/>
              </w:rPr>
            </w:pPr>
          </w:p>
        </w:tc>
      </w:tr>
      <w:tr w:rsidR="008339F1" w:rsidRPr="008339F1" w14:paraId="2CF277E8" w14:textId="77777777" w:rsidTr="002B37B8">
        <w:trPr>
          <w:trHeight w:val="4266"/>
        </w:trPr>
        <w:tc>
          <w:tcPr>
            <w:tcW w:w="503" w:type="dxa"/>
          </w:tcPr>
          <w:p w14:paraId="22E0C414" w14:textId="2DEE131F"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36</w:t>
            </w:r>
          </w:p>
        </w:tc>
        <w:tc>
          <w:tcPr>
            <w:tcW w:w="915" w:type="dxa"/>
          </w:tcPr>
          <w:p w14:paraId="23CEEA31" w14:textId="77777777"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AuthorYear="1"&gt;&lt;Author&gt;Du&lt;/Author&gt;&lt;Year&gt;2020&lt;/Year&gt;&lt;RecNum&gt;2522&lt;/RecNum&gt;&lt;DisplayText&gt;Du et al. (2020)&lt;/DisplayText&gt;&lt;record&gt;&lt;rec-number&gt;2522&lt;/rec-number&gt;&lt;foreign-keys&gt;&lt;key app="EN" db-id="z959xtv5kdxdt0eawtt5ssvc90eradx50fpz" timestamp="1767177020"&gt;2522&lt;/key&gt;&lt;/foreign-keys&gt;&lt;ref-type name="Journal Article"&gt;17&lt;/ref-type&gt;&lt;contributors&gt;&lt;authors&gt;&lt;author&gt;Du, Lei&lt;/author&gt;&lt;author&gt;Feng, Yingbin&lt;/author&gt;&lt;author&gt;Lu, Wei&lt;/author&gt;&lt;author&gt;Kong, Lingkai&lt;/author&gt;&lt;author&gt;Yang, Zhi&lt;/author&gt;&lt;/authors&gt;&lt;/contributors&gt;&lt;titles&gt;&lt;title&gt;Evolutionary game analysis of stakeholders&amp;apos; decision-making behaviours in construction and demolition waste management&lt;/title&gt;&lt;secondary-title&gt;Environmental Impact Assessment Review&lt;/secondary-title&gt;&lt;/titles&gt;&lt;periodical&gt;&lt;full-title&gt;ENVIRONMENTAL IMPACT ASSESSMENT REVIEW&lt;/full-title&gt;&lt;/periodical&gt;&lt;pages&gt;106408&lt;/pages&gt;&lt;volume&gt;84&lt;/volume&gt;&lt;keywords&gt;&lt;keyword&gt;Construction and demolition (C&amp;amp;D) waste management&lt;/keyword&gt;&lt;keyword&gt;Stakeholders&lt;/keyword&gt;&lt;keyword&gt;Decision-making behaviours&lt;/keyword&gt;&lt;keyword&gt;Evolutionary game theory&lt;/keyword&gt;&lt;keyword&gt;Numerical simulation&lt;/keyword&gt;&lt;/keywords&gt;&lt;dates&gt;&lt;year&gt;2020&lt;/year&gt;&lt;pub-dates&gt;&lt;date&gt;2020/09/01/&lt;/date&gt;&lt;/pub-dates&gt;&lt;/dates&gt;&lt;isbn&gt;0195-9255&lt;/isbn&gt;&lt;urls&gt;&lt;related-urls&gt;&lt;url&gt;https://www.sciencedirect.com/science/article/pii/S0195925519305530&lt;/url&gt;&lt;/related-urls&gt;&lt;/urls&gt;&lt;electronic-resource-num&gt;https://doi.org/10.1016/j.eiar.2020.106408&lt;/electronic-resource-num&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Du et al. (2020)</w:t>
            </w:r>
            <w:r w:rsidRPr="008339F1">
              <w:rPr>
                <w:rFonts w:ascii="Times New Roman" w:hAnsi="Times New Roman" w:cs="Times New Roman"/>
                <w:sz w:val="16"/>
                <w:szCs w:val="16"/>
              </w:rPr>
              <w:fldChar w:fldCharType="end"/>
            </w:r>
          </w:p>
        </w:tc>
        <w:tc>
          <w:tcPr>
            <w:tcW w:w="992" w:type="dxa"/>
          </w:tcPr>
          <w:p w14:paraId="53FB12BF"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620B0506" w14:textId="2A43A73A"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Stakeholder decision-making </w:t>
            </w:r>
            <w:proofErr w:type="spellStart"/>
            <w:r w:rsidRPr="008339F1">
              <w:rPr>
                <w:rFonts w:ascii="Times New Roman" w:hAnsi="Times New Roman" w:cs="Times New Roman"/>
                <w:sz w:val="16"/>
                <w:szCs w:val="16"/>
              </w:rPr>
              <w:t>behaviours</w:t>
            </w:r>
            <w:proofErr w:type="spellEnd"/>
            <w:r w:rsidRPr="008339F1">
              <w:rPr>
                <w:rFonts w:ascii="Times New Roman" w:hAnsi="Times New Roman" w:cs="Times New Roman"/>
                <w:sz w:val="16"/>
                <w:szCs w:val="16"/>
              </w:rPr>
              <w:t xml:space="preserve"> among government, contractors and the public in C&amp;D waste management</w:t>
            </w:r>
          </w:p>
        </w:tc>
        <w:tc>
          <w:tcPr>
            <w:tcW w:w="1271" w:type="dxa"/>
          </w:tcPr>
          <w:p w14:paraId="04D275C2" w14:textId="4B3D4D80" w:rsidR="008339F1" w:rsidRPr="008339F1" w:rsidRDefault="00BE2E20" w:rsidP="008339F1">
            <w:pPr>
              <w:rPr>
                <w:rFonts w:ascii="Times New Roman" w:hAnsi="Times New Roman" w:cs="Times New Roman"/>
                <w:sz w:val="16"/>
                <w:szCs w:val="16"/>
              </w:rPr>
            </w:pPr>
            <w:r>
              <w:rPr>
                <w:rFonts w:ascii="Times New Roman" w:hAnsi="Times New Roman" w:cs="Times New Roman"/>
                <w:sz w:val="16"/>
                <w:szCs w:val="16"/>
              </w:rPr>
              <w:t>Policy planning, end-of life</w:t>
            </w:r>
          </w:p>
        </w:tc>
        <w:tc>
          <w:tcPr>
            <w:tcW w:w="1990" w:type="dxa"/>
          </w:tcPr>
          <w:p w14:paraId="13148A99" w14:textId="19C27A0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Quantitative modelling, Evolutionary game theory</w:t>
            </w:r>
          </w:p>
        </w:tc>
        <w:tc>
          <w:tcPr>
            <w:tcW w:w="1843" w:type="dxa"/>
          </w:tcPr>
          <w:p w14:paraId="5BCC96A3" w14:textId="0E20958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 contractors, and the public</w:t>
            </w:r>
          </w:p>
        </w:tc>
        <w:tc>
          <w:tcPr>
            <w:tcW w:w="2126" w:type="dxa"/>
          </w:tcPr>
          <w:p w14:paraId="5CEEF276" w14:textId="139B4500"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Governments is the main managers, regulators and supervisors of C&amp;D waste management; contractors as major C&amp;D waste producers that may choose legal or illegal dumping based on cost–benefit considerations; and the public as recipients of environmental impacts who can participate through suggestions, inquiries, reports and petition letters. Public participation can improve government supervision efficiency and provide information and solutions for C&amp;D waste management.</w:t>
            </w:r>
          </w:p>
        </w:tc>
        <w:tc>
          <w:tcPr>
            <w:tcW w:w="2835" w:type="dxa"/>
          </w:tcPr>
          <w:p w14:paraId="51D0BAE2" w14:textId="2880C24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 was interpreted as Accountable for regulation, supervision, penalties and incentives, and Responsible where it actively supervises illegal dumping. Contractors were interpreted as Responsible for legal C&amp;D waste disposal because they generate and decide how to handle waste. The public was interpreted as Consulted/Responsible in a limited monitoring sense, because the paper frames public participation as reporting, supervising and providing information, not as formal lifecycle accountability.</w:t>
            </w:r>
          </w:p>
        </w:tc>
        <w:tc>
          <w:tcPr>
            <w:tcW w:w="3118" w:type="dxa"/>
          </w:tcPr>
          <w:p w14:paraId="52BBD4CA" w14:textId="0A6CAE7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high cost of legal disposal; contractors’ preference for economic benefit </w:t>
            </w:r>
            <w:proofErr w:type="spellStart"/>
            <w:r w:rsidRPr="008339F1">
              <w:rPr>
                <w:rFonts w:ascii="Times New Roman" w:hAnsi="Times New Roman" w:cs="Times New Roman"/>
                <w:sz w:val="16"/>
                <w:szCs w:val="16"/>
              </w:rPr>
              <w:t>maximisation</w:t>
            </w:r>
            <w:proofErr w:type="spellEnd"/>
            <w:r w:rsidRPr="008339F1">
              <w:rPr>
                <w:rFonts w:ascii="Times New Roman" w:hAnsi="Times New Roman" w:cs="Times New Roman"/>
                <w:sz w:val="16"/>
                <w:szCs w:val="16"/>
              </w:rPr>
              <w:t>; illegal dumping when detection or penalties are weak; limited government financial and human resources; insufficient government supervision; high public participation cost; low enthusiasm for participation without incentives; conflict between government/public environmental goals and contractor cost interests; and uncertainty in stakeholder decision-making.</w:t>
            </w:r>
          </w:p>
        </w:tc>
        <w:tc>
          <w:tcPr>
            <w:tcW w:w="2127" w:type="dxa"/>
          </w:tcPr>
          <w:p w14:paraId="24F211C8" w14:textId="3BF56E2D"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Affected: government, contractors, public, communities and the environment. Influencing: government through penalties, incentives and supervision intensity; contractors through legal/illegal dumping decisions; public through reporting and participation; policy design through balancing penalties and incentives.</w:t>
            </w:r>
          </w:p>
        </w:tc>
        <w:tc>
          <w:tcPr>
            <w:tcW w:w="2268" w:type="dxa"/>
          </w:tcPr>
          <w:p w14:paraId="0ADF209A" w14:textId="4FF55699" w:rsidR="008339F1" w:rsidRPr="008339F1" w:rsidRDefault="008339F1" w:rsidP="008339F1">
            <w:pPr>
              <w:rPr>
                <w:rFonts w:ascii="Times New Roman" w:hAnsi="Times New Roman" w:cs="Times New Roman"/>
                <w:i/>
                <w:iCs/>
                <w:sz w:val="16"/>
                <w:szCs w:val="16"/>
              </w:rPr>
            </w:pPr>
            <w:r w:rsidRPr="008339F1">
              <w:rPr>
                <w:rFonts w:ascii="Times New Roman" w:hAnsi="Times New Roman" w:cs="Times New Roman"/>
                <w:sz w:val="16"/>
                <w:szCs w:val="16"/>
              </w:rPr>
              <w:t>Set penalties at appropriate levels; avoid relying on excessive penalties alone; provide incentives to encourage public participation; combine economic and non-economic measures; establish public participation platforms; improve public awareness and reporting; strengthen government supervision while using public participation to increase detection probability; create fairer cost-sharing and benefit-sharing arrangements for C&amp;D waste management.</w:t>
            </w:r>
          </w:p>
        </w:tc>
      </w:tr>
      <w:tr w:rsidR="008339F1" w:rsidRPr="008339F1" w14:paraId="7A88ADC6" w14:textId="77777777" w:rsidTr="002B37B8">
        <w:trPr>
          <w:trHeight w:val="2694"/>
        </w:trPr>
        <w:tc>
          <w:tcPr>
            <w:tcW w:w="503" w:type="dxa"/>
          </w:tcPr>
          <w:p w14:paraId="6CEECF74" w14:textId="2160667A"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t>37</w:t>
            </w:r>
          </w:p>
        </w:tc>
        <w:tc>
          <w:tcPr>
            <w:tcW w:w="915" w:type="dxa"/>
          </w:tcPr>
          <w:p w14:paraId="20997C9E" w14:textId="77777777"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rPr>
              <w:fldChar w:fldCharType="begin"/>
            </w:r>
            <w:r w:rsidRPr="008339F1">
              <w:rPr>
                <w:rFonts w:ascii="Times New Roman" w:hAnsi="Times New Roman" w:cs="Times New Roman"/>
                <w:sz w:val="16"/>
                <w:szCs w:val="16"/>
              </w:rPr>
              <w:instrText xml:space="preserve"> ADDIN EN.CITE &lt;EndNote&gt;&lt;Cite AuthorYear="1"&gt;&lt;Author&gt;She&lt;/Author&gt;&lt;Year&gt;2025&lt;/Year&gt;&lt;RecNum&gt;2373&lt;/RecNum&gt;&lt;DisplayText&gt;She et al. (2025)&lt;/DisplayText&gt;&lt;record&gt;&lt;rec-number&gt;2373&lt;/rec-number&gt;&lt;foreign-keys&gt;&lt;key app="EN" db-id="z959xtv5kdxdt0eawtt5ssvc90eradx50fpz" timestamp="1762265679"&gt;2373&lt;/key&gt;&lt;/foreign-keys&gt;&lt;ref-type name="Journal Article"&gt;17&lt;/ref-type&gt;&lt;contributors&gt;&lt;authors&gt;&lt;author&gt;She, Yuchen&lt;/author&gt;&lt;author&gt;Udawatta, Nilupa&lt;/author&gt;&lt;author&gt;Tokede, Olubukola&lt;/author&gt;&lt;author&gt;Liu, Chunlu&lt;/author&gt;&lt;/authors&gt;&lt;/contributors&gt;&lt;titles&gt;&lt;title&gt;An engagement framework for circular economy-based construction and demolition waste management&lt;/title&gt;&lt;secondary-title&gt;Journal of Green Building&lt;/secondary-title&gt;&lt;/titles&gt;&lt;periodical&gt;&lt;full-title&gt;Journal of Green Building&lt;/full-title&gt;&lt;/periodical&gt;&lt;pages&gt;1-40&lt;/pages&gt;&lt;volume&gt;20&lt;/volume&gt;&lt;number&gt;3&lt;/number&gt;&lt;dates&gt;&lt;year&gt;2025&lt;/year&gt;&lt;/dates&gt;&lt;isbn&gt;1943-4618&lt;/isbn&gt;&lt;urls&gt;&lt;/urls&gt;&lt;/record&gt;&lt;/Cite&gt;&lt;/EndNote&gt;</w:instrText>
            </w:r>
            <w:r w:rsidRPr="008339F1">
              <w:rPr>
                <w:rFonts w:ascii="Times New Roman" w:hAnsi="Times New Roman" w:cs="Times New Roman"/>
                <w:sz w:val="16"/>
                <w:szCs w:val="16"/>
              </w:rPr>
              <w:fldChar w:fldCharType="separate"/>
            </w:r>
            <w:r w:rsidRPr="008339F1">
              <w:rPr>
                <w:rFonts w:ascii="Times New Roman" w:hAnsi="Times New Roman" w:cs="Times New Roman"/>
                <w:noProof/>
                <w:sz w:val="16"/>
                <w:szCs w:val="16"/>
              </w:rPr>
              <w:t>She et al. (2025)</w:t>
            </w:r>
            <w:r w:rsidRPr="008339F1">
              <w:rPr>
                <w:rFonts w:ascii="Times New Roman" w:hAnsi="Times New Roman" w:cs="Times New Roman"/>
                <w:sz w:val="16"/>
                <w:szCs w:val="16"/>
              </w:rPr>
              <w:fldChar w:fldCharType="end"/>
            </w:r>
          </w:p>
        </w:tc>
        <w:tc>
          <w:tcPr>
            <w:tcW w:w="992" w:type="dxa"/>
          </w:tcPr>
          <w:p w14:paraId="3B4E8D65" w14:textId="77777777" w:rsidR="008339F1" w:rsidRPr="008339F1" w:rsidRDefault="008339F1" w:rsidP="008339F1">
            <w:pPr>
              <w:jc w:val="both"/>
              <w:rPr>
                <w:rFonts w:ascii="Times New Roman" w:hAnsi="Times New Roman" w:cs="Times New Roman"/>
                <w:sz w:val="16"/>
                <w:szCs w:val="16"/>
              </w:rPr>
            </w:pPr>
            <w:bookmarkStart w:id="39" w:name="OLE_LINK248"/>
            <w:r w:rsidRPr="008339F1">
              <w:rPr>
                <w:rFonts w:ascii="Times New Roman" w:hAnsi="Times New Roman" w:cs="Times New Roman"/>
                <w:sz w:val="16"/>
                <w:szCs w:val="16"/>
              </w:rPr>
              <w:t>Australia</w:t>
            </w:r>
            <w:bookmarkEnd w:id="39"/>
          </w:p>
        </w:tc>
        <w:tc>
          <w:tcPr>
            <w:tcW w:w="1559" w:type="dxa"/>
          </w:tcPr>
          <w:p w14:paraId="4F9326EB" w14:textId="45320BD6"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Develop a five-stage stakeholder engagement framework to guide construction projects in adopting circular economy strategies for managing construction and demolition (C&amp;D) waste. </w:t>
            </w:r>
          </w:p>
        </w:tc>
        <w:tc>
          <w:tcPr>
            <w:tcW w:w="1271" w:type="dxa"/>
          </w:tcPr>
          <w:p w14:paraId="224BE39A" w14:textId="10960D7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Pre-design; design; tendering/contract; construction; operation; end-of-life; CE-based C&amp;D WM planning and implementation</w:t>
            </w:r>
          </w:p>
        </w:tc>
        <w:tc>
          <w:tcPr>
            <w:tcW w:w="1990" w:type="dxa"/>
          </w:tcPr>
          <w:p w14:paraId="6A500CAE" w14:textId="22AB78F2" w:rsidR="008339F1" w:rsidRPr="008339F1" w:rsidRDefault="008339F1" w:rsidP="008339F1">
            <w:pPr>
              <w:rPr>
                <w:rFonts w:ascii="Times New Roman" w:hAnsi="Times New Roman" w:cs="Times New Roman"/>
                <w:sz w:val="16"/>
                <w:szCs w:val="16"/>
              </w:rPr>
            </w:pPr>
            <w:proofErr w:type="spellStart"/>
            <w:r w:rsidRPr="008339F1">
              <w:rPr>
                <w:rFonts w:ascii="Times New Roman" w:hAnsi="Times New Roman" w:cs="Times New Roman"/>
                <w:sz w:val="16"/>
                <w:szCs w:val="16"/>
              </w:rPr>
              <w:t>Qualittative</w:t>
            </w:r>
            <w:proofErr w:type="spellEnd"/>
            <w:r w:rsidRPr="008339F1">
              <w:rPr>
                <w:rFonts w:ascii="Times New Roman" w:hAnsi="Times New Roman" w:cs="Times New Roman"/>
                <w:sz w:val="16"/>
                <w:szCs w:val="16"/>
              </w:rPr>
              <w:t>; 20 preliminary interviews; four case studies, document review</w:t>
            </w:r>
          </w:p>
        </w:tc>
        <w:tc>
          <w:tcPr>
            <w:tcW w:w="1843" w:type="dxa"/>
          </w:tcPr>
          <w:p w14:paraId="5B48ED4C" w14:textId="0D9C12C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Clients/developers; project managers; sustainability consultants; architects/designers; builders/contractors; subcontractors; waste management contractors; quantity surveyors; procurement directors; certifiers; government decision-makers; communication coordinators; end-users</w:t>
            </w:r>
          </w:p>
        </w:tc>
        <w:tc>
          <w:tcPr>
            <w:tcW w:w="2126" w:type="dxa"/>
          </w:tcPr>
          <w:p w14:paraId="77BCED81" w14:textId="2B73B45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CE-based C&amp;D WM requires defining duties, designating specific roles and responsibilities, setting targets, involving builders and subcontractors from the concept design stage, involving design teams as part of the construction team, providing training/ workshops, building stakeholder relationships, tracking waste generation and recycling rates, reporting data, and keeping stakeholders accountable, architects establishing design principles/material selection, </w:t>
            </w:r>
            <w:r w:rsidRPr="008339F1">
              <w:rPr>
                <w:rFonts w:ascii="Times New Roman" w:hAnsi="Times New Roman" w:cs="Times New Roman"/>
                <w:sz w:val="16"/>
                <w:szCs w:val="16"/>
              </w:rPr>
              <w:lastRenderedPageBreak/>
              <w:t xml:space="preserve">contractors managing subcontractors, waste contractors overseeing waste reporting/compliance, and client representatives ensuring sustainability targets are documented and </w:t>
            </w:r>
            <w:proofErr w:type="spellStart"/>
            <w:r w:rsidRPr="008339F1">
              <w:rPr>
                <w:rFonts w:ascii="Times New Roman" w:hAnsi="Times New Roman" w:cs="Times New Roman"/>
                <w:sz w:val="16"/>
                <w:szCs w:val="16"/>
              </w:rPr>
              <w:t>realised</w:t>
            </w:r>
            <w:proofErr w:type="spellEnd"/>
            <w:r w:rsidRPr="008339F1">
              <w:rPr>
                <w:rFonts w:ascii="Times New Roman" w:hAnsi="Times New Roman" w:cs="Times New Roman"/>
                <w:sz w:val="16"/>
                <w:szCs w:val="16"/>
              </w:rPr>
              <w:t>.</w:t>
            </w:r>
          </w:p>
        </w:tc>
        <w:tc>
          <w:tcPr>
            <w:tcW w:w="2835" w:type="dxa"/>
          </w:tcPr>
          <w:p w14:paraId="6EB2F7B8" w14:textId="57EFBC9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lastRenderedPageBreak/>
              <w:t xml:space="preserve">Clients/developers/project managers can be interpreted as project-level coordinating and decision actors because they set targets, engage contractors and ensure sustainability requirements are documented and </w:t>
            </w:r>
            <w:proofErr w:type="spellStart"/>
            <w:r w:rsidRPr="008339F1">
              <w:rPr>
                <w:rFonts w:ascii="Times New Roman" w:hAnsi="Times New Roman" w:cs="Times New Roman"/>
                <w:sz w:val="16"/>
                <w:szCs w:val="16"/>
              </w:rPr>
              <w:t>realised</w:t>
            </w:r>
            <w:proofErr w:type="spellEnd"/>
            <w:r w:rsidRPr="008339F1">
              <w:rPr>
                <w:rFonts w:ascii="Times New Roman" w:hAnsi="Times New Roman" w:cs="Times New Roman"/>
                <w:sz w:val="16"/>
                <w:szCs w:val="16"/>
              </w:rPr>
              <w:t xml:space="preserve">. Architects/designers are role-relevant for design principles, material selection and design-stage CE integration. Builders/contractors/subcontractors are implementation actors for construction-stage waste </w:t>
            </w:r>
            <w:proofErr w:type="spellStart"/>
            <w:r w:rsidRPr="008339F1">
              <w:rPr>
                <w:rFonts w:ascii="Times New Roman" w:hAnsi="Times New Roman" w:cs="Times New Roman"/>
                <w:sz w:val="16"/>
                <w:szCs w:val="16"/>
              </w:rPr>
              <w:t>minimisation</w:t>
            </w:r>
            <w:proofErr w:type="spellEnd"/>
            <w:r w:rsidRPr="008339F1">
              <w:rPr>
                <w:rFonts w:ascii="Times New Roman" w:hAnsi="Times New Roman" w:cs="Times New Roman"/>
                <w:sz w:val="16"/>
                <w:szCs w:val="16"/>
              </w:rPr>
              <w:t xml:space="preserve"> and Green Star/sustainability requirements. Waste management contractors are responsible for operational waste reporting, compliance and waste-system management. Sustainability </w:t>
            </w:r>
            <w:r w:rsidRPr="008339F1">
              <w:rPr>
                <w:rFonts w:ascii="Times New Roman" w:hAnsi="Times New Roman" w:cs="Times New Roman"/>
                <w:sz w:val="16"/>
                <w:szCs w:val="16"/>
              </w:rPr>
              <w:lastRenderedPageBreak/>
              <w:t>consultants/Green Star professionals support target-setting, documentation and technical guidance</w:t>
            </w:r>
          </w:p>
        </w:tc>
        <w:tc>
          <w:tcPr>
            <w:tcW w:w="3118" w:type="dxa"/>
          </w:tcPr>
          <w:p w14:paraId="17C453FB" w14:textId="587CB62B" w:rsidR="008339F1" w:rsidRPr="008339F1" w:rsidRDefault="008339F1" w:rsidP="008339F1">
            <w:pPr>
              <w:jc w:val="center"/>
              <w:rPr>
                <w:rFonts w:ascii="Times New Roman" w:hAnsi="Times New Roman" w:cs="Times New Roman"/>
                <w:sz w:val="16"/>
                <w:szCs w:val="16"/>
              </w:rPr>
            </w:pPr>
          </w:p>
        </w:tc>
        <w:tc>
          <w:tcPr>
            <w:tcW w:w="2127" w:type="dxa"/>
          </w:tcPr>
          <w:p w14:paraId="30BA2E8A" w14:textId="77777777" w:rsidR="008339F1" w:rsidRPr="008339F1" w:rsidRDefault="008339F1" w:rsidP="008339F1">
            <w:pPr>
              <w:rPr>
                <w:rFonts w:ascii="Times New Roman" w:hAnsi="Times New Roman" w:cs="Times New Roman"/>
                <w:sz w:val="16"/>
                <w:szCs w:val="16"/>
              </w:rPr>
            </w:pPr>
          </w:p>
        </w:tc>
        <w:tc>
          <w:tcPr>
            <w:tcW w:w="2268" w:type="dxa"/>
          </w:tcPr>
          <w:p w14:paraId="3565A272" w14:textId="7777777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Identify key stakeholders early; develop a stakeholder matrix/register; involve builders, subcontractors and design teams from the concept/design stage; use procurement methods that allow design flexibility for waste </w:t>
            </w:r>
            <w:proofErr w:type="spellStart"/>
            <w:r w:rsidRPr="008339F1">
              <w:rPr>
                <w:rFonts w:ascii="Times New Roman" w:hAnsi="Times New Roman" w:cs="Times New Roman"/>
                <w:sz w:val="16"/>
                <w:szCs w:val="16"/>
              </w:rPr>
              <w:t>minimisation</w:t>
            </w:r>
            <w:proofErr w:type="spellEnd"/>
            <w:r w:rsidRPr="008339F1">
              <w:rPr>
                <w:rFonts w:ascii="Times New Roman" w:hAnsi="Times New Roman" w:cs="Times New Roman"/>
                <w:sz w:val="16"/>
                <w:szCs w:val="16"/>
              </w:rPr>
              <w:t xml:space="preserve">; establish shared objectives and C&amp;D waste targets; designate roles and responsibilities; provide training, workshops and accessible resources; ensure knowledge continuity between design and construction; build collaboration mechanisms; tailor communication to </w:t>
            </w:r>
            <w:r w:rsidRPr="008339F1">
              <w:rPr>
                <w:rFonts w:ascii="Times New Roman" w:hAnsi="Times New Roman" w:cs="Times New Roman"/>
                <w:sz w:val="16"/>
                <w:szCs w:val="16"/>
              </w:rPr>
              <w:lastRenderedPageBreak/>
              <w:t>stakeholder groups; track waste generation/recycling/compliance; report data for transparency and accountability; keep reinforcing CE-based C&amp;D WM expectations.</w:t>
            </w:r>
          </w:p>
          <w:p w14:paraId="61D66FB7" w14:textId="1422AB45" w:rsidR="008339F1" w:rsidRPr="008339F1" w:rsidRDefault="008339F1" w:rsidP="008339F1">
            <w:pPr>
              <w:rPr>
                <w:rFonts w:ascii="Times New Roman" w:hAnsi="Times New Roman" w:cs="Times New Roman"/>
                <w:sz w:val="16"/>
                <w:szCs w:val="16"/>
              </w:rPr>
            </w:pPr>
          </w:p>
        </w:tc>
      </w:tr>
      <w:tr w:rsidR="008339F1" w:rsidRPr="008339F1" w14:paraId="7E39DEB1" w14:textId="77777777" w:rsidTr="002B37B8">
        <w:trPr>
          <w:trHeight w:val="4602"/>
        </w:trPr>
        <w:tc>
          <w:tcPr>
            <w:tcW w:w="503" w:type="dxa"/>
          </w:tcPr>
          <w:p w14:paraId="687F6D27" w14:textId="0A482479"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rPr>
              <w:lastRenderedPageBreak/>
              <w:t>38</w:t>
            </w:r>
          </w:p>
        </w:tc>
        <w:tc>
          <w:tcPr>
            <w:tcW w:w="915" w:type="dxa"/>
          </w:tcPr>
          <w:p w14:paraId="7B8B647B" w14:textId="77777777"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AuthorYear="1"&gt;&lt;Author&gt;Vasconcelos&lt;/Author&gt;&lt;Year&gt;2022&lt;/Year&gt;&lt;RecNum&gt;2524&lt;/RecNum&gt;&lt;DisplayText&gt;Vasconcelos et al. (2022)&lt;/DisplayText&gt;&lt;record&gt;&lt;rec-number&gt;2524&lt;/rec-number&gt;&lt;foreign-keys&gt;&lt;key app="EN" db-id="z959xtv5kdxdt0eawtt5ssvc90eradx50fpz" timestamp="1767368322"&gt;2524&lt;/key&gt;&lt;/foreign-keys&gt;&lt;ref-type name="Journal Article"&gt;17&lt;/ref-type&gt;&lt;contributors&gt;&lt;authors&gt;&lt;author&gt;Vasconcelos, Lia T.&lt;/author&gt;&lt;author&gt;Silva, Flávia Z.&lt;/author&gt;&lt;author&gt;Ferreira, Filipa G.&lt;/author&gt;&lt;author&gt;Martinho, Graça&lt;/author&gt;&lt;author&gt;Pires, Ana&lt;/author&gt;&lt;author&gt;Ferreira, José Carlos&lt;/author&gt;&lt;/authors&gt;&lt;/contributors&gt;&lt;titles&gt;&lt;title&gt;Collaborative process design for waste management: co-constructing strategies with stakeholders&lt;/title&gt;&lt;secondary-title&gt;Environment, Development and Sustainability&lt;/secondary-title&gt;&lt;/titles&gt;&lt;periodical&gt;&lt;full-title&gt;Environment, Development and Sustainability&lt;/full-title&gt;&lt;/periodical&gt;&lt;pages&gt;9243-9259&lt;/pages&gt;&lt;volume&gt;24&lt;/volume&gt;&lt;number&gt;7&lt;/number&gt;&lt;dates&gt;&lt;year&gt;2022&lt;/year&gt;&lt;pub-dates&gt;&lt;date&gt;2022/07/01&lt;/date&gt;&lt;/pub-dates&gt;&lt;/dates&gt;&lt;isbn&gt;1573-2975&lt;/isbn&gt;&lt;urls&gt;&lt;related-urls&gt;&lt;url&gt;https://doi.org/10.1007/s10668-021-01822-1&lt;/url&gt;&lt;/related-urls&gt;&lt;/urls&gt;&lt;electronic-resource-num&gt;10.1007/s10668-021-01822-1&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Vasconcelos et al. (2022)</w:t>
            </w:r>
            <w:r w:rsidRPr="008339F1">
              <w:rPr>
                <w:rFonts w:ascii="Times New Roman" w:hAnsi="Times New Roman" w:cs="Times New Roman"/>
                <w:sz w:val="16"/>
                <w:szCs w:val="16"/>
              </w:rPr>
              <w:fldChar w:fldCharType="end"/>
            </w:r>
          </w:p>
        </w:tc>
        <w:tc>
          <w:tcPr>
            <w:tcW w:w="992" w:type="dxa"/>
          </w:tcPr>
          <w:p w14:paraId="2D9AB16E" w14:textId="73C1D770" w:rsidR="008339F1" w:rsidRPr="008339F1" w:rsidRDefault="008339F1" w:rsidP="008339F1">
            <w:pPr>
              <w:jc w:val="both"/>
              <w:rPr>
                <w:rFonts w:ascii="Times New Roman" w:hAnsi="Times New Roman" w:cs="Times New Roman"/>
                <w:sz w:val="16"/>
                <w:szCs w:val="16"/>
              </w:rPr>
            </w:pPr>
            <w:bookmarkStart w:id="40" w:name="OLE_LINK249"/>
            <w:r w:rsidRPr="008339F1">
              <w:rPr>
                <w:rFonts w:ascii="Times New Roman" w:hAnsi="Times New Roman" w:cs="Times New Roman"/>
                <w:sz w:val="16"/>
                <w:szCs w:val="16"/>
              </w:rPr>
              <w:t>Portugal/ Europe</w:t>
            </w:r>
            <w:bookmarkEnd w:id="40"/>
          </w:p>
        </w:tc>
        <w:tc>
          <w:tcPr>
            <w:tcW w:w="1559" w:type="dxa"/>
          </w:tcPr>
          <w:p w14:paraId="22958E6C" w14:textId="6CDF0A52"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Collaborative and participatory process for co-constructing urban waste management strategies with stakeholder</w:t>
            </w:r>
            <w:r w:rsidR="006F1DD6">
              <w:rPr>
                <w:rFonts w:ascii="Times New Roman" w:hAnsi="Times New Roman" w:cs="Times New Roman"/>
                <w:sz w:val="16"/>
                <w:szCs w:val="16"/>
              </w:rPr>
              <w:t>s</w:t>
            </w:r>
          </w:p>
        </w:tc>
        <w:tc>
          <w:tcPr>
            <w:tcW w:w="1271" w:type="dxa"/>
          </w:tcPr>
          <w:p w14:paraId="1A722193" w14:textId="1825372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General urban waste prevention and management; strategic planning; pilot-action design; implementation and evaluation</w:t>
            </w:r>
          </w:p>
        </w:tc>
        <w:tc>
          <w:tcPr>
            <w:tcW w:w="1990" w:type="dxa"/>
          </w:tcPr>
          <w:p w14:paraId="5FDE51B8" w14:textId="47E214C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Participatory action/process design study</w:t>
            </w:r>
          </w:p>
        </w:tc>
        <w:tc>
          <w:tcPr>
            <w:tcW w:w="1843" w:type="dxa"/>
          </w:tcPr>
          <w:p w14:paraId="5E858752" w14:textId="535430BB" w:rsidR="008339F1" w:rsidRPr="008339F1" w:rsidRDefault="008339F1" w:rsidP="008339F1">
            <w:pPr>
              <w:rPr>
                <w:rFonts w:ascii="Times New Roman" w:hAnsi="Times New Roman" w:cs="Times New Roman"/>
                <w:sz w:val="16"/>
                <w:szCs w:val="16"/>
              </w:rPr>
            </w:pPr>
          </w:p>
        </w:tc>
        <w:tc>
          <w:tcPr>
            <w:tcW w:w="2126" w:type="dxa"/>
          </w:tcPr>
          <w:p w14:paraId="069591F0" w14:textId="356EEE8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Sustainable waste management requires the involvement of all stakeholders, including waste producers, waste processors and government institutions. It describes the </w:t>
            </w:r>
            <w:proofErr w:type="spellStart"/>
            <w:r w:rsidRPr="008339F1">
              <w:rPr>
                <w:rFonts w:ascii="Times New Roman" w:hAnsi="Times New Roman" w:cs="Times New Roman"/>
                <w:sz w:val="16"/>
                <w:szCs w:val="16"/>
              </w:rPr>
              <w:t>UrbanWINS</w:t>
            </w:r>
            <w:proofErr w:type="spellEnd"/>
            <w:r w:rsidRPr="008339F1">
              <w:rPr>
                <w:rFonts w:ascii="Times New Roman" w:hAnsi="Times New Roman" w:cs="Times New Roman"/>
                <w:sz w:val="16"/>
                <w:szCs w:val="16"/>
              </w:rPr>
              <w:t xml:space="preserve"> process as involving municipalities, local authorities, research </w:t>
            </w:r>
            <w:proofErr w:type="spellStart"/>
            <w:r w:rsidRPr="008339F1">
              <w:rPr>
                <w:rFonts w:ascii="Times New Roman" w:hAnsi="Times New Roman" w:cs="Times New Roman"/>
                <w:sz w:val="16"/>
                <w:szCs w:val="16"/>
              </w:rPr>
              <w:t>centres</w:t>
            </w:r>
            <w:proofErr w:type="spellEnd"/>
            <w:r w:rsidRPr="008339F1">
              <w:rPr>
                <w:rFonts w:ascii="Times New Roman" w:hAnsi="Times New Roman" w:cs="Times New Roman"/>
                <w:sz w:val="16"/>
                <w:szCs w:val="16"/>
              </w:rPr>
              <w:t>, universities, companies and NGOs. It also identifies specific process actors: stakeholders, technical partners, pilot-city municipalities, municipality representatives and community activators/moderators.</w:t>
            </w:r>
          </w:p>
        </w:tc>
        <w:tc>
          <w:tcPr>
            <w:tcW w:w="2835" w:type="dxa"/>
          </w:tcPr>
          <w:p w14:paraId="27235B54" w14:textId="10E399F2" w:rsidR="008339F1" w:rsidRPr="008339F1" w:rsidRDefault="008339F1" w:rsidP="008339F1">
            <w:pPr>
              <w:jc w:val="center"/>
              <w:rPr>
                <w:rFonts w:ascii="Times New Roman" w:hAnsi="Times New Roman" w:cs="Times New Roman"/>
                <w:sz w:val="16"/>
                <w:szCs w:val="16"/>
              </w:rPr>
            </w:pPr>
          </w:p>
        </w:tc>
        <w:tc>
          <w:tcPr>
            <w:tcW w:w="3118" w:type="dxa"/>
          </w:tcPr>
          <w:p w14:paraId="43A53692" w14:textId="6194133C" w:rsidR="008339F1" w:rsidRPr="008339F1" w:rsidRDefault="008339F1" w:rsidP="008339F1">
            <w:pPr>
              <w:jc w:val="center"/>
              <w:rPr>
                <w:rFonts w:ascii="Times New Roman" w:hAnsi="Times New Roman" w:cs="Times New Roman"/>
                <w:sz w:val="16"/>
                <w:szCs w:val="16"/>
              </w:rPr>
            </w:pPr>
          </w:p>
        </w:tc>
        <w:tc>
          <w:tcPr>
            <w:tcW w:w="2127" w:type="dxa"/>
          </w:tcPr>
          <w:p w14:paraId="45BB0B45" w14:textId="77777777" w:rsidR="008339F1" w:rsidRPr="008339F1" w:rsidRDefault="008339F1" w:rsidP="008339F1">
            <w:pPr>
              <w:rPr>
                <w:rFonts w:ascii="Times New Roman" w:hAnsi="Times New Roman" w:cs="Times New Roman"/>
                <w:sz w:val="16"/>
                <w:szCs w:val="16"/>
              </w:rPr>
            </w:pPr>
          </w:p>
        </w:tc>
        <w:tc>
          <w:tcPr>
            <w:tcW w:w="2268" w:type="dxa"/>
          </w:tcPr>
          <w:p w14:paraId="146D06F7" w14:textId="2D6BEF2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Information sharing platform; early stakeholder engagement and collaboration; investment in demonstration projects/ </w:t>
            </w:r>
          </w:p>
          <w:p w14:paraId="342B5A74" w14:textId="21A00F05"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Use early stakeholder identification and mapping; create structured dialogue spaces; combine face-to-face and online engagement platforms; use facilitated workshops; apply SWOT/TOWS, DPSIR, voting, </w:t>
            </w:r>
            <w:proofErr w:type="spellStart"/>
            <w:r w:rsidRPr="008339F1">
              <w:rPr>
                <w:rFonts w:ascii="Times New Roman" w:hAnsi="Times New Roman" w:cs="Times New Roman"/>
                <w:sz w:val="16"/>
                <w:szCs w:val="16"/>
              </w:rPr>
              <w:t>prioritisation</w:t>
            </w:r>
            <w:proofErr w:type="spellEnd"/>
            <w:r w:rsidRPr="008339F1">
              <w:rPr>
                <w:rFonts w:ascii="Times New Roman" w:hAnsi="Times New Roman" w:cs="Times New Roman"/>
                <w:sz w:val="16"/>
                <w:szCs w:val="16"/>
              </w:rPr>
              <w:t xml:space="preserve"> and project-check methods; involve 30–40 diverse stakeholders per session where possible; co-design local strategic action plans; evaluate pilot actions with stakeholders; maintain continuous feedback and flexibility across the process.</w:t>
            </w:r>
          </w:p>
        </w:tc>
      </w:tr>
      <w:tr w:rsidR="008339F1" w:rsidRPr="008339F1" w14:paraId="5EAA98D4" w14:textId="77777777" w:rsidTr="002B37B8">
        <w:trPr>
          <w:trHeight w:val="1134"/>
        </w:trPr>
        <w:tc>
          <w:tcPr>
            <w:tcW w:w="503" w:type="dxa"/>
          </w:tcPr>
          <w:p w14:paraId="0D21223E" w14:textId="0CABFABF"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39</w:t>
            </w:r>
          </w:p>
        </w:tc>
        <w:tc>
          <w:tcPr>
            <w:tcW w:w="915" w:type="dxa"/>
          </w:tcPr>
          <w:p w14:paraId="4B2B5467"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AuthorYear="1"&gt;&lt;Author&gt;Wang&lt;/Author&gt;&lt;Year&gt;2021&lt;/Year&gt;&lt;RecNum&gt;2525&lt;/RecNum&gt;&lt;DisplayText&gt;Wang et al. (2021)&lt;/DisplayText&gt;&lt;record&gt;&lt;rec-number&gt;2525&lt;/rec-number&gt;&lt;foreign-keys&gt;&lt;key app="EN" db-id="z959xtv5kdxdt0eawtt5ssvc90eradx50fpz" timestamp="1767370604"&gt;2525&lt;/key&gt;&lt;/foreign-keys&gt;&lt;ref-type name="Journal Article"&gt;17&lt;/ref-type&gt;&lt;contributors&gt;&lt;authors&gt;&lt;author&gt;Wang, Ting-Kwei&lt;/author&gt;&lt;author&gt;Wu, Zeqing&lt;/author&gt;&lt;author&gt;Luo, Chunyan&lt;/author&gt;&lt;/authors&gt;&lt;/contributors&gt;&lt;titles&gt;&lt;title&gt;Multi-participant construction waste demolition and transportation decision-making system&lt;/title&gt;&lt;secondary-title&gt;Resources, Conservation and Recycling&lt;/secondary-title&gt;&lt;/titles&gt;&lt;periodical&gt;&lt;full-title&gt;Resources, Conservation and Recycling&lt;/full-title&gt;&lt;abbr-1&gt;Resour. Conserv. Recycl.&lt;/abbr-1&gt;&lt;/periodical&gt;&lt;pages&gt;105575&lt;/pages&gt;&lt;volume&gt;170&lt;/volume&gt;&lt;keywords&gt;&lt;keyword&gt;Construction and demolition waste&lt;/keyword&gt;&lt;keyword&gt;Multi-participant&lt;/keyword&gt;&lt;keyword&gt;Building information modelling&lt;/keyword&gt;&lt;keyword&gt;Decision-making system&lt;/keyword&gt;&lt;keyword&gt;Transportation plan&lt;/keyword&gt;&lt;keyword&gt;Demolition plan&lt;/keyword&gt;&lt;/keywords&gt;&lt;dates&gt;&lt;year&gt;2021&lt;/year&gt;&lt;pub-dates&gt;&lt;date&gt;2021/07/01/&lt;/date&gt;&lt;/pub-dates&gt;&lt;/dates&gt;&lt;isbn&gt;0921-3449&lt;/isbn&gt;&lt;urls&gt;&lt;related-urls&gt;&lt;url&gt;https://www.sciencedirect.com/science/article/pii/S0921344921001828&lt;/url&gt;&lt;/related-urls&gt;&lt;/urls&gt;&lt;electronic-resource-num&gt;https://doi.org/10.1016/j.resconrec.2021.105575&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Wang et al. (2021)</w:t>
            </w:r>
            <w:r w:rsidRPr="008339F1">
              <w:rPr>
                <w:rFonts w:ascii="Times New Roman" w:hAnsi="Times New Roman" w:cs="Times New Roman"/>
                <w:sz w:val="16"/>
                <w:szCs w:val="16"/>
                <w:lang w:val="en-HK"/>
              </w:rPr>
              <w:fldChar w:fldCharType="end"/>
            </w:r>
          </w:p>
        </w:tc>
        <w:tc>
          <w:tcPr>
            <w:tcW w:w="992" w:type="dxa"/>
          </w:tcPr>
          <w:p w14:paraId="5851CFE1" w14:textId="77777777" w:rsidR="008339F1" w:rsidRPr="008339F1" w:rsidRDefault="008339F1" w:rsidP="008339F1">
            <w:pPr>
              <w:jc w:val="both"/>
              <w:rPr>
                <w:rFonts w:ascii="Times New Roman" w:hAnsi="Times New Roman" w:cs="Times New Roman"/>
                <w:sz w:val="16"/>
                <w:szCs w:val="16"/>
              </w:rPr>
            </w:pPr>
            <w:bookmarkStart w:id="41" w:name="OLE_LINK250"/>
            <w:r w:rsidRPr="008339F1">
              <w:rPr>
                <w:rFonts w:ascii="Times New Roman" w:hAnsi="Times New Roman" w:cs="Times New Roman"/>
                <w:sz w:val="16"/>
                <w:szCs w:val="16"/>
              </w:rPr>
              <w:t>China</w:t>
            </w:r>
            <w:bookmarkEnd w:id="41"/>
          </w:p>
        </w:tc>
        <w:tc>
          <w:tcPr>
            <w:tcW w:w="1559" w:type="dxa"/>
          </w:tcPr>
          <w:p w14:paraId="55A0CA1F" w14:textId="12B11540"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Multi-participant decision-making system for C&amp;D waste demolition, transportation and disposal planning. </w:t>
            </w:r>
          </w:p>
        </w:tc>
        <w:tc>
          <w:tcPr>
            <w:tcW w:w="1271" w:type="dxa"/>
          </w:tcPr>
          <w:p w14:paraId="3C2F02BD" w14:textId="01456970" w:rsidR="008339F1" w:rsidRPr="008339F1" w:rsidRDefault="002F7CA0" w:rsidP="008339F1">
            <w:pPr>
              <w:rPr>
                <w:rFonts w:ascii="Times New Roman" w:hAnsi="Times New Roman" w:cs="Times New Roman"/>
                <w:sz w:val="16"/>
                <w:szCs w:val="16"/>
              </w:rPr>
            </w:pPr>
            <w:r>
              <w:rPr>
                <w:rFonts w:ascii="Times New Roman" w:hAnsi="Times New Roman" w:cs="Times New Roman"/>
                <w:sz w:val="16"/>
                <w:szCs w:val="16"/>
              </w:rPr>
              <w:t xml:space="preserve">End-of-life: </w:t>
            </w:r>
            <w:r w:rsidR="008339F1" w:rsidRPr="008339F1">
              <w:rPr>
                <w:rFonts w:ascii="Times New Roman" w:hAnsi="Times New Roman" w:cs="Times New Roman"/>
                <w:sz w:val="16"/>
                <w:szCs w:val="16"/>
              </w:rPr>
              <w:t>Demolition planning; C&amp;D waste generation; waste classification; transportation; recycling/disposal; landfill/backfill; information management</w:t>
            </w:r>
          </w:p>
        </w:tc>
        <w:tc>
          <w:tcPr>
            <w:tcW w:w="1990" w:type="dxa"/>
          </w:tcPr>
          <w:p w14:paraId="6F04D8CF" w14:textId="52732D8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Case study, document review, BIM-modelling</w:t>
            </w:r>
          </w:p>
        </w:tc>
        <w:tc>
          <w:tcPr>
            <w:tcW w:w="1843" w:type="dxa"/>
          </w:tcPr>
          <w:p w14:paraId="1476E9DF" w14:textId="77472ABD" w:rsidR="008339F1" w:rsidRPr="008339F1" w:rsidRDefault="008339F1" w:rsidP="008339F1">
            <w:pPr>
              <w:rPr>
                <w:rFonts w:ascii="Times New Roman" w:hAnsi="Times New Roman" w:cs="Times New Roman"/>
                <w:sz w:val="16"/>
                <w:szCs w:val="16"/>
              </w:rPr>
            </w:pPr>
            <w:bookmarkStart w:id="42" w:name="OLE_LINK408"/>
            <w:r w:rsidRPr="008339F1">
              <w:rPr>
                <w:rFonts w:ascii="Times New Roman" w:hAnsi="Times New Roman" w:cs="Times New Roman"/>
                <w:sz w:val="16"/>
                <w:szCs w:val="16"/>
              </w:rPr>
              <w:t xml:space="preserve">Building owners; demolition companies; transportation companies; disposal/recycling companies; </w:t>
            </w:r>
            <w:bookmarkEnd w:id="42"/>
            <w:r w:rsidRPr="008339F1">
              <w:rPr>
                <w:rFonts w:ascii="Times New Roman" w:hAnsi="Times New Roman" w:cs="Times New Roman"/>
                <w:sz w:val="16"/>
                <w:szCs w:val="16"/>
              </w:rPr>
              <w:t xml:space="preserve">landfill/backfill companies; </w:t>
            </w:r>
          </w:p>
        </w:tc>
        <w:tc>
          <w:tcPr>
            <w:tcW w:w="2126" w:type="dxa"/>
          </w:tcPr>
          <w:p w14:paraId="34E669CC" w14:textId="7EEC822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study notes that different stakeholders have different concerns and priorities, creating difficulties in waste management. It also states that there is no known information-sharing system between participants concerning quantities of C&amp;DW generated, collected or treated, and that successful waste management depends on coordination of all entities involved. The demolition plan also needs to be coordinated with the demolition company, transport company and disposal company to avoid on-site waste accumulation.</w:t>
            </w:r>
          </w:p>
        </w:tc>
        <w:tc>
          <w:tcPr>
            <w:tcW w:w="2835" w:type="dxa"/>
          </w:tcPr>
          <w:p w14:paraId="7DCE4E12" w14:textId="690BD98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Building owner/client = Accountable for selecting and approving cost-effective demolition and transportation plans. Demolition company = Responsible for demolition execution, daily demolition capacity and providing demolition price/work-efficiency data. Transportation company = Responsible for transporting C&amp;DW and providing transport-capacity/cost data. Disposal/recycling company = Responsible for receiving, processing, recycling or disposing of different waste types according to capacity and cost. Landfill/backfill company = Responsible for receiving non-recyclable waste. BIM/system users or decision-makers = Responsible for inputting, updating and using data to support planning decisions.</w:t>
            </w:r>
          </w:p>
        </w:tc>
        <w:tc>
          <w:tcPr>
            <w:tcW w:w="3118" w:type="dxa"/>
          </w:tcPr>
          <w:p w14:paraId="6886F122" w14:textId="77777777" w:rsidR="00BC6CF4" w:rsidRPr="00BC6CF4" w:rsidRDefault="00BC6CF4" w:rsidP="00BC6CF4">
            <w:pPr>
              <w:jc w:val="center"/>
              <w:rPr>
                <w:rFonts w:ascii="Times New Roman" w:hAnsi="Times New Roman" w:cs="Times New Roman"/>
                <w:sz w:val="16"/>
                <w:szCs w:val="16"/>
              </w:rPr>
            </w:pPr>
            <w:r w:rsidRPr="00BC6CF4">
              <w:rPr>
                <w:rFonts w:ascii="Times New Roman" w:hAnsi="Times New Roman" w:cs="Times New Roman"/>
                <w:sz w:val="16"/>
                <w:szCs w:val="16"/>
              </w:rPr>
              <w:t>A major barrier is the absence of a shared data platform:</w:t>
            </w:r>
          </w:p>
          <w:p w14:paraId="1BDD9CB7" w14:textId="77777777" w:rsidR="00BC6CF4" w:rsidRPr="00BC6CF4" w:rsidRDefault="00BC6CF4" w:rsidP="00BC6CF4">
            <w:pPr>
              <w:jc w:val="center"/>
              <w:rPr>
                <w:rFonts w:ascii="Times New Roman" w:hAnsi="Times New Roman" w:cs="Times New Roman"/>
                <w:sz w:val="16"/>
                <w:szCs w:val="16"/>
              </w:rPr>
            </w:pPr>
          </w:p>
          <w:p w14:paraId="1FD1D985" w14:textId="77777777" w:rsidR="00BC6CF4" w:rsidRPr="00BC6CF4" w:rsidRDefault="00BC6CF4" w:rsidP="00BC6CF4">
            <w:pPr>
              <w:jc w:val="center"/>
              <w:rPr>
                <w:rFonts w:ascii="Times New Roman" w:hAnsi="Times New Roman" w:cs="Times New Roman"/>
                <w:sz w:val="16"/>
                <w:szCs w:val="16"/>
              </w:rPr>
            </w:pPr>
            <w:r w:rsidRPr="00BC6CF4">
              <w:rPr>
                <w:rFonts w:ascii="Times New Roman" w:hAnsi="Times New Roman" w:cs="Times New Roman"/>
                <w:sz w:val="16"/>
                <w:szCs w:val="16"/>
              </w:rPr>
              <w:t>No unified system for waste quantities, types, or flow</w:t>
            </w:r>
          </w:p>
          <w:p w14:paraId="1CF732CB" w14:textId="77777777" w:rsidR="008339F1" w:rsidRDefault="00BC6CF4" w:rsidP="00BC6CF4">
            <w:pPr>
              <w:jc w:val="center"/>
              <w:rPr>
                <w:rFonts w:ascii="Times New Roman" w:hAnsi="Times New Roman" w:cs="Times New Roman"/>
                <w:sz w:val="16"/>
                <w:szCs w:val="16"/>
              </w:rPr>
            </w:pPr>
            <w:r w:rsidRPr="00BC6CF4">
              <w:rPr>
                <w:rFonts w:ascii="Times New Roman" w:hAnsi="Times New Roman" w:cs="Times New Roman"/>
                <w:sz w:val="16"/>
                <w:szCs w:val="16"/>
              </w:rPr>
              <w:t>Limited transparency between parties</w:t>
            </w:r>
          </w:p>
          <w:p w14:paraId="30F6C4FD" w14:textId="698691C5" w:rsidR="00867E51" w:rsidRPr="008339F1" w:rsidRDefault="00867E51" w:rsidP="00BC6CF4">
            <w:pPr>
              <w:jc w:val="center"/>
              <w:rPr>
                <w:rFonts w:ascii="Times New Roman" w:hAnsi="Times New Roman" w:cs="Times New Roman"/>
                <w:sz w:val="16"/>
                <w:szCs w:val="16"/>
              </w:rPr>
            </w:pPr>
            <w:r w:rsidRPr="00867E51">
              <w:rPr>
                <w:rFonts w:ascii="Times New Roman" w:hAnsi="Times New Roman" w:cs="Times New Roman"/>
                <w:sz w:val="16"/>
                <w:szCs w:val="16"/>
              </w:rPr>
              <w:t>Each participant optimizes their own objectives (e.g., cost, efficiency)</w:t>
            </w:r>
          </w:p>
        </w:tc>
        <w:tc>
          <w:tcPr>
            <w:tcW w:w="2127" w:type="dxa"/>
          </w:tcPr>
          <w:p w14:paraId="105E9DDB" w14:textId="77777777" w:rsidR="008339F1" w:rsidRDefault="00AC7C9B" w:rsidP="008339F1">
            <w:pPr>
              <w:rPr>
                <w:rFonts w:ascii="Times New Roman" w:hAnsi="Times New Roman" w:cs="Times New Roman"/>
                <w:sz w:val="16"/>
                <w:szCs w:val="16"/>
              </w:rPr>
            </w:pPr>
            <w:r>
              <w:rPr>
                <w:rFonts w:ascii="Times New Roman" w:hAnsi="Times New Roman" w:cs="Times New Roman"/>
                <w:sz w:val="16"/>
                <w:szCs w:val="16"/>
              </w:rPr>
              <w:t xml:space="preserve">Affected: </w:t>
            </w:r>
            <w:r w:rsidRPr="00AC7C9B">
              <w:rPr>
                <w:rFonts w:ascii="Times New Roman" w:hAnsi="Times New Roman" w:cs="Times New Roman"/>
                <w:sz w:val="16"/>
                <w:szCs w:val="16"/>
              </w:rPr>
              <w:t>Building owners; demolition companies; transportation companies; disposal/recycling companies</w:t>
            </w:r>
            <w:r w:rsidR="00E24CB7">
              <w:rPr>
                <w:rFonts w:ascii="Times New Roman" w:hAnsi="Times New Roman" w:cs="Times New Roman"/>
                <w:sz w:val="16"/>
                <w:szCs w:val="16"/>
              </w:rPr>
              <w:t xml:space="preserve"> </w:t>
            </w:r>
          </w:p>
          <w:p w14:paraId="5D0B34E2" w14:textId="62C72D0B" w:rsidR="00E24CB7" w:rsidRPr="008339F1" w:rsidRDefault="00DC3D10" w:rsidP="008339F1">
            <w:pPr>
              <w:rPr>
                <w:rFonts w:ascii="Times New Roman" w:hAnsi="Times New Roman" w:cs="Times New Roman"/>
                <w:sz w:val="16"/>
                <w:szCs w:val="16"/>
              </w:rPr>
            </w:pPr>
            <w:r>
              <w:rPr>
                <w:rFonts w:ascii="Times New Roman" w:hAnsi="Times New Roman" w:cs="Times New Roman"/>
                <w:sz w:val="16"/>
                <w:szCs w:val="16"/>
              </w:rPr>
              <w:t>Influenced:</w:t>
            </w:r>
            <w:r>
              <w:t xml:space="preserve"> </w:t>
            </w:r>
            <w:r w:rsidRPr="00DC3D10">
              <w:rPr>
                <w:rFonts w:ascii="Times New Roman" w:hAnsi="Times New Roman" w:cs="Times New Roman"/>
                <w:sz w:val="16"/>
                <w:szCs w:val="16"/>
              </w:rPr>
              <w:t>collaboration issues in construction waste management are best solved through a combination of central coordination (by owners), collective participation (by all stakeholders), and digital integration (via shared information platforms).</w:t>
            </w:r>
          </w:p>
        </w:tc>
        <w:tc>
          <w:tcPr>
            <w:tcW w:w="2268" w:type="dxa"/>
          </w:tcPr>
          <w:p w14:paraId="05EFE180" w14:textId="30BC7E42"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Digital information sharing platform </w:t>
            </w:r>
            <w:r w:rsidR="002E1AA2">
              <w:rPr>
                <w:rFonts w:ascii="Times New Roman" w:hAnsi="Times New Roman" w:cs="Times New Roman"/>
                <w:sz w:val="16"/>
                <w:szCs w:val="16"/>
              </w:rPr>
              <w:t>(</w:t>
            </w:r>
            <w:r w:rsidR="002E1AA2" w:rsidRPr="002E1AA2">
              <w:rPr>
                <w:rFonts w:ascii="Times New Roman" w:hAnsi="Times New Roman" w:cs="Times New Roman"/>
                <w:sz w:val="16"/>
                <w:szCs w:val="16"/>
              </w:rPr>
              <w:t>BIM-based integration</w:t>
            </w:r>
            <w:r w:rsidR="002E1AA2">
              <w:rPr>
                <w:rFonts w:ascii="Times New Roman" w:hAnsi="Times New Roman" w:cs="Times New Roman"/>
                <w:sz w:val="16"/>
                <w:szCs w:val="16"/>
              </w:rPr>
              <w:t>)</w:t>
            </w:r>
            <w:r w:rsidR="00AC7C9B">
              <w:t xml:space="preserve"> </w:t>
            </w:r>
            <w:r w:rsidR="00AC7C9B" w:rsidRPr="00AC7C9B">
              <w:rPr>
                <w:rFonts w:ascii="Times New Roman" w:hAnsi="Times New Roman" w:cs="Times New Roman"/>
                <w:sz w:val="16"/>
                <w:szCs w:val="16"/>
              </w:rPr>
              <w:t>and coordinated decision-making mechanisms that align stakeholders around common goals.</w:t>
            </w:r>
          </w:p>
        </w:tc>
      </w:tr>
      <w:tr w:rsidR="008339F1" w:rsidRPr="008339F1" w14:paraId="2AA41461" w14:textId="77777777" w:rsidTr="002B37B8">
        <w:trPr>
          <w:trHeight w:val="1485"/>
        </w:trPr>
        <w:tc>
          <w:tcPr>
            <w:tcW w:w="503" w:type="dxa"/>
          </w:tcPr>
          <w:p w14:paraId="51B5F919" w14:textId="3CBF1B1F"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40</w:t>
            </w:r>
          </w:p>
        </w:tc>
        <w:bookmarkStart w:id="43" w:name="OLE_LINK177"/>
        <w:tc>
          <w:tcPr>
            <w:tcW w:w="915" w:type="dxa"/>
          </w:tcPr>
          <w:p w14:paraId="4D220621"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AuthorYear="1"&gt;&lt;Author&gt;Adhi&lt;/Author&gt;&lt;Year&gt;2023&lt;/Year&gt;&lt;RecNum&gt;2526&lt;/RecNum&gt;&lt;DisplayText&gt;Adhi and Muslim (2023)&lt;/DisplayText&gt;&lt;record&gt;&lt;rec-number&gt;2526&lt;/rec-number&gt;&lt;foreign-keys&gt;&lt;key app="EN" db-id="z959xtv5kdxdt0eawtt5ssvc90eradx50fpz" timestamp="1767372517"&gt;2526&lt;/key&gt;&lt;/foreign-keys&gt;&lt;ref-type name="Electronic Article"&gt;43&lt;/ref-type&gt;&lt;contributors&gt;&lt;authors&gt;&lt;author&gt;Adhi, Alvin B.&lt;/author&gt;&lt;author&gt;Muslim, Fadhilah&lt;/author&gt;&lt;/authors&gt;&lt;/contributors&gt;&lt;titles&gt;&lt;title&gt;Development of Stakeholder Engagement Strategies to Improve Sustainable Construction Implementation Based on Lean Construction Principles in Indonesia&lt;/title&gt;&lt;secondary-title&gt;Sustainability&lt;/secondary-title&gt;&lt;/titles&gt;&lt;periodical&gt;&lt;full-title&gt;Sustainability (Switzerland)&lt;/full-title&gt;&lt;abbr-1&gt;Sustainability&lt;/abbr-1&gt;&lt;/periodical&gt;&lt;pages&gt;6053&lt;/pages&gt;&lt;volume&gt;15&lt;/volume&gt;&lt;number&gt;7&lt;/number&gt;&lt;keywords&gt;&lt;keyword&gt;sustainable construction&lt;/keyword&gt;&lt;keyword&gt;lean construction&lt;/keyword&gt;&lt;keyword&gt;stakeholder engagement&lt;/keyword&gt;&lt;keyword&gt;engagement strategy&lt;/keyword&gt;&lt;keyword&gt;stakeholder influence level&lt;/keyword&gt;&lt;keyword&gt;fuzzy analysis&lt;/keyword&gt;&lt;/keywords&gt;&lt;dates&gt;&lt;year&gt;2023&lt;/year&gt;&lt;/dates&gt;&lt;isbn&gt;2071-1050&lt;/isbn&gt;&lt;urls&gt;&lt;/urls&gt;&lt;electronic-resource-num&gt;10.3390/su15076053&lt;/electronic-resource-num&gt;&lt;/record&gt;&lt;/Cite&gt;&lt;/EndNote&gt;</w:instrText>
            </w:r>
            <w:r w:rsidRPr="008339F1">
              <w:rPr>
                <w:rFonts w:ascii="Times New Roman" w:hAnsi="Times New Roman" w:cs="Times New Roman"/>
                <w:sz w:val="16"/>
                <w:szCs w:val="16"/>
                <w:lang w:val="en-HK"/>
              </w:rPr>
              <w:fldChar w:fldCharType="separate"/>
            </w:r>
            <w:bookmarkStart w:id="44" w:name="OLE_LINK175"/>
            <w:r w:rsidRPr="008339F1">
              <w:rPr>
                <w:rFonts w:ascii="Times New Roman" w:hAnsi="Times New Roman" w:cs="Times New Roman"/>
                <w:noProof/>
                <w:sz w:val="16"/>
                <w:szCs w:val="16"/>
                <w:lang w:val="en-HK"/>
              </w:rPr>
              <w:t>Adhi and Muslim</w:t>
            </w:r>
            <w:bookmarkEnd w:id="44"/>
            <w:r w:rsidRPr="008339F1">
              <w:rPr>
                <w:rFonts w:ascii="Times New Roman" w:hAnsi="Times New Roman" w:cs="Times New Roman"/>
                <w:noProof/>
                <w:sz w:val="16"/>
                <w:szCs w:val="16"/>
                <w:lang w:val="en-HK"/>
              </w:rPr>
              <w:t xml:space="preserve"> (2023)</w:t>
            </w:r>
            <w:r w:rsidRPr="008339F1">
              <w:rPr>
                <w:rFonts w:ascii="Times New Roman" w:hAnsi="Times New Roman" w:cs="Times New Roman"/>
                <w:sz w:val="16"/>
                <w:szCs w:val="16"/>
                <w:lang w:val="en-HK"/>
              </w:rPr>
              <w:fldChar w:fldCharType="end"/>
            </w:r>
            <w:bookmarkEnd w:id="43"/>
          </w:p>
        </w:tc>
        <w:tc>
          <w:tcPr>
            <w:tcW w:w="992" w:type="dxa"/>
          </w:tcPr>
          <w:p w14:paraId="2D51F5DC" w14:textId="77777777" w:rsidR="008339F1" w:rsidRPr="008339F1" w:rsidRDefault="008339F1" w:rsidP="008339F1">
            <w:pPr>
              <w:jc w:val="both"/>
              <w:rPr>
                <w:rFonts w:ascii="Times New Roman" w:hAnsi="Times New Roman" w:cs="Times New Roman"/>
                <w:sz w:val="16"/>
                <w:szCs w:val="16"/>
              </w:rPr>
            </w:pPr>
            <w:bookmarkStart w:id="45" w:name="OLE_LINK251"/>
            <w:r w:rsidRPr="008339F1">
              <w:rPr>
                <w:rFonts w:ascii="Times New Roman" w:hAnsi="Times New Roman" w:cs="Times New Roman"/>
                <w:sz w:val="16"/>
                <w:szCs w:val="16"/>
              </w:rPr>
              <w:t>Indonesia</w:t>
            </w:r>
            <w:bookmarkEnd w:id="45"/>
          </w:p>
        </w:tc>
        <w:tc>
          <w:tcPr>
            <w:tcW w:w="1559" w:type="dxa"/>
          </w:tcPr>
          <w:p w14:paraId="3C51B28B" w14:textId="338EE97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Development of stakeholder engagement strategies to improve sustainable construction implementation</w:t>
            </w:r>
          </w:p>
        </w:tc>
        <w:tc>
          <w:tcPr>
            <w:tcW w:w="1271" w:type="dxa"/>
          </w:tcPr>
          <w:p w14:paraId="2399D689" w14:textId="77777777" w:rsidR="008339F1" w:rsidRPr="008339F1" w:rsidRDefault="008339F1" w:rsidP="008339F1">
            <w:pPr>
              <w:rPr>
                <w:rFonts w:ascii="Times New Roman" w:hAnsi="Times New Roman" w:cs="Times New Roman"/>
                <w:sz w:val="16"/>
                <w:szCs w:val="16"/>
              </w:rPr>
            </w:pPr>
          </w:p>
        </w:tc>
        <w:tc>
          <w:tcPr>
            <w:tcW w:w="1990" w:type="dxa"/>
          </w:tcPr>
          <w:p w14:paraId="321C037D" w14:textId="74C3BEDE"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Mixed method; Literature review; expert validation interviews; pilot study; questionnaire survey</w:t>
            </w:r>
          </w:p>
        </w:tc>
        <w:tc>
          <w:tcPr>
            <w:tcW w:w="1843" w:type="dxa"/>
          </w:tcPr>
          <w:p w14:paraId="253B4C20" w14:textId="110619E4"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Owners, contractors, consultants, subcontractors, architects, the government, local governments, and NGOs</w:t>
            </w:r>
          </w:p>
        </w:tc>
        <w:tc>
          <w:tcPr>
            <w:tcW w:w="2126" w:type="dxa"/>
          </w:tcPr>
          <w:p w14:paraId="436C8B18" w14:textId="77777777" w:rsidR="008339F1" w:rsidRPr="008339F1" w:rsidRDefault="008339F1" w:rsidP="008339F1">
            <w:pPr>
              <w:rPr>
                <w:rFonts w:ascii="Times New Roman" w:hAnsi="Times New Roman" w:cs="Times New Roman"/>
                <w:sz w:val="16"/>
                <w:szCs w:val="16"/>
              </w:rPr>
            </w:pPr>
          </w:p>
        </w:tc>
        <w:tc>
          <w:tcPr>
            <w:tcW w:w="2835" w:type="dxa"/>
          </w:tcPr>
          <w:p w14:paraId="7D759F41" w14:textId="79A82A52" w:rsidR="008339F1" w:rsidRPr="008339F1" w:rsidRDefault="008339F1" w:rsidP="008339F1">
            <w:pPr>
              <w:jc w:val="center"/>
              <w:rPr>
                <w:rFonts w:ascii="Times New Roman" w:hAnsi="Times New Roman" w:cs="Times New Roman"/>
                <w:sz w:val="16"/>
                <w:szCs w:val="16"/>
              </w:rPr>
            </w:pPr>
          </w:p>
        </w:tc>
        <w:tc>
          <w:tcPr>
            <w:tcW w:w="3118" w:type="dxa"/>
          </w:tcPr>
          <w:p w14:paraId="6EE421FE" w14:textId="3B8DFB5F" w:rsidR="008339F1" w:rsidRPr="008339F1" w:rsidRDefault="008339F1" w:rsidP="008339F1">
            <w:pPr>
              <w:jc w:val="center"/>
              <w:rPr>
                <w:rFonts w:ascii="Times New Roman" w:hAnsi="Times New Roman" w:cs="Times New Roman"/>
                <w:sz w:val="16"/>
                <w:szCs w:val="16"/>
              </w:rPr>
            </w:pPr>
          </w:p>
        </w:tc>
        <w:tc>
          <w:tcPr>
            <w:tcW w:w="2127" w:type="dxa"/>
          </w:tcPr>
          <w:p w14:paraId="5110791B" w14:textId="77777777" w:rsidR="008339F1" w:rsidRPr="008339F1" w:rsidRDefault="008339F1" w:rsidP="008339F1">
            <w:pPr>
              <w:rPr>
                <w:rFonts w:ascii="Times New Roman" w:hAnsi="Times New Roman" w:cs="Times New Roman"/>
                <w:sz w:val="16"/>
                <w:szCs w:val="16"/>
              </w:rPr>
            </w:pPr>
          </w:p>
        </w:tc>
        <w:tc>
          <w:tcPr>
            <w:tcW w:w="2268" w:type="dxa"/>
          </w:tcPr>
          <w:p w14:paraId="40F8FA38" w14:textId="3712E5E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Develop regulations and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xml:space="preserve"> for eco-friendly construction materials Provision of economic incentives and funding; </w:t>
            </w:r>
            <w:bookmarkStart w:id="46" w:name="OLE_LINK628"/>
            <w:r w:rsidRPr="008339F1">
              <w:rPr>
                <w:rFonts w:ascii="Times New Roman" w:hAnsi="Times New Roman" w:cs="Times New Roman"/>
                <w:sz w:val="16"/>
                <w:szCs w:val="16"/>
              </w:rPr>
              <w:t>continuous monitoring and evaluation</w:t>
            </w:r>
            <w:bookmarkEnd w:id="46"/>
            <w:r w:rsidRPr="008339F1">
              <w:rPr>
                <w:rFonts w:ascii="Times New Roman" w:hAnsi="Times New Roman" w:cs="Times New Roman"/>
                <w:sz w:val="16"/>
                <w:szCs w:val="16"/>
              </w:rPr>
              <w:t>; improve manpower and stakeholder productivity through training,</w:t>
            </w:r>
          </w:p>
        </w:tc>
      </w:tr>
      <w:tr w:rsidR="008339F1" w:rsidRPr="008339F1" w14:paraId="0C96AE5A" w14:textId="77777777" w:rsidTr="002B37B8">
        <w:trPr>
          <w:trHeight w:val="1846"/>
        </w:trPr>
        <w:tc>
          <w:tcPr>
            <w:tcW w:w="503" w:type="dxa"/>
          </w:tcPr>
          <w:p w14:paraId="73AEA580" w14:textId="0A8054C6"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lastRenderedPageBreak/>
              <w:t>41</w:t>
            </w:r>
          </w:p>
        </w:tc>
        <w:bookmarkStart w:id="47" w:name="OLE_LINK171"/>
        <w:tc>
          <w:tcPr>
            <w:tcW w:w="915" w:type="dxa"/>
          </w:tcPr>
          <w:p w14:paraId="0E101EA8"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AuthorYear="1"&gt;&lt;Author&gt;Yu&lt;/Author&gt;&lt;Year&gt;2021&lt;/Year&gt;&lt;RecNum&gt;1774&lt;/RecNum&gt;&lt;DisplayText&gt;Yu et al. (2021)&lt;/DisplayText&gt;&lt;record&gt;&lt;rec-number&gt;1774&lt;/rec-number&gt;&lt;foreign-keys&gt;&lt;key app="EN" db-id="z959xtv5kdxdt0eawtt5ssvc90eradx50fpz" timestamp="1746210276"&gt;1774&lt;/key&gt;&lt;/foreign-keys&gt;&lt;ref-type name="Journal Article"&gt;17&lt;/ref-type&gt;&lt;contributors&gt;&lt;authors&gt;&lt;author&gt;Yu, Yifei&lt;/author&gt;&lt;author&gt;Yazan, Devrim Murat&lt;/author&gt;&lt;author&gt;Bhochhibhoya, Silu&lt;/author&gt;&lt;author&gt;Volker, Leentje&lt;/author&gt;&lt;/authors&gt;&lt;/contributors&gt;&lt;titles&gt;&lt;title&gt;Towards Circular Economy through Industrial Symbiosis in the Dutch construction industry: A case of recycled concrete aggregates&lt;/title&gt;&lt;secondary-title&gt;Journal of Cleaner Production&lt;/secondary-title&gt;&lt;/titles&gt;&lt;periodical&gt;&lt;full-title&gt;Journal of Cleaner Production&lt;/full-title&gt;&lt;abbr-1&gt;J. Clean. Prod.&lt;/abbr-1&gt;&lt;/periodical&gt;&lt;pages&gt;126083&lt;/pages&gt;&lt;volume&gt;293&lt;/volume&gt;&lt;keywords&gt;&lt;keyword&gt;Industrial symbiosis&lt;/keyword&gt;&lt;keyword&gt;Circular economy&lt;/keyword&gt;&lt;keyword&gt;Sustainable supply chain management&lt;/keyword&gt;&lt;keyword&gt;Geographic information systems&lt;/keyword&gt;&lt;keyword&gt;Recycled concrete aggregates&lt;/keyword&gt;&lt;keyword&gt;Agent-based modelling&lt;/keyword&gt;&lt;/keywords&gt;&lt;dates&gt;&lt;year&gt;2021&lt;/year&gt;&lt;pub-dates&gt;&lt;date&gt;2021/04/15/&lt;/date&gt;&lt;/pub-dates&gt;&lt;/dates&gt;&lt;isbn&gt;0959-6526&lt;/isbn&gt;&lt;urls&gt;&lt;related-urls&gt;&lt;url&gt;https://www.sciencedirect.com/science/article/pii/S0959652621003036&lt;/url&gt;&lt;/related-urls&gt;&lt;/urls&gt;&lt;electronic-resource-num&gt;https://doi.org/10.1016/j.jclepro.2021.126083&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Yu et al. (2021)</w:t>
            </w:r>
            <w:r w:rsidRPr="008339F1">
              <w:rPr>
                <w:rFonts w:ascii="Times New Roman" w:hAnsi="Times New Roman" w:cs="Times New Roman"/>
                <w:sz w:val="16"/>
                <w:szCs w:val="16"/>
                <w:lang w:val="en-HK"/>
              </w:rPr>
              <w:fldChar w:fldCharType="end"/>
            </w:r>
            <w:r w:rsidRPr="008339F1">
              <w:rPr>
                <w:rFonts w:ascii="Times New Roman" w:hAnsi="Times New Roman" w:cs="Times New Roman"/>
                <w:sz w:val="16"/>
                <w:szCs w:val="16"/>
                <w:lang w:val="en-HK"/>
              </w:rPr>
              <w:t>.</w:t>
            </w:r>
            <w:bookmarkEnd w:id="47"/>
          </w:p>
        </w:tc>
        <w:tc>
          <w:tcPr>
            <w:tcW w:w="992" w:type="dxa"/>
          </w:tcPr>
          <w:p w14:paraId="1B74CFF3" w14:textId="77777777" w:rsidR="008339F1" w:rsidRPr="008339F1" w:rsidRDefault="008339F1" w:rsidP="008339F1">
            <w:pPr>
              <w:jc w:val="both"/>
              <w:rPr>
                <w:rFonts w:ascii="Times New Roman" w:hAnsi="Times New Roman" w:cs="Times New Roman"/>
                <w:sz w:val="16"/>
                <w:szCs w:val="16"/>
              </w:rPr>
            </w:pPr>
            <w:bookmarkStart w:id="48" w:name="OLE_LINK252"/>
            <w:r w:rsidRPr="008339F1">
              <w:rPr>
                <w:rFonts w:ascii="Times New Roman" w:hAnsi="Times New Roman" w:cs="Times New Roman"/>
                <w:sz w:val="16"/>
                <w:szCs w:val="16"/>
              </w:rPr>
              <w:t>Netherlands</w:t>
            </w:r>
            <w:bookmarkEnd w:id="48"/>
          </w:p>
        </w:tc>
        <w:tc>
          <w:tcPr>
            <w:tcW w:w="1559" w:type="dxa"/>
          </w:tcPr>
          <w:p w14:paraId="6B5A6A9A" w14:textId="5E85E4E1"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Industrial symbiosis for replacing primary concrete aggregates with recycled concrete aggregates in the Dutch construction industry</w:t>
            </w:r>
          </w:p>
        </w:tc>
        <w:tc>
          <w:tcPr>
            <w:tcW w:w="1271" w:type="dxa"/>
          </w:tcPr>
          <w:p w14:paraId="5BD4D1DE" w14:textId="3D2E6F7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Concrete production; construction; demolition; concrete waste separation; recycling/up-cycling into RCA/RCA*; down-cycling into road foundation; RCA supply-demand coordination</w:t>
            </w:r>
          </w:p>
        </w:tc>
        <w:tc>
          <w:tcPr>
            <w:tcW w:w="1990" w:type="dxa"/>
          </w:tcPr>
          <w:p w14:paraId="4082EAF4" w14:textId="5B82E78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Qualitative Case-based modelling study supported By Seven interviews</w:t>
            </w:r>
          </w:p>
        </w:tc>
        <w:tc>
          <w:tcPr>
            <w:tcW w:w="1843" w:type="dxa"/>
          </w:tcPr>
          <w:p w14:paraId="6F4025C3" w14:textId="612E82B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Concrete production factory; construction contractor; demolition company; concrete waste recycling factory; conventional aggregate supplier; construction/demolition sites; government/policymakers; information-platform actor</w:t>
            </w:r>
          </w:p>
        </w:tc>
        <w:tc>
          <w:tcPr>
            <w:tcW w:w="2126" w:type="dxa"/>
          </w:tcPr>
          <w:p w14:paraId="5AC802D7" w14:textId="269EE7A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The study reports that construction and demolition waste is transported to the recycling factory; concrete waste is separated and recycled by the recycling factory; recycling factory plays a significant role because it provides the technology for separating and recycling concrete; RCA and RCA* are purchased by the concrete production factory. </w:t>
            </w:r>
          </w:p>
        </w:tc>
        <w:tc>
          <w:tcPr>
            <w:tcW w:w="2835" w:type="dxa"/>
          </w:tcPr>
          <w:p w14:paraId="2EBD9D56" w14:textId="72413224"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recycling factory = Responsible for concrete waste separation, recycling and RCA/RCA* production. Construction and demolition actors = Responsible for generating and supplying concrete waste streams. The concrete production factory = Responsible/decision actor for accepting and purchasing RCA/RCA</w:t>
            </w:r>
          </w:p>
        </w:tc>
        <w:tc>
          <w:tcPr>
            <w:tcW w:w="3118" w:type="dxa"/>
          </w:tcPr>
          <w:p w14:paraId="0AF58D33" w14:textId="5F22BB8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Key collaboration barriers include project-based temporality, weak long-term relationships, poor knowledge transfer, fragmented interdependencies, limited lead-firm control in project-based systems, client-dependent circularity ambition, arm’s-length contracting, risk being pushed down the supply chain, difficulty aligning actors when project teams change, and lower social embeddedness compared with product-based ecosystems.</w:t>
            </w:r>
          </w:p>
        </w:tc>
        <w:tc>
          <w:tcPr>
            <w:tcW w:w="2127" w:type="dxa"/>
          </w:tcPr>
          <w:p w14:paraId="6DA3ACD4" w14:textId="0821FE9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Affected: lead firms, suppliers, subcontractors, manufacturers, clients, modular firms, project-based construction firms and ecosystem partners. Influencing: clients through project requirements and circularity goals; lead firms through orchestration mechanisms; suppliers/manufacturers through product and process innovation; subcontractors through site implementation; </w:t>
            </w:r>
            <w:proofErr w:type="spellStart"/>
            <w:r w:rsidRPr="008339F1">
              <w:rPr>
                <w:rFonts w:ascii="Times New Roman" w:hAnsi="Times New Roman" w:cs="Times New Roman"/>
                <w:sz w:val="16"/>
                <w:szCs w:val="16"/>
              </w:rPr>
              <w:t>organisational</w:t>
            </w:r>
            <w:proofErr w:type="spellEnd"/>
            <w:r w:rsidRPr="008339F1">
              <w:rPr>
                <w:rFonts w:ascii="Times New Roman" w:hAnsi="Times New Roman" w:cs="Times New Roman"/>
                <w:sz w:val="16"/>
                <w:szCs w:val="16"/>
              </w:rPr>
              <w:t xml:space="preserve"> form through the degree of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modularity and partner stability.</w:t>
            </w:r>
          </w:p>
        </w:tc>
        <w:tc>
          <w:tcPr>
            <w:tcW w:w="2268" w:type="dxa"/>
          </w:tcPr>
          <w:p w14:paraId="09368B9D" w14:textId="5F1D00F0"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Implement strict on-site waste classification to improve waste purity; improve up-cycling efficiency through recycling technology innovation; establish information-sharing platforms for real-time waste and material-flow data; use GIS/ABM tools to support supply-demand coordination and collaboration decisions; provide subsidies for up-cycling technologies and circular business models; integrate regulatory frameworks into information platforms; support public–private information exchange and policy adjustment.</w:t>
            </w:r>
          </w:p>
        </w:tc>
      </w:tr>
      <w:tr w:rsidR="008339F1" w:rsidRPr="008339F1" w14:paraId="39739828" w14:textId="77777777" w:rsidTr="002B37B8">
        <w:trPr>
          <w:trHeight w:val="5018"/>
        </w:trPr>
        <w:tc>
          <w:tcPr>
            <w:tcW w:w="503" w:type="dxa"/>
          </w:tcPr>
          <w:p w14:paraId="0BAB5B89" w14:textId="7840E19B"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42</w:t>
            </w:r>
          </w:p>
        </w:tc>
        <w:tc>
          <w:tcPr>
            <w:tcW w:w="915" w:type="dxa"/>
          </w:tcPr>
          <w:p w14:paraId="47E34A05"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AuthorYear="1"&gt;&lt;Author&gt;Hradil&lt;/Author&gt;&lt;Year&gt;2014&lt;/Year&gt;&lt;RecNum&gt;2527&lt;/RecNum&gt;&lt;DisplayText&gt;Hradil et al. (2014)&lt;/DisplayText&gt;&lt;record&gt;&lt;rec-number&gt;2527&lt;/rec-number&gt;&lt;foreign-keys&gt;&lt;key app="EN" db-id="z959xtv5kdxdt0eawtt5ssvc90eradx50fpz" timestamp="1767532617"&gt;2527&lt;/key&gt;&lt;/foreign-keys&gt;&lt;ref-type name="Journal Article"&gt;17&lt;/ref-type&gt;&lt;contributors&gt;&lt;authors&gt;&lt;author&gt;Hradil, Petr&lt;/author&gt;&lt;author&gt;Talja, Asko&lt;/author&gt;&lt;author&gt;Wahlström, Margareta&lt;/author&gt;&lt;author&gt;Huuhka, Satu&lt;/author&gt;&lt;author&gt;Lahdensivu, Jukka&lt;/author&gt;&lt;author&gt;Pikkuvirta, Jussa&lt;/author&gt;&lt;/authors&gt;&lt;/contributors&gt;&lt;titles&gt;&lt;title&gt;Re-use of structural elements: Environmentally efficient recovery of building components&lt;/title&gt;&lt;/titles&gt;&lt;dates&gt;&lt;year&gt;2014&lt;/year&gt;&lt;/dates&gt;&lt;isbn&gt;9513881970&lt;/isbn&gt;&lt;urls&gt;&lt;/urls&gt;&lt;/record&gt;&lt;/Cite&gt;&lt;/EndNote&gt;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Hradil et al. (2014)</w:t>
            </w:r>
            <w:r w:rsidRPr="008339F1">
              <w:rPr>
                <w:rFonts w:ascii="Times New Roman" w:hAnsi="Times New Roman" w:cs="Times New Roman"/>
                <w:sz w:val="16"/>
                <w:szCs w:val="16"/>
                <w:lang w:val="en-HK"/>
              </w:rPr>
              <w:fldChar w:fldCharType="end"/>
            </w:r>
          </w:p>
        </w:tc>
        <w:tc>
          <w:tcPr>
            <w:tcW w:w="992" w:type="dxa"/>
          </w:tcPr>
          <w:p w14:paraId="759B84F2" w14:textId="77777777" w:rsidR="008339F1" w:rsidRPr="008339F1" w:rsidRDefault="008339F1" w:rsidP="008339F1">
            <w:pPr>
              <w:jc w:val="both"/>
              <w:rPr>
                <w:rFonts w:ascii="Times New Roman" w:hAnsi="Times New Roman" w:cs="Times New Roman"/>
                <w:sz w:val="16"/>
                <w:szCs w:val="16"/>
              </w:rPr>
            </w:pPr>
            <w:bookmarkStart w:id="49" w:name="OLE_LINK253"/>
            <w:r w:rsidRPr="008339F1">
              <w:rPr>
                <w:rFonts w:ascii="Times New Roman" w:hAnsi="Times New Roman" w:cs="Times New Roman"/>
                <w:sz w:val="16"/>
                <w:szCs w:val="16"/>
              </w:rPr>
              <w:t>Finland</w:t>
            </w:r>
            <w:bookmarkEnd w:id="49"/>
          </w:p>
        </w:tc>
        <w:tc>
          <w:tcPr>
            <w:tcW w:w="1559" w:type="dxa"/>
          </w:tcPr>
          <w:p w14:paraId="6A481DAA" w14:textId="18A4CD79"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Reuse of structural elements and environmentally efficient recovery of building components</w:t>
            </w:r>
          </w:p>
        </w:tc>
        <w:tc>
          <w:tcPr>
            <w:tcW w:w="1271" w:type="dxa"/>
          </w:tcPr>
          <w:p w14:paraId="7C076AE7" w14:textId="78DBE47F"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Design; construction/fabrication; building use; end-of-life; demolition; disassembly; salvage/storage; re-fabrication; reuse/recycling; design-code and BIM support</w:t>
            </w:r>
          </w:p>
        </w:tc>
        <w:tc>
          <w:tcPr>
            <w:tcW w:w="1990" w:type="dxa"/>
          </w:tcPr>
          <w:p w14:paraId="65D47F75" w14:textId="7D41E3E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Technical/research report</w:t>
            </w:r>
          </w:p>
        </w:tc>
        <w:tc>
          <w:tcPr>
            <w:tcW w:w="1843" w:type="dxa"/>
          </w:tcPr>
          <w:p w14:paraId="6BA6F65F" w14:textId="172AF3B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Material producers, service centers, fabricators and erectors, owners and investors, and designers</w:t>
            </w:r>
          </w:p>
        </w:tc>
        <w:tc>
          <w:tcPr>
            <w:tcW w:w="2126" w:type="dxa"/>
          </w:tcPr>
          <w:p w14:paraId="7F700683" w14:textId="5E41610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Designers have “one of the most important roles” because documentation, drawings and instructions affect building deconstruction. It also states that reuse projects can succeed only when supported by owners/investors. Fabricators may dismantle old structures and re-fabricate reclaimed elements; demolition practices are mainly destructive; reuse can be </w:t>
            </w:r>
            <w:proofErr w:type="spellStart"/>
            <w:r w:rsidRPr="008339F1">
              <w:rPr>
                <w:rFonts w:ascii="Times New Roman" w:hAnsi="Times New Roman" w:cs="Times New Roman"/>
                <w:sz w:val="16"/>
                <w:szCs w:val="16"/>
              </w:rPr>
              <w:t>maximised</w:t>
            </w:r>
            <w:proofErr w:type="spellEnd"/>
            <w:r w:rsidRPr="008339F1">
              <w:rPr>
                <w:rFonts w:ascii="Times New Roman" w:hAnsi="Times New Roman" w:cs="Times New Roman"/>
                <w:sz w:val="16"/>
                <w:szCs w:val="16"/>
              </w:rPr>
              <w:t xml:space="preserve"> only through careful disassembly; salvage yards store elements for reuse/recycling; design codes should establish clear rules for grading and safety; and BIM is essential for transferring building elements between projects</w:t>
            </w:r>
          </w:p>
        </w:tc>
        <w:tc>
          <w:tcPr>
            <w:tcW w:w="2835" w:type="dxa"/>
          </w:tcPr>
          <w:p w14:paraId="64F07B72" w14:textId="62B22CC0"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Designers were coded as Responsible for design documentation, drawings, instructions, design-for-future-reuse and adapting designs to available reclaimed components. Owners/investors were coded as Accountable for supporting and approving reuse projects because the report states that reuse can succeed only with their support. Fabricators/erectors were coded as Responsible for fabricating, erecting and, where applicable, re-fabricating reclaimed components. Demolition/disassembly actors were coded as Responsible for careful extraction and recovery of reusable elements. Salvage yards/material dealers were coded as Responsible for storing, sorting, grading and redistributing reclaimed materials/components.</w:t>
            </w:r>
          </w:p>
        </w:tc>
        <w:tc>
          <w:tcPr>
            <w:tcW w:w="3118" w:type="dxa"/>
          </w:tcPr>
          <w:p w14:paraId="7F467EC3" w14:textId="18F7B505" w:rsidR="008339F1" w:rsidRPr="008339F1" w:rsidRDefault="008339F1" w:rsidP="008339F1">
            <w:pPr>
              <w:jc w:val="center"/>
              <w:rPr>
                <w:rFonts w:ascii="Times New Roman" w:hAnsi="Times New Roman" w:cs="Times New Roman"/>
                <w:sz w:val="16"/>
                <w:szCs w:val="16"/>
              </w:rPr>
            </w:pPr>
          </w:p>
        </w:tc>
        <w:tc>
          <w:tcPr>
            <w:tcW w:w="2127" w:type="dxa"/>
          </w:tcPr>
          <w:p w14:paraId="2376B890" w14:textId="77777777" w:rsidR="008339F1" w:rsidRPr="008339F1" w:rsidRDefault="008339F1" w:rsidP="008339F1">
            <w:pPr>
              <w:rPr>
                <w:rFonts w:ascii="Times New Roman" w:hAnsi="Times New Roman" w:cs="Times New Roman"/>
                <w:sz w:val="16"/>
                <w:szCs w:val="16"/>
              </w:rPr>
            </w:pPr>
          </w:p>
        </w:tc>
        <w:tc>
          <w:tcPr>
            <w:tcW w:w="2268" w:type="dxa"/>
          </w:tcPr>
          <w:p w14:paraId="4E7A008A" w14:textId="530B470F" w:rsidR="008339F1" w:rsidRPr="008339F1" w:rsidRDefault="008339F1" w:rsidP="008339F1">
            <w:pPr>
              <w:rPr>
                <w:rFonts w:ascii="Times New Roman" w:hAnsi="Times New Roman" w:cs="Times New Roman"/>
                <w:sz w:val="16"/>
                <w:szCs w:val="16"/>
              </w:rPr>
            </w:pPr>
          </w:p>
        </w:tc>
      </w:tr>
      <w:tr w:rsidR="008339F1" w:rsidRPr="008339F1" w14:paraId="61ED1822" w14:textId="77777777" w:rsidTr="002B37B8">
        <w:trPr>
          <w:trHeight w:val="1484"/>
        </w:trPr>
        <w:tc>
          <w:tcPr>
            <w:tcW w:w="503" w:type="dxa"/>
          </w:tcPr>
          <w:p w14:paraId="22A11132" w14:textId="6C1BE18E"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43</w:t>
            </w:r>
          </w:p>
        </w:tc>
        <w:tc>
          <w:tcPr>
            <w:tcW w:w="915" w:type="dxa"/>
          </w:tcPr>
          <w:p w14:paraId="181D7CC4"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AuthorYear="1"&gt;&lt;Author&gt;Mortensen&lt;/Author&gt;&lt;Year&gt;2019&lt;/Year&gt;&lt;RecNum&gt;2528&lt;/RecNum&gt;&lt;DisplayText&gt;Mortensen and Kørnøv (2019)&lt;/DisplayText&gt;&lt;record&gt;&lt;rec-number&gt;2528&lt;/rec-number&gt;&lt;foreign-keys&gt;&lt;key app="EN" db-id="z959xtv5kdxdt0eawtt5ssvc90eradx50fpz" timestamp="1767545477"&gt;2528&lt;/key&gt;&lt;/foreign-keys&gt;&lt;ref-type name="Journal Article"&gt;17&lt;/ref-type&gt;&lt;contributors&gt;&lt;authors&gt;&lt;author&gt;Mortensen, Lucia&lt;/author&gt;&lt;author&gt;Kørnøv, Lone&lt;/author&gt;&lt;/authors&gt;&lt;/contributors&gt;&lt;titles&gt;&lt;title&gt;Critical factors for industrial symbiosis emergence process&lt;/title&gt;&lt;secondary-title&gt;Journal of Cleaner Production&lt;/secondary-title&gt;&lt;/titles&gt;&lt;periodical&gt;&lt;full-title&gt;Journal of Cleaner Production&lt;/full-title&gt;&lt;abbr-1&gt;J. Clean. Prod.&lt;/abbr-1&gt;&lt;/periodical&gt;&lt;pages&gt;56-69&lt;/pages&gt;&lt;volume&gt;212&lt;/volume&gt;&lt;keywords&gt;&lt;keyword&gt;Industrial symbiosis&lt;/keyword&gt;&lt;keyword&gt;Emergence&lt;/keyword&gt;&lt;keyword&gt;Critical factors&lt;/keyword&gt;&lt;/keywords&gt;&lt;dates&gt;&lt;year&gt;2019&lt;/year&gt;&lt;pub-dates&gt;&lt;date&gt;2019/03/01/&lt;/date&gt;&lt;/pub-dates&gt;&lt;/dates&gt;&lt;isbn&gt;0959-6526&lt;/isbn&gt;&lt;urls&gt;&lt;related-urls&gt;&lt;url&gt;https://www.sciencedirect.com/science/article/pii/S0959652618336254&lt;/url&gt;&lt;/related-urls&gt;&lt;/urls&gt;&lt;electronic-resource-num&gt;https://doi.org/10.1016/j.jclepro.2018.11.222&lt;/electronic-resource-num&gt;&lt;/record&gt;&lt;/Cite&gt;&lt;/EndNote&gt;</w:instrText>
            </w:r>
            <w:r w:rsidRPr="008339F1">
              <w:rPr>
                <w:rFonts w:ascii="Times New Roman" w:hAnsi="Times New Roman" w:cs="Times New Roman"/>
                <w:sz w:val="16"/>
                <w:szCs w:val="16"/>
                <w:lang w:val="en-HK"/>
              </w:rPr>
              <w:fldChar w:fldCharType="separate"/>
            </w:r>
            <w:bookmarkStart w:id="50" w:name="OLE_LINK169"/>
            <w:r w:rsidRPr="008339F1">
              <w:rPr>
                <w:rFonts w:ascii="Times New Roman" w:hAnsi="Times New Roman" w:cs="Times New Roman"/>
                <w:noProof/>
                <w:sz w:val="16"/>
                <w:szCs w:val="16"/>
                <w:lang w:val="en-HK"/>
              </w:rPr>
              <w:t>Mortensen and Kørnøv</w:t>
            </w:r>
            <w:bookmarkEnd w:id="50"/>
            <w:r w:rsidRPr="008339F1">
              <w:rPr>
                <w:rFonts w:ascii="Times New Roman" w:hAnsi="Times New Roman" w:cs="Times New Roman"/>
                <w:noProof/>
                <w:sz w:val="16"/>
                <w:szCs w:val="16"/>
                <w:lang w:val="en-HK"/>
              </w:rPr>
              <w:t xml:space="preserve"> (2019)</w:t>
            </w:r>
            <w:r w:rsidRPr="008339F1">
              <w:rPr>
                <w:rFonts w:ascii="Times New Roman" w:hAnsi="Times New Roman" w:cs="Times New Roman"/>
                <w:sz w:val="16"/>
                <w:szCs w:val="16"/>
                <w:lang w:val="en-HK"/>
              </w:rPr>
              <w:fldChar w:fldCharType="end"/>
            </w:r>
          </w:p>
        </w:tc>
        <w:tc>
          <w:tcPr>
            <w:tcW w:w="992" w:type="dxa"/>
          </w:tcPr>
          <w:p w14:paraId="3E481743" w14:textId="77777777" w:rsidR="008339F1" w:rsidRPr="008339F1" w:rsidRDefault="008339F1" w:rsidP="008339F1">
            <w:pPr>
              <w:jc w:val="both"/>
              <w:rPr>
                <w:rFonts w:ascii="Times New Roman" w:hAnsi="Times New Roman" w:cs="Times New Roman"/>
                <w:sz w:val="16"/>
                <w:szCs w:val="16"/>
              </w:rPr>
            </w:pPr>
            <w:bookmarkStart w:id="51" w:name="OLE_LINK254"/>
            <w:r w:rsidRPr="008339F1">
              <w:rPr>
                <w:rFonts w:ascii="Times New Roman" w:hAnsi="Times New Roman" w:cs="Times New Roman"/>
                <w:sz w:val="16"/>
                <w:szCs w:val="16"/>
              </w:rPr>
              <w:t>Denmark</w:t>
            </w:r>
            <w:bookmarkEnd w:id="51"/>
          </w:p>
        </w:tc>
        <w:tc>
          <w:tcPr>
            <w:tcW w:w="1559" w:type="dxa"/>
          </w:tcPr>
          <w:p w14:paraId="6EB137AF"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Investigates the emergence of industrial symbiosis (IS) and the critical factors encouraging transition</w:t>
            </w:r>
          </w:p>
        </w:tc>
        <w:tc>
          <w:tcPr>
            <w:tcW w:w="1271" w:type="dxa"/>
          </w:tcPr>
          <w:p w14:paraId="049B77F4" w14:textId="77777777" w:rsidR="008339F1" w:rsidRPr="008339F1" w:rsidRDefault="008339F1" w:rsidP="008339F1">
            <w:pPr>
              <w:rPr>
                <w:rFonts w:ascii="Times New Roman" w:hAnsi="Times New Roman" w:cs="Times New Roman"/>
                <w:sz w:val="16"/>
                <w:szCs w:val="16"/>
              </w:rPr>
            </w:pPr>
          </w:p>
        </w:tc>
        <w:tc>
          <w:tcPr>
            <w:tcW w:w="1990" w:type="dxa"/>
          </w:tcPr>
          <w:p w14:paraId="00BC0962" w14:textId="374FD5D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Literature review</w:t>
            </w:r>
          </w:p>
        </w:tc>
        <w:tc>
          <w:tcPr>
            <w:tcW w:w="1843" w:type="dxa"/>
          </w:tcPr>
          <w:p w14:paraId="1FB22651" w14:textId="522C18B0" w:rsidR="008339F1" w:rsidRPr="008339F1" w:rsidRDefault="008339F1" w:rsidP="008339F1">
            <w:pPr>
              <w:rPr>
                <w:rFonts w:ascii="Times New Roman" w:hAnsi="Times New Roman" w:cs="Times New Roman"/>
                <w:sz w:val="16"/>
                <w:szCs w:val="16"/>
              </w:rPr>
            </w:pPr>
          </w:p>
        </w:tc>
        <w:tc>
          <w:tcPr>
            <w:tcW w:w="2126" w:type="dxa"/>
          </w:tcPr>
          <w:p w14:paraId="05AD4C76" w14:textId="77777777" w:rsidR="008339F1" w:rsidRPr="008339F1" w:rsidRDefault="008339F1" w:rsidP="008339F1">
            <w:pPr>
              <w:rPr>
                <w:rFonts w:ascii="Times New Roman" w:hAnsi="Times New Roman" w:cs="Times New Roman"/>
                <w:sz w:val="16"/>
                <w:szCs w:val="16"/>
              </w:rPr>
            </w:pPr>
          </w:p>
        </w:tc>
        <w:tc>
          <w:tcPr>
            <w:tcW w:w="2835" w:type="dxa"/>
          </w:tcPr>
          <w:p w14:paraId="595496B4" w14:textId="5B3E7221" w:rsidR="008339F1" w:rsidRPr="008339F1" w:rsidRDefault="008339F1" w:rsidP="008339F1">
            <w:pPr>
              <w:jc w:val="center"/>
              <w:rPr>
                <w:rFonts w:ascii="Times New Roman" w:hAnsi="Times New Roman" w:cs="Times New Roman"/>
                <w:sz w:val="16"/>
                <w:szCs w:val="16"/>
              </w:rPr>
            </w:pPr>
          </w:p>
        </w:tc>
        <w:tc>
          <w:tcPr>
            <w:tcW w:w="3118" w:type="dxa"/>
          </w:tcPr>
          <w:p w14:paraId="1074C114" w14:textId="6FE90D99" w:rsidR="008339F1" w:rsidRPr="008339F1" w:rsidRDefault="008339F1" w:rsidP="008339F1">
            <w:pPr>
              <w:jc w:val="center"/>
              <w:rPr>
                <w:rFonts w:ascii="Times New Roman" w:hAnsi="Times New Roman" w:cs="Times New Roman"/>
                <w:sz w:val="16"/>
                <w:szCs w:val="16"/>
              </w:rPr>
            </w:pPr>
          </w:p>
        </w:tc>
        <w:tc>
          <w:tcPr>
            <w:tcW w:w="2127" w:type="dxa"/>
          </w:tcPr>
          <w:p w14:paraId="1187CA3C" w14:textId="77777777" w:rsidR="008339F1" w:rsidRPr="008339F1" w:rsidRDefault="008339F1" w:rsidP="008339F1">
            <w:pPr>
              <w:rPr>
                <w:rFonts w:ascii="Times New Roman" w:hAnsi="Times New Roman" w:cs="Times New Roman"/>
                <w:sz w:val="16"/>
                <w:szCs w:val="16"/>
              </w:rPr>
            </w:pPr>
          </w:p>
        </w:tc>
        <w:tc>
          <w:tcPr>
            <w:tcW w:w="2268" w:type="dxa"/>
          </w:tcPr>
          <w:p w14:paraId="6A1FD2F6" w14:textId="2DD06FB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Build awareness and interest in circular/industrial symbiosis opportunities; create platforms for interaction; use facilitators or coordinators to connect actors; support knowledge-sharing and trust-building; use workshops, meetings, policy tours and face-to-face discussions; develop incubation platforms; conduct feasibility studies and cost–benefit analyses; </w:t>
            </w:r>
            <w:proofErr w:type="spellStart"/>
            <w:r w:rsidRPr="008339F1">
              <w:rPr>
                <w:rFonts w:ascii="Times New Roman" w:hAnsi="Times New Roman" w:cs="Times New Roman"/>
                <w:sz w:val="16"/>
                <w:szCs w:val="16"/>
              </w:rPr>
              <w:t>mobilise</w:t>
            </w:r>
            <w:proofErr w:type="spellEnd"/>
            <w:r w:rsidRPr="008339F1">
              <w:rPr>
                <w:rFonts w:ascii="Times New Roman" w:hAnsi="Times New Roman" w:cs="Times New Roman"/>
                <w:sz w:val="16"/>
                <w:szCs w:val="16"/>
              </w:rPr>
              <w:t xml:space="preserve"> public bodies, businesses and research institutions; support formal agreements only after actors have explored connections and built confidence.</w:t>
            </w:r>
          </w:p>
        </w:tc>
      </w:tr>
      <w:tr w:rsidR="008339F1" w:rsidRPr="008339F1" w14:paraId="7FD69BA0" w14:textId="77777777" w:rsidTr="002B37B8">
        <w:trPr>
          <w:trHeight w:val="4253"/>
        </w:trPr>
        <w:tc>
          <w:tcPr>
            <w:tcW w:w="503" w:type="dxa"/>
          </w:tcPr>
          <w:p w14:paraId="5FC3B85A" w14:textId="04A8F44F"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lastRenderedPageBreak/>
              <w:t>44</w:t>
            </w:r>
          </w:p>
        </w:tc>
        <w:tc>
          <w:tcPr>
            <w:tcW w:w="915" w:type="dxa"/>
          </w:tcPr>
          <w:p w14:paraId="72843307"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AuthorYear="1"&gt;&lt;Author&gt;Havinga&lt;/Author&gt;&lt;Year&gt;2023&lt;/Year&gt;&lt;RecNum&gt;2530&lt;/RecNum&gt;&lt;DisplayText&gt;Havinga et al. (2023)&lt;/DisplayText&gt;&lt;record&gt;&lt;rec-number&gt;2530&lt;/rec-number&gt;&lt;foreign-keys&gt;&lt;key app="EN" db-id="z959xtv5kdxdt0eawtt5ssvc90eradx50fpz" timestamp="1767546736"&gt;2530&lt;/key&gt;&lt;/foreign-keys&gt;&lt;ref-type name="Journal Article"&gt;17&lt;/ref-type&gt;&lt;contributors&gt;&lt;authors&gt;&lt;author&gt;Havinga, Fynn&lt;/author&gt;&lt;author&gt;Mahdad, Maral&lt;/author&gt;&lt;author&gt;Dolfsma, Wilfred&lt;/author&gt;&lt;/authors&gt;&lt;/contributors&gt;&lt;titles&gt;&lt;title&gt;Unpacking ecosystem dynamics in the construction industry: The transition toward circular construction ecosystems&lt;/title&gt;&lt;secondary-title&gt;Journal of Cleaner Production&lt;/secondary-title&gt;&lt;/titles&gt;&lt;periodical&gt;&lt;full-title&gt;Journal of Cleaner Production&lt;/full-title&gt;&lt;abbr-1&gt;J. Clean. Prod.&lt;/abbr-1&gt;&lt;/periodical&gt;&lt;pages&gt;137455&lt;/pages&gt;&lt;volume&gt;414&lt;/volume&gt;&lt;dates&gt;&lt;year&gt;2023&lt;/year&gt;&lt;pub-dates&gt;&lt;date&gt;2023/08/15/&lt;/date&gt;&lt;/pub-dates&gt;&lt;/dates&gt;&lt;isbn&gt;0959-6526&lt;/isbn&gt;&lt;urls&gt;&lt;related-urls&gt;&lt;url&gt;https://www.sciencedirect.com/science/article/pii/S095965262301613X&lt;/url&gt;&lt;/related-urls&gt;&lt;/urls&gt;&lt;electronic-resource-num&gt;https://doi.org/10.1016/j.jclepro.2023.137455&lt;/electronic-resource-num&gt;&lt;/record&gt;&lt;/Cite&gt;&lt;/EndNote&gt;</w:instrText>
            </w:r>
            <w:r w:rsidRPr="008339F1">
              <w:rPr>
                <w:rFonts w:ascii="Times New Roman" w:hAnsi="Times New Roman" w:cs="Times New Roman"/>
                <w:sz w:val="16"/>
                <w:szCs w:val="16"/>
                <w:lang w:val="en-HK"/>
              </w:rPr>
              <w:fldChar w:fldCharType="separate"/>
            </w:r>
            <w:bookmarkStart w:id="52" w:name="OLE_LINK167"/>
            <w:r w:rsidRPr="008339F1">
              <w:rPr>
                <w:rFonts w:ascii="Times New Roman" w:hAnsi="Times New Roman" w:cs="Times New Roman"/>
                <w:noProof/>
                <w:sz w:val="16"/>
                <w:szCs w:val="16"/>
                <w:lang w:val="en-HK"/>
              </w:rPr>
              <w:t>Havinga</w:t>
            </w:r>
            <w:bookmarkEnd w:id="52"/>
            <w:r w:rsidRPr="008339F1">
              <w:rPr>
                <w:rFonts w:ascii="Times New Roman" w:hAnsi="Times New Roman" w:cs="Times New Roman"/>
                <w:noProof/>
                <w:sz w:val="16"/>
                <w:szCs w:val="16"/>
                <w:lang w:val="en-HK"/>
              </w:rPr>
              <w:t xml:space="preserve"> et al. (2023)</w:t>
            </w:r>
            <w:r w:rsidRPr="008339F1">
              <w:rPr>
                <w:rFonts w:ascii="Times New Roman" w:hAnsi="Times New Roman" w:cs="Times New Roman"/>
                <w:sz w:val="16"/>
                <w:szCs w:val="16"/>
                <w:lang w:val="en-HK"/>
              </w:rPr>
              <w:fldChar w:fldCharType="end"/>
            </w:r>
          </w:p>
        </w:tc>
        <w:tc>
          <w:tcPr>
            <w:tcW w:w="992" w:type="dxa"/>
          </w:tcPr>
          <w:p w14:paraId="54A687AE" w14:textId="77777777" w:rsidR="008339F1" w:rsidRPr="008339F1" w:rsidRDefault="008339F1" w:rsidP="008339F1">
            <w:pPr>
              <w:jc w:val="both"/>
              <w:rPr>
                <w:rFonts w:ascii="Times New Roman" w:hAnsi="Times New Roman" w:cs="Times New Roman"/>
                <w:sz w:val="16"/>
                <w:szCs w:val="16"/>
              </w:rPr>
            </w:pPr>
            <w:bookmarkStart w:id="53" w:name="OLE_LINK255"/>
            <w:r w:rsidRPr="008339F1">
              <w:rPr>
                <w:rFonts w:ascii="Times New Roman" w:hAnsi="Times New Roman" w:cs="Times New Roman"/>
                <w:sz w:val="16"/>
                <w:szCs w:val="16"/>
              </w:rPr>
              <w:t>UK</w:t>
            </w:r>
            <w:bookmarkEnd w:id="53"/>
          </w:p>
        </w:tc>
        <w:tc>
          <w:tcPr>
            <w:tcW w:w="1559" w:type="dxa"/>
          </w:tcPr>
          <w:p w14:paraId="13B00D08" w14:textId="36F81184"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How product-based versus project-based </w:t>
            </w:r>
            <w:proofErr w:type="spellStart"/>
            <w:r w:rsidRPr="008339F1">
              <w:rPr>
                <w:rFonts w:ascii="Times New Roman" w:hAnsi="Times New Roman" w:cs="Times New Roman"/>
                <w:sz w:val="16"/>
                <w:szCs w:val="16"/>
              </w:rPr>
              <w:t>organisational</w:t>
            </w:r>
            <w:proofErr w:type="spellEnd"/>
            <w:r w:rsidRPr="008339F1">
              <w:rPr>
                <w:rFonts w:ascii="Times New Roman" w:hAnsi="Times New Roman" w:cs="Times New Roman"/>
                <w:sz w:val="16"/>
                <w:szCs w:val="16"/>
              </w:rPr>
              <w:t xml:space="preserve"> forms affect partner alignment during transition toward circular construction ecosystems</w:t>
            </w:r>
          </w:p>
        </w:tc>
        <w:tc>
          <w:tcPr>
            <w:tcW w:w="1271" w:type="dxa"/>
          </w:tcPr>
          <w:p w14:paraId="40162187" w14:textId="2089DED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b/>
            </w:r>
          </w:p>
        </w:tc>
        <w:tc>
          <w:tcPr>
            <w:tcW w:w="1990" w:type="dxa"/>
          </w:tcPr>
          <w:p w14:paraId="460C909C" w14:textId="745C37F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Qualitative case study, 13 semi-structured interviews</w:t>
            </w:r>
          </w:p>
        </w:tc>
        <w:tc>
          <w:tcPr>
            <w:tcW w:w="1843" w:type="dxa"/>
          </w:tcPr>
          <w:p w14:paraId="63F0B82E" w14:textId="64371E12"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Lead firms; clients; suppliers; subcontractors; manufacturers; ecosystem partners; modular/off-site firms; project-based construction management firms</w:t>
            </w:r>
          </w:p>
        </w:tc>
        <w:tc>
          <w:tcPr>
            <w:tcW w:w="2126" w:type="dxa"/>
          </w:tcPr>
          <w:p w14:paraId="49A39E36" w14:textId="77777777" w:rsidR="008339F1" w:rsidRPr="008339F1" w:rsidRDefault="008339F1" w:rsidP="008339F1">
            <w:pPr>
              <w:rPr>
                <w:rFonts w:ascii="Times New Roman" w:hAnsi="Times New Roman" w:cs="Times New Roman"/>
                <w:sz w:val="16"/>
                <w:szCs w:val="16"/>
              </w:rPr>
            </w:pPr>
          </w:p>
        </w:tc>
        <w:tc>
          <w:tcPr>
            <w:tcW w:w="2835" w:type="dxa"/>
          </w:tcPr>
          <w:p w14:paraId="614C8628" w14:textId="765F85F9" w:rsidR="008339F1" w:rsidRPr="008339F1" w:rsidRDefault="008339F1" w:rsidP="008339F1">
            <w:pPr>
              <w:jc w:val="center"/>
              <w:rPr>
                <w:rFonts w:ascii="Times New Roman" w:hAnsi="Times New Roman" w:cs="Times New Roman"/>
                <w:sz w:val="16"/>
                <w:szCs w:val="16"/>
              </w:rPr>
            </w:pPr>
          </w:p>
        </w:tc>
        <w:tc>
          <w:tcPr>
            <w:tcW w:w="3118" w:type="dxa"/>
          </w:tcPr>
          <w:p w14:paraId="24D6B978" w14:textId="2A13D2E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Key barriers include project-based temporality, weak long-term relationships, poor knowledge transfer, fragmented interdependencies, limited lead-firm control in project-based systems, client-dependent circularity ambition, arm’s-length contracting, risk being pushed down the supply chain, difficulty aligning actors when project teams change, and lower social embeddedness compared with product-based ecosystems.</w:t>
            </w:r>
          </w:p>
        </w:tc>
        <w:tc>
          <w:tcPr>
            <w:tcW w:w="2127" w:type="dxa"/>
          </w:tcPr>
          <w:p w14:paraId="12E195C2" w14:textId="271810D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Affected: lead firms, suppliers, subcontractors, manufacturers, clients, modular firms, project-based construction firms and ecosystem partners. Influencing: clients through project requirements and circularity goals; lead firms through orchestration mechanisms; suppliers/manufacturers through product and process innovation; subcontractors through site implementation; </w:t>
            </w:r>
            <w:proofErr w:type="spellStart"/>
            <w:r w:rsidRPr="008339F1">
              <w:rPr>
                <w:rFonts w:ascii="Times New Roman" w:hAnsi="Times New Roman" w:cs="Times New Roman"/>
                <w:sz w:val="16"/>
                <w:szCs w:val="16"/>
              </w:rPr>
              <w:t>organisational</w:t>
            </w:r>
            <w:proofErr w:type="spellEnd"/>
            <w:r w:rsidRPr="008339F1">
              <w:rPr>
                <w:rFonts w:ascii="Times New Roman" w:hAnsi="Times New Roman" w:cs="Times New Roman"/>
                <w:sz w:val="16"/>
                <w:szCs w:val="16"/>
              </w:rPr>
              <w:t xml:space="preserve"> form through the degree of </w:t>
            </w:r>
            <w:proofErr w:type="spellStart"/>
            <w:r w:rsidRPr="008339F1">
              <w:rPr>
                <w:rFonts w:ascii="Times New Roman" w:hAnsi="Times New Roman" w:cs="Times New Roman"/>
                <w:sz w:val="16"/>
                <w:szCs w:val="16"/>
              </w:rPr>
              <w:t>standardisation</w:t>
            </w:r>
            <w:proofErr w:type="spellEnd"/>
            <w:r w:rsidRPr="008339F1">
              <w:rPr>
                <w:rFonts w:ascii="Times New Roman" w:hAnsi="Times New Roman" w:cs="Times New Roman"/>
                <w:sz w:val="16"/>
                <w:szCs w:val="16"/>
              </w:rPr>
              <w:t>, modularity and partner stability.</w:t>
            </w:r>
          </w:p>
        </w:tc>
        <w:tc>
          <w:tcPr>
            <w:tcW w:w="2268" w:type="dxa"/>
          </w:tcPr>
          <w:p w14:paraId="5C95F4A1" w14:textId="149DE50F"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study suggests that circular construction can be supported by modular/product-based approaches, clearer standards, longer-term supplier relationships, stronger knowledge sharing, and early client commitment to circularity.</w:t>
            </w:r>
          </w:p>
        </w:tc>
      </w:tr>
      <w:tr w:rsidR="008339F1" w:rsidRPr="008339F1" w14:paraId="7DE501E0" w14:textId="77777777" w:rsidTr="002B37B8">
        <w:trPr>
          <w:trHeight w:val="5248"/>
        </w:trPr>
        <w:tc>
          <w:tcPr>
            <w:tcW w:w="503" w:type="dxa"/>
          </w:tcPr>
          <w:p w14:paraId="671D52D7" w14:textId="60B12794"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45</w:t>
            </w:r>
          </w:p>
        </w:tc>
        <w:tc>
          <w:tcPr>
            <w:tcW w:w="915" w:type="dxa"/>
          </w:tcPr>
          <w:p w14:paraId="6AFFFCE9"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AuthorYear="1"&gt;&lt;Author&gt;Andersson&lt;/Author&gt;&lt;Year&gt;2019&lt;/Year&gt;&lt;RecNum&gt;2532&lt;/RecNum&gt;&lt;DisplayText&gt;Andersson et al. (2019)&lt;/DisplayText&gt;&lt;record&gt;&lt;rec-number&gt;2532&lt;/rec-number&gt;&lt;foreign-keys&gt;&lt;key app="EN" db-id="z959xtv5kdxdt0eawtt5ssvc90eradx50fpz" timestamp="1767597209"&gt;2532&lt;/key&gt;&lt;/foreign-keys&gt;&lt;ref-type name="Conference Proceedings"&gt;10&lt;/ref-type&gt;&lt;contributors&gt;&lt;authors&gt;&lt;author&gt;Andersson, Rickard&lt;/author&gt;&lt;author&gt;Buser, Martine&lt;/author&gt;&lt;author&gt;Bosch, Petra&lt;/author&gt;&lt;/authors&gt;&lt;/contributors&gt;&lt;titles&gt;&lt;title&gt;Improving renovation waste management in Sweden: The role of the demolition company&lt;/title&gt;&lt;secondary-title&gt;THIRTY-FIFTH ANNUAL CONFERENCE&lt;/secondary-title&gt;&lt;/titles&gt;&lt;pages&gt;84&lt;/pages&gt;&lt;dates&gt;&lt;year&gt;2019&lt;/year&gt;&lt;/dates&gt;&lt;urls&gt;&lt;/urls&gt;&lt;/record&gt;&lt;/Cite&gt;&lt;/EndNote&gt;</w:instrText>
            </w:r>
            <w:r w:rsidRPr="008339F1">
              <w:rPr>
                <w:rFonts w:ascii="Times New Roman" w:hAnsi="Times New Roman" w:cs="Times New Roman"/>
                <w:sz w:val="16"/>
                <w:szCs w:val="16"/>
                <w:lang w:val="en-HK"/>
              </w:rPr>
              <w:fldChar w:fldCharType="separate"/>
            </w:r>
            <w:bookmarkStart w:id="54" w:name="OLE_LINK166"/>
            <w:r w:rsidRPr="008339F1">
              <w:rPr>
                <w:rFonts w:ascii="Times New Roman" w:hAnsi="Times New Roman" w:cs="Times New Roman"/>
                <w:noProof/>
                <w:sz w:val="16"/>
                <w:szCs w:val="16"/>
                <w:lang w:val="en-HK"/>
              </w:rPr>
              <w:t>Andersson</w:t>
            </w:r>
            <w:bookmarkEnd w:id="54"/>
            <w:r w:rsidRPr="008339F1">
              <w:rPr>
                <w:rFonts w:ascii="Times New Roman" w:hAnsi="Times New Roman" w:cs="Times New Roman"/>
                <w:noProof/>
                <w:sz w:val="16"/>
                <w:szCs w:val="16"/>
                <w:lang w:val="en-HK"/>
              </w:rPr>
              <w:t xml:space="preserve"> et al. (2019)</w:t>
            </w:r>
            <w:r w:rsidRPr="008339F1">
              <w:rPr>
                <w:rFonts w:ascii="Times New Roman" w:hAnsi="Times New Roman" w:cs="Times New Roman"/>
                <w:sz w:val="16"/>
                <w:szCs w:val="16"/>
                <w:lang w:val="en-HK"/>
              </w:rPr>
              <w:fldChar w:fldCharType="end"/>
            </w:r>
          </w:p>
        </w:tc>
        <w:tc>
          <w:tcPr>
            <w:tcW w:w="992" w:type="dxa"/>
          </w:tcPr>
          <w:p w14:paraId="79966BAE" w14:textId="77777777" w:rsidR="008339F1" w:rsidRPr="008339F1" w:rsidRDefault="008339F1" w:rsidP="008339F1">
            <w:pPr>
              <w:jc w:val="both"/>
              <w:rPr>
                <w:rFonts w:ascii="Times New Roman" w:hAnsi="Times New Roman" w:cs="Times New Roman"/>
                <w:sz w:val="16"/>
                <w:szCs w:val="16"/>
              </w:rPr>
            </w:pPr>
            <w:bookmarkStart w:id="55" w:name="OLE_LINK256"/>
            <w:r w:rsidRPr="008339F1">
              <w:rPr>
                <w:rFonts w:ascii="Times New Roman" w:hAnsi="Times New Roman" w:cs="Times New Roman"/>
                <w:sz w:val="16"/>
                <w:szCs w:val="16"/>
              </w:rPr>
              <w:t>Sweden</w:t>
            </w:r>
            <w:bookmarkEnd w:id="55"/>
          </w:p>
        </w:tc>
        <w:tc>
          <w:tcPr>
            <w:tcW w:w="1559" w:type="dxa"/>
          </w:tcPr>
          <w:p w14:paraId="54F71B47" w14:textId="2CAA80CF"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Role of demolition companies in improving renovation and demolition waste management and increasing recycling</w:t>
            </w:r>
          </w:p>
        </w:tc>
        <w:tc>
          <w:tcPr>
            <w:tcW w:w="1271" w:type="dxa"/>
          </w:tcPr>
          <w:p w14:paraId="2F6E10A9" w14:textId="77777777" w:rsidR="001A01DB" w:rsidRDefault="001A01DB" w:rsidP="008339F1">
            <w:pPr>
              <w:rPr>
                <w:rFonts w:ascii="Times New Roman" w:hAnsi="Times New Roman" w:cs="Times New Roman"/>
                <w:sz w:val="16"/>
                <w:szCs w:val="16"/>
              </w:rPr>
            </w:pPr>
            <w:r>
              <w:rPr>
                <w:rFonts w:ascii="Times New Roman" w:hAnsi="Times New Roman" w:cs="Times New Roman"/>
                <w:sz w:val="16"/>
                <w:szCs w:val="16"/>
              </w:rPr>
              <w:t>Construction</w:t>
            </w:r>
          </w:p>
          <w:p w14:paraId="1204F6A9" w14:textId="77777777" w:rsid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Renovation; </w:t>
            </w:r>
          </w:p>
          <w:p w14:paraId="0B4D4FF3" w14:textId="403C5F49" w:rsidR="001A01DB" w:rsidRPr="008339F1" w:rsidRDefault="001A01DB" w:rsidP="008339F1">
            <w:pPr>
              <w:rPr>
                <w:rFonts w:ascii="Times New Roman" w:hAnsi="Times New Roman" w:cs="Times New Roman"/>
                <w:sz w:val="16"/>
                <w:szCs w:val="16"/>
              </w:rPr>
            </w:pPr>
            <w:r>
              <w:rPr>
                <w:rFonts w:ascii="Times New Roman" w:hAnsi="Times New Roman" w:cs="Times New Roman"/>
                <w:sz w:val="16"/>
                <w:szCs w:val="16"/>
              </w:rPr>
              <w:t>End-of life</w:t>
            </w:r>
          </w:p>
        </w:tc>
        <w:tc>
          <w:tcPr>
            <w:tcW w:w="1990" w:type="dxa"/>
          </w:tcPr>
          <w:p w14:paraId="5EDC5972" w14:textId="36B73F5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Qualitative; Semi-structured interview; document review</w:t>
            </w:r>
          </w:p>
        </w:tc>
        <w:tc>
          <w:tcPr>
            <w:tcW w:w="1843" w:type="dxa"/>
          </w:tcPr>
          <w:p w14:paraId="26DE552D" w14:textId="41851418"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Demolition companies; contractors; clients; municipalities/environmental offices; professional association; recycling company; site managers</w:t>
            </w:r>
          </w:p>
        </w:tc>
        <w:tc>
          <w:tcPr>
            <w:tcW w:w="2126" w:type="dxa"/>
          </w:tcPr>
          <w:p w14:paraId="48FBE5E6" w14:textId="30329D9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study states that demolition companies are “in charge of both the handling of waste on site and its distribution afterwards.” It also reports that the study included six demolition companies, four contractors, two clients, municipal environmental offices, one professional association and one recycling company. The evidence further shows that responsibility is often shifted among actors: the contractor blames the client and the subcontractor blames the contractor. Demolition companies also report unclear demands regarding waste management and limited interest in what happens to waste after site cleaning</w:t>
            </w:r>
          </w:p>
        </w:tc>
        <w:tc>
          <w:tcPr>
            <w:tcW w:w="2835" w:type="dxa"/>
          </w:tcPr>
          <w:p w14:paraId="580EFA67" w14:textId="1A7048A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Demolition companies were coded as Responsible for on-site waste handling, sorting and downstream distribution after demolition/renovation activities. Contractors/main contractors were coded as Accountable/Responsible for setting site-level requirements and supervising subcontracted demolition/waste practices, but this accountability is weakened when waste requirements are unclear. Clients were coded as Accountable for project-level demands and procurement expectations related to waste management. Municipal/environmental authorities were coded as Accountable/Consulted for regulatory requirements and environmental oversight. Recycling companies were coded as Responsible for receiving, processing and supporting recycling routes. Professional associations were coded as Consulted for knowledge sharing, workshops and practice diffusion.</w:t>
            </w:r>
          </w:p>
        </w:tc>
        <w:tc>
          <w:tcPr>
            <w:tcW w:w="3118" w:type="dxa"/>
          </w:tcPr>
          <w:p w14:paraId="3A7665C8" w14:textId="498FEB8D"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paper directly addresses collaboration and implementation barriers. Key barriers include conservative industry practices, resistance to new ways of working, lack of space on urban renovation sites, time and cost pressure, unclear waste-management requirements, weak checking of environmental/waste clauses, responsibility shifting among clients, contractors and subcontractors, high quality demands for reuse, low revenue from selling waste, and limited market potential for recovered materials.</w:t>
            </w:r>
          </w:p>
        </w:tc>
        <w:tc>
          <w:tcPr>
            <w:tcW w:w="2127" w:type="dxa"/>
          </w:tcPr>
          <w:p w14:paraId="04022F70" w14:textId="51D30DA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Affected: demolition companies, contractors, clients, recycling companies and site teams. Influencing: clients through procurement/waste requirements; contractors through subcontract control and site management; demolition companies through practical handling and sorting; municipalities/regulators through environmental rules; recycling companies through market outlets and processing capacity; professional associations through knowledge diffusion.</w:t>
            </w:r>
          </w:p>
        </w:tc>
        <w:tc>
          <w:tcPr>
            <w:tcW w:w="2268" w:type="dxa"/>
          </w:tcPr>
          <w:p w14:paraId="6B2B799A" w14:textId="1E3C9853" w:rsidR="008339F1" w:rsidRPr="008339F1" w:rsidRDefault="008339F1" w:rsidP="008339F1">
            <w:pPr>
              <w:jc w:val="center"/>
              <w:rPr>
                <w:rFonts w:ascii="Times New Roman" w:hAnsi="Times New Roman" w:cs="Times New Roman"/>
                <w:sz w:val="16"/>
                <w:szCs w:val="16"/>
              </w:rPr>
            </w:pPr>
          </w:p>
        </w:tc>
      </w:tr>
      <w:tr w:rsidR="008339F1" w:rsidRPr="008339F1" w14:paraId="6E5D8C46" w14:textId="77777777" w:rsidTr="002B37B8">
        <w:trPr>
          <w:trHeight w:val="2477"/>
        </w:trPr>
        <w:tc>
          <w:tcPr>
            <w:tcW w:w="503" w:type="dxa"/>
          </w:tcPr>
          <w:p w14:paraId="5585F52C" w14:textId="0748516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46</w:t>
            </w:r>
          </w:p>
        </w:tc>
        <w:bookmarkStart w:id="56" w:name="OLE_LINK165"/>
        <w:tc>
          <w:tcPr>
            <w:tcW w:w="915" w:type="dxa"/>
          </w:tcPr>
          <w:p w14:paraId="0F1B6A23"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AuthorYear="1"&gt;&lt;Author&gt;Köhler&lt;/Author&gt;&lt;Year&gt;2022&lt;/Year&gt;&lt;RecNum&gt;2367&lt;/RecNum&gt;&lt;DisplayText&gt;Köhler et al. (2022)&lt;/DisplayText&gt;&lt;record&gt;&lt;rec-number&gt;2367&lt;/rec-number&gt;&lt;foreign-keys&gt;&lt;key app="EN" db-id="z959xtv5kdxdt0eawtt5ssvc90eradx50fpz" timestamp="1762249089"&gt;2367&lt;/key&gt;&lt;/foreign-keys&gt;&lt;ref-type name="Journal Article"&gt;17&lt;/ref-type&gt;&lt;contributors&gt;&lt;authors&gt;&lt;author&gt;Köhler, Julia&lt;/author&gt;&lt;author&gt;Sönnichsen, Sönnich Dahl&lt;/author&gt;&lt;author&gt;Beske‐Jansen, Philip&lt;/author&gt;&lt;/authors&gt;&lt;/contributors&gt;&lt;titles&gt;&lt;title&gt;Towards a collaboration framework for circular economy: The role of dynamic capabilities and open innovation&lt;/title&gt;&lt;secondary-title&gt;Business Strategy and the Environment&lt;/secondary-title&gt;&lt;/titles&gt;&lt;periodical&gt;&lt;full-title&gt;Business Strategy and the Environment&lt;/full-title&gt;&lt;/periodical&gt;&lt;pages&gt;2700-2713&lt;/pages&gt;&lt;volume&gt;31&lt;/volume&gt;&lt;number&gt;6&lt;/number&gt;&lt;dates&gt;&lt;year&gt;2022&lt;/year&gt;&lt;/dates&gt;&lt;isbn&gt;0964-4733&lt;/isbn&gt;&lt;urls&gt;&lt;/urls&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Köhler et al. (2022)</w:t>
            </w:r>
            <w:r w:rsidRPr="008339F1">
              <w:rPr>
                <w:rFonts w:ascii="Times New Roman" w:hAnsi="Times New Roman" w:cs="Times New Roman"/>
                <w:sz w:val="16"/>
                <w:szCs w:val="16"/>
                <w:lang w:val="en-HK"/>
              </w:rPr>
              <w:fldChar w:fldCharType="end"/>
            </w:r>
            <w:bookmarkEnd w:id="56"/>
          </w:p>
        </w:tc>
        <w:tc>
          <w:tcPr>
            <w:tcW w:w="992" w:type="dxa"/>
          </w:tcPr>
          <w:p w14:paraId="29C36954"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Denmark</w:t>
            </w:r>
          </w:p>
        </w:tc>
        <w:tc>
          <w:tcPr>
            <w:tcW w:w="1559" w:type="dxa"/>
          </w:tcPr>
          <w:p w14:paraId="48AC803A" w14:textId="5C730BDC"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Develops a collaboration framework for </w:t>
            </w:r>
            <w:r w:rsidR="009676F8">
              <w:rPr>
                <w:rFonts w:ascii="Times New Roman" w:hAnsi="Times New Roman" w:cs="Times New Roman"/>
                <w:sz w:val="16"/>
                <w:szCs w:val="16"/>
              </w:rPr>
              <w:t xml:space="preserve">the </w:t>
            </w:r>
            <w:r w:rsidRPr="008339F1">
              <w:rPr>
                <w:rFonts w:ascii="Times New Roman" w:hAnsi="Times New Roman" w:cs="Times New Roman"/>
                <w:sz w:val="16"/>
                <w:szCs w:val="16"/>
              </w:rPr>
              <w:t xml:space="preserve">circular economy through the </w:t>
            </w:r>
            <w:bookmarkStart w:id="57" w:name="OLE_LINK164"/>
            <w:r w:rsidR="009676F8">
              <w:rPr>
                <w:rFonts w:ascii="Times New Roman" w:hAnsi="Times New Roman" w:cs="Times New Roman"/>
                <w:sz w:val="16"/>
                <w:szCs w:val="16"/>
              </w:rPr>
              <w:t>Circle-H</w:t>
            </w:r>
            <w:r w:rsidRPr="008339F1">
              <w:rPr>
                <w:rFonts w:ascii="Times New Roman" w:hAnsi="Times New Roman" w:cs="Times New Roman"/>
                <w:sz w:val="16"/>
                <w:szCs w:val="16"/>
              </w:rPr>
              <w:t xml:space="preserve">ouse project </w:t>
            </w:r>
            <w:bookmarkEnd w:id="57"/>
            <w:r w:rsidRPr="008339F1">
              <w:rPr>
                <w:rFonts w:ascii="Times New Roman" w:hAnsi="Times New Roman" w:cs="Times New Roman"/>
                <w:sz w:val="16"/>
                <w:szCs w:val="16"/>
              </w:rPr>
              <w:t>Danish</w:t>
            </w:r>
          </w:p>
        </w:tc>
        <w:tc>
          <w:tcPr>
            <w:tcW w:w="1271" w:type="dxa"/>
          </w:tcPr>
          <w:p w14:paraId="0A537FDF" w14:textId="0B1A858E" w:rsidR="008339F1" w:rsidRPr="008339F1" w:rsidRDefault="00AD6970" w:rsidP="008339F1">
            <w:pPr>
              <w:rPr>
                <w:rFonts w:ascii="Times New Roman" w:hAnsi="Times New Roman" w:cs="Times New Roman"/>
                <w:sz w:val="16"/>
                <w:szCs w:val="16"/>
              </w:rPr>
            </w:pPr>
            <w:r>
              <w:rPr>
                <w:rFonts w:ascii="Times New Roman" w:hAnsi="Times New Roman" w:cs="Times New Roman"/>
                <w:sz w:val="16"/>
                <w:szCs w:val="16"/>
              </w:rPr>
              <w:t>Design, construction, and end-of-life</w:t>
            </w:r>
          </w:p>
        </w:tc>
        <w:tc>
          <w:tcPr>
            <w:tcW w:w="1990" w:type="dxa"/>
          </w:tcPr>
          <w:p w14:paraId="0BB1F499" w14:textId="57D0F28D"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Qualitative case study (Circle-House Project); 15 semi-structured interviews; abductive approach; qualitative coding (NVivo)</w:t>
            </w:r>
          </w:p>
        </w:tc>
        <w:tc>
          <w:tcPr>
            <w:tcW w:w="1843" w:type="dxa"/>
          </w:tcPr>
          <w:p w14:paraId="522BE532" w14:textId="0FA0177E"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Architecture firms, engineering consultancies, contractors</w:t>
            </w:r>
          </w:p>
          <w:p w14:paraId="41055AA2" w14:textId="46E7A9BE"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demolition contractors, client</w:t>
            </w:r>
          </w:p>
          <w:p w14:paraId="5BE757AA" w14:textId="6A015A1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funding partners, material manufacturers, product suppliers</w:t>
            </w:r>
          </w:p>
          <w:p w14:paraId="551B0C0B" w14:textId="2B4D99F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regulators and policy institutions</w:t>
            </w:r>
          </w:p>
        </w:tc>
        <w:tc>
          <w:tcPr>
            <w:tcW w:w="2126" w:type="dxa"/>
          </w:tcPr>
          <w:p w14:paraId="637980EF" w14:textId="77777777" w:rsidR="008339F1" w:rsidRPr="008339F1" w:rsidRDefault="008339F1" w:rsidP="008339F1">
            <w:pPr>
              <w:rPr>
                <w:rFonts w:ascii="Times New Roman" w:hAnsi="Times New Roman" w:cs="Times New Roman"/>
                <w:sz w:val="16"/>
                <w:szCs w:val="16"/>
              </w:rPr>
            </w:pPr>
          </w:p>
        </w:tc>
        <w:tc>
          <w:tcPr>
            <w:tcW w:w="2835" w:type="dxa"/>
          </w:tcPr>
          <w:p w14:paraId="1789925D" w14:textId="470344F7" w:rsidR="008339F1" w:rsidRPr="008339F1" w:rsidRDefault="008339F1" w:rsidP="008339F1">
            <w:pPr>
              <w:rPr>
                <w:rFonts w:ascii="Times New Roman" w:hAnsi="Times New Roman" w:cs="Times New Roman"/>
                <w:sz w:val="16"/>
                <w:szCs w:val="16"/>
              </w:rPr>
            </w:pPr>
          </w:p>
        </w:tc>
        <w:tc>
          <w:tcPr>
            <w:tcW w:w="3118" w:type="dxa"/>
          </w:tcPr>
          <w:p w14:paraId="09A9E26F" w14:textId="17FDD7D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Key barriers include silo structures, conservative industry practices, limited interaction between distant lifecycle actors, extended timeframes of circular projects, difficulty measuring monetary returns, lack of purchasing demand, reluctance to change habits, cultural resistance, uncertainty over who will reap future benefits, tension between open knowledge sharing and competitive advantage, and the risk that larger firms may appropriate smaller firms’ innovative ideas.</w:t>
            </w:r>
          </w:p>
        </w:tc>
        <w:tc>
          <w:tcPr>
            <w:tcW w:w="2127" w:type="dxa"/>
          </w:tcPr>
          <w:p w14:paraId="7DDBE2CF" w14:textId="705471C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Affected: architects, engineers, contractors, demolition actors, smaller innovative firms, larger construction firms, clients and future material users. Influencing: project managers, steering committee, client, funding bodies, design teams, contractors, demolition specialists and collaboration-platform facilitators.</w:t>
            </w:r>
          </w:p>
        </w:tc>
        <w:tc>
          <w:tcPr>
            <w:tcW w:w="2268" w:type="dxa"/>
          </w:tcPr>
          <w:p w14:paraId="55606708" w14:textId="4C497F9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Create non-hierarchical collaboration platforms; involve actors from the design phase; connect architects, engineers, contractors and demolition specialists early; use open innovation and knowledge-sharing routines; develop design-for-disassembly, material passports and circular business models; create trust-based governance while protecting smaller firms’ ideas; balance knowledge sharing with competitive advantage; use demonstrator projects and labs to build shared learning and market readiness.</w:t>
            </w:r>
          </w:p>
        </w:tc>
      </w:tr>
      <w:tr w:rsidR="008339F1" w:rsidRPr="008339F1" w14:paraId="4DC562B8" w14:textId="77777777" w:rsidTr="002B37B8">
        <w:trPr>
          <w:trHeight w:val="2477"/>
        </w:trPr>
        <w:tc>
          <w:tcPr>
            <w:tcW w:w="503" w:type="dxa"/>
          </w:tcPr>
          <w:p w14:paraId="69AB6748" w14:textId="7C67A0D3"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lang w:val="en-HK"/>
              </w:rPr>
              <w:lastRenderedPageBreak/>
              <w:t>47</w:t>
            </w:r>
          </w:p>
        </w:tc>
        <w:tc>
          <w:tcPr>
            <w:tcW w:w="915" w:type="dxa"/>
          </w:tcPr>
          <w:p w14:paraId="1F428BE1" w14:textId="77777777" w:rsidR="008339F1" w:rsidRPr="008339F1" w:rsidRDefault="008339F1" w:rsidP="008339F1">
            <w:pPr>
              <w:spacing w:before="100" w:beforeAutospacing="1" w:after="100" w:afterAutospacing="1"/>
              <w:rPr>
                <w:rFonts w:ascii="Times New Roman" w:eastAsia="Times New Roman" w:hAnsi="Times New Roman" w:cs="Times New Roman"/>
                <w:sz w:val="16"/>
                <w:szCs w:val="16"/>
              </w:rPr>
            </w:pPr>
            <w:r w:rsidRPr="008339F1">
              <w:rPr>
                <w:rFonts w:ascii="Times New Roman" w:eastAsia="Times New Roman" w:hAnsi="Times New Roman" w:cs="Times New Roman"/>
                <w:sz w:val="16"/>
                <w:szCs w:val="16"/>
              </w:rPr>
              <w:fldChar w:fldCharType="begin"/>
            </w:r>
            <w:r w:rsidRPr="008339F1">
              <w:rPr>
                <w:rFonts w:ascii="Times New Roman" w:eastAsia="Times New Roman" w:hAnsi="Times New Roman" w:cs="Times New Roman"/>
                <w:sz w:val="16"/>
                <w:szCs w:val="16"/>
              </w:rPr>
              <w:instrText xml:space="preserve"> ADDIN EN.CITE &lt;EndNote&gt;&lt;Cite AuthorYear="1"&gt;&lt;Author&gt;Agyapong&lt;/Author&gt;&lt;Year&gt;2023&lt;/Year&gt;&lt;RecNum&gt;2464&lt;/RecNum&gt;&lt;DisplayText&gt;Agyapong and Tweneboah (2023)&lt;/DisplayText&gt;&lt;record&gt;&lt;rec-number&gt;2464&lt;/rec-number&gt;&lt;foreign-keys&gt;&lt;key app="EN" db-id="z959xtv5kdxdt0eawtt5ssvc90eradx50fpz" timestamp="1764925154"&gt;2464&lt;/key&gt;&lt;/foreign-keys&gt;&lt;ref-type name="Journal Article"&gt;17&lt;/ref-type&gt;&lt;contributors&gt;&lt;authors&gt;&lt;author&gt;Agyapong, Daniel&lt;/author&gt;&lt;author&gt;Tweneboah, George&lt;/author&gt;&lt;/authors&gt;&lt;/contributors&gt;&lt;titles&gt;&lt;title&gt;The antecedents of circular economy financing and investment supply: The role of financial environment&lt;/title&gt;&lt;secondary-title&gt;Cleaner Environmental Systems&lt;/secondary-title&gt;&lt;/titles&gt;&lt;periodical&gt;&lt;full-title&gt;Cleaner Environmental Systems&lt;/full-title&gt;&lt;/periodical&gt;&lt;pages&gt;100103&lt;/pages&gt;&lt;volume&gt;8&lt;/volume&gt;&lt;keywords&gt;&lt;keyword&gt;Financial environment&lt;/keyword&gt;&lt;keyword&gt;Financial readiness&lt;/keyword&gt;&lt;keyword&gt;Investment preparedness&lt;/keyword&gt;&lt;keyword&gt;Circular economy financing and investment supply&lt;/keyword&gt;&lt;/keywords&gt;&lt;dates&gt;&lt;year&gt;2023&lt;/year&gt;&lt;pub-dates&gt;&lt;date&gt;2023/03/01/&lt;/date&gt;&lt;/pub-dates&gt;&lt;/dates&gt;&lt;isbn&gt;2666-7894&lt;/isbn&gt;&lt;urls&gt;&lt;related-urls&gt;&lt;url&gt;https://www.sciencedirect.com/science/article/pii/S2666789422000344&lt;/url&gt;&lt;/related-urls&gt;&lt;/urls&gt;&lt;electronic-resource-num&gt;https://doi.org/10.1016/j.cesys.2022.100103&lt;/electronic-resource-num&gt;&lt;/record&gt;&lt;/Cite&gt;&lt;/EndNote&gt;</w:instrText>
            </w:r>
            <w:r w:rsidRPr="008339F1">
              <w:rPr>
                <w:rFonts w:ascii="Times New Roman" w:eastAsia="Times New Roman" w:hAnsi="Times New Roman" w:cs="Times New Roman"/>
                <w:sz w:val="16"/>
                <w:szCs w:val="16"/>
              </w:rPr>
              <w:fldChar w:fldCharType="separate"/>
            </w:r>
            <w:r w:rsidRPr="008339F1">
              <w:rPr>
                <w:rFonts w:ascii="Times New Roman" w:eastAsia="Times New Roman" w:hAnsi="Times New Roman" w:cs="Times New Roman"/>
                <w:noProof/>
                <w:sz w:val="16"/>
                <w:szCs w:val="16"/>
              </w:rPr>
              <w:t>Agyapong and Tweneboah (2023)</w:t>
            </w:r>
            <w:r w:rsidRPr="008339F1">
              <w:rPr>
                <w:rFonts w:ascii="Times New Roman" w:eastAsia="Times New Roman" w:hAnsi="Times New Roman" w:cs="Times New Roman"/>
                <w:sz w:val="16"/>
                <w:szCs w:val="16"/>
              </w:rPr>
              <w:fldChar w:fldCharType="end"/>
            </w:r>
            <w:r w:rsidRPr="008339F1">
              <w:rPr>
                <w:rFonts w:ascii="Times New Roman" w:eastAsia="Times New Roman" w:hAnsi="Times New Roman" w:cs="Times New Roman"/>
                <w:sz w:val="16"/>
                <w:szCs w:val="16"/>
              </w:rPr>
              <w:t>.</w:t>
            </w:r>
          </w:p>
          <w:p w14:paraId="6FA62B77"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p>
        </w:tc>
        <w:tc>
          <w:tcPr>
            <w:tcW w:w="992" w:type="dxa"/>
          </w:tcPr>
          <w:p w14:paraId="54DE6D2A" w14:textId="56FCF0F5"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Ghana</w:t>
            </w:r>
          </w:p>
        </w:tc>
        <w:tc>
          <w:tcPr>
            <w:tcW w:w="1559" w:type="dxa"/>
          </w:tcPr>
          <w:p w14:paraId="740EC4B0" w14:textId="40B4C603"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Investigates the role of the financing environment and the state of circular economy finance in Ghana, considering waste management firms</w:t>
            </w:r>
          </w:p>
        </w:tc>
        <w:tc>
          <w:tcPr>
            <w:tcW w:w="1271" w:type="dxa"/>
          </w:tcPr>
          <w:p w14:paraId="759C8B5F" w14:textId="7FD05152" w:rsidR="008339F1" w:rsidRPr="008339F1" w:rsidRDefault="00F60BDF" w:rsidP="008339F1">
            <w:pPr>
              <w:rPr>
                <w:rFonts w:ascii="Times New Roman" w:hAnsi="Times New Roman" w:cs="Times New Roman"/>
                <w:sz w:val="16"/>
                <w:szCs w:val="16"/>
              </w:rPr>
            </w:pPr>
            <w:r>
              <w:rPr>
                <w:rFonts w:ascii="Times New Roman" w:hAnsi="Times New Roman" w:cs="Times New Roman"/>
                <w:sz w:val="16"/>
                <w:szCs w:val="16"/>
              </w:rPr>
              <w:t>End-of-life</w:t>
            </w:r>
          </w:p>
        </w:tc>
        <w:tc>
          <w:tcPr>
            <w:tcW w:w="1990" w:type="dxa"/>
          </w:tcPr>
          <w:p w14:paraId="119BAA09" w14:textId="6841F8E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Quantitative cross-sectional survey; Questionnaire survey; PLS-SEM using </w:t>
            </w:r>
            <w:proofErr w:type="spellStart"/>
            <w:r w:rsidRPr="008339F1">
              <w:rPr>
                <w:rFonts w:ascii="Times New Roman" w:hAnsi="Times New Roman" w:cs="Times New Roman"/>
                <w:sz w:val="16"/>
                <w:szCs w:val="16"/>
              </w:rPr>
              <w:t>SmartPL</w:t>
            </w:r>
            <w:proofErr w:type="spellEnd"/>
          </w:p>
        </w:tc>
        <w:tc>
          <w:tcPr>
            <w:tcW w:w="1843" w:type="dxa"/>
          </w:tcPr>
          <w:p w14:paraId="1BD6CBC0" w14:textId="45F75DF6"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waste management firms; financial institutions; green funding agencies; government/policymakers; investors; country-level financial institutions/regulators</w:t>
            </w:r>
          </w:p>
        </w:tc>
        <w:tc>
          <w:tcPr>
            <w:tcW w:w="2126" w:type="dxa"/>
          </w:tcPr>
          <w:p w14:paraId="1A534C3C" w14:textId="2AA930CF"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CE financing and investment supply are influenced by firms’ financial readiness and investment preparedness, and the country-level financial environment strengthens access to CE finance. It also notes that MSMEs in the waste sector struggle to access finance because financial institutions perceive their business models as risky, nascent and not immediately viable.</w:t>
            </w:r>
          </w:p>
        </w:tc>
        <w:tc>
          <w:tcPr>
            <w:tcW w:w="2835" w:type="dxa"/>
          </w:tcPr>
          <w:p w14:paraId="4D3DF94C" w14:textId="7777777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Waste management firms = Responsible for financial readiness, investment preparedness, </w:t>
            </w:r>
            <w:proofErr w:type="spellStart"/>
            <w:r w:rsidRPr="008339F1">
              <w:rPr>
                <w:rFonts w:ascii="Times New Roman" w:hAnsi="Times New Roman" w:cs="Times New Roman"/>
                <w:sz w:val="16"/>
                <w:szCs w:val="16"/>
              </w:rPr>
              <w:t>formalisation</w:t>
            </w:r>
            <w:proofErr w:type="spellEnd"/>
            <w:r w:rsidRPr="008339F1">
              <w:rPr>
                <w:rFonts w:ascii="Times New Roman" w:hAnsi="Times New Roman" w:cs="Times New Roman"/>
                <w:sz w:val="16"/>
                <w:szCs w:val="16"/>
              </w:rPr>
              <w:t>, risk identification, liquidity planning and sustainable business planning; financial institutions/investors = Responsible/Accountable for assessing and supplying finance; government/policymakers = Accountable for country-level financial conditions, tax incentives, soft loans and enabling regulations; green funding agencies = Responsible/Consulted for financial support and investment facilitation.</w:t>
            </w:r>
          </w:p>
          <w:p w14:paraId="08A05837" w14:textId="77777777" w:rsidR="008339F1" w:rsidRPr="008339F1" w:rsidRDefault="008339F1" w:rsidP="008339F1">
            <w:pPr>
              <w:rPr>
                <w:rFonts w:ascii="Times New Roman" w:hAnsi="Times New Roman" w:cs="Times New Roman"/>
                <w:sz w:val="16"/>
                <w:szCs w:val="16"/>
              </w:rPr>
            </w:pPr>
          </w:p>
        </w:tc>
        <w:tc>
          <w:tcPr>
            <w:tcW w:w="3118" w:type="dxa"/>
          </w:tcPr>
          <w:p w14:paraId="0A64F539" w14:textId="77777777" w:rsidR="008339F1" w:rsidRPr="008339F1" w:rsidRDefault="008339F1" w:rsidP="008339F1">
            <w:pPr>
              <w:rPr>
                <w:rFonts w:ascii="Times New Roman" w:hAnsi="Times New Roman" w:cs="Times New Roman"/>
                <w:sz w:val="16"/>
                <w:szCs w:val="16"/>
              </w:rPr>
            </w:pPr>
          </w:p>
        </w:tc>
        <w:tc>
          <w:tcPr>
            <w:tcW w:w="2127" w:type="dxa"/>
          </w:tcPr>
          <w:p w14:paraId="5E204ADF" w14:textId="77777777" w:rsidR="008339F1" w:rsidRPr="008339F1" w:rsidRDefault="008339F1" w:rsidP="008339F1">
            <w:pPr>
              <w:rPr>
                <w:rFonts w:ascii="Times New Roman" w:hAnsi="Times New Roman" w:cs="Times New Roman"/>
                <w:sz w:val="16"/>
                <w:szCs w:val="16"/>
              </w:rPr>
            </w:pPr>
          </w:p>
        </w:tc>
        <w:tc>
          <w:tcPr>
            <w:tcW w:w="2268" w:type="dxa"/>
          </w:tcPr>
          <w:p w14:paraId="17E52B93" w14:textId="77777777" w:rsidR="008339F1" w:rsidRPr="008339F1" w:rsidRDefault="008339F1" w:rsidP="008339F1">
            <w:pPr>
              <w:rPr>
                <w:rFonts w:ascii="Times New Roman" w:hAnsi="Times New Roman" w:cs="Times New Roman"/>
                <w:sz w:val="16"/>
                <w:szCs w:val="16"/>
              </w:rPr>
            </w:pPr>
          </w:p>
        </w:tc>
      </w:tr>
      <w:tr w:rsidR="008339F1" w:rsidRPr="008339F1" w14:paraId="09B13027" w14:textId="77777777" w:rsidTr="002B37B8">
        <w:trPr>
          <w:trHeight w:val="3337"/>
        </w:trPr>
        <w:tc>
          <w:tcPr>
            <w:tcW w:w="503" w:type="dxa"/>
          </w:tcPr>
          <w:p w14:paraId="15DB48A0" w14:textId="2E91B8A3"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rPr>
              <w:t>48</w:t>
            </w:r>
          </w:p>
        </w:tc>
        <w:tc>
          <w:tcPr>
            <w:tcW w:w="915" w:type="dxa"/>
          </w:tcPr>
          <w:p w14:paraId="187DEAE2" w14:textId="77777777"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AuthorYear="1"&gt;&lt;Author&gt;Górecki&lt;/Author&gt;&lt;Year&gt;2020&lt;/Year&gt;&lt;RecNum&gt;2333&lt;/RecNum&gt;&lt;DisplayText&gt;Górecki (2020)&lt;/DisplayText&gt;&lt;record&gt;&lt;rec-number&gt;2333&lt;/rec-number&gt;&lt;foreign-keys&gt;&lt;key app="EN" db-id="z959xtv5kdxdt0eawtt5ssvc90eradx50fpz" timestamp="1761837666"&gt;2333&lt;/key&gt;&lt;/foreign-keys&gt;&lt;ref-type name="Electronic Article"&gt;43&lt;/ref-type&gt;&lt;contributors&gt;&lt;authors&gt;&lt;author&gt;Górecki, Jarosław&lt;/author&gt;&lt;/authors&gt;&lt;/contributors&gt;&lt;titles&gt;&lt;title&gt;Simulation-Based Positioning of Circular Economy Manager’s Skills in Construction Projects&lt;/title&gt;&lt;secondary-title&gt;Symmetry&lt;/secondary-title&gt;&lt;/titles&gt;&lt;periodical&gt;&lt;full-title&gt;Symmetry&lt;/full-title&gt;&lt;/periodical&gt;&lt;volume&gt;12&lt;/volume&gt;&lt;number&gt;1&lt;/number&gt;&lt;keywords&gt;&lt;keyword&gt;circular economy&lt;/keyword&gt;&lt;keyword&gt;selection process&lt;/keyword&gt;&lt;keyword&gt;construction project&lt;/keyword&gt;&lt;keyword&gt;management&lt;/keyword&gt;&lt;keyword&gt;Monte Carlo&lt;/keyword&gt;&lt;/keywords&gt;&lt;dates&gt;&lt;year&gt;2020&lt;/year&gt;&lt;/dates&gt;&lt;isbn&gt;2073-8994&lt;/isbn&gt;&lt;urls&gt;&lt;/urls&gt;&lt;electronic-resource-num&gt;10.3390/sym12010050&lt;/electronic-resource-num&gt;&lt;/record&gt;&lt;/Cite&gt;&lt;/EndNote&gt;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Górecki (2020)</w:t>
            </w:r>
            <w:r w:rsidRPr="008339F1">
              <w:rPr>
                <w:rFonts w:ascii="Times New Roman" w:hAnsi="Times New Roman" w:cs="Times New Roman"/>
                <w:sz w:val="16"/>
                <w:szCs w:val="16"/>
                <w:lang w:val="en-HK"/>
              </w:rPr>
              <w:fldChar w:fldCharType="end"/>
            </w:r>
          </w:p>
        </w:tc>
        <w:tc>
          <w:tcPr>
            <w:tcW w:w="992" w:type="dxa"/>
          </w:tcPr>
          <w:p w14:paraId="31A8A1E4" w14:textId="77777777" w:rsidR="008339F1" w:rsidRPr="008339F1" w:rsidRDefault="008339F1" w:rsidP="008339F1">
            <w:pPr>
              <w:jc w:val="both"/>
              <w:rPr>
                <w:rFonts w:ascii="Times New Roman" w:hAnsi="Times New Roman" w:cs="Times New Roman"/>
                <w:sz w:val="16"/>
                <w:szCs w:val="16"/>
              </w:rPr>
            </w:pPr>
            <w:bookmarkStart w:id="58" w:name="OLE_LINK260"/>
            <w:r w:rsidRPr="008339F1">
              <w:rPr>
                <w:rFonts w:ascii="Times New Roman" w:hAnsi="Times New Roman" w:cs="Times New Roman"/>
                <w:sz w:val="16"/>
                <w:szCs w:val="16"/>
              </w:rPr>
              <w:t>Poland</w:t>
            </w:r>
            <w:bookmarkEnd w:id="58"/>
          </w:p>
        </w:tc>
        <w:tc>
          <w:tcPr>
            <w:tcW w:w="1559" w:type="dxa"/>
          </w:tcPr>
          <w:p w14:paraId="2D576DBD"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Investigate </w:t>
            </w:r>
            <w:bookmarkStart w:id="59" w:name="OLE_LINK243"/>
            <w:r w:rsidRPr="008339F1">
              <w:rPr>
                <w:rFonts w:ascii="Times New Roman" w:hAnsi="Times New Roman" w:cs="Times New Roman"/>
                <w:sz w:val="16"/>
                <w:szCs w:val="16"/>
              </w:rPr>
              <w:t>the circular economy manager</w:t>
            </w:r>
            <w:bookmarkEnd w:id="59"/>
            <w:r w:rsidRPr="008339F1">
              <w:rPr>
                <w:rFonts w:ascii="Times New Roman" w:hAnsi="Times New Roman" w:cs="Times New Roman"/>
                <w:sz w:val="16"/>
                <w:szCs w:val="16"/>
              </w:rPr>
              <w:t>’s skill in construction projects.</w:t>
            </w:r>
          </w:p>
        </w:tc>
        <w:tc>
          <w:tcPr>
            <w:tcW w:w="1271" w:type="dxa"/>
          </w:tcPr>
          <w:p w14:paraId="7AA8DE14" w14:textId="52BE0474"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General construction project lifecycle</w:t>
            </w:r>
          </w:p>
        </w:tc>
        <w:tc>
          <w:tcPr>
            <w:tcW w:w="1990" w:type="dxa"/>
          </w:tcPr>
          <w:p w14:paraId="6CB3FE59" w14:textId="3CC479E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ab/>
              <w:t>Survey</w:t>
            </w:r>
          </w:p>
        </w:tc>
        <w:tc>
          <w:tcPr>
            <w:tcW w:w="1843" w:type="dxa"/>
          </w:tcPr>
          <w:p w14:paraId="0E19B132" w14:textId="5863189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Circular economy manager</w:t>
            </w:r>
          </w:p>
        </w:tc>
        <w:tc>
          <w:tcPr>
            <w:tcW w:w="2126" w:type="dxa"/>
          </w:tcPr>
          <w:p w14:paraId="2BEB20FA" w14:textId="697576B6"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 study states that CE implementation should be the effort of the entire project team, but that CE-related procedures require additional support from professionals who can promote CE in construction processes. It proposes appointing a Circular Economy Manager, positioned similarly to a risk or quality manager, with an independent position subordinated only to project top management.</w:t>
            </w:r>
          </w:p>
        </w:tc>
        <w:tc>
          <w:tcPr>
            <w:tcW w:w="2835" w:type="dxa"/>
          </w:tcPr>
          <w:p w14:paraId="67EB310F" w14:textId="07595EF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Circular Economy Manager was coded as Responsible for supporting CE implementation, closed-loop production practices, material-resource saving, and CE-related coordination within the project.</w:t>
            </w:r>
          </w:p>
        </w:tc>
        <w:tc>
          <w:tcPr>
            <w:tcW w:w="3118" w:type="dxa"/>
          </w:tcPr>
          <w:p w14:paraId="0AAF9439" w14:textId="79C4F04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Lack of formal recognition of the circular expert’s role; undervalued expertise of roles and power dynamics</w:t>
            </w:r>
          </w:p>
        </w:tc>
        <w:tc>
          <w:tcPr>
            <w:tcW w:w="2127" w:type="dxa"/>
          </w:tcPr>
          <w:p w14:paraId="5D17B928" w14:textId="77777777" w:rsidR="008339F1" w:rsidRPr="008339F1" w:rsidRDefault="008339F1" w:rsidP="008339F1">
            <w:pPr>
              <w:jc w:val="both"/>
              <w:rPr>
                <w:rFonts w:ascii="Times New Roman" w:hAnsi="Times New Roman" w:cs="Times New Roman"/>
                <w:sz w:val="16"/>
                <w:szCs w:val="16"/>
              </w:rPr>
            </w:pPr>
          </w:p>
        </w:tc>
        <w:tc>
          <w:tcPr>
            <w:tcW w:w="2268" w:type="dxa"/>
          </w:tcPr>
          <w:p w14:paraId="0CD60602" w14:textId="5711B4CF" w:rsidR="008339F1" w:rsidRPr="008339F1" w:rsidRDefault="008339F1" w:rsidP="008339F1">
            <w:pPr>
              <w:jc w:val="both"/>
              <w:rPr>
                <w:rFonts w:ascii="Times New Roman" w:hAnsi="Times New Roman" w:cs="Times New Roman"/>
                <w:sz w:val="16"/>
                <w:szCs w:val="16"/>
              </w:rPr>
            </w:pPr>
          </w:p>
        </w:tc>
      </w:tr>
      <w:tr w:rsidR="008339F1" w:rsidRPr="008339F1" w14:paraId="22DA9592" w14:textId="77777777" w:rsidTr="002B37B8">
        <w:trPr>
          <w:trHeight w:val="5085"/>
        </w:trPr>
        <w:tc>
          <w:tcPr>
            <w:tcW w:w="503" w:type="dxa"/>
          </w:tcPr>
          <w:p w14:paraId="7E07D01B" w14:textId="2B7169AE" w:rsidR="008339F1" w:rsidRPr="008339F1" w:rsidRDefault="00E04E22" w:rsidP="008339F1">
            <w:pPr>
              <w:spacing w:before="100" w:beforeAutospacing="1" w:after="100" w:afterAutospacing="1"/>
              <w:rPr>
                <w:rFonts w:ascii="Times New Roman" w:hAnsi="Times New Roman" w:cs="Times New Roman"/>
                <w:sz w:val="16"/>
                <w:szCs w:val="16"/>
                <w:lang w:val="en-HK"/>
              </w:rPr>
            </w:pPr>
            <w:r>
              <w:rPr>
                <w:rFonts w:ascii="Times New Roman" w:hAnsi="Times New Roman" w:cs="Times New Roman"/>
                <w:sz w:val="16"/>
                <w:szCs w:val="16"/>
                <w:lang w:val="en-HK"/>
              </w:rPr>
              <w:t>49</w:t>
            </w:r>
          </w:p>
        </w:tc>
        <w:tc>
          <w:tcPr>
            <w:tcW w:w="915" w:type="dxa"/>
          </w:tcPr>
          <w:p w14:paraId="0CC7A42E" w14:textId="12D1EB5A"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AuthorYear="1"&gt;&lt;Author&gt;Shao&lt;/Author&gt;&lt;Year&gt;2023&lt;/Year&gt;&lt;RecNum&gt;2989&lt;/RecNum&gt;&lt;DisplayText&gt;Shao et al. (2023)&lt;/DisplayText&gt;&lt;record&gt;&lt;rec-number&gt;2989&lt;/rec-number&gt;&lt;foreign-keys&gt;&lt;key app="EN" db-id="z959xtv5kdxdt0eawtt5ssvc90eradx50fpz" timestamp="1778683061"&gt;2989&lt;/key&gt;&lt;/foreign-keys&gt;&lt;ref-type name="Journal Article"&gt;17&lt;/ref-type&gt;&lt;contributors&gt;&lt;authors&gt;&lt;author&gt;Shao, Zhiguo&lt;/author&gt;&lt;author&gt;Li, Mengdi&lt;/author&gt;&lt;author&gt;Han, Chuanfeng&lt;/author&gt;&lt;author&gt;Meng, Lingpeng&lt;/author&gt;&lt;/authors&gt;&lt;/contributors&gt;&lt;titles&gt;&lt;title&gt;Evolutionary game model of construction enterprises and construction material manufacturers in the construction and demolition waste resource utilization&lt;/title&gt;&lt;secondary-title&gt;Waste Management &amp;amp; Research&lt;/secondary-title&gt;&lt;/titles&gt;&lt;periodical&gt;&lt;full-title&gt;Waste Management &amp;amp; Research&lt;/full-title&gt;&lt;/periodical&gt;&lt;pages&gt;477-495&lt;/pages&gt;&lt;volume&gt;41&lt;/volume&gt;&lt;number&gt;2&lt;/number&gt;&lt;dates&gt;&lt;year&gt;2023&lt;/year&gt;&lt;/dates&gt;&lt;isbn&gt;0734-242X&lt;/isbn&gt;&lt;urls&gt;&lt;/urls&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Shao et al. (2023)</w:t>
            </w:r>
            <w:r w:rsidRPr="008339F1">
              <w:rPr>
                <w:rFonts w:ascii="Times New Roman" w:hAnsi="Times New Roman" w:cs="Times New Roman"/>
                <w:sz w:val="16"/>
                <w:szCs w:val="16"/>
                <w:lang w:val="en-HK"/>
              </w:rPr>
              <w:fldChar w:fldCharType="end"/>
            </w:r>
          </w:p>
        </w:tc>
        <w:tc>
          <w:tcPr>
            <w:tcW w:w="992" w:type="dxa"/>
          </w:tcPr>
          <w:p w14:paraId="61F242AA" w14:textId="48021015" w:rsidR="008339F1" w:rsidRPr="008339F1" w:rsidRDefault="008339F1" w:rsidP="008339F1">
            <w:pPr>
              <w:jc w:val="both"/>
              <w:rPr>
                <w:rFonts w:ascii="Times New Roman" w:hAnsi="Times New Roman" w:cs="Times New Roman"/>
                <w:sz w:val="16"/>
                <w:szCs w:val="16"/>
              </w:rPr>
            </w:pPr>
            <w:bookmarkStart w:id="60" w:name="OLE_LINK261"/>
            <w:r w:rsidRPr="008339F1">
              <w:rPr>
                <w:rFonts w:ascii="Times New Roman" w:hAnsi="Times New Roman" w:cs="Times New Roman"/>
                <w:sz w:val="16"/>
                <w:szCs w:val="16"/>
              </w:rPr>
              <w:t>China</w:t>
            </w:r>
            <w:bookmarkEnd w:id="60"/>
          </w:p>
        </w:tc>
        <w:tc>
          <w:tcPr>
            <w:tcW w:w="1559" w:type="dxa"/>
          </w:tcPr>
          <w:p w14:paraId="25F45850" w14:textId="7C9F907B"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Decision-making </w:t>
            </w:r>
            <w:proofErr w:type="spellStart"/>
            <w:r w:rsidRPr="008339F1">
              <w:rPr>
                <w:rFonts w:ascii="Times New Roman" w:hAnsi="Times New Roman" w:cs="Times New Roman"/>
                <w:sz w:val="16"/>
                <w:szCs w:val="16"/>
              </w:rPr>
              <w:t>behaviour</w:t>
            </w:r>
            <w:proofErr w:type="spellEnd"/>
            <w:r w:rsidRPr="008339F1">
              <w:rPr>
                <w:rFonts w:ascii="Times New Roman" w:hAnsi="Times New Roman" w:cs="Times New Roman"/>
                <w:sz w:val="16"/>
                <w:szCs w:val="16"/>
              </w:rPr>
              <w:t xml:space="preserve"> of construction enterprises and construction material manufacturers in CDW recycling under external government and public influence</w:t>
            </w:r>
          </w:p>
        </w:tc>
        <w:tc>
          <w:tcPr>
            <w:tcW w:w="1271" w:type="dxa"/>
          </w:tcPr>
          <w:p w14:paraId="29ECC5C3" w14:textId="792C6AA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CDW generation; construction/demolition; waste sortation; transportation; illegal dumping; recycling/remanufacturing; reuse of recycled construction materials</w:t>
            </w:r>
          </w:p>
        </w:tc>
        <w:tc>
          <w:tcPr>
            <w:tcW w:w="1990" w:type="dxa"/>
          </w:tcPr>
          <w:p w14:paraId="7B6B955D" w14:textId="06CCDB64" w:rsidR="008339F1" w:rsidRPr="008339F1" w:rsidRDefault="008339F1" w:rsidP="008339F1">
            <w:pPr>
              <w:rPr>
                <w:rFonts w:ascii="Times New Roman" w:hAnsi="Times New Roman" w:cs="Times New Roman"/>
                <w:sz w:val="16"/>
                <w:szCs w:val="16"/>
              </w:rPr>
            </w:pPr>
            <w:bookmarkStart w:id="61" w:name="OLE_LINK91"/>
            <w:r w:rsidRPr="008339F1">
              <w:rPr>
                <w:rFonts w:ascii="Times New Roman" w:hAnsi="Times New Roman" w:cs="Times New Roman"/>
                <w:sz w:val="16"/>
                <w:szCs w:val="16"/>
              </w:rPr>
              <w:t>Quantitative; Evolutionary game modelling</w:t>
            </w:r>
            <w:bookmarkEnd w:id="61"/>
          </w:p>
        </w:tc>
        <w:tc>
          <w:tcPr>
            <w:tcW w:w="1843" w:type="dxa"/>
          </w:tcPr>
          <w:p w14:paraId="694E1495" w14:textId="0CAAD176"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enterprises; construction material manufacturers; government; public</w:t>
            </w:r>
          </w:p>
        </w:tc>
        <w:tc>
          <w:tcPr>
            <w:tcW w:w="2126" w:type="dxa"/>
          </w:tcPr>
          <w:p w14:paraId="73788572" w14:textId="6CD45EA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enterprises are responsible for waste collection from construction sites, timely sortation, proper disposal and transportation of waste to construction material manufacturers. It further states that construction material manufacturers filter collected waste and undertake remanufacturing, after which part of the CDW is processed into recyclable materials and reused in construction</w:t>
            </w:r>
          </w:p>
        </w:tc>
        <w:tc>
          <w:tcPr>
            <w:tcW w:w="2835" w:type="dxa"/>
          </w:tcPr>
          <w:p w14:paraId="71A46723" w14:textId="1F96C24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enterprises can be interpreted as Responsible for CDW sortation, legal disposal and transportation because the paper directly assigns these functions to them. Construction material manufacturers can be interpreted as Responsible for filtering, recycling/remanufacturing and using CDW in material production. Government can be interpreted as an Accountable/influencing actor for supervision, legal systems, subsidies and penalties. The public can be interpreted as Consulted/monitoring actor through reporting illegal dumping, but not as Accountable for CDW management.</w:t>
            </w:r>
          </w:p>
        </w:tc>
        <w:tc>
          <w:tcPr>
            <w:tcW w:w="3118" w:type="dxa"/>
          </w:tcPr>
          <w:p w14:paraId="4B15AC51" w14:textId="0B43D5AC"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identifies factors that weaken cooperation: construction enterprises avoid sortation/transportation costs and may illegally dispose of CDW; manufacturers may avoid CDW use because recycling requires equipment, technology and talent investment; both actors </w:t>
            </w:r>
            <w:proofErr w:type="spellStart"/>
            <w:r w:rsidRPr="008339F1">
              <w:rPr>
                <w:rFonts w:ascii="Times New Roman" w:hAnsi="Times New Roman" w:cs="Times New Roman"/>
                <w:sz w:val="16"/>
                <w:szCs w:val="16"/>
              </w:rPr>
              <w:t>prioritise</w:t>
            </w:r>
            <w:proofErr w:type="spellEnd"/>
            <w:r w:rsidRPr="008339F1">
              <w:rPr>
                <w:rFonts w:ascii="Times New Roman" w:hAnsi="Times New Roman" w:cs="Times New Roman"/>
                <w:sz w:val="16"/>
                <w:szCs w:val="16"/>
              </w:rPr>
              <w:t xml:space="preserve"> profit </w:t>
            </w:r>
            <w:proofErr w:type="spellStart"/>
            <w:r w:rsidRPr="008339F1">
              <w:rPr>
                <w:rFonts w:ascii="Times New Roman" w:hAnsi="Times New Roman" w:cs="Times New Roman"/>
                <w:sz w:val="16"/>
                <w:szCs w:val="16"/>
              </w:rPr>
              <w:t>maximisation</w:t>
            </w:r>
            <w:proofErr w:type="spellEnd"/>
            <w:r w:rsidRPr="008339F1">
              <w:rPr>
                <w:rFonts w:ascii="Times New Roman" w:hAnsi="Times New Roman" w:cs="Times New Roman"/>
                <w:sz w:val="16"/>
                <w:szCs w:val="16"/>
              </w:rPr>
              <w:t>; government supervision may be limited; penalty increases alone may not stop illegal disposal under weak supervision; and public participation may be insufficient without platforms and incentives.</w:t>
            </w:r>
          </w:p>
        </w:tc>
        <w:tc>
          <w:tcPr>
            <w:tcW w:w="2127" w:type="dxa"/>
          </w:tcPr>
          <w:p w14:paraId="198069FB" w14:textId="1CA20594"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Affected: construction enterprises, construction material manufacturers, government, public and CDW recycling system actors. Influencing: government through supervision, subsidies, penalties, legal systems and reporting platforms; public through reporting and supervision support; construction enterprises through CDW sortation/disposal decisions; manufacturers through recycling technology, CDW use and remanufacturing capacity.</w:t>
            </w:r>
          </w:p>
        </w:tc>
        <w:tc>
          <w:tcPr>
            <w:tcW w:w="2268" w:type="dxa"/>
          </w:tcPr>
          <w:p w14:paraId="6E6E91C1" w14:textId="565C4B9D"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Establish effective supervision mechanisms and legal systems; improve supervision hotlines and information platforms; encourage public participation in CDW supervision; set appropriate rewards and penalties; combine subsidies with penalties rather than using either alone; increase subsidies to manufacturers in the early stage; strengthen government supervision, with the study identifying an optimal supervision level of 0.6 and public participation level of at least 0.4; reduce supervision costs; support R&amp;D and investment in recycling technologies; promote cooperation between construction enterprises and material manufacturers.</w:t>
            </w:r>
          </w:p>
        </w:tc>
      </w:tr>
      <w:tr w:rsidR="008339F1" w:rsidRPr="008339F1" w14:paraId="6C2E39DF" w14:textId="77777777" w:rsidTr="00AB5EBB">
        <w:trPr>
          <w:trHeight w:val="1975"/>
        </w:trPr>
        <w:tc>
          <w:tcPr>
            <w:tcW w:w="503" w:type="dxa"/>
          </w:tcPr>
          <w:p w14:paraId="4CEC275E" w14:textId="6BBBC0E5"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t>50</w:t>
            </w:r>
          </w:p>
        </w:tc>
        <w:tc>
          <w:tcPr>
            <w:tcW w:w="915" w:type="dxa"/>
          </w:tcPr>
          <w:p w14:paraId="1AAF1AEA" w14:textId="18596332"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r>
            <w:r w:rsidRPr="008339F1">
              <w:rPr>
                <w:rFonts w:ascii="Times New Roman" w:hAnsi="Times New Roman" w:cs="Times New Roman"/>
                <w:sz w:val="16"/>
                <w:szCs w:val="16"/>
                <w:lang w:val="en-HK"/>
              </w:rPr>
              <w:instrText xml:space="preserve"> ADDIN EN.CITE &lt;EndNote&gt;&lt;Cite AuthorYear="1"&gt;&lt;Author&gt;Shen&lt;/Author&gt;&lt;Year&gt;2018&lt;/Year&gt;&lt;RecNum&gt;3008&lt;/RecNum&gt;&lt;DisplayText&gt;Shen et al. (2018)&lt;/DisplayText&gt;&lt;record&gt;&lt;rec-number&gt;3008&lt;/rec-number&gt;&lt;foreign-keys&gt;&lt;key app="EN" db-id="z959xtv5kdxdt0eawtt5ssvc90eradx50fpz" timestamp="1779715183"&gt;3008&lt;/key&gt;&lt;/foreign-keys&gt;&lt;ref-type name="Electronic Article"&gt;43&lt;/ref-type&gt;&lt;contributors&gt;&lt;authors&gt;&lt;author&gt;Shen, Hong&lt;/author&gt;&lt;author&gt;Peng, Ying&lt;/author&gt;&lt;author&gt;Guo, Chunxiang&lt;/author&gt;&lt;/authors&gt;&lt;/contributors&gt;&lt;titles&gt;&lt;title&gt;Analysis of the Evolution Game of Construction and Demolition Waste Recycling Behavior Based on Prospect Theory under Environmental Regulation&lt;/title&gt;&lt;secondary-title&gt;International Journal of Environmental Research and Public Health&lt;/secondary-title&gt;&lt;/titles&gt;&lt;periodical&gt;&lt;full-title&gt;International Journal of Environmental Research and Public Health&lt;/full-title&gt;&lt;abbr-1&gt;Int. J. Environ. Res. Public Health&lt;/abbr-1&gt;&lt;/periodical&gt;&lt;pages&gt;1518&lt;/pages&gt;&lt;volume&gt;15&lt;/volume&gt;&lt;number&gt;7&lt;/number&gt;&lt;keywords&gt;&lt;keyword&gt;construction and demolition waste recycling&lt;/keyword&gt;&lt;keyword&gt;environmental regulation&lt;/keyword&gt;&lt;keyword&gt;evolutionary game theory&lt;/keyword&gt;&lt;keyword&gt;prospect theory&lt;/keyword&gt;&lt;/keywords&gt;&lt;dates&gt;&lt;year&gt;2018&lt;/year&gt;&lt;/dates&gt;&lt;isbn&gt;1660-4601&lt;/isbn&gt;&lt;urls&gt;&lt;/urls&gt;&lt;electronic-resource-num&gt;10.3390/ijerph15071518&lt;/electronic-resource-num&gt;&lt;/record&gt;&lt;/Cite&gt;&lt;/EndNote&gt;</w:instrText>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Shen et al. (2018)</w:t>
            </w:r>
            <w:r w:rsidRPr="008339F1">
              <w:rPr>
                <w:rFonts w:ascii="Times New Roman" w:hAnsi="Times New Roman" w:cs="Times New Roman"/>
                <w:sz w:val="16"/>
                <w:szCs w:val="16"/>
                <w:lang w:val="en-HK"/>
              </w:rPr>
              <w:fldChar w:fldCharType="end"/>
            </w:r>
          </w:p>
        </w:tc>
        <w:tc>
          <w:tcPr>
            <w:tcW w:w="992" w:type="dxa"/>
          </w:tcPr>
          <w:p w14:paraId="4AA84DB6" w14:textId="6E8B8A24"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China</w:t>
            </w:r>
          </w:p>
        </w:tc>
        <w:tc>
          <w:tcPr>
            <w:tcW w:w="1559" w:type="dxa"/>
          </w:tcPr>
          <w:p w14:paraId="35BA1CA1" w14:textId="59AB5F26" w:rsidR="008339F1" w:rsidRPr="008339F1" w:rsidRDefault="008339F1" w:rsidP="008339F1">
            <w:pPr>
              <w:rPr>
                <w:rFonts w:ascii="Times New Roman" w:hAnsi="Times New Roman" w:cs="Times New Roman"/>
                <w:sz w:val="16"/>
                <w:szCs w:val="16"/>
              </w:rPr>
            </w:pPr>
            <w:proofErr w:type="spellStart"/>
            <w:r w:rsidRPr="008339F1">
              <w:rPr>
                <w:rFonts w:ascii="Times New Roman" w:hAnsi="Times New Roman" w:cs="Times New Roman"/>
                <w:sz w:val="16"/>
                <w:szCs w:val="16"/>
              </w:rPr>
              <w:t>Behavioural</w:t>
            </w:r>
            <w:proofErr w:type="spellEnd"/>
            <w:r w:rsidRPr="008339F1">
              <w:rPr>
                <w:rFonts w:ascii="Times New Roman" w:hAnsi="Times New Roman" w:cs="Times New Roman"/>
                <w:sz w:val="16"/>
                <w:szCs w:val="16"/>
              </w:rPr>
              <w:t xml:space="preserve"> decision-making in CDW recycling under environmental regulation</w:t>
            </w:r>
          </w:p>
        </w:tc>
        <w:tc>
          <w:tcPr>
            <w:tcW w:w="1271" w:type="dxa"/>
          </w:tcPr>
          <w:p w14:paraId="3FE91A57" w14:textId="5FBA3D3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End-of-life; Recycling stage</w:t>
            </w:r>
          </w:p>
        </w:tc>
        <w:tc>
          <w:tcPr>
            <w:tcW w:w="1990" w:type="dxa"/>
          </w:tcPr>
          <w:p w14:paraId="6CA44AE1" w14:textId="192467C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Theoretical modelling; Evolutionary game theory</w:t>
            </w:r>
          </w:p>
        </w:tc>
        <w:tc>
          <w:tcPr>
            <w:tcW w:w="1843" w:type="dxa"/>
          </w:tcPr>
          <w:p w14:paraId="75D97A51" w14:textId="25B1E6B2"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Contractors (waste producers) and construction material manufacturers (recyclers/users)</w:t>
            </w:r>
          </w:p>
        </w:tc>
        <w:tc>
          <w:tcPr>
            <w:tcW w:w="2126" w:type="dxa"/>
          </w:tcPr>
          <w:p w14:paraId="5BDB0093" w14:textId="49B7143A"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Stakeholders’ decision is based on perceived value, not just actual value. Contractors will only participate if manufacturers also participate and </w:t>
            </w:r>
          </w:p>
          <w:p w14:paraId="33367AE0" w14:textId="7BB1E28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Manufacturers will only participate if contractors supply recyclable waste</w:t>
            </w:r>
          </w:p>
        </w:tc>
        <w:tc>
          <w:tcPr>
            <w:tcW w:w="2835" w:type="dxa"/>
          </w:tcPr>
          <w:p w14:paraId="4C14AA2F" w14:textId="77777777" w:rsidR="008339F1" w:rsidRPr="008339F1" w:rsidRDefault="008339F1" w:rsidP="008339F1">
            <w:pPr>
              <w:rPr>
                <w:rFonts w:ascii="Times New Roman" w:hAnsi="Times New Roman" w:cs="Times New Roman"/>
                <w:sz w:val="16"/>
                <w:szCs w:val="16"/>
              </w:rPr>
            </w:pPr>
          </w:p>
        </w:tc>
        <w:tc>
          <w:tcPr>
            <w:tcW w:w="3118" w:type="dxa"/>
          </w:tcPr>
          <w:p w14:paraId="4FD19980" w14:textId="35EC2546"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 xml:space="preserve">High operational costs, weak economic incentives, insufficient regulatory support, </w:t>
            </w:r>
            <w:proofErr w:type="spellStart"/>
            <w:r w:rsidRPr="008339F1">
              <w:rPr>
                <w:rFonts w:ascii="Times New Roman" w:hAnsi="Times New Roman" w:cs="Times New Roman"/>
                <w:sz w:val="16"/>
                <w:szCs w:val="16"/>
              </w:rPr>
              <w:t>behavioural</w:t>
            </w:r>
            <w:proofErr w:type="spellEnd"/>
            <w:r w:rsidRPr="008339F1">
              <w:rPr>
                <w:rFonts w:ascii="Times New Roman" w:hAnsi="Times New Roman" w:cs="Times New Roman"/>
                <w:sz w:val="16"/>
                <w:szCs w:val="16"/>
              </w:rPr>
              <w:t xml:space="preserve"> biases, and coordination failures between contractors and manufacturers</w:t>
            </w:r>
          </w:p>
        </w:tc>
        <w:tc>
          <w:tcPr>
            <w:tcW w:w="2127" w:type="dxa"/>
          </w:tcPr>
          <w:p w14:paraId="6D29BD44" w14:textId="77777777"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Affected: contractor, material manufacturers, government</w:t>
            </w:r>
          </w:p>
          <w:p w14:paraId="36FAA7D4" w14:textId="5C4CDB3B"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Influenced: contractor, material manufacturers, government</w:t>
            </w:r>
          </w:p>
        </w:tc>
        <w:tc>
          <w:tcPr>
            <w:tcW w:w="2268" w:type="dxa"/>
          </w:tcPr>
          <w:p w14:paraId="11F85041" w14:textId="44E25E54"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 xml:space="preserve">Government should increase financial incentives (subsidies); </w:t>
            </w:r>
          </w:p>
          <w:p w14:paraId="722D6F03" w14:textId="4BBC2DAF"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Strengthen penalties and enforcement; Promote awareness to improve perceived benefit, while firms should reduce costs (technology, sorting, production)</w:t>
            </w:r>
          </w:p>
          <w:p w14:paraId="4905522C" w14:textId="5408B8A8"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lastRenderedPageBreak/>
              <w:t>Take greater environmental responsibility</w:t>
            </w:r>
          </w:p>
        </w:tc>
      </w:tr>
      <w:tr w:rsidR="008339F1" w:rsidRPr="008339F1" w14:paraId="5BD237E3" w14:textId="77777777" w:rsidTr="002B37B8">
        <w:trPr>
          <w:trHeight w:val="156"/>
        </w:trPr>
        <w:tc>
          <w:tcPr>
            <w:tcW w:w="503" w:type="dxa"/>
          </w:tcPr>
          <w:p w14:paraId="074F58AE" w14:textId="1CE40D0D" w:rsidR="008339F1" w:rsidRPr="008339F1" w:rsidRDefault="008339F1" w:rsidP="008339F1">
            <w:pPr>
              <w:spacing w:before="100" w:beforeAutospacing="1" w:after="100" w:afterAutospacing="1"/>
              <w:rPr>
                <w:rFonts w:ascii="Times New Roman" w:hAnsi="Times New Roman" w:cs="Times New Roman"/>
                <w:sz w:val="16"/>
                <w:szCs w:val="16"/>
              </w:rPr>
            </w:pPr>
            <w:r w:rsidRPr="008339F1">
              <w:rPr>
                <w:rFonts w:ascii="Times New Roman" w:hAnsi="Times New Roman" w:cs="Times New Roman"/>
                <w:sz w:val="16"/>
                <w:szCs w:val="16"/>
                <w:lang w:val="en-HK"/>
              </w:rPr>
              <w:lastRenderedPageBreak/>
              <w:t>51</w:t>
            </w:r>
          </w:p>
        </w:tc>
        <w:tc>
          <w:tcPr>
            <w:tcW w:w="915" w:type="dxa"/>
          </w:tcPr>
          <w:p w14:paraId="0A09B2C7" w14:textId="28D0880F" w:rsidR="008339F1" w:rsidRPr="008339F1" w:rsidRDefault="008339F1" w:rsidP="008339F1">
            <w:pPr>
              <w:spacing w:before="100" w:beforeAutospacing="1" w:after="100" w:afterAutospacing="1"/>
              <w:rPr>
                <w:rFonts w:ascii="Times New Roman" w:hAnsi="Times New Roman" w:cs="Times New Roman"/>
                <w:sz w:val="16"/>
                <w:szCs w:val="16"/>
                <w:lang w:val="en-HK"/>
              </w:rPr>
            </w:pPr>
            <w:r w:rsidRPr="008339F1">
              <w:rPr>
                <w:rFonts w:ascii="Times New Roman" w:hAnsi="Times New Roman" w:cs="Times New Roman"/>
                <w:sz w:val="16"/>
                <w:szCs w:val="16"/>
                <w:lang w:val="en-HK"/>
              </w:rPr>
              <w:fldChar w:fldCharType="begin">
                <w:fldData xml:space="preserve">PEVuZE5vdGU+PENpdGUgQXV0aG9yWWVhcj0iMSI+PEF1dGhvcj5CZXNrbHVib3ZhPC9BdXRob3I+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</w:fldData>
              </w:fldChar>
            </w:r>
            <w:r w:rsidR="00DE7A23">
              <w:rPr>
                <w:rFonts w:ascii="Times New Roman" w:hAnsi="Times New Roman" w:cs="Times New Roman"/>
                <w:sz w:val="16"/>
                <w:szCs w:val="16"/>
                <w:lang w:val="en-HK"/>
              </w:rPr>
              <w:instrText xml:space="preserve"> ADDIN EN.CITE </w:instrText>
            </w:r>
            <w:r w:rsidR="00DE7A23">
              <w:rPr>
                <w:rFonts w:ascii="Times New Roman" w:hAnsi="Times New Roman" w:cs="Times New Roman"/>
                <w:sz w:val="16"/>
                <w:szCs w:val="16"/>
                <w:lang w:val="en-HK"/>
              </w:rPr>
              <w:fldChar w:fldCharType="begin">
                <w:fldData xml:space="preserve">PEVuZE5vdGU+PENpdGUgQXV0aG9yWWVhcj0iMSI+PEF1dGhvcj5CZXNrbHVib3ZhPC9BdXRob3I+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</w:fldData>
              </w:fldChar>
            </w:r>
            <w:r w:rsidR="00DE7A23">
              <w:rPr>
                <w:rFonts w:ascii="Times New Roman" w:hAnsi="Times New Roman" w:cs="Times New Roman"/>
                <w:sz w:val="16"/>
                <w:szCs w:val="16"/>
                <w:lang w:val="en-HK"/>
              </w:rPr>
              <w:instrText xml:space="preserve"> ADDIN EN.CITE.DATA </w:instrText>
            </w:r>
            <w:r w:rsidR="00DE7A23">
              <w:rPr>
                <w:rFonts w:ascii="Times New Roman" w:hAnsi="Times New Roman" w:cs="Times New Roman"/>
                <w:sz w:val="16"/>
                <w:szCs w:val="16"/>
                <w:lang w:val="en-HK"/>
              </w:rPr>
            </w:r>
            <w:r w:rsidR="00DE7A23">
              <w:rPr>
                <w:rFonts w:ascii="Times New Roman" w:hAnsi="Times New Roman" w:cs="Times New Roman"/>
                <w:sz w:val="16"/>
                <w:szCs w:val="16"/>
                <w:lang w:val="en-HK"/>
              </w:rPr>
              <w:fldChar w:fldCharType="end"/>
            </w:r>
            <w:r w:rsidRPr="008339F1">
              <w:rPr>
                <w:rFonts w:ascii="Times New Roman" w:hAnsi="Times New Roman" w:cs="Times New Roman"/>
                <w:sz w:val="16"/>
                <w:szCs w:val="16"/>
                <w:lang w:val="en-HK"/>
              </w:rPr>
            </w:r>
            <w:r w:rsidRPr="008339F1">
              <w:rPr>
                <w:rFonts w:ascii="Times New Roman" w:hAnsi="Times New Roman" w:cs="Times New Roman"/>
                <w:sz w:val="16"/>
                <w:szCs w:val="16"/>
                <w:lang w:val="en-HK"/>
              </w:rPr>
              <w:fldChar w:fldCharType="separate"/>
            </w:r>
            <w:r w:rsidRPr="008339F1">
              <w:rPr>
                <w:rFonts w:ascii="Times New Roman" w:hAnsi="Times New Roman" w:cs="Times New Roman"/>
                <w:noProof/>
                <w:sz w:val="16"/>
                <w:szCs w:val="16"/>
                <w:lang w:val="en-HK"/>
              </w:rPr>
              <w:t>Besklubova et al. (2023)</w:t>
            </w:r>
            <w:r w:rsidRPr="008339F1">
              <w:rPr>
                <w:rFonts w:ascii="Times New Roman" w:hAnsi="Times New Roman" w:cs="Times New Roman"/>
                <w:sz w:val="16"/>
                <w:szCs w:val="16"/>
                <w:lang w:val="en-HK"/>
              </w:rPr>
              <w:fldChar w:fldCharType="end"/>
            </w:r>
          </w:p>
        </w:tc>
        <w:tc>
          <w:tcPr>
            <w:tcW w:w="992" w:type="dxa"/>
          </w:tcPr>
          <w:p w14:paraId="311C37AD" w14:textId="609AE522" w:rsidR="008339F1" w:rsidRPr="008339F1" w:rsidRDefault="008339F1" w:rsidP="008339F1">
            <w:pPr>
              <w:jc w:val="both"/>
              <w:rPr>
                <w:rFonts w:ascii="Times New Roman" w:hAnsi="Times New Roman" w:cs="Times New Roman"/>
                <w:sz w:val="16"/>
                <w:szCs w:val="16"/>
              </w:rPr>
            </w:pPr>
            <w:bookmarkStart w:id="62" w:name="OLE_LINK262"/>
            <w:r w:rsidRPr="008339F1">
              <w:rPr>
                <w:rFonts w:ascii="Times New Roman" w:hAnsi="Times New Roman" w:cs="Times New Roman"/>
                <w:sz w:val="16"/>
                <w:szCs w:val="16"/>
              </w:rPr>
              <w:t xml:space="preserve">Hong Kong </w:t>
            </w:r>
            <w:bookmarkEnd w:id="62"/>
          </w:p>
        </w:tc>
        <w:tc>
          <w:tcPr>
            <w:tcW w:w="1559" w:type="dxa"/>
          </w:tcPr>
          <w:p w14:paraId="2290AC99" w14:textId="3EB2480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Evaluates the feasibility of recycling waste concrete powder (WCP)</w:t>
            </w:r>
          </w:p>
        </w:tc>
        <w:tc>
          <w:tcPr>
            <w:tcW w:w="1271" w:type="dxa"/>
          </w:tcPr>
          <w:p w14:paraId="233A2304" w14:textId="1482780D"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End-of-life / recycling</w:t>
            </w:r>
          </w:p>
        </w:tc>
        <w:tc>
          <w:tcPr>
            <w:tcW w:w="1990" w:type="dxa"/>
          </w:tcPr>
          <w:p w14:paraId="085E1FD8" w14:textId="53A730C1"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Case study</w:t>
            </w:r>
          </w:p>
        </w:tc>
        <w:tc>
          <w:tcPr>
            <w:tcW w:w="1843" w:type="dxa"/>
          </w:tcPr>
          <w:p w14:paraId="0675FC97" w14:textId="7777777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and Demolition Contractors (CDC)</w:t>
            </w:r>
          </w:p>
          <w:p w14:paraId="7767F2FC" w14:textId="77777777"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Construction Material Manufacturers (CMM)</w:t>
            </w:r>
          </w:p>
          <w:p w14:paraId="1DF852F6" w14:textId="69E1AE59"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Government Agency (GA)</w:t>
            </w:r>
          </w:p>
        </w:tc>
        <w:tc>
          <w:tcPr>
            <w:tcW w:w="2126" w:type="dxa"/>
          </w:tcPr>
          <w:p w14:paraId="5A936D03" w14:textId="03673703"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CDCs act as the principal suppliers of WCP, and their willingness to separate and divert waste from landfill is largely driven by economic considerations. CMMs serve as the critical value-creation agents by adopting carbonization technologies to transform WCP into marketable low‑carbon products, albeit under cost and technological constraints. Meanwhile, GAs function as regulators and facilitators, providing subsidies, policy support, and institutional backing to mitigate early-stage market risks and stimulate participation</w:t>
            </w:r>
            <w:r w:rsidR="00AB5EBB">
              <w:rPr>
                <w:rFonts w:ascii="Times New Roman" w:hAnsi="Times New Roman" w:cs="Times New Roman"/>
                <w:sz w:val="16"/>
                <w:szCs w:val="16"/>
              </w:rPr>
              <w:t>.</w:t>
            </w:r>
          </w:p>
        </w:tc>
        <w:tc>
          <w:tcPr>
            <w:tcW w:w="2835" w:type="dxa"/>
          </w:tcPr>
          <w:p w14:paraId="64C9F2C7" w14:textId="77777777" w:rsidR="008339F1" w:rsidRPr="008339F1" w:rsidRDefault="008339F1" w:rsidP="008339F1">
            <w:pPr>
              <w:rPr>
                <w:rFonts w:ascii="Times New Roman" w:hAnsi="Times New Roman" w:cs="Times New Roman"/>
                <w:sz w:val="16"/>
                <w:szCs w:val="16"/>
              </w:rPr>
            </w:pPr>
          </w:p>
        </w:tc>
        <w:tc>
          <w:tcPr>
            <w:tcW w:w="3118" w:type="dxa"/>
          </w:tcPr>
          <w:p w14:paraId="3273A6FE" w14:textId="7B297A42" w:rsidR="008339F1" w:rsidRPr="008339F1" w:rsidRDefault="008339F1" w:rsidP="008339F1">
            <w:pPr>
              <w:rPr>
                <w:rFonts w:ascii="Times New Roman" w:hAnsi="Times New Roman" w:cs="Times New Roman"/>
                <w:sz w:val="16"/>
                <w:szCs w:val="16"/>
              </w:rPr>
            </w:pPr>
            <w:r w:rsidRPr="008339F1">
              <w:rPr>
                <w:rFonts w:ascii="Times New Roman" w:hAnsi="Times New Roman" w:cs="Times New Roman"/>
                <w:sz w:val="16"/>
                <w:szCs w:val="16"/>
              </w:rPr>
              <w:t>Contractors are discouraged when landfill disposal remains cheaper or less complex than sorting waste, while manufacturers face significant barriers due to high initial investment costs, technology risks, and uncertain market demand for recycled products. At the same time, insufficient or unstable government support reduces confidence in long‑term returns, creating hesitation across all actors.</w:t>
            </w:r>
          </w:p>
        </w:tc>
        <w:tc>
          <w:tcPr>
            <w:tcW w:w="2127" w:type="dxa"/>
          </w:tcPr>
          <w:p w14:paraId="19DA2AEE" w14:textId="77777777" w:rsidR="008339F1" w:rsidRPr="008339F1" w:rsidRDefault="008339F1" w:rsidP="008339F1">
            <w:pPr>
              <w:jc w:val="both"/>
              <w:rPr>
                <w:rFonts w:ascii="Times New Roman" w:hAnsi="Times New Roman" w:cs="Times New Roman"/>
                <w:sz w:val="16"/>
                <w:szCs w:val="16"/>
              </w:rPr>
            </w:pPr>
          </w:p>
        </w:tc>
        <w:tc>
          <w:tcPr>
            <w:tcW w:w="2268" w:type="dxa"/>
          </w:tcPr>
          <w:p w14:paraId="61AD98F7" w14:textId="4A30D0F9" w:rsidR="008339F1" w:rsidRPr="008339F1" w:rsidRDefault="008339F1" w:rsidP="008339F1">
            <w:pPr>
              <w:jc w:val="both"/>
              <w:rPr>
                <w:rFonts w:ascii="Times New Roman" w:hAnsi="Times New Roman" w:cs="Times New Roman"/>
                <w:sz w:val="16"/>
                <w:szCs w:val="16"/>
              </w:rPr>
            </w:pPr>
            <w:r w:rsidRPr="008339F1">
              <w:rPr>
                <w:rFonts w:ascii="Times New Roman" w:hAnsi="Times New Roman" w:cs="Times New Roman"/>
                <w:sz w:val="16"/>
                <w:szCs w:val="16"/>
              </w:rPr>
              <w:t>stable market formation emerges only when economic and policy conditions align to incentivize simultaneous participation across all stakeholders. This underscores that technical feasibility alone is insufficient; rather, effective stakeholder coordination, incentive alignment, and policy intervention are decisive in enabling the transition from a linear waste system to a functioning circular economy model.</w:t>
            </w:r>
          </w:p>
        </w:tc>
      </w:tr>
      <w:bookmarkEnd w:id="5"/>
      <w:bookmarkEnd w:id="6"/>
    </w:tbl>
    <w:p w14:paraId="1E132488" w14:textId="77777777" w:rsidR="00573518" w:rsidRPr="00F5448B" w:rsidRDefault="00573518" w:rsidP="00D522F5">
      <w:pPr>
        <w:spacing w:line="360" w:lineRule="auto"/>
        <w:jc w:val="both"/>
        <w:rPr>
          <w:rFonts w:ascii="Times New Roman" w:hAnsi="Times New Roman" w:cs="Times New Roman"/>
          <w:b/>
          <w:bCs/>
          <w:sz w:val="16"/>
          <w:szCs w:val="16"/>
        </w:rPr>
      </w:pPr>
    </w:p>
    <w:p w14:paraId="2412DBA4" w14:textId="77777777" w:rsidR="008F50E5" w:rsidRPr="00F5448B" w:rsidRDefault="008F50E5" w:rsidP="00D522F5">
      <w:pPr>
        <w:spacing w:line="360" w:lineRule="auto"/>
        <w:jc w:val="both"/>
        <w:rPr>
          <w:rFonts w:ascii="Times New Roman" w:hAnsi="Times New Roman" w:cs="Times New Roman"/>
          <w:b/>
          <w:bCs/>
          <w:sz w:val="16"/>
          <w:szCs w:val="16"/>
        </w:rPr>
      </w:pPr>
    </w:p>
    <w:p w14:paraId="411A2954" w14:textId="792A1C90" w:rsidR="008C1C62" w:rsidRPr="00DA3A3A" w:rsidRDefault="00D522F5" w:rsidP="00182E82">
      <w:pPr>
        <w:spacing w:line="360" w:lineRule="auto"/>
        <w:jc w:val="both"/>
        <w:rPr>
          <w:rFonts w:ascii="Times New Roman" w:hAnsi="Times New Roman" w:cs="Times New Roman"/>
          <w:b/>
          <w:bCs/>
          <w:sz w:val="20"/>
          <w:szCs w:val="20"/>
        </w:rPr>
      </w:pPr>
      <w:r w:rsidRPr="00DA3A3A">
        <w:rPr>
          <w:rFonts w:ascii="Times New Roman" w:hAnsi="Times New Roman" w:cs="Times New Roman"/>
          <w:b/>
          <w:bCs/>
          <w:sz w:val="20"/>
          <w:szCs w:val="20"/>
        </w:rPr>
        <w:t>References</w:t>
      </w:r>
    </w:p>
    <w:bookmarkStart w:id="63" w:name="OLE_LINK191"/>
    <w:p w14:paraId="3944F914" w14:textId="478BCDC2" w:rsidR="00DE7A23" w:rsidRPr="00DA3A3A" w:rsidRDefault="008C1C62"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fldChar w:fldCharType="begin"/>
      </w:r>
      <w:r w:rsidRPr="00DA3A3A">
        <w:rPr>
          <w:rFonts w:ascii="Times New Roman" w:hAnsi="Times New Roman" w:cs="Times New Roman"/>
          <w:sz w:val="20"/>
          <w:szCs w:val="20"/>
        </w:rPr>
        <w:instrText xml:space="preserve"> ADDIN EN.REFLIST </w:instrText>
      </w:r>
      <w:r w:rsidRPr="00DA3A3A">
        <w:rPr>
          <w:rFonts w:ascii="Times New Roman" w:hAnsi="Times New Roman" w:cs="Times New Roman"/>
          <w:sz w:val="20"/>
          <w:szCs w:val="20"/>
        </w:rPr>
        <w:fldChar w:fldCharType="separate"/>
      </w:r>
      <w:r w:rsidR="00DE7A23" w:rsidRPr="00DA3A3A">
        <w:rPr>
          <w:rFonts w:ascii="Times New Roman" w:hAnsi="Times New Roman" w:cs="Times New Roman"/>
          <w:sz w:val="20"/>
          <w:szCs w:val="20"/>
        </w:rPr>
        <w:t xml:space="preserve">Ababio, B. K., Lu, W., Agyekum, K., &amp; Ghansah, F. A. (2025). Enhancing circular construction through procurement: A conceptual stakeholder-centric collaborative framework for sustainable outcomes. </w:t>
      </w:r>
      <w:r w:rsidR="00DE7A23" w:rsidRPr="00DA3A3A">
        <w:rPr>
          <w:rFonts w:ascii="Times New Roman" w:hAnsi="Times New Roman" w:cs="Times New Roman"/>
          <w:i/>
          <w:sz w:val="20"/>
          <w:szCs w:val="20"/>
        </w:rPr>
        <w:t>ENVIRONMENTAL IMPACT ASSESSMENT REVIEW</w:t>
      </w:r>
      <w:r w:rsidR="00DE7A23" w:rsidRPr="00DA3A3A">
        <w:rPr>
          <w:rFonts w:ascii="Times New Roman" w:hAnsi="Times New Roman" w:cs="Times New Roman"/>
          <w:sz w:val="20"/>
          <w:szCs w:val="20"/>
        </w:rPr>
        <w:t>,</w:t>
      </w:r>
      <w:r w:rsidR="00DE7A23" w:rsidRPr="00DA3A3A">
        <w:rPr>
          <w:rFonts w:ascii="Times New Roman" w:hAnsi="Times New Roman" w:cs="Times New Roman"/>
          <w:i/>
          <w:sz w:val="20"/>
          <w:szCs w:val="20"/>
        </w:rPr>
        <w:t xml:space="preserve"> 112</w:t>
      </w:r>
      <w:r w:rsidR="00DE7A23" w:rsidRPr="00DA3A3A">
        <w:rPr>
          <w:rFonts w:ascii="Times New Roman" w:hAnsi="Times New Roman" w:cs="Times New Roman"/>
          <w:sz w:val="20"/>
          <w:szCs w:val="20"/>
        </w:rPr>
        <w:t xml:space="preserve">, 107784. </w:t>
      </w:r>
      <w:hyperlink r:id="rId7" w:history="1">
        <w:r w:rsidR="00DE7A23" w:rsidRPr="00DA3A3A">
          <w:rPr>
            <w:rStyle w:val="Hyperlink"/>
            <w:rFonts w:ascii="Times New Roman" w:hAnsi="Times New Roman" w:cs="Times New Roman"/>
            <w:sz w:val="20"/>
            <w:szCs w:val="20"/>
          </w:rPr>
          <w:t>https://doi.org/https://doi.org/10.1016/j.eiar.2024.107784</w:t>
        </w:r>
      </w:hyperlink>
      <w:r w:rsidR="00DE7A23" w:rsidRPr="00DA3A3A">
        <w:rPr>
          <w:rFonts w:ascii="Times New Roman" w:hAnsi="Times New Roman" w:cs="Times New Roman"/>
          <w:sz w:val="20"/>
          <w:szCs w:val="20"/>
        </w:rPr>
        <w:t xml:space="preserve"> </w:t>
      </w:r>
    </w:p>
    <w:p w14:paraId="08B9ED5B"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Adabre, M. A., Chan, A. P., Darko, A., Edwards, D. J., Yang, Y., &amp; Issahaque, S. (2024). No stakeholder is an island in the drive to this transition: circular economy in the built environment. </w:t>
      </w:r>
      <w:r w:rsidRPr="00DA3A3A">
        <w:rPr>
          <w:rFonts w:ascii="Times New Roman" w:hAnsi="Times New Roman" w:cs="Times New Roman"/>
          <w:i/>
          <w:sz w:val="20"/>
          <w:szCs w:val="20"/>
        </w:rPr>
        <w:t>Sustainability (Switzerland)</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16</w:t>
      </w:r>
      <w:r w:rsidRPr="00DA3A3A">
        <w:rPr>
          <w:rFonts w:ascii="Times New Roman" w:hAnsi="Times New Roman" w:cs="Times New Roman"/>
          <w:sz w:val="20"/>
          <w:szCs w:val="20"/>
        </w:rPr>
        <w:t xml:space="preserve">(15). </w:t>
      </w:r>
    </w:p>
    <w:p w14:paraId="5197F0AF"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Adhi, A. B., &amp; Muslim, F. (2023). Development of Stakeholder Engagement Strategies to Improve Sustainable Construction Implementation Based on Lean Construction Principles in Indonesia. </w:t>
      </w:r>
      <w:r w:rsidRPr="00DA3A3A">
        <w:rPr>
          <w:rFonts w:ascii="Times New Roman" w:hAnsi="Times New Roman" w:cs="Times New Roman"/>
          <w:i/>
          <w:sz w:val="20"/>
          <w:szCs w:val="20"/>
        </w:rPr>
        <w:t>Sustainability (Switzerland)</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15</w:t>
      </w:r>
      <w:r w:rsidRPr="00DA3A3A">
        <w:rPr>
          <w:rFonts w:ascii="Times New Roman" w:hAnsi="Times New Roman" w:cs="Times New Roman"/>
          <w:sz w:val="20"/>
          <w:szCs w:val="20"/>
        </w:rPr>
        <w:t xml:space="preserve">(7), 6053. </w:t>
      </w:r>
    </w:p>
    <w:p w14:paraId="15144339" w14:textId="4245383E"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Agyapong, D., &amp; Tweneboah, G. (2023). The antecedents of circular economy financing and investment supply: The role of financial environment. </w:t>
      </w:r>
      <w:r w:rsidRPr="00DA3A3A">
        <w:rPr>
          <w:rFonts w:ascii="Times New Roman" w:hAnsi="Times New Roman" w:cs="Times New Roman"/>
          <w:i/>
          <w:sz w:val="20"/>
          <w:szCs w:val="20"/>
        </w:rPr>
        <w:t>Cleaner Environmental Systems</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8</w:t>
      </w:r>
      <w:r w:rsidRPr="00DA3A3A">
        <w:rPr>
          <w:rFonts w:ascii="Times New Roman" w:hAnsi="Times New Roman" w:cs="Times New Roman"/>
          <w:sz w:val="20"/>
          <w:szCs w:val="20"/>
        </w:rPr>
        <w:t xml:space="preserve">, 100103. </w:t>
      </w:r>
      <w:hyperlink r:id="rId8" w:history="1">
        <w:r w:rsidRPr="00DA3A3A">
          <w:rPr>
            <w:rStyle w:val="Hyperlink"/>
            <w:rFonts w:ascii="Times New Roman" w:hAnsi="Times New Roman" w:cs="Times New Roman"/>
            <w:sz w:val="20"/>
            <w:szCs w:val="20"/>
          </w:rPr>
          <w:t>https://doi.org/https://doi.org/10.1016/j.cesys.2022.100103</w:t>
        </w:r>
      </w:hyperlink>
      <w:r w:rsidRPr="00DA3A3A">
        <w:rPr>
          <w:rFonts w:ascii="Times New Roman" w:hAnsi="Times New Roman" w:cs="Times New Roman"/>
          <w:sz w:val="20"/>
          <w:szCs w:val="20"/>
        </w:rPr>
        <w:t xml:space="preserve"> </w:t>
      </w:r>
    </w:p>
    <w:p w14:paraId="4D1BF83A"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Al-Faesly, Z., &amp; Noël, M. (2023). The Feasibility of Reuse in the Concrete Industry. In S. Walbridge, M. Nik-Bakht, K. T. Ng, M. Shome, M. S. Alam, A. el Damatty, &amp; G. Lovegrove (Eds.), </w:t>
      </w:r>
      <w:r w:rsidRPr="00DA3A3A">
        <w:rPr>
          <w:rFonts w:ascii="Times New Roman" w:hAnsi="Times New Roman" w:cs="Times New Roman"/>
          <w:i/>
          <w:sz w:val="20"/>
          <w:szCs w:val="20"/>
        </w:rPr>
        <w:t>Annual Conference of the Canadian Society of Civil Engineering, CSCE 2021</w:t>
      </w:r>
      <w:r w:rsidRPr="00DA3A3A">
        <w:rPr>
          <w:rFonts w:ascii="Times New Roman" w:hAnsi="Times New Roman" w:cs="Times New Roman"/>
          <w:sz w:val="20"/>
          <w:szCs w:val="20"/>
        </w:rPr>
        <w:t xml:space="preserve"> (Vol. 251, pp. 375-394): Springer Science and Business Media Deutschland GmbH.</w:t>
      </w:r>
    </w:p>
    <w:p w14:paraId="55AAF99E" w14:textId="5046EB0F"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AlJaber, A., Martinez-Vazquez, P., &amp; Baniotopoulos, C. (2025). Exploring Circular Economy Strategies in Buildings: Evaluating Feasibility, Stakeholders Influence, and the Role of the Building Lifecycle in Effective Adoption. </w:t>
      </w:r>
      <w:r w:rsidRPr="00DA3A3A">
        <w:rPr>
          <w:rFonts w:ascii="Times New Roman" w:hAnsi="Times New Roman" w:cs="Times New Roman"/>
          <w:i/>
          <w:sz w:val="20"/>
          <w:szCs w:val="20"/>
        </w:rPr>
        <w:t>Applied sciences</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15</w:t>
      </w:r>
      <w:r w:rsidRPr="00DA3A3A">
        <w:rPr>
          <w:rFonts w:ascii="Times New Roman" w:hAnsi="Times New Roman" w:cs="Times New Roman"/>
          <w:sz w:val="20"/>
          <w:szCs w:val="20"/>
        </w:rPr>
        <w:t xml:space="preserve">(3), 1174. </w:t>
      </w:r>
      <w:hyperlink r:id="rId9" w:history="1">
        <w:r w:rsidRPr="00DA3A3A">
          <w:rPr>
            <w:rStyle w:val="Hyperlink"/>
            <w:rFonts w:ascii="Times New Roman" w:hAnsi="Times New Roman" w:cs="Times New Roman"/>
            <w:sz w:val="20"/>
            <w:szCs w:val="20"/>
          </w:rPr>
          <w:t>https://www.mdpi.com/2076-3417/15/3/1174</w:t>
        </w:r>
      </w:hyperlink>
      <w:r w:rsidRPr="00DA3A3A">
        <w:rPr>
          <w:rFonts w:ascii="Times New Roman" w:hAnsi="Times New Roman" w:cs="Times New Roman"/>
          <w:sz w:val="20"/>
          <w:szCs w:val="20"/>
        </w:rPr>
        <w:t xml:space="preserve"> </w:t>
      </w:r>
    </w:p>
    <w:p w14:paraId="3E7036B5"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Almeida, F., Vieira, C. S., Carneiro, J. R., &amp; Lopes, M. D. (2022). Drawing a Path towards Circular Construction: An Approach to Engage Stakeholders. </w:t>
      </w:r>
      <w:r w:rsidRPr="00DA3A3A">
        <w:rPr>
          <w:rFonts w:ascii="Times New Roman" w:hAnsi="Times New Roman" w:cs="Times New Roman"/>
          <w:i/>
          <w:sz w:val="20"/>
          <w:szCs w:val="20"/>
        </w:rPr>
        <w:t>Sustainability (Switzerland)</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14</w:t>
      </w:r>
      <w:r w:rsidRPr="00DA3A3A">
        <w:rPr>
          <w:rFonts w:ascii="Times New Roman" w:hAnsi="Times New Roman" w:cs="Times New Roman"/>
          <w:sz w:val="20"/>
          <w:szCs w:val="20"/>
        </w:rPr>
        <w:t xml:space="preserve">(9). </w:t>
      </w:r>
    </w:p>
    <w:p w14:paraId="4A2596EF" w14:textId="7F667928"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Anastasiades, K., Dockx, J., van den Berg, M., Rinke, M., Blom, J., &amp; Audenaert, A. (2023). Stakeholder perceptions on implementing design for disassembly and standardisation for heterogeneous construction components. </w:t>
      </w:r>
      <w:r w:rsidRPr="00DA3A3A">
        <w:rPr>
          <w:rFonts w:ascii="Times New Roman" w:hAnsi="Times New Roman" w:cs="Times New Roman"/>
          <w:i/>
          <w:sz w:val="20"/>
          <w:szCs w:val="20"/>
        </w:rPr>
        <w:t>Waste Management &amp; Research</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41</w:t>
      </w:r>
      <w:r w:rsidRPr="00DA3A3A">
        <w:rPr>
          <w:rFonts w:ascii="Times New Roman" w:hAnsi="Times New Roman" w:cs="Times New Roman"/>
          <w:sz w:val="20"/>
          <w:szCs w:val="20"/>
        </w:rPr>
        <w:t xml:space="preserve">(8), 1372-1381. </w:t>
      </w:r>
      <w:hyperlink r:id="rId10" w:history="1">
        <w:r w:rsidRPr="00DA3A3A">
          <w:rPr>
            <w:rStyle w:val="Hyperlink"/>
            <w:rFonts w:ascii="Times New Roman" w:hAnsi="Times New Roman" w:cs="Times New Roman"/>
            <w:sz w:val="20"/>
            <w:szCs w:val="20"/>
          </w:rPr>
          <w:t>https://doi.org/10.1177/0734242x231154140</w:t>
        </w:r>
      </w:hyperlink>
      <w:r w:rsidRPr="00DA3A3A">
        <w:rPr>
          <w:rFonts w:ascii="Times New Roman" w:hAnsi="Times New Roman" w:cs="Times New Roman"/>
          <w:sz w:val="20"/>
          <w:szCs w:val="20"/>
        </w:rPr>
        <w:t xml:space="preserve"> </w:t>
      </w:r>
    </w:p>
    <w:p w14:paraId="321D5155"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Andersson, R., Buser, M., &amp; Bosch, P. (2019). Improving renovation waste management in Sweden: The role of the demolition company. THIRTY-FIFTH ANNUAL CONFERENCE, </w:t>
      </w:r>
    </w:p>
    <w:p w14:paraId="671CA434" w14:textId="61F32B22"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Arfa, F. H., Lubelli, B., Quist, W., &amp; Zijlstra, H. (2024). A model of the adaptive reuse process of heritage buildings: Validation on four cases in the Netherlands. </w:t>
      </w:r>
      <w:r w:rsidRPr="00DA3A3A">
        <w:rPr>
          <w:rFonts w:ascii="Times New Roman" w:hAnsi="Times New Roman" w:cs="Times New Roman"/>
          <w:i/>
          <w:sz w:val="20"/>
          <w:szCs w:val="20"/>
        </w:rPr>
        <w:t>Design Studies</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91-92</w:t>
      </w:r>
      <w:r w:rsidRPr="00DA3A3A">
        <w:rPr>
          <w:rFonts w:ascii="Times New Roman" w:hAnsi="Times New Roman" w:cs="Times New Roman"/>
          <w:sz w:val="20"/>
          <w:szCs w:val="20"/>
        </w:rPr>
        <w:t xml:space="preserve">, 101252. </w:t>
      </w:r>
      <w:hyperlink r:id="rId11" w:history="1">
        <w:r w:rsidRPr="00DA3A3A">
          <w:rPr>
            <w:rStyle w:val="Hyperlink"/>
            <w:rFonts w:ascii="Times New Roman" w:hAnsi="Times New Roman" w:cs="Times New Roman"/>
            <w:sz w:val="20"/>
            <w:szCs w:val="20"/>
          </w:rPr>
          <w:t>https://doi.org/https://doi.org/10.1016/j.destud.2024.101252</w:t>
        </w:r>
      </w:hyperlink>
      <w:r w:rsidRPr="00DA3A3A">
        <w:rPr>
          <w:rFonts w:ascii="Times New Roman" w:hAnsi="Times New Roman" w:cs="Times New Roman"/>
          <w:sz w:val="20"/>
          <w:szCs w:val="20"/>
        </w:rPr>
        <w:t xml:space="preserve"> </w:t>
      </w:r>
    </w:p>
    <w:p w14:paraId="7072CD09" w14:textId="1B374E36"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Besklubova, S., Kravchenko, E., Tan, B. Q., &amp; Zhong, R. Y. (2023). A feasibility analysis of waste concrete powder recycling market establishment: Hong Kong case [Article]. </w:t>
      </w:r>
      <w:r w:rsidRPr="00DA3A3A">
        <w:rPr>
          <w:rFonts w:ascii="Times New Roman" w:hAnsi="Times New Roman" w:cs="Times New Roman"/>
          <w:i/>
          <w:sz w:val="20"/>
          <w:szCs w:val="20"/>
        </w:rPr>
        <w:t>Environmental Impact Assessment Review</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103</w:t>
      </w:r>
      <w:r w:rsidRPr="00DA3A3A">
        <w:rPr>
          <w:rFonts w:ascii="Times New Roman" w:hAnsi="Times New Roman" w:cs="Times New Roman"/>
          <w:sz w:val="20"/>
          <w:szCs w:val="20"/>
        </w:rPr>
        <w:t xml:space="preserve">, Article 107225. </w:t>
      </w:r>
      <w:hyperlink r:id="rId12" w:history="1">
        <w:r w:rsidRPr="00DA3A3A">
          <w:rPr>
            <w:rStyle w:val="Hyperlink"/>
            <w:rFonts w:ascii="Times New Roman" w:hAnsi="Times New Roman" w:cs="Times New Roman"/>
            <w:sz w:val="20"/>
            <w:szCs w:val="20"/>
          </w:rPr>
          <w:t>https://doi.org/10.1016/j.eiar.2023.107225</w:t>
        </w:r>
      </w:hyperlink>
      <w:r w:rsidRPr="00DA3A3A">
        <w:rPr>
          <w:rFonts w:ascii="Times New Roman" w:hAnsi="Times New Roman" w:cs="Times New Roman"/>
          <w:sz w:val="20"/>
          <w:szCs w:val="20"/>
        </w:rPr>
        <w:t xml:space="preserve"> </w:t>
      </w:r>
    </w:p>
    <w:p w14:paraId="0A44748B"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Domingo, N., &amp; Luo, H. (2017). Canterbury earthquake construction and demolition waste management: issues and improvement suggestions. </w:t>
      </w:r>
      <w:r w:rsidRPr="00DA3A3A">
        <w:rPr>
          <w:rFonts w:ascii="Times New Roman" w:hAnsi="Times New Roman" w:cs="Times New Roman"/>
          <w:i/>
          <w:sz w:val="20"/>
          <w:szCs w:val="20"/>
        </w:rPr>
        <w:t>International journal of disaster risk reduction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22</w:t>
      </w:r>
      <w:r w:rsidRPr="00DA3A3A">
        <w:rPr>
          <w:rFonts w:ascii="Times New Roman" w:hAnsi="Times New Roman" w:cs="Times New Roman"/>
          <w:sz w:val="20"/>
          <w:szCs w:val="20"/>
        </w:rPr>
        <w:t xml:space="preserve">, 130-138. </w:t>
      </w:r>
    </w:p>
    <w:p w14:paraId="5FF1C201" w14:textId="1967FEB9"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Du, L., Feng, Y., Lu, W., Kong, L., &amp; Yang, Z. (2020). Evolutionary game analysis of stakeholders' decision-making behaviours in construction and demolition waste management. </w:t>
      </w:r>
      <w:r w:rsidR="008D4062" w:rsidRPr="00DA3A3A">
        <w:rPr>
          <w:rFonts w:ascii="Times New Roman" w:hAnsi="Times New Roman" w:cs="Times New Roman"/>
          <w:i/>
          <w:sz w:val="20"/>
          <w:szCs w:val="20"/>
        </w:rPr>
        <w:t>Environmental Impact Assessment Review</w:t>
      </w:r>
      <w:r w:rsidR="008D4062" w:rsidRPr="00DA3A3A">
        <w:rPr>
          <w:rFonts w:ascii="Times New Roman" w:hAnsi="Times New Roman" w:cs="Times New Roman"/>
          <w:sz w:val="20"/>
          <w:szCs w:val="20"/>
        </w:rPr>
        <w:t>,</w:t>
      </w:r>
      <w:r w:rsidRPr="00DA3A3A">
        <w:rPr>
          <w:rFonts w:ascii="Times New Roman" w:hAnsi="Times New Roman" w:cs="Times New Roman"/>
          <w:i/>
          <w:sz w:val="20"/>
          <w:szCs w:val="20"/>
        </w:rPr>
        <w:t xml:space="preserve"> 84</w:t>
      </w:r>
      <w:r w:rsidRPr="00DA3A3A">
        <w:rPr>
          <w:rFonts w:ascii="Times New Roman" w:hAnsi="Times New Roman" w:cs="Times New Roman"/>
          <w:sz w:val="20"/>
          <w:szCs w:val="20"/>
        </w:rPr>
        <w:t xml:space="preserve">, 106408. </w:t>
      </w:r>
      <w:hyperlink r:id="rId13" w:history="1">
        <w:r w:rsidRPr="00DA3A3A">
          <w:rPr>
            <w:rStyle w:val="Hyperlink"/>
            <w:rFonts w:ascii="Times New Roman" w:hAnsi="Times New Roman" w:cs="Times New Roman"/>
            <w:sz w:val="20"/>
            <w:szCs w:val="20"/>
          </w:rPr>
          <w:t>https://doi.org/https://doi.org/10.1016/j.eiar.2020.106408</w:t>
        </w:r>
      </w:hyperlink>
      <w:r w:rsidRPr="00DA3A3A">
        <w:rPr>
          <w:rFonts w:ascii="Times New Roman" w:hAnsi="Times New Roman" w:cs="Times New Roman"/>
          <w:sz w:val="20"/>
          <w:szCs w:val="20"/>
        </w:rPr>
        <w:t xml:space="preserve"> </w:t>
      </w:r>
    </w:p>
    <w:p w14:paraId="6F87C424"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Górecki, J. (2020). Simulation-Based Positioning of Circular Economy Manager’s Skills in Construction Projects. </w:t>
      </w:r>
      <w:r w:rsidRPr="00DA3A3A">
        <w:rPr>
          <w:rFonts w:ascii="Times New Roman" w:hAnsi="Times New Roman" w:cs="Times New Roman"/>
          <w:i/>
          <w:sz w:val="20"/>
          <w:szCs w:val="20"/>
        </w:rPr>
        <w:t>Symmetry</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12</w:t>
      </w:r>
      <w:r w:rsidRPr="00DA3A3A">
        <w:rPr>
          <w:rFonts w:ascii="Times New Roman" w:hAnsi="Times New Roman" w:cs="Times New Roman"/>
          <w:sz w:val="20"/>
          <w:szCs w:val="20"/>
        </w:rPr>
        <w:t xml:space="preserve">(1). </w:t>
      </w:r>
    </w:p>
    <w:p w14:paraId="28E5D00E" w14:textId="14E72E2C"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Harala, L., Alkki, L., Aarikka-Stenroos, L., Al-Najjar, A., &amp; Malmqvist, T. (2023). Industrial ecosystem renewal towards circularity to achieve the benefits of reuse - Learning from circular construction [Article].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389</w:t>
      </w:r>
      <w:r w:rsidRPr="00DA3A3A">
        <w:rPr>
          <w:rFonts w:ascii="Times New Roman" w:hAnsi="Times New Roman" w:cs="Times New Roman"/>
          <w:sz w:val="20"/>
          <w:szCs w:val="20"/>
        </w:rPr>
        <w:t xml:space="preserve">, Article 135885. </w:t>
      </w:r>
      <w:hyperlink r:id="rId14" w:history="1">
        <w:r w:rsidRPr="00DA3A3A">
          <w:rPr>
            <w:rStyle w:val="Hyperlink"/>
            <w:rFonts w:ascii="Times New Roman" w:hAnsi="Times New Roman" w:cs="Times New Roman"/>
            <w:sz w:val="20"/>
            <w:szCs w:val="20"/>
          </w:rPr>
          <w:t>https://doi.org/10.1016/j.jclepro.2023.135885</w:t>
        </w:r>
      </w:hyperlink>
      <w:r w:rsidRPr="00DA3A3A">
        <w:rPr>
          <w:rFonts w:ascii="Times New Roman" w:hAnsi="Times New Roman" w:cs="Times New Roman"/>
          <w:sz w:val="20"/>
          <w:szCs w:val="20"/>
        </w:rPr>
        <w:t xml:space="preserve"> </w:t>
      </w:r>
    </w:p>
    <w:p w14:paraId="7A82A5D1" w14:textId="601AF263"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Havinga, F., Mahdad, M., &amp; Dolfsma, W. (2023). Unpacking ecosystem dynamics in the construction industry: The transition toward circular construction ecosystems.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414</w:t>
      </w:r>
      <w:r w:rsidRPr="00DA3A3A">
        <w:rPr>
          <w:rFonts w:ascii="Times New Roman" w:hAnsi="Times New Roman" w:cs="Times New Roman"/>
          <w:sz w:val="20"/>
          <w:szCs w:val="20"/>
        </w:rPr>
        <w:t xml:space="preserve">, 137455. </w:t>
      </w:r>
      <w:hyperlink r:id="rId15" w:history="1">
        <w:r w:rsidRPr="00DA3A3A">
          <w:rPr>
            <w:rStyle w:val="Hyperlink"/>
            <w:rFonts w:ascii="Times New Roman" w:hAnsi="Times New Roman" w:cs="Times New Roman"/>
            <w:sz w:val="20"/>
            <w:szCs w:val="20"/>
          </w:rPr>
          <w:t>https://doi.org/https://doi.org/10.1016/j.jclepro.2023.137455</w:t>
        </w:r>
      </w:hyperlink>
      <w:r w:rsidRPr="00DA3A3A">
        <w:rPr>
          <w:rFonts w:ascii="Times New Roman" w:hAnsi="Times New Roman" w:cs="Times New Roman"/>
          <w:sz w:val="20"/>
          <w:szCs w:val="20"/>
        </w:rPr>
        <w:t xml:space="preserve"> </w:t>
      </w:r>
    </w:p>
    <w:p w14:paraId="331A7D1B"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Hradil, P., Talja, A., Wahlström, M., Huuhka, S., Lahdensivu, J., &amp; Pikkuvirta, J. (2014). Re-use of structural elements: Environmentally efficient recovery of building components. </w:t>
      </w:r>
    </w:p>
    <w:p w14:paraId="4393EF0F"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Hwang, B.-G., &amp; Ng, W. J. (2013). </w:t>
      </w:r>
      <w:bookmarkStart w:id="64" w:name="OLE_LINK409"/>
      <w:r w:rsidRPr="00DA3A3A">
        <w:rPr>
          <w:rFonts w:ascii="Times New Roman" w:hAnsi="Times New Roman" w:cs="Times New Roman"/>
          <w:sz w:val="20"/>
          <w:szCs w:val="20"/>
        </w:rPr>
        <w:t xml:space="preserve">Project management knowledge and skills for green construction: Overcoming challenges. </w:t>
      </w:r>
      <w:r w:rsidRPr="00DA3A3A">
        <w:rPr>
          <w:rFonts w:ascii="Times New Roman" w:hAnsi="Times New Roman" w:cs="Times New Roman"/>
          <w:i/>
          <w:sz w:val="20"/>
          <w:szCs w:val="20"/>
        </w:rPr>
        <w:t>International Journal of Project Management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31</w:t>
      </w:r>
      <w:r w:rsidRPr="00DA3A3A">
        <w:rPr>
          <w:rFonts w:ascii="Times New Roman" w:hAnsi="Times New Roman" w:cs="Times New Roman"/>
          <w:sz w:val="20"/>
          <w:szCs w:val="20"/>
        </w:rPr>
        <w:t xml:space="preserve">(2), 272-284. </w:t>
      </w:r>
    </w:p>
    <w:bookmarkEnd w:id="64"/>
    <w:p w14:paraId="5093533A" w14:textId="7A77AC7C"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lastRenderedPageBreak/>
        <w:t xml:space="preserve">Keena, N., Rondinel-Oviedo, D. R., &amp; Demaël, H. (2022). Circular Economy Design towards Zero Waste: Laying the foundation for constructive stakeholder engagement on improving construction, renovation, and demolition (CRD) waste management. </w:t>
      </w:r>
      <w:r w:rsidRPr="00DA3A3A">
        <w:rPr>
          <w:rFonts w:ascii="Times New Roman" w:hAnsi="Times New Roman" w:cs="Times New Roman"/>
          <w:i/>
          <w:sz w:val="20"/>
          <w:szCs w:val="20"/>
        </w:rPr>
        <w:t>IOP Conference Series: Earth and Environmental Science</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1122</w:t>
      </w:r>
      <w:r w:rsidRPr="00DA3A3A">
        <w:rPr>
          <w:rFonts w:ascii="Times New Roman" w:hAnsi="Times New Roman" w:cs="Times New Roman"/>
          <w:sz w:val="20"/>
          <w:szCs w:val="20"/>
        </w:rPr>
        <w:t xml:space="preserve">(1), 012059. </w:t>
      </w:r>
      <w:hyperlink r:id="rId16" w:history="1">
        <w:r w:rsidRPr="00DA3A3A">
          <w:rPr>
            <w:rStyle w:val="Hyperlink"/>
            <w:rFonts w:ascii="Times New Roman" w:hAnsi="Times New Roman" w:cs="Times New Roman"/>
            <w:sz w:val="20"/>
            <w:szCs w:val="20"/>
          </w:rPr>
          <w:t>https://doi.org/10.1088/1755-1315/1122/1/012059</w:t>
        </w:r>
      </w:hyperlink>
      <w:r w:rsidRPr="00DA3A3A">
        <w:rPr>
          <w:rFonts w:ascii="Times New Roman" w:hAnsi="Times New Roman" w:cs="Times New Roman"/>
          <w:sz w:val="20"/>
          <w:szCs w:val="20"/>
        </w:rPr>
        <w:t xml:space="preserve"> </w:t>
      </w:r>
    </w:p>
    <w:p w14:paraId="783B3C03" w14:textId="07BFA19F"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Knoeri, C., Binder, C. R., &amp; Althaus, H.-J. (2011). Decisions on recycling: Construction stakeholders’ decisions regarding recycled mineral construction materials. </w:t>
      </w:r>
      <w:r w:rsidRPr="00DA3A3A">
        <w:rPr>
          <w:rFonts w:ascii="Times New Roman" w:hAnsi="Times New Roman" w:cs="Times New Roman"/>
          <w:i/>
          <w:sz w:val="20"/>
          <w:szCs w:val="20"/>
        </w:rPr>
        <w:t>Resources, Conservation and Recycling</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55</w:t>
      </w:r>
      <w:r w:rsidRPr="00DA3A3A">
        <w:rPr>
          <w:rFonts w:ascii="Times New Roman" w:hAnsi="Times New Roman" w:cs="Times New Roman"/>
          <w:sz w:val="20"/>
          <w:szCs w:val="20"/>
        </w:rPr>
        <w:t xml:space="preserve">(11), 1039-1050. </w:t>
      </w:r>
      <w:hyperlink r:id="rId17" w:history="1">
        <w:r w:rsidRPr="00DA3A3A">
          <w:rPr>
            <w:rStyle w:val="Hyperlink"/>
            <w:rFonts w:ascii="Times New Roman" w:hAnsi="Times New Roman" w:cs="Times New Roman"/>
            <w:sz w:val="20"/>
            <w:szCs w:val="20"/>
          </w:rPr>
          <w:t>https://doi.org/https://doi.org/10.1016/j.resconrec.2011.05.018</w:t>
        </w:r>
      </w:hyperlink>
      <w:r w:rsidRPr="00DA3A3A">
        <w:rPr>
          <w:rFonts w:ascii="Times New Roman" w:hAnsi="Times New Roman" w:cs="Times New Roman"/>
          <w:sz w:val="20"/>
          <w:szCs w:val="20"/>
        </w:rPr>
        <w:t xml:space="preserve"> </w:t>
      </w:r>
    </w:p>
    <w:p w14:paraId="508F0B99"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Köhler, J., Sönnichsen, S. D., &amp; Beske‐Jansen, P. (2022). Towards a collaboration framework for circular economy: The role of dynamic capabilities and open innovation. </w:t>
      </w:r>
      <w:r w:rsidRPr="00DA3A3A">
        <w:rPr>
          <w:rFonts w:ascii="Times New Roman" w:hAnsi="Times New Roman" w:cs="Times New Roman"/>
          <w:i/>
          <w:sz w:val="20"/>
          <w:szCs w:val="20"/>
        </w:rPr>
        <w:t>Business Strategy and the Environment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31</w:t>
      </w:r>
      <w:r w:rsidRPr="00DA3A3A">
        <w:rPr>
          <w:rFonts w:ascii="Times New Roman" w:hAnsi="Times New Roman" w:cs="Times New Roman"/>
          <w:sz w:val="20"/>
          <w:szCs w:val="20"/>
        </w:rPr>
        <w:t xml:space="preserve">(6), 2700-2713. </w:t>
      </w:r>
    </w:p>
    <w:p w14:paraId="2B6DC47E" w14:textId="00CFB949"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Li, Y., Li, M., Liu, C., Zhang, Z., Wei, Z., &amp; Wang, Z. (2024). </w:t>
      </w:r>
      <w:r w:rsidR="008D4062" w:rsidRPr="00DA3A3A">
        <w:rPr>
          <w:rFonts w:ascii="Times New Roman" w:hAnsi="Times New Roman" w:cs="Times New Roman"/>
          <w:sz w:val="20"/>
          <w:szCs w:val="20"/>
        </w:rPr>
        <w:t>Exploring Critical Success Factors For Recycled Concrete Utilization In China</w:t>
      </w:r>
      <w:r w:rsidRPr="00DA3A3A">
        <w:rPr>
          <w:rFonts w:ascii="Times New Roman" w:hAnsi="Times New Roman" w:cs="Times New Roman"/>
          <w:sz w:val="20"/>
          <w:szCs w:val="20"/>
        </w:rPr>
        <w:t xml:space="preserve"> [Article]. </w:t>
      </w:r>
      <w:r w:rsidRPr="00DA3A3A">
        <w:rPr>
          <w:rFonts w:ascii="Times New Roman" w:hAnsi="Times New Roman" w:cs="Times New Roman"/>
          <w:i/>
          <w:sz w:val="20"/>
          <w:szCs w:val="20"/>
        </w:rPr>
        <w:t>Environmental Engineering and Management Journal</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23</w:t>
      </w:r>
      <w:r w:rsidRPr="00DA3A3A">
        <w:rPr>
          <w:rFonts w:ascii="Times New Roman" w:hAnsi="Times New Roman" w:cs="Times New Roman"/>
          <w:sz w:val="20"/>
          <w:szCs w:val="20"/>
        </w:rPr>
        <w:t xml:space="preserve">(9), 1799-1812. </w:t>
      </w:r>
      <w:hyperlink r:id="rId18" w:history="1">
        <w:r w:rsidRPr="00DA3A3A">
          <w:rPr>
            <w:rStyle w:val="Hyperlink"/>
            <w:rFonts w:ascii="Times New Roman" w:hAnsi="Times New Roman" w:cs="Times New Roman"/>
            <w:sz w:val="20"/>
            <w:szCs w:val="20"/>
          </w:rPr>
          <w:t>https://doi.org/10.30638/eemj.2024.145</w:t>
        </w:r>
      </w:hyperlink>
      <w:r w:rsidRPr="00DA3A3A">
        <w:rPr>
          <w:rFonts w:ascii="Times New Roman" w:hAnsi="Times New Roman" w:cs="Times New Roman"/>
          <w:sz w:val="20"/>
          <w:szCs w:val="20"/>
        </w:rPr>
        <w:t xml:space="preserve"> </w:t>
      </w:r>
    </w:p>
    <w:p w14:paraId="7DEE5F27" w14:textId="4AED40FA"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Liu, J., Teng, Y., Wang, D., &amp; Gong, E. (2020). System dynamic analysis of construction waste recycling industry chain in China. </w:t>
      </w:r>
      <w:r w:rsidRPr="00DA3A3A">
        <w:rPr>
          <w:rFonts w:ascii="Times New Roman" w:hAnsi="Times New Roman" w:cs="Times New Roman"/>
          <w:i/>
          <w:sz w:val="20"/>
          <w:szCs w:val="20"/>
        </w:rPr>
        <w:t>Environmental Science and Pollution Research</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27</w:t>
      </w:r>
      <w:r w:rsidRPr="00DA3A3A">
        <w:rPr>
          <w:rFonts w:ascii="Times New Roman" w:hAnsi="Times New Roman" w:cs="Times New Roman"/>
          <w:sz w:val="20"/>
          <w:szCs w:val="20"/>
        </w:rPr>
        <w:t xml:space="preserve">(30), 37260-37277. </w:t>
      </w:r>
      <w:hyperlink r:id="rId19" w:history="1">
        <w:r w:rsidRPr="00DA3A3A">
          <w:rPr>
            <w:rStyle w:val="Hyperlink"/>
            <w:rFonts w:ascii="Times New Roman" w:hAnsi="Times New Roman" w:cs="Times New Roman"/>
            <w:sz w:val="20"/>
            <w:szCs w:val="20"/>
          </w:rPr>
          <w:t>https://doi.org/10.1007/s11356-019-06739-x</w:t>
        </w:r>
      </w:hyperlink>
      <w:r w:rsidRPr="00DA3A3A">
        <w:rPr>
          <w:rFonts w:ascii="Times New Roman" w:hAnsi="Times New Roman" w:cs="Times New Roman"/>
          <w:sz w:val="20"/>
          <w:szCs w:val="20"/>
        </w:rPr>
        <w:t xml:space="preserve"> </w:t>
      </w:r>
    </w:p>
    <w:p w14:paraId="42ABDB5B"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Ma, M., Tam, V. W., Le, K. N., Butera, A., Li, W., &amp; Wang, X. (2023). Comparative analysis on international construction and demolition waste management policies and laws for policy makers in China. </w:t>
      </w:r>
      <w:r w:rsidRPr="00DA3A3A">
        <w:rPr>
          <w:rFonts w:ascii="Times New Roman" w:hAnsi="Times New Roman" w:cs="Times New Roman"/>
          <w:i/>
          <w:sz w:val="20"/>
          <w:szCs w:val="20"/>
        </w:rPr>
        <w:t>Journal of Civil Engineering and Management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29</w:t>
      </w:r>
      <w:r w:rsidRPr="00DA3A3A">
        <w:rPr>
          <w:rFonts w:ascii="Times New Roman" w:hAnsi="Times New Roman" w:cs="Times New Roman"/>
          <w:sz w:val="20"/>
          <w:szCs w:val="20"/>
        </w:rPr>
        <w:t xml:space="preserve">(2), 107-130. </w:t>
      </w:r>
    </w:p>
    <w:p w14:paraId="004BF398" w14:textId="5D6021A8"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Ma, W., &amp; Hao, J. L. (2024). Enhancing a circular economy for construction and demolition waste management in China: A stakeholder engagement and key strategy approach.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450</w:t>
      </w:r>
      <w:r w:rsidRPr="00DA3A3A">
        <w:rPr>
          <w:rFonts w:ascii="Times New Roman" w:hAnsi="Times New Roman" w:cs="Times New Roman"/>
          <w:sz w:val="20"/>
          <w:szCs w:val="20"/>
        </w:rPr>
        <w:t xml:space="preserve">, 141763. </w:t>
      </w:r>
      <w:hyperlink r:id="rId20" w:history="1">
        <w:r w:rsidRPr="00DA3A3A">
          <w:rPr>
            <w:rStyle w:val="Hyperlink"/>
            <w:rFonts w:ascii="Times New Roman" w:hAnsi="Times New Roman" w:cs="Times New Roman"/>
            <w:sz w:val="20"/>
            <w:szCs w:val="20"/>
          </w:rPr>
          <w:t>https://doi.org/https://doi.org/10.1016/j.jclepro.2024.141763</w:t>
        </w:r>
      </w:hyperlink>
      <w:r w:rsidRPr="00DA3A3A">
        <w:rPr>
          <w:rFonts w:ascii="Times New Roman" w:hAnsi="Times New Roman" w:cs="Times New Roman"/>
          <w:sz w:val="20"/>
          <w:szCs w:val="20"/>
        </w:rPr>
        <w:t xml:space="preserve"> </w:t>
      </w:r>
    </w:p>
    <w:p w14:paraId="186CADF6" w14:textId="5A11B286"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Mortensen, L., &amp; Kørnøv, L. (2019). Critical factors for industrial symbiosis emergence process.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212</w:t>
      </w:r>
      <w:r w:rsidRPr="00DA3A3A">
        <w:rPr>
          <w:rFonts w:ascii="Times New Roman" w:hAnsi="Times New Roman" w:cs="Times New Roman"/>
          <w:sz w:val="20"/>
          <w:szCs w:val="20"/>
        </w:rPr>
        <w:t xml:space="preserve">, 56-69. </w:t>
      </w:r>
      <w:hyperlink r:id="rId21" w:history="1">
        <w:r w:rsidRPr="00DA3A3A">
          <w:rPr>
            <w:rStyle w:val="Hyperlink"/>
            <w:rFonts w:ascii="Times New Roman" w:hAnsi="Times New Roman" w:cs="Times New Roman"/>
            <w:sz w:val="20"/>
            <w:szCs w:val="20"/>
          </w:rPr>
          <w:t>https://doi.org/https://doi.org/10.1016/j.jclepro.2018.11.222</w:t>
        </w:r>
      </w:hyperlink>
      <w:r w:rsidRPr="00DA3A3A">
        <w:rPr>
          <w:rFonts w:ascii="Times New Roman" w:hAnsi="Times New Roman" w:cs="Times New Roman"/>
          <w:sz w:val="20"/>
          <w:szCs w:val="20"/>
        </w:rPr>
        <w:t xml:space="preserve"> </w:t>
      </w:r>
    </w:p>
    <w:p w14:paraId="5D35973E" w14:textId="1DF04FA1"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Muigai, R. (2018). 21 - Eco-efficient design of concrete repair and rehabilitation. In F. Pacheco-Torgal, R. E. Melchers, X. Shi, N. D. Belie, K. V. Tittelboom, &amp; A. Sáez (Eds.), </w:t>
      </w:r>
      <w:r w:rsidRPr="00DA3A3A">
        <w:rPr>
          <w:rFonts w:ascii="Times New Roman" w:hAnsi="Times New Roman" w:cs="Times New Roman"/>
          <w:i/>
          <w:sz w:val="20"/>
          <w:szCs w:val="20"/>
        </w:rPr>
        <w:t>Eco-Efficient Repair and Rehabilitation of Concrete Infrastructures</w:t>
      </w:r>
      <w:r w:rsidRPr="00DA3A3A">
        <w:rPr>
          <w:rFonts w:ascii="Times New Roman" w:hAnsi="Times New Roman" w:cs="Times New Roman"/>
          <w:sz w:val="20"/>
          <w:szCs w:val="20"/>
        </w:rPr>
        <w:t xml:space="preserve"> (pp. 591-611). Woodhead Publishing. </w:t>
      </w:r>
      <w:hyperlink r:id="rId22" w:history="1">
        <w:r w:rsidRPr="00DA3A3A">
          <w:rPr>
            <w:rStyle w:val="Hyperlink"/>
            <w:rFonts w:ascii="Times New Roman" w:hAnsi="Times New Roman" w:cs="Times New Roman"/>
            <w:sz w:val="20"/>
            <w:szCs w:val="20"/>
          </w:rPr>
          <w:t>https://doi.org/https://doi.org/10.1016/B978-0-08-102181-1.00021-6</w:t>
        </w:r>
      </w:hyperlink>
      <w:r w:rsidRPr="00DA3A3A">
        <w:rPr>
          <w:rFonts w:ascii="Times New Roman" w:hAnsi="Times New Roman" w:cs="Times New Roman"/>
          <w:sz w:val="20"/>
          <w:szCs w:val="20"/>
        </w:rPr>
        <w:t xml:space="preserve"> </w:t>
      </w:r>
    </w:p>
    <w:p w14:paraId="50A25FB0"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Osaily, Y., Copping, A., McCann, S., &amp; Uddin, T. (2019). Exploring the value of demolition contractor involvement at the design stage of construction. Thirty-Fifth Annual Conference, </w:t>
      </w:r>
    </w:p>
    <w:p w14:paraId="49E28BFD"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Ozili, P. K., &amp; Opene, F. (2021). The role of banks in the circular economy. </w:t>
      </w:r>
      <w:r w:rsidRPr="00DA3A3A">
        <w:rPr>
          <w:rFonts w:ascii="Times New Roman" w:hAnsi="Times New Roman" w:cs="Times New Roman"/>
          <w:i/>
          <w:sz w:val="20"/>
          <w:szCs w:val="20"/>
        </w:rPr>
        <w:t>Available at SSRN 3778196</w:t>
      </w:r>
      <w:r w:rsidRPr="00DA3A3A">
        <w:rPr>
          <w:rFonts w:ascii="Times New Roman" w:hAnsi="Times New Roman" w:cs="Times New Roman"/>
          <w:sz w:val="20"/>
          <w:szCs w:val="20"/>
        </w:rPr>
        <w:t xml:space="preserve">. </w:t>
      </w:r>
    </w:p>
    <w:p w14:paraId="0FAFBEE3" w14:textId="531A0CA3"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Ram, V. G., Prajapati, R., &amp; Poulose, M. K. (2019). Challenges and prospects of demolition waste recycling in India [Article]. </w:t>
      </w:r>
      <w:r w:rsidRPr="00DA3A3A">
        <w:rPr>
          <w:rFonts w:ascii="Times New Roman" w:hAnsi="Times New Roman" w:cs="Times New Roman"/>
          <w:i/>
          <w:sz w:val="20"/>
          <w:szCs w:val="20"/>
        </w:rPr>
        <w:t>Indian Concrete Journal</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93</w:t>
      </w:r>
      <w:r w:rsidRPr="00DA3A3A">
        <w:rPr>
          <w:rFonts w:ascii="Times New Roman" w:hAnsi="Times New Roman" w:cs="Times New Roman"/>
          <w:sz w:val="20"/>
          <w:szCs w:val="20"/>
        </w:rPr>
        <w:t xml:space="preserve">(9), 75-83. </w:t>
      </w:r>
      <w:hyperlink r:id="rId23" w:history="1">
        <w:r w:rsidRPr="00DA3A3A">
          <w:rPr>
            <w:rStyle w:val="Hyperlink"/>
            <w:rFonts w:ascii="Times New Roman" w:hAnsi="Times New Roman" w:cs="Times New Roman"/>
            <w:sz w:val="20"/>
            <w:szCs w:val="20"/>
          </w:rPr>
          <w:t>https://www.scopus.com/inward/record.uri?eid=2-s2.0-85073452100&amp;partnerID=40&amp;md5=fdc1c53833e8db3c1e41a1e0e43a59c7</w:t>
        </w:r>
      </w:hyperlink>
      <w:r w:rsidRPr="00DA3A3A">
        <w:rPr>
          <w:rFonts w:ascii="Times New Roman" w:hAnsi="Times New Roman" w:cs="Times New Roman"/>
          <w:sz w:val="20"/>
          <w:szCs w:val="20"/>
        </w:rPr>
        <w:t xml:space="preserve"> </w:t>
      </w:r>
    </w:p>
    <w:p w14:paraId="73E94C83" w14:textId="4CDE30F4"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Rataj, O., Alcorta, L., Raes, J., Yilmaz, E., Riccardo, L. E., &amp; Sansini, F. (2025). Sustainability vs profitability: Innovating in circular economy financing practices by European banks. </w:t>
      </w:r>
      <w:r w:rsidRPr="00DA3A3A">
        <w:rPr>
          <w:rFonts w:ascii="Times New Roman" w:hAnsi="Times New Roman" w:cs="Times New Roman"/>
          <w:i/>
          <w:sz w:val="20"/>
          <w:szCs w:val="20"/>
        </w:rPr>
        <w:t>Sustainable Production and Consumption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53</w:t>
      </w:r>
      <w:r w:rsidRPr="00DA3A3A">
        <w:rPr>
          <w:rFonts w:ascii="Times New Roman" w:hAnsi="Times New Roman" w:cs="Times New Roman"/>
          <w:sz w:val="20"/>
          <w:szCs w:val="20"/>
        </w:rPr>
        <w:t xml:space="preserve">, 1-16. </w:t>
      </w:r>
      <w:hyperlink r:id="rId24" w:history="1">
        <w:r w:rsidRPr="00DA3A3A">
          <w:rPr>
            <w:rStyle w:val="Hyperlink"/>
            <w:rFonts w:ascii="Times New Roman" w:hAnsi="Times New Roman" w:cs="Times New Roman"/>
            <w:sz w:val="20"/>
            <w:szCs w:val="20"/>
          </w:rPr>
          <w:t>https://doi.org/https://doi.org/10.1016/j.spc.2024.11.025</w:t>
        </w:r>
      </w:hyperlink>
      <w:r w:rsidRPr="00DA3A3A">
        <w:rPr>
          <w:rFonts w:ascii="Times New Roman" w:hAnsi="Times New Roman" w:cs="Times New Roman"/>
          <w:sz w:val="20"/>
          <w:szCs w:val="20"/>
        </w:rPr>
        <w:t xml:space="preserve"> </w:t>
      </w:r>
    </w:p>
    <w:p w14:paraId="1E5499EC" w14:textId="27F3244E"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Riuttala, M., Harala, L., Aarikka-Stenroos, L., &amp; Huuhka, S. (2024). How building component reuse creates economic value – Identifying value capture determinants from a case study.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443</w:t>
      </w:r>
      <w:r w:rsidRPr="00DA3A3A">
        <w:rPr>
          <w:rFonts w:ascii="Times New Roman" w:hAnsi="Times New Roman" w:cs="Times New Roman"/>
          <w:sz w:val="20"/>
          <w:szCs w:val="20"/>
        </w:rPr>
        <w:t xml:space="preserve">, 141112. </w:t>
      </w:r>
      <w:hyperlink r:id="rId25" w:history="1">
        <w:r w:rsidRPr="00DA3A3A">
          <w:rPr>
            <w:rStyle w:val="Hyperlink"/>
            <w:rFonts w:ascii="Times New Roman" w:hAnsi="Times New Roman" w:cs="Times New Roman"/>
            <w:sz w:val="20"/>
            <w:szCs w:val="20"/>
          </w:rPr>
          <w:t>https://doi.org/https://doi.org/10.1016/j.jclepro.2024.141112</w:t>
        </w:r>
      </w:hyperlink>
      <w:r w:rsidRPr="00DA3A3A">
        <w:rPr>
          <w:rFonts w:ascii="Times New Roman" w:hAnsi="Times New Roman" w:cs="Times New Roman"/>
          <w:sz w:val="20"/>
          <w:szCs w:val="20"/>
        </w:rPr>
        <w:t xml:space="preserve"> </w:t>
      </w:r>
    </w:p>
    <w:p w14:paraId="099C6FE1" w14:textId="5CA36E5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Rokio, M., Ahola, T., Alkki, L., &amp; Ståhle, M. (2024). Projects as drivers of sustainability: How the adoption of the reuse principle affects the front-end of a construction project. </w:t>
      </w:r>
      <w:r w:rsidRPr="00DA3A3A">
        <w:rPr>
          <w:rFonts w:ascii="Times New Roman" w:hAnsi="Times New Roman" w:cs="Times New Roman"/>
          <w:i/>
          <w:sz w:val="20"/>
          <w:szCs w:val="20"/>
        </w:rPr>
        <w:t>International Journal of Project Management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42</w:t>
      </w:r>
      <w:r w:rsidRPr="00DA3A3A">
        <w:rPr>
          <w:rFonts w:ascii="Times New Roman" w:hAnsi="Times New Roman" w:cs="Times New Roman"/>
          <w:sz w:val="20"/>
          <w:szCs w:val="20"/>
        </w:rPr>
        <w:t xml:space="preserve">(7), 102647. </w:t>
      </w:r>
      <w:hyperlink r:id="rId26" w:history="1">
        <w:r w:rsidRPr="00DA3A3A">
          <w:rPr>
            <w:rStyle w:val="Hyperlink"/>
            <w:rFonts w:ascii="Times New Roman" w:hAnsi="Times New Roman" w:cs="Times New Roman"/>
            <w:sz w:val="20"/>
            <w:szCs w:val="20"/>
          </w:rPr>
          <w:t>https://doi.org/https://doi.org/10.1016/j.ijproman.2024.102647</w:t>
        </w:r>
      </w:hyperlink>
      <w:r w:rsidRPr="00DA3A3A">
        <w:rPr>
          <w:rFonts w:ascii="Times New Roman" w:hAnsi="Times New Roman" w:cs="Times New Roman"/>
          <w:sz w:val="20"/>
          <w:szCs w:val="20"/>
        </w:rPr>
        <w:t xml:space="preserve"> </w:t>
      </w:r>
    </w:p>
    <w:p w14:paraId="73426AF9" w14:textId="19212A28"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Sepetis, A. (2022). Chapter 13 - Sustainable finance and circular economy. In A. Stefanakis &amp; I. Nikolaou (Eds.), </w:t>
      </w:r>
      <w:r w:rsidRPr="00DA3A3A">
        <w:rPr>
          <w:rFonts w:ascii="Times New Roman" w:hAnsi="Times New Roman" w:cs="Times New Roman"/>
          <w:i/>
          <w:sz w:val="20"/>
          <w:szCs w:val="20"/>
        </w:rPr>
        <w:t>Circular Economy and Sustainability</w:t>
      </w:r>
      <w:r w:rsidRPr="00DA3A3A">
        <w:rPr>
          <w:rFonts w:ascii="Times New Roman" w:hAnsi="Times New Roman" w:cs="Times New Roman"/>
          <w:sz w:val="20"/>
          <w:szCs w:val="20"/>
        </w:rPr>
        <w:t xml:space="preserve"> (pp. 207-226). Elsevier. </w:t>
      </w:r>
      <w:hyperlink r:id="rId27" w:history="1">
        <w:r w:rsidRPr="00DA3A3A">
          <w:rPr>
            <w:rStyle w:val="Hyperlink"/>
            <w:rFonts w:ascii="Times New Roman" w:hAnsi="Times New Roman" w:cs="Times New Roman"/>
            <w:sz w:val="20"/>
            <w:szCs w:val="20"/>
          </w:rPr>
          <w:t>https://doi.org/https://doi.org/10.1016/B978-0-12-819817-9.00002-8</w:t>
        </w:r>
      </w:hyperlink>
      <w:r w:rsidRPr="00DA3A3A">
        <w:rPr>
          <w:rFonts w:ascii="Times New Roman" w:hAnsi="Times New Roman" w:cs="Times New Roman"/>
          <w:sz w:val="20"/>
          <w:szCs w:val="20"/>
        </w:rPr>
        <w:t xml:space="preserve"> </w:t>
      </w:r>
    </w:p>
    <w:p w14:paraId="5662D4FD" w14:textId="19B8A61A"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Serrano-Bedia, A.-M., &amp; Perez-Perez, M. (2022). Transition towards a circular economy: A review of the role of higher education as a key supporting stakeholder in Web of Science. </w:t>
      </w:r>
      <w:r w:rsidRPr="00DA3A3A">
        <w:rPr>
          <w:rFonts w:ascii="Times New Roman" w:hAnsi="Times New Roman" w:cs="Times New Roman"/>
          <w:i/>
          <w:sz w:val="20"/>
          <w:szCs w:val="20"/>
        </w:rPr>
        <w:t>Sustainable Production and Consumption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31</w:t>
      </w:r>
      <w:r w:rsidRPr="00DA3A3A">
        <w:rPr>
          <w:rFonts w:ascii="Times New Roman" w:hAnsi="Times New Roman" w:cs="Times New Roman"/>
          <w:sz w:val="20"/>
          <w:szCs w:val="20"/>
        </w:rPr>
        <w:t xml:space="preserve">, 82-96. </w:t>
      </w:r>
      <w:hyperlink r:id="rId28" w:history="1">
        <w:r w:rsidRPr="00DA3A3A">
          <w:rPr>
            <w:rStyle w:val="Hyperlink"/>
            <w:rFonts w:ascii="Times New Roman" w:hAnsi="Times New Roman" w:cs="Times New Roman"/>
            <w:sz w:val="20"/>
            <w:szCs w:val="20"/>
          </w:rPr>
          <w:t>https://doi.org/https://doi.org/10.1016/j.spc.2022.02.001</w:t>
        </w:r>
      </w:hyperlink>
      <w:r w:rsidRPr="00DA3A3A">
        <w:rPr>
          <w:rFonts w:ascii="Times New Roman" w:hAnsi="Times New Roman" w:cs="Times New Roman"/>
          <w:sz w:val="20"/>
          <w:szCs w:val="20"/>
        </w:rPr>
        <w:t xml:space="preserve"> </w:t>
      </w:r>
    </w:p>
    <w:p w14:paraId="5F2ECC6B"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Shao, Z., Li, M., Han, C., &amp; Meng, L. (2023). Evolutionary game model of construction enterprises and construction material manufacturers in the construction and demolition waste resource utilization. </w:t>
      </w:r>
      <w:r w:rsidRPr="00DA3A3A">
        <w:rPr>
          <w:rFonts w:ascii="Times New Roman" w:hAnsi="Times New Roman" w:cs="Times New Roman"/>
          <w:i/>
          <w:sz w:val="20"/>
          <w:szCs w:val="20"/>
        </w:rPr>
        <w:t>Waste Management &amp; Research</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41</w:t>
      </w:r>
      <w:r w:rsidRPr="00DA3A3A">
        <w:rPr>
          <w:rFonts w:ascii="Times New Roman" w:hAnsi="Times New Roman" w:cs="Times New Roman"/>
          <w:sz w:val="20"/>
          <w:szCs w:val="20"/>
        </w:rPr>
        <w:t xml:space="preserve">(2), 477-495. </w:t>
      </w:r>
    </w:p>
    <w:p w14:paraId="17FA2D89"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She, Y., Udawatta, N., Tokede, O., &amp; Liu, C. (2025). An engagement framework for circular economy-based construction and demolition waste management. </w:t>
      </w:r>
      <w:r w:rsidRPr="00DA3A3A">
        <w:rPr>
          <w:rFonts w:ascii="Times New Roman" w:hAnsi="Times New Roman" w:cs="Times New Roman"/>
          <w:i/>
          <w:sz w:val="20"/>
          <w:szCs w:val="20"/>
        </w:rPr>
        <w:t>Journal of Green Building</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20</w:t>
      </w:r>
      <w:r w:rsidRPr="00DA3A3A">
        <w:rPr>
          <w:rFonts w:ascii="Times New Roman" w:hAnsi="Times New Roman" w:cs="Times New Roman"/>
          <w:sz w:val="20"/>
          <w:szCs w:val="20"/>
        </w:rPr>
        <w:t xml:space="preserve">(3), 1-40. </w:t>
      </w:r>
    </w:p>
    <w:p w14:paraId="287C251F"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Shen, H., Peng, Y., &amp; Guo, C. (2018). Analysis of the Evolution Game of Construction and Demolition Waste Recycling Behavior Based on Prospect Theory under Environmental Regulation. </w:t>
      </w:r>
      <w:r w:rsidRPr="00DA3A3A">
        <w:rPr>
          <w:rFonts w:ascii="Times New Roman" w:hAnsi="Times New Roman" w:cs="Times New Roman"/>
          <w:i/>
          <w:sz w:val="20"/>
          <w:szCs w:val="20"/>
        </w:rPr>
        <w:t>International Journal of Environmental Research and Public Health</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15</w:t>
      </w:r>
      <w:r w:rsidRPr="00DA3A3A">
        <w:rPr>
          <w:rFonts w:ascii="Times New Roman" w:hAnsi="Times New Roman" w:cs="Times New Roman"/>
          <w:sz w:val="20"/>
          <w:szCs w:val="20"/>
        </w:rPr>
        <w:t xml:space="preserve">(7), 1518. </w:t>
      </w:r>
    </w:p>
    <w:p w14:paraId="0568AE76" w14:textId="3EEEDD28"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Shooshtarian, S., Caldera, S., Maqsood, T., &amp; Ryley, T. (2020). Using Recycled Construction and Demolition Waste Products: A Review of Stakeholders’ Perceptions, Decisions, and Motivations. </w:t>
      </w:r>
      <w:r w:rsidRPr="00DA3A3A">
        <w:rPr>
          <w:rFonts w:ascii="Times New Roman" w:hAnsi="Times New Roman" w:cs="Times New Roman"/>
          <w:i/>
          <w:sz w:val="20"/>
          <w:szCs w:val="20"/>
        </w:rPr>
        <w:t>Recycling</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5</w:t>
      </w:r>
      <w:r w:rsidRPr="00DA3A3A">
        <w:rPr>
          <w:rFonts w:ascii="Times New Roman" w:hAnsi="Times New Roman" w:cs="Times New Roman"/>
          <w:sz w:val="20"/>
          <w:szCs w:val="20"/>
        </w:rPr>
        <w:t xml:space="preserve">(4), 31. </w:t>
      </w:r>
      <w:hyperlink r:id="rId29" w:history="1">
        <w:r w:rsidRPr="00DA3A3A">
          <w:rPr>
            <w:rStyle w:val="Hyperlink"/>
            <w:rFonts w:ascii="Times New Roman" w:hAnsi="Times New Roman" w:cs="Times New Roman"/>
            <w:sz w:val="20"/>
            <w:szCs w:val="20"/>
          </w:rPr>
          <w:t>https://doi.org/10.3390/recycling5040031</w:t>
        </w:r>
      </w:hyperlink>
      <w:r w:rsidRPr="00DA3A3A">
        <w:rPr>
          <w:rFonts w:ascii="Times New Roman" w:hAnsi="Times New Roman" w:cs="Times New Roman"/>
          <w:sz w:val="20"/>
          <w:szCs w:val="20"/>
        </w:rPr>
        <w:t xml:space="preserve"> </w:t>
      </w:r>
    </w:p>
    <w:p w14:paraId="73CF04DC" w14:textId="356EFE22"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Shooshtarian, S., Caldera, S., Maqsood, T., Ryley, T., Wong, P. S. P., &amp; Zaman, A. (2022). Analysis of factors influencing the creation and stimulation of the Australian market for recycled construction and demolition waste products. </w:t>
      </w:r>
      <w:r w:rsidRPr="00DA3A3A">
        <w:rPr>
          <w:rFonts w:ascii="Times New Roman" w:hAnsi="Times New Roman" w:cs="Times New Roman"/>
          <w:i/>
          <w:sz w:val="20"/>
          <w:szCs w:val="20"/>
        </w:rPr>
        <w:t>Sustainable Production and Consumption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34</w:t>
      </w:r>
      <w:r w:rsidRPr="00DA3A3A">
        <w:rPr>
          <w:rFonts w:ascii="Times New Roman" w:hAnsi="Times New Roman" w:cs="Times New Roman"/>
          <w:sz w:val="20"/>
          <w:szCs w:val="20"/>
        </w:rPr>
        <w:t xml:space="preserve">, 163-176. </w:t>
      </w:r>
      <w:hyperlink r:id="rId30" w:history="1">
        <w:r w:rsidRPr="00DA3A3A">
          <w:rPr>
            <w:rStyle w:val="Hyperlink"/>
            <w:rFonts w:ascii="Times New Roman" w:hAnsi="Times New Roman" w:cs="Times New Roman"/>
            <w:sz w:val="20"/>
            <w:szCs w:val="20"/>
          </w:rPr>
          <w:t>https://doi.org/https://doi.org/10.1016/j.spc.2022.09.005</w:t>
        </w:r>
      </w:hyperlink>
      <w:r w:rsidRPr="00DA3A3A">
        <w:rPr>
          <w:rFonts w:ascii="Times New Roman" w:hAnsi="Times New Roman" w:cs="Times New Roman"/>
          <w:sz w:val="20"/>
          <w:szCs w:val="20"/>
        </w:rPr>
        <w:t xml:space="preserve"> </w:t>
      </w:r>
    </w:p>
    <w:p w14:paraId="55187B43"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Song, W., Hou, G., Yang, L., Wang, P., &amp; Guo, Y. (2024). Evolutionary Game Analysis for Promoting the Realization of Construction Waste Recycling and Resource Utilization: Based on a Multi-Agent Collaboration Perspective. </w:t>
      </w:r>
      <w:r w:rsidRPr="00DA3A3A">
        <w:rPr>
          <w:rFonts w:ascii="Times New Roman" w:hAnsi="Times New Roman" w:cs="Times New Roman"/>
          <w:i/>
          <w:sz w:val="20"/>
          <w:szCs w:val="20"/>
        </w:rPr>
        <w:t>Buildings</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14</w:t>
      </w:r>
      <w:r w:rsidRPr="00DA3A3A">
        <w:rPr>
          <w:rFonts w:ascii="Times New Roman" w:hAnsi="Times New Roman" w:cs="Times New Roman"/>
          <w:sz w:val="20"/>
          <w:szCs w:val="20"/>
        </w:rPr>
        <w:t xml:space="preserve">(8), 2368. </w:t>
      </w:r>
    </w:p>
    <w:p w14:paraId="735D03FE" w14:textId="2F2AC10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Su, Y. (2020). Multi-agent evolutionary game in the recycling utilization of construction waste. </w:t>
      </w:r>
      <w:r w:rsidRPr="00DA3A3A">
        <w:rPr>
          <w:rFonts w:ascii="Times New Roman" w:hAnsi="Times New Roman" w:cs="Times New Roman"/>
          <w:i/>
          <w:sz w:val="20"/>
          <w:szCs w:val="20"/>
        </w:rPr>
        <w:t>Science of the Total Environment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738</w:t>
      </w:r>
      <w:r w:rsidRPr="00DA3A3A">
        <w:rPr>
          <w:rFonts w:ascii="Times New Roman" w:hAnsi="Times New Roman" w:cs="Times New Roman"/>
          <w:sz w:val="20"/>
          <w:szCs w:val="20"/>
        </w:rPr>
        <w:t xml:space="preserve">, 139826. </w:t>
      </w:r>
      <w:hyperlink r:id="rId31" w:history="1">
        <w:r w:rsidRPr="00DA3A3A">
          <w:rPr>
            <w:rStyle w:val="Hyperlink"/>
            <w:rFonts w:ascii="Times New Roman" w:hAnsi="Times New Roman" w:cs="Times New Roman"/>
            <w:sz w:val="20"/>
            <w:szCs w:val="20"/>
          </w:rPr>
          <w:t>https://doi.org/https://doi.org/10.1016/j.scitotenv.2020.139826</w:t>
        </w:r>
      </w:hyperlink>
      <w:r w:rsidRPr="00DA3A3A">
        <w:rPr>
          <w:rFonts w:ascii="Times New Roman" w:hAnsi="Times New Roman" w:cs="Times New Roman"/>
          <w:sz w:val="20"/>
          <w:szCs w:val="20"/>
        </w:rPr>
        <w:t xml:space="preserve"> </w:t>
      </w:r>
    </w:p>
    <w:p w14:paraId="574DCAC8" w14:textId="06FA30B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Superti, V., Houmani, C., Hansmann, R., Baur, I., &amp; Binder, C. R. (2021). Strategies for a circular economy in the construction and demolition sector: Identifying the factors affecting the recommendation of recycled concrete [Article]. </w:t>
      </w:r>
      <w:r w:rsidRPr="00DA3A3A">
        <w:rPr>
          <w:rFonts w:ascii="Times New Roman" w:hAnsi="Times New Roman" w:cs="Times New Roman"/>
          <w:i/>
          <w:sz w:val="20"/>
          <w:szCs w:val="20"/>
        </w:rPr>
        <w:t>Sustainability (Switzerland)</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13</w:t>
      </w:r>
      <w:r w:rsidRPr="00DA3A3A">
        <w:rPr>
          <w:rFonts w:ascii="Times New Roman" w:hAnsi="Times New Roman" w:cs="Times New Roman"/>
          <w:sz w:val="20"/>
          <w:szCs w:val="20"/>
        </w:rPr>
        <w:t xml:space="preserve">(8), Article 4113. </w:t>
      </w:r>
      <w:hyperlink r:id="rId32" w:history="1">
        <w:r w:rsidRPr="00DA3A3A">
          <w:rPr>
            <w:rStyle w:val="Hyperlink"/>
            <w:rFonts w:ascii="Times New Roman" w:hAnsi="Times New Roman" w:cs="Times New Roman"/>
            <w:sz w:val="20"/>
            <w:szCs w:val="20"/>
          </w:rPr>
          <w:t>https://doi.org/10.3390/su13084113</w:t>
        </w:r>
      </w:hyperlink>
      <w:r w:rsidRPr="00DA3A3A">
        <w:rPr>
          <w:rFonts w:ascii="Times New Roman" w:hAnsi="Times New Roman" w:cs="Times New Roman"/>
          <w:sz w:val="20"/>
          <w:szCs w:val="20"/>
        </w:rPr>
        <w:t xml:space="preserve"> </w:t>
      </w:r>
    </w:p>
    <w:p w14:paraId="74E72820" w14:textId="6ED9A38D"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Tam, V. W. Y. (2009). Comparing the implementation of concrete recycling in the Australian and Japanese construction industries [Article].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17</w:t>
      </w:r>
      <w:r w:rsidRPr="00DA3A3A">
        <w:rPr>
          <w:rFonts w:ascii="Times New Roman" w:hAnsi="Times New Roman" w:cs="Times New Roman"/>
          <w:sz w:val="20"/>
          <w:szCs w:val="20"/>
        </w:rPr>
        <w:t xml:space="preserve">(7), 688-702. </w:t>
      </w:r>
      <w:hyperlink r:id="rId33" w:history="1">
        <w:r w:rsidRPr="00DA3A3A">
          <w:rPr>
            <w:rStyle w:val="Hyperlink"/>
            <w:rFonts w:ascii="Times New Roman" w:hAnsi="Times New Roman" w:cs="Times New Roman"/>
            <w:sz w:val="20"/>
            <w:szCs w:val="20"/>
          </w:rPr>
          <w:t>https://doi.org/10.1016/j.jclepro.2008.11.015</w:t>
        </w:r>
      </w:hyperlink>
      <w:r w:rsidRPr="00DA3A3A">
        <w:rPr>
          <w:rFonts w:ascii="Times New Roman" w:hAnsi="Times New Roman" w:cs="Times New Roman"/>
          <w:sz w:val="20"/>
          <w:szCs w:val="20"/>
        </w:rPr>
        <w:t xml:space="preserve"> </w:t>
      </w:r>
    </w:p>
    <w:p w14:paraId="4BC117AB" w14:textId="6B311B44"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Uotila, U., Saari, A., &amp; Joensuu, T. (2024). Demands for DfD data characteristics: a step towards enabling reuse of prefabricated concrete components. </w:t>
      </w:r>
      <w:r w:rsidRPr="00DA3A3A">
        <w:rPr>
          <w:rFonts w:ascii="Times New Roman" w:hAnsi="Times New Roman" w:cs="Times New Roman"/>
          <w:i/>
          <w:sz w:val="20"/>
          <w:szCs w:val="20"/>
        </w:rPr>
        <w:t>Environmental Research: Infrastructure and Sustainability</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4</w:t>
      </w:r>
      <w:r w:rsidRPr="00DA3A3A">
        <w:rPr>
          <w:rFonts w:ascii="Times New Roman" w:hAnsi="Times New Roman" w:cs="Times New Roman"/>
          <w:sz w:val="20"/>
          <w:szCs w:val="20"/>
        </w:rPr>
        <w:t xml:space="preserve">(1), 015014. </w:t>
      </w:r>
      <w:hyperlink r:id="rId34" w:history="1">
        <w:r w:rsidRPr="00DA3A3A">
          <w:rPr>
            <w:rStyle w:val="Hyperlink"/>
            <w:rFonts w:ascii="Times New Roman" w:hAnsi="Times New Roman" w:cs="Times New Roman"/>
            <w:sz w:val="20"/>
            <w:szCs w:val="20"/>
          </w:rPr>
          <w:t>https://doi.org/10.1088/2634-4505/ad3579</w:t>
        </w:r>
      </w:hyperlink>
      <w:r w:rsidRPr="00DA3A3A">
        <w:rPr>
          <w:rFonts w:ascii="Times New Roman" w:hAnsi="Times New Roman" w:cs="Times New Roman"/>
          <w:sz w:val="20"/>
          <w:szCs w:val="20"/>
        </w:rPr>
        <w:t xml:space="preserve"> </w:t>
      </w:r>
    </w:p>
    <w:p w14:paraId="25FE1120" w14:textId="5748B668"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Vasconcelos, L. T., Silva, F. Z., Ferreira, F. G., Martinho, G., Pires, A., &amp; Ferreira, J. C. (2022). Collaborative process design for waste management: co-constructing strategies with stakeholders. </w:t>
      </w:r>
      <w:r w:rsidRPr="00DA3A3A">
        <w:rPr>
          <w:rFonts w:ascii="Times New Roman" w:hAnsi="Times New Roman" w:cs="Times New Roman"/>
          <w:i/>
          <w:sz w:val="20"/>
          <w:szCs w:val="20"/>
        </w:rPr>
        <w:t>Environment, Development and Sustainability</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24</w:t>
      </w:r>
      <w:r w:rsidRPr="00DA3A3A">
        <w:rPr>
          <w:rFonts w:ascii="Times New Roman" w:hAnsi="Times New Roman" w:cs="Times New Roman"/>
          <w:sz w:val="20"/>
          <w:szCs w:val="20"/>
        </w:rPr>
        <w:t xml:space="preserve">(7), 9243-9259. </w:t>
      </w:r>
      <w:hyperlink r:id="rId35" w:history="1">
        <w:r w:rsidRPr="00DA3A3A">
          <w:rPr>
            <w:rStyle w:val="Hyperlink"/>
            <w:rFonts w:ascii="Times New Roman" w:hAnsi="Times New Roman" w:cs="Times New Roman"/>
            <w:sz w:val="20"/>
            <w:szCs w:val="20"/>
          </w:rPr>
          <w:t>https://doi.org/10.1007/s10668-021-01822-1</w:t>
        </w:r>
      </w:hyperlink>
      <w:r w:rsidRPr="00DA3A3A">
        <w:rPr>
          <w:rFonts w:ascii="Times New Roman" w:hAnsi="Times New Roman" w:cs="Times New Roman"/>
          <w:sz w:val="20"/>
          <w:szCs w:val="20"/>
        </w:rPr>
        <w:t xml:space="preserve"> </w:t>
      </w:r>
    </w:p>
    <w:p w14:paraId="1F501965" w14:textId="4A43DC9A"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Victar, H. C., Perera, B. A. K. S., Palihakkara, A. D., &amp; Dewagod, K. G. (2023). Roles and competencies of quantity surveyors in achieving a circular built environment: an investigation according to 3R principles. </w:t>
      </w:r>
      <w:r w:rsidRPr="00DA3A3A">
        <w:rPr>
          <w:rFonts w:ascii="Times New Roman" w:hAnsi="Times New Roman" w:cs="Times New Roman"/>
          <w:i/>
          <w:sz w:val="20"/>
          <w:szCs w:val="20"/>
        </w:rPr>
        <w:t>Smart and Sustainable Built Environment</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13</w:t>
      </w:r>
      <w:r w:rsidRPr="00DA3A3A">
        <w:rPr>
          <w:rFonts w:ascii="Times New Roman" w:hAnsi="Times New Roman" w:cs="Times New Roman"/>
          <w:sz w:val="20"/>
          <w:szCs w:val="20"/>
        </w:rPr>
        <w:t xml:space="preserve">(4), 1015-1040. </w:t>
      </w:r>
      <w:hyperlink r:id="rId36" w:history="1">
        <w:r w:rsidRPr="00DA3A3A">
          <w:rPr>
            <w:rStyle w:val="Hyperlink"/>
            <w:rFonts w:ascii="Times New Roman" w:hAnsi="Times New Roman" w:cs="Times New Roman"/>
            <w:sz w:val="20"/>
            <w:szCs w:val="20"/>
          </w:rPr>
          <w:t>https://doi.org/10.1108/sasbe-10-2022-0231</w:t>
        </w:r>
      </w:hyperlink>
      <w:r w:rsidRPr="00DA3A3A">
        <w:rPr>
          <w:rFonts w:ascii="Times New Roman" w:hAnsi="Times New Roman" w:cs="Times New Roman"/>
          <w:sz w:val="20"/>
          <w:szCs w:val="20"/>
        </w:rPr>
        <w:t xml:space="preserve"> </w:t>
      </w:r>
    </w:p>
    <w:p w14:paraId="68066612" w14:textId="72A77F12"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Wang, T.-K., Wu, Z., &amp; Luo, C. (2021). Multi-participant construction waste demolition and transportation decision-making system. </w:t>
      </w:r>
      <w:r w:rsidRPr="00DA3A3A">
        <w:rPr>
          <w:rFonts w:ascii="Times New Roman" w:hAnsi="Times New Roman" w:cs="Times New Roman"/>
          <w:i/>
          <w:sz w:val="20"/>
          <w:szCs w:val="20"/>
        </w:rPr>
        <w:t>Resources, Conservation and Recycling</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170</w:t>
      </w:r>
      <w:r w:rsidRPr="00DA3A3A">
        <w:rPr>
          <w:rFonts w:ascii="Times New Roman" w:hAnsi="Times New Roman" w:cs="Times New Roman"/>
          <w:sz w:val="20"/>
          <w:szCs w:val="20"/>
        </w:rPr>
        <w:t xml:space="preserve">, 105575. </w:t>
      </w:r>
      <w:hyperlink r:id="rId37" w:history="1">
        <w:r w:rsidRPr="00DA3A3A">
          <w:rPr>
            <w:rStyle w:val="Hyperlink"/>
            <w:rFonts w:ascii="Times New Roman" w:hAnsi="Times New Roman" w:cs="Times New Roman"/>
            <w:sz w:val="20"/>
            <w:szCs w:val="20"/>
          </w:rPr>
          <w:t>https://doi.org/https://doi.org/10.1016/j.resconrec.2021.105575</w:t>
        </w:r>
      </w:hyperlink>
      <w:r w:rsidRPr="00DA3A3A">
        <w:rPr>
          <w:rFonts w:ascii="Times New Roman" w:hAnsi="Times New Roman" w:cs="Times New Roman"/>
          <w:sz w:val="20"/>
          <w:szCs w:val="20"/>
        </w:rPr>
        <w:t xml:space="preserve"> </w:t>
      </w:r>
    </w:p>
    <w:p w14:paraId="6FF8361A" w14:textId="77777777"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Wang, Y., Liu, Y., Wang, T., Xing, X., &amp; Geng, X. (2024). Evolutionary game and simulation analysis of construction waste recycling from the perspective of stakeholders. </w:t>
      </w:r>
      <w:r w:rsidRPr="00DA3A3A">
        <w:rPr>
          <w:rFonts w:ascii="Times New Roman" w:hAnsi="Times New Roman" w:cs="Times New Roman"/>
          <w:i/>
          <w:sz w:val="20"/>
          <w:szCs w:val="20"/>
        </w:rPr>
        <w:t>PLoS ONE</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19</w:t>
      </w:r>
      <w:r w:rsidRPr="00DA3A3A">
        <w:rPr>
          <w:rFonts w:ascii="Times New Roman" w:hAnsi="Times New Roman" w:cs="Times New Roman"/>
          <w:sz w:val="20"/>
          <w:szCs w:val="20"/>
        </w:rPr>
        <w:t xml:space="preserve">(8), e0307652. </w:t>
      </w:r>
    </w:p>
    <w:p w14:paraId="1BC8F977" w14:textId="01C0A17D" w:rsidR="00DE7A23" w:rsidRPr="00DA3A3A" w:rsidRDefault="00DE7A23" w:rsidP="00182E82">
      <w:pPr>
        <w:pStyle w:val="EndNoteBibliography"/>
        <w:spacing w:after="0"/>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Yu, Y., Yazan, D. M., Bhochhibhoya, S., &amp; Volker, L. (2021). Towards Circular Economy through Industrial Symbiosis in the Dutch construction industry: A case of recycled concrete aggregates. </w:t>
      </w:r>
      <w:r w:rsidRPr="00DA3A3A">
        <w:rPr>
          <w:rFonts w:ascii="Times New Roman" w:hAnsi="Times New Roman" w:cs="Times New Roman"/>
          <w:i/>
          <w:sz w:val="20"/>
          <w:szCs w:val="20"/>
        </w:rPr>
        <w:t>Journal of Cleaner Production</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293</w:t>
      </w:r>
      <w:r w:rsidRPr="00DA3A3A">
        <w:rPr>
          <w:rFonts w:ascii="Times New Roman" w:hAnsi="Times New Roman" w:cs="Times New Roman"/>
          <w:sz w:val="20"/>
          <w:szCs w:val="20"/>
        </w:rPr>
        <w:t xml:space="preserve">, 126083. </w:t>
      </w:r>
      <w:hyperlink r:id="rId38" w:history="1">
        <w:r w:rsidRPr="00DA3A3A">
          <w:rPr>
            <w:rStyle w:val="Hyperlink"/>
            <w:rFonts w:ascii="Times New Roman" w:hAnsi="Times New Roman" w:cs="Times New Roman"/>
            <w:sz w:val="20"/>
            <w:szCs w:val="20"/>
          </w:rPr>
          <w:t>https://doi.org/https://doi.org/10.1016/j.jclepro.2021.126083</w:t>
        </w:r>
      </w:hyperlink>
      <w:r w:rsidRPr="00DA3A3A">
        <w:rPr>
          <w:rFonts w:ascii="Times New Roman" w:hAnsi="Times New Roman" w:cs="Times New Roman"/>
          <w:sz w:val="20"/>
          <w:szCs w:val="20"/>
        </w:rPr>
        <w:t xml:space="preserve"> </w:t>
      </w:r>
    </w:p>
    <w:p w14:paraId="332FEA46" w14:textId="77777777" w:rsidR="00DE7A23" w:rsidRPr="00DA3A3A" w:rsidRDefault="00DE7A23" w:rsidP="00182E82">
      <w:pPr>
        <w:pStyle w:val="EndNoteBibliography"/>
        <w:ind w:left="720" w:hanging="720"/>
        <w:jc w:val="both"/>
        <w:rPr>
          <w:rFonts w:ascii="Times New Roman" w:hAnsi="Times New Roman" w:cs="Times New Roman"/>
          <w:sz w:val="20"/>
          <w:szCs w:val="20"/>
        </w:rPr>
      </w:pPr>
      <w:r w:rsidRPr="00DA3A3A">
        <w:rPr>
          <w:rFonts w:ascii="Times New Roman" w:hAnsi="Times New Roman" w:cs="Times New Roman"/>
          <w:sz w:val="20"/>
          <w:szCs w:val="20"/>
        </w:rPr>
        <w:t xml:space="preserve">Zheng, G.-W., Siddik, A. B., Masukujjaman, M., Fatema, N., &amp; Alam, S. S. (2021). Green Finance Development in Bangladesh: The Role of Private Commercial Banks (PCBs). </w:t>
      </w:r>
      <w:r w:rsidRPr="00DA3A3A">
        <w:rPr>
          <w:rFonts w:ascii="Times New Roman" w:hAnsi="Times New Roman" w:cs="Times New Roman"/>
          <w:i/>
          <w:sz w:val="20"/>
          <w:szCs w:val="20"/>
        </w:rPr>
        <w:t>Sustainability (Switzerland)</w:t>
      </w:r>
      <w:r w:rsidRPr="00DA3A3A">
        <w:rPr>
          <w:rFonts w:ascii="Times New Roman" w:hAnsi="Times New Roman" w:cs="Times New Roman"/>
          <w:sz w:val="20"/>
          <w:szCs w:val="20"/>
        </w:rPr>
        <w:t>,</w:t>
      </w:r>
      <w:r w:rsidRPr="00DA3A3A">
        <w:rPr>
          <w:rFonts w:ascii="Times New Roman" w:hAnsi="Times New Roman" w:cs="Times New Roman"/>
          <w:i/>
          <w:sz w:val="20"/>
          <w:szCs w:val="20"/>
        </w:rPr>
        <w:t xml:space="preserve"> 13</w:t>
      </w:r>
      <w:r w:rsidRPr="00DA3A3A">
        <w:rPr>
          <w:rFonts w:ascii="Times New Roman" w:hAnsi="Times New Roman" w:cs="Times New Roman"/>
          <w:sz w:val="20"/>
          <w:szCs w:val="20"/>
        </w:rPr>
        <w:t xml:space="preserve">(2), 795. </w:t>
      </w:r>
    </w:p>
    <w:p w14:paraId="02831C01" w14:textId="76298DC0" w:rsidR="00F42BF3" w:rsidRPr="00F5448B" w:rsidRDefault="008C1C62" w:rsidP="00182E82">
      <w:pPr>
        <w:spacing w:line="360" w:lineRule="auto"/>
        <w:jc w:val="both"/>
        <w:rPr>
          <w:rFonts w:ascii="Times New Roman" w:hAnsi="Times New Roman" w:cs="Times New Roman"/>
          <w:sz w:val="16"/>
          <w:szCs w:val="16"/>
        </w:rPr>
      </w:pPr>
      <w:r w:rsidRPr="00DA3A3A">
        <w:rPr>
          <w:rFonts w:ascii="Times New Roman" w:hAnsi="Times New Roman" w:cs="Times New Roman"/>
          <w:sz w:val="20"/>
          <w:szCs w:val="20"/>
        </w:rPr>
        <w:fldChar w:fldCharType="end"/>
      </w:r>
      <w:bookmarkEnd w:id="63"/>
      <w:r w:rsidR="005C6D33">
        <w:rPr>
          <w:rFonts w:ascii="Times New Roman" w:hAnsi="Times New Roman" w:cs="Times New Roman"/>
          <w:sz w:val="16"/>
          <w:szCs w:val="16"/>
        </w:rPr>
        <w:fldChar w:fldCharType="begin"/>
      </w:r>
      <w:r w:rsidR="005C6D33">
        <w:rPr>
          <w:rFonts w:ascii="Times New Roman" w:hAnsi="Times New Roman" w:cs="Times New Roman"/>
          <w:sz w:val="16"/>
          <w:szCs w:val="16"/>
        </w:rPr>
        <w:instrText xml:space="preserve"> ADDIN </w:instrText>
      </w:r>
      <w:r w:rsidR="005C6D33">
        <w:rPr>
          <w:rFonts w:ascii="Times New Roman" w:hAnsi="Times New Roman" w:cs="Times New Roman"/>
          <w:sz w:val="16"/>
          <w:szCs w:val="16"/>
        </w:rPr>
        <w:fldChar w:fldCharType="end"/>
      </w:r>
    </w:p>
    <w:sectPr w:rsidR="00F42BF3" w:rsidRPr="00F5448B" w:rsidSect="00806A29">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C7690" w14:textId="77777777" w:rsidR="00C85F0E" w:rsidRDefault="00C85F0E" w:rsidP="00350BC8">
      <w:pPr>
        <w:spacing w:after="0" w:line="240" w:lineRule="auto"/>
      </w:pPr>
      <w:r>
        <w:separator/>
      </w:r>
    </w:p>
  </w:endnote>
  <w:endnote w:type="continuationSeparator" w:id="0">
    <w:p w14:paraId="012ACFE1" w14:textId="77777777" w:rsidR="00C85F0E" w:rsidRDefault="00C85F0E" w:rsidP="00350BC8">
      <w:pPr>
        <w:spacing w:after="0" w:line="240" w:lineRule="auto"/>
      </w:pPr>
      <w:r>
        <w:continuationSeparator/>
      </w:r>
    </w:p>
  </w:endnote>
  <w:endnote w:type="continuationNotice" w:id="1">
    <w:p w14:paraId="552C76B0" w14:textId="77777777" w:rsidR="00C85F0E" w:rsidRDefault="00C85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79800" w14:textId="77777777" w:rsidR="00C85F0E" w:rsidRDefault="00C85F0E" w:rsidP="00350BC8">
      <w:pPr>
        <w:spacing w:after="0" w:line="240" w:lineRule="auto"/>
      </w:pPr>
      <w:r>
        <w:separator/>
      </w:r>
    </w:p>
  </w:footnote>
  <w:footnote w:type="continuationSeparator" w:id="0">
    <w:p w14:paraId="6E11AA0C" w14:textId="77777777" w:rsidR="00C85F0E" w:rsidRDefault="00C85F0E" w:rsidP="00350BC8">
      <w:pPr>
        <w:spacing w:after="0" w:line="240" w:lineRule="auto"/>
      </w:pPr>
      <w:r>
        <w:continuationSeparator/>
      </w:r>
    </w:p>
  </w:footnote>
  <w:footnote w:type="continuationNotice" w:id="1">
    <w:p w14:paraId="6E9DF6E2" w14:textId="77777777" w:rsidR="00C85F0E" w:rsidRDefault="00C85F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D56195"/>
    <w:multiLevelType w:val="hybridMultilevel"/>
    <w:tmpl w:val="0F9674B6"/>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QwNDWwNDOxNDc1NTVQ0lEKTi0uzszPAykwqwUA5yhTxi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rwd92asss9zrett925swxewtr59dp2v0wp&quot;&gt;My EndNote Library&lt;record-ids&gt;&lt;item&gt;1276&lt;/item&gt;&lt;item&gt;1291&lt;/item&gt;&lt;item&gt;1295&lt;/item&gt;&lt;item&gt;1296&lt;/item&gt;&lt;item&gt;1310&lt;/item&gt;&lt;item&gt;1340&lt;/item&gt;&lt;item&gt;1422&lt;/item&gt;&lt;item&gt;1471&lt;/item&gt;&lt;item&gt;1492&lt;/item&gt;&lt;item&gt;1573&lt;/item&gt;&lt;item&gt;1631&lt;/item&gt;&lt;item&gt;1635&lt;/item&gt;&lt;/record-ids&gt;&lt;/item&gt;&lt;/Libraries&gt;"/>
  </w:docVars>
  <w:rsids>
    <w:rsidRoot w:val="008C1C62"/>
    <w:rsid w:val="0000000B"/>
    <w:rsid w:val="00000BA0"/>
    <w:rsid w:val="0000132C"/>
    <w:rsid w:val="00002353"/>
    <w:rsid w:val="00004B6F"/>
    <w:rsid w:val="00004F0D"/>
    <w:rsid w:val="0000777F"/>
    <w:rsid w:val="00010A26"/>
    <w:rsid w:val="00013289"/>
    <w:rsid w:val="000132CF"/>
    <w:rsid w:val="0001439E"/>
    <w:rsid w:val="00014CD4"/>
    <w:rsid w:val="00016A80"/>
    <w:rsid w:val="0002260D"/>
    <w:rsid w:val="00024054"/>
    <w:rsid w:val="00027353"/>
    <w:rsid w:val="0002738C"/>
    <w:rsid w:val="00031AC3"/>
    <w:rsid w:val="00031B59"/>
    <w:rsid w:val="00032E2F"/>
    <w:rsid w:val="00033AAD"/>
    <w:rsid w:val="000355F2"/>
    <w:rsid w:val="00036C94"/>
    <w:rsid w:val="00037C2B"/>
    <w:rsid w:val="00037E24"/>
    <w:rsid w:val="00043D3B"/>
    <w:rsid w:val="000442AC"/>
    <w:rsid w:val="00045276"/>
    <w:rsid w:val="00050620"/>
    <w:rsid w:val="00050BED"/>
    <w:rsid w:val="0005565E"/>
    <w:rsid w:val="00056BC9"/>
    <w:rsid w:val="00060CD6"/>
    <w:rsid w:val="00065EED"/>
    <w:rsid w:val="00067457"/>
    <w:rsid w:val="00071266"/>
    <w:rsid w:val="00071D92"/>
    <w:rsid w:val="00073727"/>
    <w:rsid w:val="00076587"/>
    <w:rsid w:val="000819FB"/>
    <w:rsid w:val="00083701"/>
    <w:rsid w:val="0008412D"/>
    <w:rsid w:val="0008441E"/>
    <w:rsid w:val="00086C43"/>
    <w:rsid w:val="0009369B"/>
    <w:rsid w:val="00094FAA"/>
    <w:rsid w:val="0009604B"/>
    <w:rsid w:val="00096BB8"/>
    <w:rsid w:val="000A088E"/>
    <w:rsid w:val="000A44C4"/>
    <w:rsid w:val="000B1367"/>
    <w:rsid w:val="000B50DA"/>
    <w:rsid w:val="000B52BD"/>
    <w:rsid w:val="000B6036"/>
    <w:rsid w:val="000B639F"/>
    <w:rsid w:val="000B7899"/>
    <w:rsid w:val="000C06C2"/>
    <w:rsid w:val="000C0D74"/>
    <w:rsid w:val="000C2342"/>
    <w:rsid w:val="000C2ADB"/>
    <w:rsid w:val="000C304A"/>
    <w:rsid w:val="000C58DB"/>
    <w:rsid w:val="000D0544"/>
    <w:rsid w:val="000D057D"/>
    <w:rsid w:val="000D1804"/>
    <w:rsid w:val="000D42B6"/>
    <w:rsid w:val="000D5314"/>
    <w:rsid w:val="000E0AF6"/>
    <w:rsid w:val="000E0CB6"/>
    <w:rsid w:val="000E23A4"/>
    <w:rsid w:val="000E2552"/>
    <w:rsid w:val="000F2A18"/>
    <w:rsid w:val="000F3683"/>
    <w:rsid w:val="000F453C"/>
    <w:rsid w:val="000F45F5"/>
    <w:rsid w:val="000F5ADD"/>
    <w:rsid w:val="00100423"/>
    <w:rsid w:val="00100889"/>
    <w:rsid w:val="0010161C"/>
    <w:rsid w:val="00104EF5"/>
    <w:rsid w:val="00105774"/>
    <w:rsid w:val="0010734F"/>
    <w:rsid w:val="00112027"/>
    <w:rsid w:val="0012026A"/>
    <w:rsid w:val="00121EF4"/>
    <w:rsid w:val="00124045"/>
    <w:rsid w:val="00124839"/>
    <w:rsid w:val="001249C8"/>
    <w:rsid w:val="00130174"/>
    <w:rsid w:val="0013033F"/>
    <w:rsid w:val="00131BC6"/>
    <w:rsid w:val="00136194"/>
    <w:rsid w:val="00137FD4"/>
    <w:rsid w:val="001433C9"/>
    <w:rsid w:val="00144BC0"/>
    <w:rsid w:val="00150E59"/>
    <w:rsid w:val="00150E9F"/>
    <w:rsid w:val="0015140D"/>
    <w:rsid w:val="00154270"/>
    <w:rsid w:val="00154EF8"/>
    <w:rsid w:val="00155175"/>
    <w:rsid w:val="00155869"/>
    <w:rsid w:val="00157026"/>
    <w:rsid w:val="00157175"/>
    <w:rsid w:val="00157299"/>
    <w:rsid w:val="00157415"/>
    <w:rsid w:val="00161CE9"/>
    <w:rsid w:val="00162E67"/>
    <w:rsid w:val="00164DB8"/>
    <w:rsid w:val="00165B10"/>
    <w:rsid w:val="00167B52"/>
    <w:rsid w:val="00171955"/>
    <w:rsid w:val="001736DD"/>
    <w:rsid w:val="0017448A"/>
    <w:rsid w:val="001768C5"/>
    <w:rsid w:val="00177009"/>
    <w:rsid w:val="0017727D"/>
    <w:rsid w:val="00177E17"/>
    <w:rsid w:val="00180974"/>
    <w:rsid w:val="00181E72"/>
    <w:rsid w:val="00182836"/>
    <w:rsid w:val="00182E82"/>
    <w:rsid w:val="00183692"/>
    <w:rsid w:val="00184550"/>
    <w:rsid w:val="001857CE"/>
    <w:rsid w:val="0018689D"/>
    <w:rsid w:val="00186E8F"/>
    <w:rsid w:val="00186F34"/>
    <w:rsid w:val="00190400"/>
    <w:rsid w:val="00191BCB"/>
    <w:rsid w:val="00192486"/>
    <w:rsid w:val="00193709"/>
    <w:rsid w:val="001939CB"/>
    <w:rsid w:val="001940CD"/>
    <w:rsid w:val="0019681B"/>
    <w:rsid w:val="0019748E"/>
    <w:rsid w:val="001A01DB"/>
    <w:rsid w:val="001A26E7"/>
    <w:rsid w:val="001A29F0"/>
    <w:rsid w:val="001A54AC"/>
    <w:rsid w:val="001A7B54"/>
    <w:rsid w:val="001B1934"/>
    <w:rsid w:val="001B3A84"/>
    <w:rsid w:val="001B4FEE"/>
    <w:rsid w:val="001B7AF6"/>
    <w:rsid w:val="001C165B"/>
    <w:rsid w:val="001C406E"/>
    <w:rsid w:val="001C4D4B"/>
    <w:rsid w:val="001C6874"/>
    <w:rsid w:val="001C6AAA"/>
    <w:rsid w:val="001D143E"/>
    <w:rsid w:val="001D1A6F"/>
    <w:rsid w:val="001D1F9F"/>
    <w:rsid w:val="001D44BC"/>
    <w:rsid w:val="001E086A"/>
    <w:rsid w:val="001E0EB6"/>
    <w:rsid w:val="001E1E27"/>
    <w:rsid w:val="001E5166"/>
    <w:rsid w:val="001E550D"/>
    <w:rsid w:val="001E5713"/>
    <w:rsid w:val="001F443F"/>
    <w:rsid w:val="001F48E0"/>
    <w:rsid w:val="001F5DCD"/>
    <w:rsid w:val="0020022B"/>
    <w:rsid w:val="00201714"/>
    <w:rsid w:val="00202540"/>
    <w:rsid w:val="002053F2"/>
    <w:rsid w:val="00207F59"/>
    <w:rsid w:val="002110CB"/>
    <w:rsid w:val="002114A1"/>
    <w:rsid w:val="00211D29"/>
    <w:rsid w:val="002127CF"/>
    <w:rsid w:val="002128E6"/>
    <w:rsid w:val="00212EAF"/>
    <w:rsid w:val="00213D74"/>
    <w:rsid w:val="00215174"/>
    <w:rsid w:val="00216700"/>
    <w:rsid w:val="00220372"/>
    <w:rsid w:val="002214F0"/>
    <w:rsid w:val="002222FE"/>
    <w:rsid w:val="0023066E"/>
    <w:rsid w:val="00231768"/>
    <w:rsid w:val="00234381"/>
    <w:rsid w:val="00234FD3"/>
    <w:rsid w:val="0024140F"/>
    <w:rsid w:val="002424BD"/>
    <w:rsid w:val="0024298C"/>
    <w:rsid w:val="00242F98"/>
    <w:rsid w:val="002561C9"/>
    <w:rsid w:val="00256379"/>
    <w:rsid w:val="00262F68"/>
    <w:rsid w:val="00263E8E"/>
    <w:rsid w:val="00266572"/>
    <w:rsid w:val="00272AA7"/>
    <w:rsid w:val="00272B80"/>
    <w:rsid w:val="00273965"/>
    <w:rsid w:val="00275189"/>
    <w:rsid w:val="00276402"/>
    <w:rsid w:val="00281132"/>
    <w:rsid w:val="00281ED4"/>
    <w:rsid w:val="00282F94"/>
    <w:rsid w:val="00285E4F"/>
    <w:rsid w:val="002902DA"/>
    <w:rsid w:val="0029238D"/>
    <w:rsid w:val="002931B3"/>
    <w:rsid w:val="00293587"/>
    <w:rsid w:val="00294646"/>
    <w:rsid w:val="00294AE6"/>
    <w:rsid w:val="002956C3"/>
    <w:rsid w:val="00297B9B"/>
    <w:rsid w:val="002A051D"/>
    <w:rsid w:val="002A364E"/>
    <w:rsid w:val="002A4D1C"/>
    <w:rsid w:val="002A5F8C"/>
    <w:rsid w:val="002A60D0"/>
    <w:rsid w:val="002A6F28"/>
    <w:rsid w:val="002A742B"/>
    <w:rsid w:val="002A7638"/>
    <w:rsid w:val="002B228D"/>
    <w:rsid w:val="002B37B8"/>
    <w:rsid w:val="002B3956"/>
    <w:rsid w:val="002C11CB"/>
    <w:rsid w:val="002C3A5C"/>
    <w:rsid w:val="002C47DD"/>
    <w:rsid w:val="002C48E3"/>
    <w:rsid w:val="002C5514"/>
    <w:rsid w:val="002C788D"/>
    <w:rsid w:val="002D0D6B"/>
    <w:rsid w:val="002D1080"/>
    <w:rsid w:val="002D7021"/>
    <w:rsid w:val="002D7275"/>
    <w:rsid w:val="002D77B0"/>
    <w:rsid w:val="002D7FDC"/>
    <w:rsid w:val="002E058B"/>
    <w:rsid w:val="002E0642"/>
    <w:rsid w:val="002E185D"/>
    <w:rsid w:val="002E1AA2"/>
    <w:rsid w:val="002E2128"/>
    <w:rsid w:val="002E271F"/>
    <w:rsid w:val="002E3F91"/>
    <w:rsid w:val="002F073A"/>
    <w:rsid w:val="002F470E"/>
    <w:rsid w:val="002F5C68"/>
    <w:rsid w:val="002F6DD0"/>
    <w:rsid w:val="002F7CA0"/>
    <w:rsid w:val="00301743"/>
    <w:rsid w:val="003019ED"/>
    <w:rsid w:val="00302345"/>
    <w:rsid w:val="00303AF5"/>
    <w:rsid w:val="00305F27"/>
    <w:rsid w:val="0030771F"/>
    <w:rsid w:val="00307E80"/>
    <w:rsid w:val="003117A2"/>
    <w:rsid w:val="003124A0"/>
    <w:rsid w:val="00312F20"/>
    <w:rsid w:val="00315A3F"/>
    <w:rsid w:val="003170CE"/>
    <w:rsid w:val="00323900"/>
    <w:rsid w:val="0032436E"/>
    <w:rsid w:val="0032652D"/>
    <w:rsid w:val="0033274F"/>
    <w:rsid w:val="00332962"/>
    <w:rsid w:val="00336F6D"/>
    <w:rsid w:val="00340AEA"/>
    <w:rsid w:val="00341A13"/>
    <w:rsid w:val="00343F86"/>
    <w:rsid w:val="00350BC8"/>
    <w:rsid w:val="003533D0"/>
    <w:rsid w:val="00353F32"/>
    <w:rsid w:val="003565F1"/>
    <w:rsid w:val="00360D79"/>
    <w:rsid w:val="00362D60"/>
    <w:rsid w:val="0036599C"/>
    <w:rsid w:val="00375900"/>
    <w:rsid w:val="003770F4"/>
    <w:rsid w:val="00377453"/>
    <w:rsid w:val="00380824"/>
    <w:rsid w:val="003809ED"/>
    <w:rsid w:val="00380BDE"/>
    <w:rsid w:val="00384721"/>
    <w:rsid w:val="00384FFE"/>
    <w:rsid w:val="00390419"/>
    <w:rsid w:val="00392D92"/>
    <w:rsid w:val="00393495"/>
    <w:rsid w:val="00395FBC"/>
    <w:rsid w:val="003A01FB"/>
    <w:rsid w:val="003A0438"/>
    <w:rsid w:val="003A3A3F"/>
    <w:rsid w:val="003A4096"/>
    <w:rsid w:val="003A44F5"/>
    <w:rsid w:val="003A464D"/>
    <w:rsid w:val="003A77D4"/>
    <w:rsid w:val="003B06F6"/>
    <w:rsid w:val="003B07A5"/>
    <w:rsid w:val="003B2277"/>
    <w:rsid w:val="003B709E"/>
    <w:rsid w:val="003C0AD2"/>
    <w:rsid w:val="003C473F"/>
    <w:rsid w:val="003C5BFA"/>
    <w:rsid w:val="003C65BC"/>
    <w:rsid w:val="003C73DA"/>
    <w:rsid w:val="003C7996"/>
    <w:rsid w:val="003D3E88"/>
    <w:rsid w:val="003D4E46"/>
    <w:rsid w:val="003D5383"/>
    <w:rsid w:val="003D66D1"/>
    <w:rsid w:val="003E0154"/>
    <w:rsid w:val="003E0677"/>
    <w:rsid w:val="003E3026"/>
    <w:rsid w:val="003E417A"/>
    <w:rsid w:val="003E431F"/>
    <w:rsid w:val="003E4FCB"/>
    <w:rsid w:val="003E6456"/>
    <w:rsid w:val="003F03E7"/>
    <w:rsid w:val="003F170A"/>
    <w:rsid w:val="003F2C3B"/>
    <w:rsid w:val="003F6C44"/>
    <w:rsid w:val="003F76E3"/>
    <w:rsid w:val="003F7DA0"/>
    <w:rsid w:val="00400136"/>
    <w:rsid w:val="0040260E"/>
    <w:rsid w:val="004026DC"/>
    <w:rsid w:val="00402E5B"/>
    <w:rsid w:val="00404A70"/>
    <w:rsid w:val="00407DED"/>
    <w:rsid w:val="004101B0"/>
    <w:rsid w:val="00411727"/>
    <w:rsid w:val="00413AC3"/>
    <w:rsid w:val="004166D8"/>
    <w:rsid w:val="00417BCC"/>
    <w:rsid w:val="00417F1E"/>
    <w:rsid w:val="0042557C"/>
    <w:rsid w:val="00425943"/>
    <w:rsid w:val="0042714C"/>
    <w:rsid w:val="00431FF4"/>
    <w:rsid w:val="00433836"/>
    <w:rsid w:val="00433A51"/>
    <w:rsid w:val="00434CBC"/>
    <w:rsid w:val="00435ACD"/>
    <w:rsid w:val="0043765D"/>
    <w:rsid w:val="0044108F"/>
    <w:rsid w:val="00443807"/>
    <w:rsid w:val="00446EFF"/>
    <w:rsid w:val="00447495"/>
    <w:rsid w:val="004526CB"/>
    <w:rsid w:val="004528B4"/>
    <w:rsid w:val="00452B14"/>
    <w:rsid w:val="004539C4"/>
    <w:rsid w:val="00455682"/>
    <w:rsid w:val="00455C08"/>
    <w:rsid w:val="00455E1D"/>
    <w:rsid w:val="004565F9"/>
    <w:rsid w:val="004567CA"/>
    <w:rsid w:val="00456F96"/>
    <w:rsid w:val="00460CB1"/>
    <w:rsid w:val="00460D24"/>
    <w:rsid w:val="004631A3"/>
    <w:rsid w:val="004648D2"/>
    <w:rsid w:val="004723A3"/>
    <w:rsid w:val="00472F9C"/>
    <w:rsid w:val="004733E6"/>
    <w:rsid w:val="00473BD7"/>
    <w:rsid w:val="00474BDB"/>
    <w:rsid w:val="004756A3"/>
    <w:rsid w:val="00476222"/>
    <w:rsid w:val="00476C25"/>
    <w:rsid w:val="00477631"/>
    <w:rsid w:val="00484A11"/>
    <w:rsid w:val="00484D01"/>
    <w:rsid w:val="0049061D"/>
    <w:rsid w:val="00494167"/>
    <w:rsid w:val="0049416B"/>
    <w:rsid w:val="00494339"/>
    <w:rsid w:val="00494E91"/>
    <w:rsid w:val="0049507B"/>
    <w:rsid w:val="00495EE1"/>
    <w:rsid w:val="004961FC"/>
    <w:rsid w:val="0049650A"/>
    <w:rsid w:val="004A0B14"/>
    <w:rsid w:val="004A15A1"/>
    <w:rsid w:val="004A193E"/>
    <w:rsid w:val="004A24FC"/>
    <w:rsid w:val="004A3777"/>
    <w:rsid w:val="004A57C5"/>
    <w:rsid w:val="004A625A"/>
    <w:rsid w:val="004A6C33"/>
    <w:rsid w:val="004A7576"/>
    <w:rsid w:val="004B11CF"/>
    <w:rsid w:val="004B19B0"/>
    <w:rsid w:val="004B1B07"/>
    <w:rsid w:val="004B5360"/>
    <w:rsid w:val="004B7971"/>
    <w:rsid w:val="004B7FB6"/>
    <w:rsid w:val="004C1D29"/>
    <w:rsid w:val="004C225B"/>
    <w:rsid w:val="004C298C"/>
    <w:rsid w:val="004C3B00"/>
    <w:rsid w:val="004C6D37"/>
    <w:rsid w:val="004C78C6"/>
    <w:rsid w:val="004D0316"/>
    <w:rsid w:val="004D1F4C"/>
    <w:rsid w:val="004D45D5"/>
    <w:rsid w:val="004D5104"/>
    <w:rsid w:val="004D627B"/>
    <w:rsid w:val="004D6B9C"/>
    <w:rsid w:val="004E0B0B"/>
    <w:rsid w:val="004E12F6"/>
    <w:rsid w:val="004E428B"/>
    <w:rsid w:val="004E552F"/>
    <w:rsid w:val="004E5BFC"/>
    <w:rsid w:val="004E6EC2"/>
    <w:rsid w:val="004E710D"/>
    <w:rsid w:val="004F2B16"/>
    <w:rsid w:val="004F3EE8"/>
    <w:rsid w:val="004F6173"/>
    <w:rsid w:val="004F794E"/>
    <w:rsid w:val="004F7C2B"/>
    <w:rsid w:val="0050130A"/>
    <w:rsid w:val="00501313"/>
    <w:rsid w:val="00505060"/>
    <w:rsid w:val="00505A9A"/>
    <w:rsid w:val="00506E31"/>
    <w:rsid w:val="005102BE"/>
    <w:rsid w:val="00513661"/>
    <w:rsid w:val="005137D8"/>
    <w:rsid w:val="00515652"/>
    <w:rsid w:val="00516256"/>
    <w:rsid w:val="00516646"/>
    <w:rsid w:val="00516A3D"/>
    <w:rsid w:val="00517162"/>
    <w:rsid w:val="00520364"/>
    <w:rsid w:val="005210BB"/>
    <w:rsid w:val="00522D80"/>
    <w:rsid w:val="005233F5"/>
    <w:rsid w:val="00523BB4"/>
    <w:rsid w:val="005264FE"/>
    <w:rsid w:val="00527995"/>
    <w:rsid w:val="00531453"/>
    <w:rsid w:val="0053191E"/>
    <w:rsid w:val="00533286"/>
    <w:rsid w:val="00533305"/>
    <w:rsid w:val="005358B1"/>
    <w:rsid w:val="005361D6"/>
    <w:rsid w:val="00540944"/>
    <w:rsid w:val="00541071"/>
    <w:rsid w:val="0054244B"/>
    <w:rsid w:val="005457CA"/>
    <w:rsid w:val="00552B7D"/>
    <w:rsid w:val="005567FF"/>
    <w:rsid w:val="00556FEB"/>
    <w:rsid w:val="0056282C"/>
    <w:rsid w:val="00563896"/>
    <w:rsid w:val="00563BA5"/>
    <w:rsid w:val="0056555F"/>
    <w:rsid w:val="0056769E"/>
    <w:rsid w:val="00567CF9"/>
    <w:rsid w:val="00571672"/>
    <w:rsid w:val="00571970"/>
    <w:rsid w:val="00573518"/>
    <w:rsid w:val="00573EF7"/>
    <w:rsid w:val="005759F4"/>
    <w:rsid w:val="005762E2"/>
    <w:rsid w:val="00576703"/>
    <w:rsid w:val="00581F7D"/>
    <w:rsid w:val="005862AA"/>
    <w:rsid w:val="00586D17"/>
    <w:rsid w:val="005905CC"/>
    <w:rsid w:val="005922F6"/>
    <w:rsid w:val="00597BB4"/>
    <w:rsid w:val="005A3E52"/>
    <w:rsid w:val="005A4AA7"/>
    <w:rsid w:val="005B0487"/>
    <w:rsid w:val="005B4194"/>
    <w:rsid w:val="005B54DF"/>
    <w:rsid w:val="005B62A2"/>
    <w:rsid w:val="005B793B"/>
    <w:rsid w:val="005C2A1F"/>
    <w:rsid w:val="005C33AB"/>
    <w:rsid w:val="005C3BBB"/>
    <w:rsid w:val="005C6D33"/>
    <w:rsid w:val="005C72E2"/>
    <w:rsid w:val="005D0B2A"/>
    <w:rsid w:val="005D2185"/>
    <w:rsid w:val="005D276D"/>
    <w:rsid w:val="005D2D99"/>
    <w:rsid w:val="005D5895"/>
    <w:rsid w:val="005D7AD1"/>
    <w:rsid w:val="005D7C56"/>
    <w:rsid w:val="005E243C"/>
    <w:rsid w:val="005E4264"/>
    <w:rsid w:val="005E5B77"/>
    <w:rsid w:val="005E6860"/>
    <w:rsid w:val="005F561D"/>
    <w:rsid w:val="005F7005"/>
    <w:rsid w:val="005F7FB9"/>
    <w:rsid w:val="00600007"/>
    <w:rsid w:val="00600A57"/>
    <w:rsid w:val="00600A83"/>
    <w:rsid w:val="00601F37"/>
    <w:rsid w:val="006020D4"/>
    <w:rsid w:val="00602607"/>
    <w:rsid w:val="00603E3E"/>
    <w:rsid w:val="00605D66"/>
    <w:rsid w:val="00615B0E"/>
    <w:rsid w:val="00616242"/>
    <w:rsid w:val="0062113D"/>
    <w:rsid w:val="0062148E"/>
    <w:rsid w:val="00624331"/>
    <w:rsid w:val="00625097"/>
    <w:rsid w:val="00627A98"/>
    <w:rsid w:val="00632397"/>
    <w:rsid w:val="00635459"/>
    <w:rsid w:val="00637AF9"/>
    <w:rsid w:val="00640643"/>
    <w:rsid w:val="00641FF1"/>
    <w:rsid w:val="006464E4"/>
    <w:rsid w:val="0064664F"/>
    <w:rsid w:val="0065464B"/>
    <w:rsid w:val="00656D46"/>
    <w:rsid w:val="00656FB3"/>
    <w:rsid w:val="00662578"/>
    <w:rsid w:val="006705DD"/>
    <w:rsid w:val="00672292"/>
    <w:rsid w:val="00672B5F"/>
    <w:rsid w:val="00673B63"/>
    <w:rsid w:val="00673B96"/>
    <w:rsid w:val="00674264"/>
    <w:rsid w:val="006750CB"/>
    <w:rsid w:val="0067628B"/>
    <w:rsid w:val="0067785F"/>
    <w:rsid w:val="00682BE6"/>
    <w:rsid w:val="006835E1"/>
    <w:rsid w:val="00686923"/>
    <w:rsid w:val="006902AA"/>
    <w:rsid w:val="00690BEC"/>
    <w:rsid w:val="006917C4"/>
    <w:rsid w:val="006944DC"/>
    <w:rsid w:val="00695958"/>
    <w:rsid w:val="006971C9"/>
    <w:rsid w:val="006A0A1E"/>
    <w:rsid w:val="006A268A"/>
    <w:rsid w:val="006A4D43"/>
    <w:rsid w:val="006A5BE0"/>
    <w:rsid w:val="006A6BDD"/>
    <w:rsid w:val="006B3292"/>
    <w:rsid w:val="006B6AB2"/>
    <w:rsid w:val="006B7755"/>
    <w:rsid w:val="006C0481"/>
    <w:rsid w:val="006C1588"/>
    <w:rsid w:val="006C16F4"/>
    <w:rsid w:val="006C1C45"/>
    <w:rsid w:val="006C21B3"/>
    <w:rsid w:val="006C29E1"/>
    <w:rsid w:val="006C4C79"/>
    <w:rsid w:val="006D2C13"/>
    <w:rsid w:val="006D4B63"/>
    <w:rsid w:val="006D7994"/>
    <w:rsid w:val="006E1AB3"/>
    <w:rsid w:val="006E2711"/>
    <w:rsid w:val="006E57E3"/>
    <w:rsid w:val="006E5E79"/>
    <w:rsid w:val="006E6E8B"/>
    <w:rsid w:val="006F09C2"/>
    <w:rsid w:val="006F0BF3"/>
    <w:rsid w:val="006F1DD6"/>
    <w:rsid w:val="006F300D"/>
    <w:rsid w:val="006F7C46"/>
    <w:rsid w:val="00701DD1"/>
    <w:rsid w:val="007064D3"/>
    <w:rsid w:val="007076C8"/>
    <w:rsid w:val="0071188C"/>
    <w:rsid w:val="00714E22"/>
    <w:rsid w:val="0071594D"/>
    <w:rsid w:val="00716493"/>
    <w:rsid w:val="007220B9"/>
    <w:rsid w:val="007222B5"/>
    <w:rsid w:val="00722640"/>
    <w:rsid w:val="00722816"/>
    <w:rsid w:val="00723830"/>
    <w:rsid w:val="00727AD0"/>
    <w:rsid w:val="00732323"/>
    <w:rsid w:val="007326A4"/>
    <w:rsid w:val="00737947"/>
    <w:rsid w:val="00737980"/>
    <w:rsid w:val="007409CC"/>
    <w:rsid w:val="007432A7"/>
    <w:rsid w:val="0074561F"/>
    <w:rsid w:val="0074607B"/>
    <w:rsid w:val="00750529"/>
    <w:rsid w:val="00750C47"/>
    <w:rsid w:val="00750CB8"/>
    <w:rsid w:val="0075232C"/>
    <w:rsid w:val="007525CA"/>
    <w:rsid w:val="00752FFC"/>
    <w:rsid w:val="00755CAF"/>
    <w:rsid w:val="00762C11"/>
    <w:rsid w:val="00764351"/>
    <w:rsid w:val="007674B5"/>
    <w:rsid w:val="0076755B"/>
    <w:rsid w:val="007677CE"/>
    <w:rsid w:val="007704DB"/>
    <w:rsid w:val="00771CF9"/>
    <w:rsid w:val="00773DE3"/>
    <w:rsid w:val="00774C7C"/>
    <w:rsid w:val="00774E4C"/>
    <w:rsid w:val="007764C8"/>
    <w:rsid w:val="007779CE"/>
    <w:rsid w:val="00782FEF"/>
    <w:rsid w:val="00783176"/>
    <w:rsid w:val="00784147"/>
    <w:rsid w:val="00784242"/>
    <w:rsid w:val="00785E08"/>
    <w:rsid w:val="00791F58"/>
    <w:rsid w:val="00795AB7"/>
    <w:rsid w:val="00796205"/>
    <w:rsid w:val="007A1871"/>
    <w:rsid w:val="007A1DB4"/>
    <w:rsid w:val="007A2761"/>
    <w:rsid w:val="007A30A3"/>
    <w:rsid w:val="007A38F2"/>
    <w:rsid w:val="007A4C35"/>
    <w:rsid w:val="007A57BB"/>
    <w:rsid w:val="007A6A0D"/>
    <w:rsid w:val="007B34DC"/>
    <w:rsid w:val="007B3E12"/>
    <w:rsid w:val="007B7C1C"/>
    <w:rsid w:val="007C1CAE"/>
    <w:rsid w:val="007C3EDE"/>
    <w:rsid w:val="007C45BB"/>
    <w:rsid w:val="007D6087"/>
    <w:rsid w:val="007E124F"/>
    <w:rsid w:val="007E6E72"/>
    <w:rsid w:val="007E6FBD"/>
    <w:rsid w:val="007E789E"/>
    <w:rsid w:val="007F1B39"/>
    <w:rsid w:val="007F27DE"/>
    <w:rsid w:val="007F29A6"/>
    <w:rsid w:val="007F334F"/>
    <w:rsid w:val="007F48B2"/>
    <w:rsid w:val="007F4CC7"/>
    <w:rsid w:val="007F6E87"/>
    <w:rsid w:val="007F7B27"/>
    <w:rsid w:val="00803997"/>
    <w:rsid w:val="008069F6"/>
    <w:rsid w:val="00806A29"/>
    <w:rsid w:val="008070CE"/>
    <w:rsid w:val="00807332"/>
    <w:rsid w:val="00810C74"/>
    <w:rsid w:val="00811E3E"/>
    <w:rsid w:val="00812DAC"/>
    <w:rsid w:val="0081308E"/>
    <w:rsid w:val="00814078"/>
    <w:rsid w:val="00814372"/>
    <w:rsid w:val="00814E29"/>
    <w:rsid w:val="008151D7"/>
    <w:rsid w:val="00824151"/>
    <w:rsid w:val="008305E1"/>
    <w:rsid w:val="0083120A"/>
    <w:rsid w:val="008319BF"/>
    <w:rsid w:val="008339F1"/>
    <w:rsid w:val="00833FAD"/>
    <w:rsid w:val="00834954"/>
    <w:rsid w:val="00835AE8"/>
    <w:rsid w:val="00836265"/>
    <w:rsid w:val="008409A4"/>
    <w:rsid w:val="00841D53"/>
    <w:rsid w:val="00845C5D"/>
    <w:rsid w:val="0084702D"/>
    <w:rsid w:val="00850FFA"/>
    <w:rsid w:val="008518BA"/>
    <w:rsid w:val="0085219A"/>
    <w:rsid w:val="008527BC"/>
    <w:rsid w:val="00852F5E"/>
    <w:rsid w:val="00854826"/>
    <w:rsid w:val="00854C8E"/>
    <w:rsid w:val="00860E88"/>
    <w:rsid w:val="0086311E"/>
    <w:rsid w:val="00863F68"/>
    <w:rsid w:val="00866253"/>
    <w:rsid w:val="00867A5A"/>
    <w:rsid w:val="00867E51"/>
    <w:rsid w:val="008736F4"/>
    <w:rsid w:val="00874B85"/>
    <w:rsid w:val="00880413"/>
    <w:rsid w:val="00880EDF"/>
    <w:rsid w:val="008821E7"/>
    <w:rsid w:val="00882550"/>
    <w:rsid w:val="00882CF6"/>
    <w:rsid w:val="008851A7"/>
    <w:rsid w:val="0088603F"/>
    <w:rsid w:val="00886917"/>
    <w:rsid w:val="00890A4E"/>
    <w:rsid w:val="00890F48"/>
    <w:rsid w:val="008916FD"/>
    <w:rsid w:val="008921D9"/>
    <w:rsid w:val="00894405"/>
    <w:rsid w:val="008962CF"/>
    <w:rsid w:val="008A0AC4"/>
    <w:rsid w:val="008A3FBE"/>
    <w:rsid w:val="008B1ED0"/>
    <w:rsid w:val="008B3FF6"/>
    <w:rsid w:val="008B4208"/>
    <w:rsid w:val="008B7004"/>
    <w:rsid w:val="008C1C62"/>
    <w:rsid w:val="008C208F"/>
    <w:rsid w:val="008C4398"/>
    <w:rsid w:val="008C5612"/>
    <w:rsid w:val="008C6C40"/>
    <w:rsid w:val="008C79B6"/>
    <w:rsid w:val="008C7D98"/>
    <w:rsid w:val="008D1875"/>
    <w:rsid w:val="008D1EF0"/>
    <w:rsid w:val="008D3115"/>
    <w:rsid w:val="008D4062"/>
    <w:rsid w:val="008D4987"/>
    <w:rsid w:val="008E16ED"/>
    <w:rsid w:val="008E19C0"/>
    <w:rsid w:val="008E3DC4"/>
    <w:rsid w:val="008E3ED2"/>
    <w:rsid w:val="008E5F1F"/>
    <w:rsid w:val="008E6264"/>
    <w:rsid w:val="008E717A"/>
    <w:rsid w:val="008E7654"/>
    <w:rsid w:val="008F010D"/>
    <w:rsid w:val="008F0BC7"/>
    <w:rsid w:val="008F0BFD"/>
    <w:rsid w:val="008F3ED4"/>
    <w:rsid w:val="008F432B"/>
    <w:rsid w:val="008F50E5"/>
    <w:rsid w:val="008F5D0D"/>
    <w:rsid w:val="008F69D1"/>
    <w:rsid w:val="0090372F"/>
    <w:rsid w:val="00904E22"/>
    <w:rsid w:val="00906A37"/>
    <w:rsid w:val="009070D1"/>
    <w:rsid w:val="00910263"/>
    <w:rsid w:val="00911079"/>
    <w:rsid w:val="00913227"/>
    <w:rsid w:val="00913A4A"/>
    <w:rsid w:val="00913BC3"/>
    <w:rsid w:val="00914AC7"/>
    <w:rsid w:val="0091500D"/>
    <w:rsid w:val="009157F4"/>
    <w:rsid w:val="0091777D"/>
    <w:rsid w:val="00922F99"/>
    <w:rsid w:val="009231E1"/>
    <w:rsid w:val="00923EA1"/>
    <w:rsid w:val="0092595A"/>
    <w:rsid w:val="009275E9"/>
    <w:rsid w:val="00932BF8"/>
    <w:rsid w:val="0093362E"/>
    <w:rsid w:val="00933C9E"/>
    <w:rsid w:val="00934C94"/>
    <w:rsid w:val="00935711"/>
    <w:rsid w:val="00937B2C"/>
    <w:rsid w:val="00941EE6"/>
    <w:rsid w:val="00945C05"/>
    <w:rsid w:val="009577B2"/>
    <w:rsid w:val="0095797B"/>
    <w:rsid w:val="00962B79"/>
    <w:rsid w:val="00963F5F"/>
    <w:rsid w:val="009654D3"/>
    <w:rsid w:val="009676F8"/>
    <w:rsid w:val="00967BD9"/>
    <w:rsid w:val="009725FF"/>
    <w:rsid w:val="00975CEF"/>
    <w:rsid w:val="00981CCC"/>
    <w:rsid w:val="009821BF"/>
    <w:rsid w:val="009839F6"/>
    <w:rsid w:val="00986791"/>
    <w:rsid w:val="00994581"/>
    <w:rsid w:val="00996CD4"/>
    <w:rsid w:val="009A23BD"/>
    <w:rsid w:val="009A3324"/>
    <w:rsid w:val="009A464E"/>
    <w:rsid w:val="009A4764"/>
    <w:rsid w:val="009A4941"/>
    <w:rsid w:val="009A5956"/>
    <w:rsid w:val="009A6813"/>
    <w:rsid w:val="009A7745"/>
    <w:rsid w:val="009A7F53"/>
    <w:rsid w:val="009B21E7"/>
    <w:rsid w:val="009B287E"/>
    <w:rsid w:val="009B2A4C"/>
    <w:rsid w:val="009B31C1"/>
    <w:rsid w:val="009B4A9B"/>
    <w:rsid w:val="009B601C"/>
    <w:rsid w:val="009B7AC2"/>
    <w:rsid w:val="009C14B8"/>
    <w:rsid w:val="009C2C82"/>
    <w:rsid w:val="009C306F"/>
    <w:rsid w:val="009C3558"/>
    <w:rsid w:val="009C3A4A"/>
    <w:rsid w:val="009C4BA1"/>
    <w:rsid w:val="009D0E13"/>
    <w:rsid w:val="009D1F66"/>
    <w:rsid w:val="009D40EF"/>
    <w:rsid w:val="009D4A92"/>
    <w:rsid w:val="009D7683"/>
    <w:rsid w:val="009E06BE"/>
    <w:rsid w:val="009E13EC"/>
    <w:rsid w:val="009E2DC0"/>
    <w:rsid w:val="009E3307"/>
    <w:rsid w:val="009E6A2C"/>
    <w:rsid w:val="009E7A91"/>
    <w:rsid w:val="009F02F9"/>
    <w:rsid w:val="009F1114"/>
    <w:rsid w:val="009F4C58"/>
    <w:rsid w:val="009F512F"/>
    <w:rsid w:val="009F57E1"/>
    <w:rsid w:val="00A004C5"/>
    <w:rsid w:val="00A06928"/>
    <w:rsid w:val="00A07159"/>
    <w:rsid w:val="00A12715"/>
    <w:rsid w:val="00A129A8"/>
    <w:rsid w:val="00A13EDB"/>
    <w:rsid w:val="00A13F13"/>
    <w:rsid w:val="00A16A3B"/>
    <w:rsid w:val="00A16C20"/>
    <w:rsid w:val="00A23E80"/>
    <w:rsid w:val="00A24CD6"/>
    <w:rsid w:val="00A253D2"/>
    <w:rsid w:val="00A26F7E"/>
    <w:rsid w:val="00A31777"/>
    <w:rsid w:val="00A31ED0"/>
    <w:rsid w:val="00A3273A"/>
    <w:rsid w:val="00A34907"/>
    <w:rsid w:val="00A34A99"/>
    <w:rsid w:val="00A353A0"/>
    <w:rsid w:val="00A402FC"/>
    <w:rsid w:val="00A411CB"/>
    <w:rsid w:val="00A42189"/>
    <w:rsid w:val="00A44D3C"/>
    <w:rsid w:val="00A45864"/>
    <w:rsid w:val="00A46912"/>
    <w:rsid w:val="00A46B96"/>
    <w:rsid w:val="00A47534"/>
    <w:rsid w:val="00A545E6"/>
    <w:rsid w:val="00A553D5"/>
    <w:rsid w:val="00A55737"/>
    <w:rsid w:val="00A601F7"/>
    <w:rsid w:val="00A60A1E"/>
    <w:rsid w:val="00A60AAC"/>
    <w:rsid w:val="00A61ED9"/>
    <w:rsid w:val="00A62248"/>
    <w:rsid w:val="00A62AD6"/>
    <w:rsid w:val="00A63A59"/>
    <w:rsid w:val="00A7038F"/>
    <w:rsid w:val="00A70583"/>
    <w:rsid w:val="00A722B7"/>
    <w:rsid w:val="00A7395B"/>
    <w:rsid w:val="00A74DB8"/>
    <w:rsid w:val="00A77369"/>
    <w:rsid w:val="00A80E54"/>
    <w:rsid w:val="00A81CA4"/>
    <w:rsid w:val="00A82375"/>
    <w:rsid w:val="00A8347B"/>
    <w:rsid w:val="00A83EB2"/>
    <w:rsid w:val="00A90759"/>
    <w:rsid w:val="00A92368"/>
    <w:rsid w:val="00A940F3"/>
    <w:rsid w:val="00A94D1E"/>
    <w:rsid w:val="00A95859"/>
    <w:rsid w:val="00A95C7C"/>
    <w:rsid w:val="00AA1DF3"/>
    <w:rsid w:val="00AA34E0"/>
    <w:rsid w:val="00AA468A"/>
    <w:rsid w:val="00AA4791"/>
    <w:rsid w:val="00AA4968"/>
    <w:rsid w:val="00AA56D6"/>
    <w:rsid w:val="00AA58F7"/>
    <w:rsid w:val="00AB0749"/>
    <w:rsid w:val="00AB219F"/>
    <w:rsid w:val="00AB23A1"/>
    <w:rsid w:val="00AB35A8"/>
    <w:rsid w:val="00AB41A1"/>
    <w:rsid w:val="00AB5363"/>
    <w:rsid w:val="00AB5EBB"/>
    <w:rsid w:val="00AC0F33"/>
    <w:rsid w:val="00AC4B61"/>
    <w:rsid w:val="00AC7224"/>
    <w:rsid w:val="00AC7C9B"/>
    <w:rsid w:val="00AD5040"/>
    <w:rsid w:val="00AD6970"/>
    <w:rsid w:val="00AD7ABA"/>
    <w:rsid w:val="00AE1DCE"/>
    <w:rsid w:val="00AE2490"/>
    <w:rsid w:val="00AE2AA9"/>
    <w:rsid w:val="00AE3164"/>
    <w:rsid w:val="00AE3BF9"/>
    <w:rsid w:val="00AE5F78"/>
    <w:rsid w:val="00AE6D56"/>
    <w:rsid w:val="00AF0F5B"/>
    <w:rsid w:val="00AF1A68"/>
    <w:rsid w:val="00AF67B0"/>
    <w:rsid w:val="00AF68DD"/>
    <w:rsid w:val="00B00E2D"/>
    <w:rsid w:val="00B03C80"/>
    <w:rsid w:val="00B05EAD"/>
    <w:rsid w:val="00B0610A"/>
    <w:rsid w:val="00B06B2B"/>
    <w:rsid w:val="00B06CE3"/>
    <w:rsid w:val="00B070D7"/>
    <w:rsid w:val="00B12F8E"/>
    <w:rsid w:val="00B17C36"/>
    <w:rsid w:val="00B24B6B"/>
    <w:rsid w:val="00B272F0"/>
    <w:rsid w:val="00B27CB1"/>
    <w:rsid w:val="00B300E3"/>
    <w:rsid w:val="00B3497C"/>
    <w:rsid w:val="00B3561D"/>
    <w:rsid w:val="00B37B87"/>
    <w:rsid w:val="00B4472D"/>
    <w:rsid w:val="00B4478A"/>
    <w:rsid w:val="00B45971"/>
    <w:rsid w:val="00B45C6F"/>
    <w:rsid w:val="00B5206A"/>
    <w:rsid w:val="00B52354"/>
    <w:rsid w:val="00B538F9"/>
    <w:rsid w:val="00B53ECA"/>
    <w:rsid w:val="00B55508"/>
    <w:rsid w:val="00B579E2"/>
    <w:rsid w:val="00B60A2D"/>
    <w:rsid w:val="00B632A0"/>
    <w:rsid w:val="00B634E2"/>
    <w:rsid w:val="00B64B60"/>
    <w:rsid w:val="00B67EDC"/>
    <w:rsid w:val="00B705EB"/>
    <w:rsid w:val="00B7356B"/>
    <w:rsid w:val="00B738E9"/>
    <w:rsid w:val="00B764D3"/>
    <w:rsid w:val="00B76674"/>
    <w:rsid w:val="00B81A2F"/>
    <w:rsid w:val="00B82728"/>
    <w:rsid w:val="00B82941"/>
    <w:rsid w:val="00B849B6"/>
    <w:rsid w:val="00B85217"/>
    <w:rsid w:val="00B853B1"/>
    <w:rsid w:val="00B87E08"/>
    <w:rsid w:val="00B9081C"/>
    <w:rsid w:val="00B93FD0"/>
    <w:rsid w:val="00B94253"/>
    <w:rsid w:val="00B95B41"/>
    <w:rsid w:val="00BA029C"/>
    <w:rsid w:val="00BA0B77"/>
    <w:rsid w:val="00BA1C52"/>
    <w:rsid w:val="00BA278E"/>
    <w:rsid w:val="00BA33A1"/>
    <w:rsid w:val="00BA42F5"/>
    <w:rsid w:val="00BA574B"/>
    <w:rsid w:val="00BA697B"/>
    <w:rsid w:val="00BA7DA8"/>
    <w:rsid w:val="00BA7F98"/>
    <w:rsid w:val="00BB2103"/>
    <w:rsid w:val="00BB3C7D"/>
    <w:rsid w:val="00BB3DAD"/>
    <w:rsid w:val="00BB517B"/>
    <w:rsid w:val="00BB5D8A"/>
    <w:rsid w:val="00BB60CF"/>
    <w:rsid w:val="00BC2386"/>
    <w:rsid w:val="00BC3D35"/>
    <w:rsid w:val="00BC6CF4"/>
    <w:rsid w:val="00BD0C84"/>
    <w:rsid w:val="00BD1992"/>
    <w:rsid w:val="00BD3E5D"/>
    <w:rsid w:val="00BD4974"/>
    <w:rsid w:val="00BD5A39"/>
    <w:rsid w:val="00BD770A"/>
    <w:rsid w:val="00BE11A6"/>
    <w:rsid w:val="00BE2D70"/>
    <w:rsid w:val="00BE2E20"/>
    <w:rsid w:val="00BE6DBA"/>
    <w:rsid w:val="00BE7116"/>
    <w:rsid w:val="00BF000C"/>
    <w:rsid w:val="00BF2E47"/>
    <w:rsid w:val="00BF30C0"/>
    <w:rsid w:val="00BF3B62"/>
    <w:rsid w:val="00BF463B"/>
    <w:rsid w:val="00BF633B"/>
    <w:rsid w:val="00C03641"/>
    <w:rsid w:val="00C036D8"/>
    <w:rsid w:val="00C1007A"/>
    <w:rsid w:val="00C104DC"/>
    <w:rsid w:val="00C1187C"/>
    <w:rsid w:val="00C11D01"/>
    <w:rsid w:val="00C13122"/>
    <w:rsid w:val="00C166A4"/>
    <w:rsid w:val="00C17360"/>
    <w:rsid w:val="00C21068"/>
    <w:rsid w:val="00C2346A"/>
    <w:rsid w:val="00C33AF7"/>
    <w:rsid w:val="00C3422F"/>
    <w:rsid w:val="00C3506A"/>
    <w:rsid w:val="00C3573D"/>
    <w:rsid w:val="00C371E6"/>
    <w:rsid w:val="00C37916"/>
    <w:rsid w:val="00C43004"/>
    <w:rsid w:val="00C44739"/>
    <w:rsid w:val="00C500BD"/>
    <w:rsid w:val="00C50634"/>
    <w:rsid w:val="00C54AF0"/>
    <w:rsid w:val="00C55F00"/>
    <w:rsid w:val="00C60FAF"/>
    <w:rsid w:val="00C61C2D"/>
    <w:rsid w:val="00C6328A"/>
    <w:rsid w:val="00C64261"/>
    <w:rsid w:val="00C65C44"/>
    <w:rsid w:val="00C66882"/>
    <w:rsid w:val="00C70703"/>
    <w:rsid w:val="00C70E8D"/>
    <w:rsid w:val="00C75888"/>
    <w:rsid w:val="00C768C7"/>
    <w:rsid w:val="00C77D02"/>
    <w:rsid w:val="00C84874"/>
    <w:rsid w:val="00C85F0E"/>
    <w:rsid w:val="00C874BD"/>
    <w:rsid w:val="00C91062"/>
    <w:rsid w:val="00C94072"/>
    <w:rsid w:val="00C94D82"/>
    <w:rsid w:val="00CA34F0"/>
    <w:rsid w:val="00CA508D"/>
    <w:rsid w:val="00CA6E90"/>
    <w:rsid w:val="00CB003D"/>
    <w:rsid w:val="00CB0DF2"/>
    <w:rsid w:val="00CB2E39"/>
    <w:rsid w:val="00CB3864"/>
    <w:rsid w:val="00CB73C7"/>
    <w:rsid w:val="00CC15A4"/>
    <w:rsid w:val="00CC21D1"/>
    <w:rsid w:val="00CC3488"/>
    <w:rsid w:val="00CD005A"/>
    <w:rsid w:val="00CD137D"/>
    <w:rsid w:val="00CD2D34"/>
    <w:rsid w:val="00CD661E"/>
    <w:rsid w:val="00CE2F50"/>
    <w:rsid w:val="00CE78B7"/>
    <w:rsid w:val="00CF090A"/>
    <w:rsid w:val="00CF1C36"/>
    <w:rsid w:val="00CF2966"/>
    <w:rsid w:val="00CF2D6D"/>
    <w:rsid w:val="00CF312F"/>
    <w:rsid w:val="00CF5076"/>
    <w:rsid w:val="00CF64A0"/>
    <w:rsid w:val="00CF7920"/>
    <w:rsid w:val="00D01AE0"/>
    <w:rsid w:val="00D0255C"/>
    <w:rsid w:val="00D0271D"/>
    <w:rsid w:val="00D04190"/>
    <w:rsid w:val="00D10892"/>
    <w:rsid w:val="00D1357A"/>
    <w:rsid w:val="00D144FC"/>
    <w:rsid w:val="00D157A2"/>
    <w:rsid w:val="00D161C6"/>
    <w:rsid w:val="00D16588"/>
    <w:rsid w:val="00D20AA1"/>
    <w:rsid w:val="00D21551"/>
    <w:rsid w:val="00D2166E"/>
    <w:rsid w:val="00D21F9A"/>
    <w:rsid w:val="00D22560"/>
    <w:rsid w:val="00D23F79"/>
    <w:rsid w:val="00D251B5"/>
    <w:rsid w:val="00D25336"/>
    <w:rsid w:val="00D25554"/>
    <w:rsid w:val="00D312CB"/>
    <w:rsid w:val="00D31977"/>
    <w:rsid w:val="00D33AAF"/>
    <w:rsid w:val="00D34713"/>
    <w:rsid w:val="00D3486F"/>
    <w:rsid w:val="00D34F2F"/>
    <w:rsid w:val="00D35159"/>
    <w:rsid w:val="00D35F29"/>
    <w:rsid w:val="00D4060A"/>
    <w:rsid w:val="00D40793"/>
    <w:rsid w:val="00D42AD0"/>
    <w:rsid w:val="00D438FD"/>
    <w:rsid w:val="00D45812"/>
    <w:rsid w:val="00D47C1B"/>
    <w:rsid w:val="00D50E33"/>
    <w:rsid w:val="00D522F5"/>
    <w:rsid w:val="00D5275B"/>
    <w:rsid w:val="00D55C33"/>
    <w:rsid w:val="00D607F0"/>
    <w:rsid w:val="00D62C45"/>
    <w:rsid w:val="00D64114"/>
    <w:rsid w:val="00D674E2"/>
    <w:rsid w:val="00D67F28"/>
    <w:rsid w:val="00D70290"/>
    <w:rsid w:val="00D70B06"/>
    <w:rsid w:val="00D71C0E"/>
    <w:rsid w:val="00D720F6"/>
    <w:rsid w:val="00D745BD"/>
    <w:rsid w:val="00D759B1"/>
    <w:rsid w:val="00D75CC7"/>
    <w:rsid w:val="00D769A1"/>
    <w:rsid w:val="00D808A6"/>
    <w:rsid w:val="00D818E2"/>
    <w:rsid w:val="00D85AF5"/>
    <w:rsid w:val="00D912B2"/>
    <w:rsid w:val="00D91619"/>
    <w:rsid w:val="00D925D0"/>
    <w:rsid w:val="00D94AFA"/>
    <w:rsid w:val="00D966BA"/>
    <w:rsid w:val="00DA0F4C"/>
    <w:rsid w:val="00DA1B48"/>
    <w:rsid w:val="00DA3A3A"/>
    <w:rsid w:val="00DB1685"/>
    <w:rsid w:val="00DB2385"/>
    <w:rsid w:val="00DB716C"/>
    <w:rsid w:val="00DC0453"/>
    <w:rsid w:val="00DC3D10"/>
    <w:rsid w:val="00DC418B"/>
    <w:rsid w:val="00DC435A"/>
    <w:rsid w:val="00DC4BE0"/>
    <w:rsid w:val="00DC56EA"/>
    <w:rsid w:val="00DC6A9C"/>
    <w:rsid w:val="00DD3FB1"/>
    <w:rsid w:val="00DD43EF"/>
    <w:rsid w:val="00DD6488"/>
    <w:rsid w:val="00DD709B"/>
    <w:rsid w:val="00DD71B5"/>
    <w:rsid w:val="00DD740D"/>
    <w:rsid w:val="00DE0BE4"/>
    <w:rsid w:val="00DE0E34"/>
    <w:rsid w:val="00DE37C9"/>
    <w:rsid w:val="00DE4F2F"/>
    <w:rsid w:val="00DE561B"/>
    <w:rsid w:val="00DE68A9"/>
    <w:rsid w:val="00DE78E3"/>
    <w:rsid w:val="00DE7A23"/>
    <w:rsid w:val="00DF2503"/>
    <w:rsid w:val="00DF5016"/>
    <w:rsid w:val="00DF66A6"/>
    <w:rsid w:val="00DF6E3E"/>
    <w:rsid w:val="00E045EA"/>
    <w:rsid w:val="00E04E22"/>
    <w:rsid w:val="00E04E65"/>
    <w:rsid w:val="00E054F3"/>
    <w:rsid w:val="00E05B8B"/>
    <w:rsid w:val="00E10C0E"/>
    <w:rsid w:val="00E130CF"/>
    <w:rsid w:val="00E132BB"/>
    <w:rsid w:val="00E14E80"/>
    <w:rsid w:val="00E155E2"/>
    <w:rsid w:val="00E15717"/>
    <w:rsid w:val="00E16234"/>
    <w:rsid w:val="00E2001D"/>
    <w:rsid w:val="00E20621"/>
    <w:rsid w:val="00E223D1"/>
    <w:rsid w:val="00E24C3A"/>
    <w:rsid w:val="00E24CB7"/>
    <w:rsid w:val="00E30C6B"/>
    <w:rsid w:val="00E40B2E"/>
    <w:rsid w:val="00E41E3C"/>
    <w:rsid w:val="00E44171"/>
    <w:rsid w:val="00E458F9"/>
    <w:rsid w:val="00E466D1"/>
    <w:rsid w:val="00E519DB"/>
    <w:rsid w:val="00E5207F"/>
    <w:rsid w:val="00E52A7F"/>
    <w:rsid w:val="00E553D4"/>
    <w:rsid w:val="00E567B4"/>
    <w:rsid w:val="00E57183"/>
    <w:rsid w:val="00E6177B"/>
    <w:rsid w:val="00E61922"/>
    <w:rsid w:val="00E63898"/>
    <w:rsid w:val="00E65E99"/>
    <w:rsid w:val="00E67577"/>
    <w:rsid w:val="00E71214"/>
    <w:rsid w:val="00E7193F"/>
    <w:rsid w:val="00E72F54"/>
    <w:rsid w:val="00E756C7"/>
    <w:rsid w:val="00E7747B"/>
    <w:rsid w:val="00E80189"/>
    <w:rsid w:val="00E80CE4"/>
    <w:rsid w:val="00E84CCF"/>
    <w:rsid w:val="00E86F4E"/>
    <w:rsid w:val="00E870D4"/>
    <w:rsid w:val="00E9218E"/>
    <w:rsid w:val="00E92E00"/>
    <w:rsid w:val="00E95561"/>
    <w:rsid w:val="00E95882"/>
    <w:rsid w:val="00EA130E"/>
    <w:rsid w:val="00EA19C1"/>
    <w:rsid w:val="00EA4DC3"/>
    <w:rsid w:val="00EA5D0F"/>
    <w:rsid w:val="00EA6CAA"/>
    <w:rsid w:val="00EB0ECD"/>
    <w:rsid w:val="00EB1018"/>
    <w:rsid w:val="00EB2FC4"/>
    <w:rsid w:val="00EB36DE"/>
    <w:rsid w:val="00EB68BF"/>
    <w:rsid w:val="00EC0149"/>
    <w:rsid w:val="00EC1EBA"/>
    <w:rsid w:val="00EC203E"/>
    <w:rsid w:val="00EC34BD"/>
    <w:rsid w:val="00EC65A6"/>
    <w:rsid w:val="00EC6FC8"/>
    <w:rsid w:val="00EC78E7"/>
    <w:rsid w:val="00ED18C9"/>
    <w:rsid w:val="00ED1B38"/>
    <w:rsid w:val="00ED2BEE"/>
    <w:rsid w:val="00ED47B5"/>
    <w:rsid w:val="00ED68D3"/>
    <w:rsid w:val="00EE2B79"/>
    <w:rsid w:val="00EE53CA"/>
    <w:rsid w:val="00EF1AE9"/>
    <w:rsid w:val="00EF2390"/>
    <w:rsid w:val="00EF45A0"/>
    <w:rsid w:val="00EF6079"/>
    <w:rsid w:val="00EF627C"/>
    <w:rsid w:val="00EF73BB"/>
    <w:rsid w:val="00F01E2F"/>
    <w:rsid w:val="00F0277B"/>
    <w:rsid w:val="00F07AEC"/>
    <w:rsid w:val="00F12BB9"/>
    <w:rsid w:val="00F1324C"/>
    <w:rsid w:val="00F14300"/>
    <w:rsid w:val="00F16127"/>
    <w:rsid w:val="00F215C2"/>
    <w:rsid w:val="00F219E4"/>
    <w:rsid w:val="00F22492"/>
    <w:rsid w:val="00F240A3"/>
    <w:rsid w:val="00F26CA6"/>
    <w:rsid w:val="00F26D2F"/>
    <w:rsid w:val="00F27DA9"/>
    <w:rsid w:val="00F30562"/>
    <w:rsid w:val="00F31461"/>
    <w:rsid w:val="00F317C6"/>
    <w:rsid w:val="00F33716"/>
    <w:rsid w:val="00F356B4"/>
    <w:rsid w:val="00F35EB3"/>
    <w:rsid w:val="00F363F8"/>
    <w:rsid w:val="00F41406"/>
    <w:rsid w:val="00F41985"/>
    <w:rsid w:val="00F42BF3"/>
    <w:rsid w:val="00F44A0E"/>
    <w:rsid w:val="00F50C83"/>
    <w:rsid w:val="00F53061"/>
    <w:rsid w:val="00F5448B"/>
    <w:rsid w:val="00F56BC1"/>
    <w:rsid w:val="00F60A5D"/>
    <w:rsid w:val="00F60BDF"/>
    <w:rsid w:val="00F60C28"/>
    <w:rsid w:val="00F650F9"/>
    <w:rsid w:val="00F704DB"/>
    <w:rsid w:val="00F71448"/>
    <w:rsid w:val="00F71C04"/>
    <w:rsid w:val="00F73691"/>
    <w:rsid w:val="00F73796"/>
    <w:rsid w:val="00F74E1F"/>
    <w:rsid w:val="00F837EA"/>
    <w:rsid w:val="00F867D2"/>
    <w:rsid w:val="00F86F6D"/>
    <w:rsid w:val="00F9128B"/>
    <w:rsid w:val="00F917E2"/>
    <w:rsid w:val="00F959E9"/>
    <w:rsid w:val="00FA365D"/>
    <w:rsid w:val="00FA4F33"/>
    <w:rsid w:val="00FA64E9"/>
    <w:rsid w:val="00FA6E7D"/>
    <w:rsid w:val="00FA7A2E"/>
    <w:rsid w:val="00FA7E55"/>
    <w:rsid w:val="00FB089A"/>
    <w:rsid w:val="00FB363F"/>
    <w:rsid w:val="00FC426D"/>
    <w:rsid w:val="00FC5750"/>
    <w:rsid w:val="00FC5F57"/>
    <w:rsid w:val="00FC6F71"/>
    <w:rsid w:val="00FD33A3"/>
    <w:rsid w:val="00FD37CD"/>
    <w:rsid w:val="00FD509C"/>
    <w:rsid w:val="00FD6D7E"/>
    <w:rsid w:val="00FD7E7B"/>
    <w:rsid w:val="00FE055D"/>
    <w:rsid w:val="00FE204D"/>
    <w:rsid w:val="00FE3783"/>
    <w:rsid w:val="00FE5904"/>
    <w:rsid w:val="00FE7561"/>
    <w:rsid w:val="00FE7915"/>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D085B"/>
  <w15:chartTrackingRefBased/>
  <w15:docId w15:val="{BFE49853-C8AE-4215-8DEC-ACB9F5F17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C62"/>
    <w:pPr>
      <w:spacing w:line="278" w:lineRule="auto"/>
    </w:pPr>
    <w:rPr>
      <w:rFonts w:eastAsiaTheme="minorHAnsi"/>
      <w:kern w:val="2"/>
      <w:sz w:val="24"/>
      <w:szCs w:val="24"/>
      <w:lang w:val="en-US" w:eastAsia="en-US"/>
      <w14:ligatures w14:val="standardContextual"/>
    </w:rPr>
  </w:style>
  <w:style w:type="paragraph" w:styleId="Heading1">
    <w:name w:val="heading 1"/>
    <w:basedOn w:val="Normal"/>
    <w:next w:val="Normal"/>
    <w:link w:val="Heading1Char"/>
    <w:uiPriority w:val="9"/>
    <w:qFormat/>
    <w:rsid w:val="008C1C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C62"/>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table" w:styleId="TableGrid">
    <w:name w:val="Table Grid"/>
    <w:basedOn w:val="TableNormal"/>
    <w:uiPriority w:val="39"/>
    <w:rsid w:val="008C1C62"/>
    <w:pPr>
      <w:spacing w:after="0" w:line="240" w:lineRule="auto"/>
    </w:pPr>
    <w:rPr>
      <w:rFonts w:eastAsiaTheme="minorHAns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1C62"/>
    <w:rPr>
      <w:b/>
      <w:bCs/>
    </w:rPr>
  </w:style>
  <w:style w:type="character" w:styleId="CommentReference">
    <w:name w:val="annotation reference"/>
    <w:basedOn w:val="DefaultParagraphFont"/>
    <w:uiPriority w:val="99"/>
    <w:semiHidden/>
    <w:unhideWhenUsed/>
    <w:rsid w:val="008C1C62"/>
    <w:rPr>
      <w:sz w:val="16"/>
      <w:szCs w:val="16"/>
    </w:rPr>
  </w:style>
  <w:style w:type="paragraph" w:styleId="CommentText">
    <w:name w:val="annotation text"/>
    <w:basedOn w:val="Normal"/>
    <w:link w:val="CommentTextChar"/>
    <w:uiPriority w:val="99"/>
    <w:semiHidden/>
    <w:unhideWhenUsed/>
    <w:rsid w:val="008C1C62"/>
    <w:pPr>
      <w:spacing w:line="240" w:lineRule="auto"/>
    </w:pPr>
    <w:rPr>
      <w:sz w:val="20"/>
      <w:szCs w:val="20"/>
    </w:rPr>
  </w:style>
  <w:style w:type="character" w:customStyle="1" w:styleId="CommentTextChar">
    <w:name w:val="Comment Text Char"/>
    <w:basedOn w:val="DefaultParagraphFont"/>
    <w:link w:val="CommentText"/>
    <w:uiPriority w:val="99"/>
    <w:semiHidden/>
    <w:rsid w:val="008C1C62"/>
    <w:rPr>
      <w:rFonts w:eastAsiaTheme="minorHAnsi"/>
      <w:kern w:val="2"/>
      <w:sz w:val="20"/>
      <w:szCs w:val="20"/>
      <w:lang w:val="en-US" w:eastAsia="en-US"/>
      <w14:ligatures w14:val="standardContextual"/>
    </w:rPr>
  </w:style>
  <w:style w:type="paragraph" w:customStyle="1" w:styleId="EndNoteBibliographyTitle">
    <w:name w:val="EndNote Bibliography Title"/>
    <w:basedOn w:val="Normal"/>
    <w:link w:val="EndNoteBibliographyTitleChar"/>
    <w:rsid w:val="008C1C6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C1C62"/>
    <w:rPr>
      <w:rFonts w:ascii="Calibri" w:eastAsiaTheme="minorHAnsi" w:hAnsi="Calibri" w:cs="Calibri"/>
      <w:noProof/>
      <w:kern w:val="2"/>
      <w:sz w:val="24"/>
      <w:szCs w:val="24"/>
      <w:lang w:val="en-US" w:eastAsia="en-US"/>
      <w14:ligatures w14:val="standardContextual"/>
    </w:rPr>
  </w:style>
  <w:style w:type="paragraph" w:customStyle="1" w:styleId="EndNoteBibliography">
    <w:name w:val="EndNote Bibliography"/>
    <w:basedOn w:val="Normal"/>
    <w:link w:val="EndNoteBibliographyChar"/>
    <w:rsid w:val="008C1C6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C1C62"/>
    <w:rPr>
      <w:rFonts w:ascii="Calibri" w:eastAsiaTheme="minorHAnsi" w:hAnsi="Calibri" w:cs="Calibri"/>
      <w:noProof/>
      <w:kern w:val="2"/>
      <w:sz w:val="24"/>
      <w:szCs w:val="24"/>
      <w:lang w:val="en-US" w:eastAsia="en-US"/>
      <w14:ligatures w14:val="standardContextual"/>
    </w:rPr>
  </w:style>
  <w:style w:type="character" w:styleId="Hyperlink">
    <w:name w:val="Hyperlink"/>
    <w:basedOn w:val="DefaultParagraphFont"/>
    <w:uiPriority w:val="99"/>
    <w:unhideWhenUsed/>
    <w:rsid w:val="008C1C62"/>
    <w:rPr>
      <w:color w:val="0563C1" w:themeColor="hyperlink"/>
      <w:u w:val="single"/>
    </w:rPr>
  </w:style>
  <w:style w:type="character" w:styleId="UnresolvedMention">
    <w:name w:val="Unresolved Mention"/>
    <w:basedOn w:val="DefaultParagraphFont"/>
    <w:uiPriority w:val="99"/>
    <w:semiHidden/>
    <w:unhideWhenUsed/>
    <w:rsid w:val="008C1C62"/>
    <w:rPr>
      <w:color w:val="605E5C"/>
      <w:shd w:val="clear" w:color="auto" w:fill="E1DFDD"/>
    </w:rPr>
  </w:style>
  <w:style w:type="paragraph" w:styleId="Header">
    <w:name w:val="header"/>
    <w:basedOn w:val="Normal"/>
    <w:link w:val="HeaderChar"/>
    <w:uiPriority w:val="99"/>
    <w:unhideWhenUsed/>
    <w:rsid w:val="00350B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BC8"/>
    <w:rPr>
      <w:rFonts w:eastAsiaTheme="minorHAnsi"/>
      <w:kern w:val="2"/>
      <w:sz w:val="24"/>
      <w:szCs w:val="24"/>
      <w:lang w:val="en-US" w:eastAsia="en-US"/>
      <w14:ligatures w14:val="standardContextual"/>
    </w:rPr>
  </w:style>
  <w:style w:type="paragraph" w:styleId="Footer">
    <w:name w:val="footer"/>
    <w:basedOn w:val="Normal"/>
    <w:link w:val="FooterChar"/>
    <w:uiPriority w:val="99"/>
    <w:unhideWhenUsed/>
    <w:rsid w:val="00350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BC8"/>
    <w:rPr>
      <w:rFonts w:eastAsiaTheme="minorHAnsi"/>
      <w:kern w:val="2"/>
      <w:sz w:val="24"/>
      <w:szCs w:val="24"/>
      <w:lang w:val="en-US" w:eastAsia="en-US"/>
      <w14:ligatures w14:val="standardContextual"/>
    </w:rPr>
  </w:style>
  <w:style w:type="table" w:styleId="TableGridLight">
    <w:name w:val="Grid Table Light"/>
    <w:basedOn w:val="TableNormal"/>
    <w:uiPriority w:val="40"/>
    <w:rsid w:val="002151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02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https://doi.org/10.1016/j.eiar.2020.106408" TargetMode="External"/><Relationship Id="rId18" Type="http://schemas.openxmlformats.org/officeDocument/2006/relationships/hyperlink" Target="https://doi.org/10.30638/eemj.2024.145" TargetMode="External"/><Relationship Id="rId26" Type="http://schemas.openxmlformats.org/officeDocument/2006/relationships/hyperlink" Target="https://doi.org/https://doi.org/10.1016/j.ijproman.2024.102647" TargetMode="External"/><Relationship Id="rId39" Type="http://schemas.openxmlformats.org/officeDocument/2006/relationships/fontTable" Target="fontTable.xml"/><Relationship Id="rId21" Type="http://schemas.openxmlformats.org/officeDocument/2006/relationships/hyperlink" Target="https://doi.org/https://doi.org/10.1016/j.jclepro.2018.11.222" TargetMode="External"/><Relationship Id="rId34" Type="http://schemas.openxmlformats.org/officeDocument/2006/relationships/hyperlink" Target="https://doi.org/10.1088/2634-4505/ad3579" TargetMode="External"/><Relationship Id="rId7" Type="http://schemas.openxmlformats.org/officeDocument/2006/relationships/hyperlink" Target="https://doi.org/https://doi.org/10.1016/j.eiar.2024.107784" TargetMode="External"/><Relationship Id="rId12" Type="http://schemas.openxmlformats.org/officeDocument/2006/relationships/hyperlink" Target="https://doi.org/10.1016/j.eiar.2023.107225" TargetMode="External"/><Relationship Id="rId17" Type="http://schemas.openxmlformats.org/officeDocument/2006/relationships/hyperlink" Target="https://doi.org/https://doi.org/10.1016/j.resconrec.2011.05.018" TargetMode="External"/><Relationship Id="rId25" Type="http://schemas.openxmlformats.org/officeDocument/2006/relationships/hyperlink" Target="https://doi.org/https://doi.org/10.1016/j.jclepro.2024.141112" TargetMode="External"/><Relationship Id="rId33" Type="http://schemas.openxmlformats.org/officeDocument/2006/relationships/hyperlink" Target="https://doi.org/10.1016/j.jclepro.2008.11.015" TargetMode="External"/><Relationship Id="rId38" Type="http://schemas.openxmlformats.org/officeDocument/2006/relationships/hyperlink" Target="https://doi.org/https://doi.org/10.1016/j.jclepro.2021.126083" TargetMode="External"/><Relationship Id="rId2" Type="http://schemas.openxmlformats.org/officeDocument/2006/relationships/styles" Target="styles.xml"/><Relationship Id="rId16" Type="http://schemas.openxmlformats.org/officeDocument/2006/relationships/hyperlink" Target="https://doi.org/10.1088/1755-1315/1122/1/012059" TargetMode="External"/><Relationship Id="rId20" Type="http://schemas.openxmlformats.org/officeDocument/2006/relationships/hyperlink" Target="https://doi.org/https://doi.org/10.1016/j.jclepro.2024.141763" TargetMode="External"/><Relationship Id="rId29" Type="http://schemas.openxmlformats.org/officeDocument/2006/relationships/hyperlink" Target="https://doi.org/10.3390/recycling50400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https://doi.org/10.1016/j.destud.2024.101252" TargetMode="External"/><Relationship Id="rId24" Type="http://schemas.openxmlformats.org/officeDocument/2006/relationships/hyperlink" Target="https://doi.org/https://doi.org/10.1016/j.spc.2024.11.025" TargetMode="External"/><Relationship Id="rId32" Type="http://schemas.openxmlformats.org/officeDocument/2006/relationships/hyperlink" Target="https://doi.org/10.3390/su13084113" TargetMode="External"/><Relationship Id="rId37" Type="http://schemas.openxmlformats.org/officeDocument/2006/relationships/hyperlink" Target="https://doi.org/https://doi.org/10.1016/j.resconrec.2021.105575"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https://doi.org/10.1016/j.jclepro.2023.137455" TargetMode="External"/><Relationship Id="rId23" Type="http://schemas.openxmlformats.org/officeDocument/2006/relationships/hyperlink" Target="https://www.scopus.com/inward/record.uri?eid=2-s2.0-85073452100&amp;partnerID=40&amp;md5=fdc1c53833e8db3c1e41a1e0e43a59c7" TargetMode="External"/><Relationship Id="rId28" Type="http://schemas.openxmlformats.org/officeDocument/2006/relationships/hyperlink" Target="https://doi.org/https://doi.org/10.1016/j.spc.2022.02.001" TargetMode="External"/><Relationship Id="rId36" Type="http://schemas.openxmlformats.org/officeDocument/2006/relationships/hyperlink" Target="https://doi.org/10.1108/sasbe-10-2022-0231" TargetMode="External"/><Relationship Id="rId10" Type="http://schemas.openxmlformats.org/officeDocument/2006/relationships/hyperlink" Target="https://doi.org/10.1177/0734242x231154140" TargetMode="External"/><Relationship Id="rId19" Type="http://schemas.openxmlformats.org/officeDocument/2006/relationships/hyperlink" Target="https://doi.org/10.1007/s11356-019-06739-x" TargetMode="External"/><Relationship Id="rId31" Type="http://schemas.openxmlformats.org/officeDocument/2006/relationships/hyperlink" Target="https://doi.org/https://doi.org/10.1016/j.scitotenv.2020.139826" TargetMode="External"/><Relationship Id="rId4" Type="http://schemas.openxmlformats.org/officeDocument/2006/relationships/webSettings" Target="webSettings.xml"/><Relationship Id="rId9" Type="http://schemas.openxmlformats.org/officeDocument/2006/relationships/hyperlink" Target="https://www.mdpi.com/2076-3417/15/3/1174" TargetMode="External"/><Relationship Id="rId14" Type="http://schemas.openxmlformats.org/officeDocument/2006/relationships/hyperlink" Target="https://doi.org/10.1016/j.jclepro.2023.135885" TargetMode="External"/><Relationship Id="rId22" Type="http://schemas.openxmlformats.org/officeDocument/2006/relationships/hyperlink" Target="https://doi.org/https://doi.org/10.1016/B978-0-08-102181-1.00021-6" TargetMode="External"/><Relationship Id="rId27" Type="http://schemas.openxmlformats.org/officeDocument/2006/relationships/hyperlink" Target="https://doi.org/https://doi.org/10.1016/B978-0-12-819817-9.00002-8" TargetMode="External"/><Relationship Id="rId30" Type="http://schemas.openxmlformats.org/officeDocument/2006/relationships/hyperlink" Target="https://doi.org/https://doi.org/10.1016/j.spc.2022.09.005" TargetMode="External"/><Relationship Id="rId35" Type="http://schemas.openxmlformats.org/officeDocument/2006/relationships/hyperlink" Target="https://doi.org/10.1007/s10668-021-01822-1" TargetMode="External"/><Relationship Id="rId8" Type="http://schemas.openxmlformats.org/officeDocument/2006/relationships/hyperlink" Target="https://doi.org/https://doi.org/10.1016/j.cesys.2022.10010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164"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DA2BCFF-B0ED-4D37-87D1-A187BD0646E8}">
  <we:reference id="WA200000368" version="1.0.0.0" store="Omex" storeType="OMEX"/>
  <we:alternateReferences>
    <we:reference id="WA200000368" version="1.0.0.0" store="WA200000368" storeType="OMEX"/>
  </we:alternateReferences>
  <we:properties>
    <we:property name="documentId" value="&quot;483d2fc8ad7fef6c&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CA456DA-F7B5-4CB5-A38C-A0C3A7F8BA5C}">
  <we:reference id="f518cb36-c901-4d52-a9e7-4331342e485d" version="1.4.0.0" store="EXCatalog" storeType="EXCatalog"/>
  <we:alternateReferences>
    <we:reference id="WA200001011" version="1.4.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1448</TotalTime>
  <Pages>19</Pages>
  <Words>21476</Words>
  <Characters>143462</Characters>
  <Application>Microsoft Office Word</Application>
  <DocSecurity>0</DocSecurity>
  <Lines>2473</Lines>
  <Paragraphs>1024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OYEWOLE, Margaret [Student]</dc:creator>
  <cp:keywords/>
  <dc:description/>
  <cp:lastModifiedBy>OYEWOLE, Margaret [Student]</cp:lastModifiedBy>
  <cp:revision>241</cp:revision>
  <dcterms:created xsi:type="dcterms:W3CDTF">2026-05-24T16:01:00Z</dcterms:created>
  <dcterms:modified xsi:type="dcterms:W3CDTF">2026-06-10T09:29:00Z</dcterms:modified>
</cp:coreProperties>
</file>