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AA4795" w14:textId="1973DA92" w:rsidR="003B34AA" w:rsidRPr="00E14060" w:rsidRDefault="001969A5" w:rsidP="007924CB">
      <w:pPr>
        <w:spacing w:line="480" w:lineRule="auto"/>
        <w:rPr>
          <w:b/>
          <w:bCs/>
          <w:sz w:val="24"/>
          <w:szCs w:val="24"/>
          <w:lang w:val="en-GB"/>
        </w:rPr>
      </w:pPr>
      <w:r w:rsidRPr="00E14060">
        <w:rPr>
          <w:b/>
          <w:bCs/>
          <w:sz w:val="24"/>
          <w:szCs w:val="24"/>
          <w:lang w:val="en-GB"/>
        </w:rPr>
        <w:t xml:space="preserve">Supplementary Material: </w:t>
      </w:r>
      <w:r w:rsidR="009A2432" w:rsidRPr="00E14060">
        <w:rPr>
          <w:b/>
          <w:bCs/>
          <w:sz w:val="24"/>
          <w:szCs w:val="24"/>
          <w:lang w:val="en-GB"/>
        </w:rPr>
        <w:t>Network meta-analysis of lisd</w:t>
      </w:r>
      <w:r w:rsidR="008265A2" w:rsidRPr="00E14060">
        <w:rPr>
          <w:b/>
          <w:bCs/>
          <w:sz w:val="24"/>
          <w:szCs w:val="24"/>
          <w:lang w:val="en-GB"/>
        </w:rPr>
        <w:t>examphetamine</w:t>
      </w:r>
      <w:r w:rsidR="00992316" w:rsidRPr="00E14060">
        <w:rPr>
          <w:b/>
          <w:bCs/>
          <w:sz w:val="24"/>
          <w:szCs w:val="24"/>
          <w:lang w:val="en-GB"/>
        </w:rPr>
        <w:t xml:space="preserve"> and other</w:t>
      </w:r>
      <w:r w:rsidR="007924CB" w:rsidRPr="00E14060">
        <w:rPr>
          <w:b/>
          <w:bCs/>
          <w:sz w:val="24"/>
          <w:szCs w:val="24"/>
          <w:lang w:val="en-GB"/>
        </w:rPr>
        <w:t xml:space="preserve"> </w:t>
      </w:r>
      <w:r w:rsidR="00992316" w:rsidRPr="00E14060">
        <w:rPr>
          <w:b/>
          <w:bCs/>
          <w:sz w:val="24"/>
          <w:szCs w:val="24"/>
          <w:lang w:val="en-GB"/>
        </w:rPr>
        <w:t>m</w:t>
      </w:r>
      <w:r w:rsidR="000F6242" w:rsidRPr="00E14060">
        <w:rPr>
          <w:b/>
          <w:bCs/>
          <w:sz w:val="24"/>
          <w:szCs w:val="24"/>
          <w:lang w:val="en-GB"/>
        </w:rPr>
        <w:t xml:space="preserve">edications </w:t>
      </w:r>
      <w:r w:rsidR="008265A2" w:rsidRPr="00E14060">
        <w:rPr>
          <w:b/>
          <w:bCs/>
          <w:sz w:val="24"/>
          <w:szCs w:val="24"/>
          <w:lang w:val="en-GB"/>
        </w:rPr>
        <w:t>for the treatment of adult ADHD</w:t>
      </w:r>
    </w:p>
    <w:p w14:paraId="0C94E0AB" w14:textId="467BBA7D" w:rsidR="001969A5" w:rsidRPr="00E14060" w:rsidRDefault="001969A5" w:rsidP="007924CB">
      <w:pPr>
        <w:spacing w:line="480" w:lineRule="auto"/>
        <w:rPr>
          <w:b/>
          <w:bCs/>
          <w:sz w:val="24"/>
          <w:szCs w:val="24"/>
          <w:lang w:val="en-GB"/>
        </w:rPr>
      </w:pPr>
      <w:r w:rsidRPr="00E14060">
        <w:rPr>
          <w:b/>
          <w:bCs/>
          <w:sz w:val="24"/>
          <w:szCs w:val="24"/>
          <w:lang w:val="en-GB"/>
        </w:rPr>
        <w:t>February 2015</w:t>
      </w:r>
    </w:p>
    <w:p w14:paraId="32F4F191" w14:textId="1AA2BA5B" w:rsidR="007924CB" w:rsidRPr="00E14060" w:rsidRDefault="007924CB" w:rsidP="007924CB">
      <w:pPr>
        <w:spacing w:line="480" w:lineRule="auto"/>
        <w:rPr>
          <w:sz w:val="24"/>
          <w:szCs w:val="24"/>
          <w:lang w:val="en-GB"/>
        </w:rPr>
      </w:pPr>
      <w:r w:rsidRPr="00E14060">
        <w:rPr>
          <w:sz w:val="24"/>
          <w:szCs w:val="24"/>
          <w:lang w:val="en-GB"/>
        </w:rPr>
        <w:t xml:space="preserve">Article title: </w:t>
      </w:r>
      <w:r w:rsidR="00D25089" w:rsidRPr="00E14060">
        <w:rPr>
          <w:sz w:val="24"/>
          <w:szCs w:val="24"/>
          <w:lang w:val="en-GB"/>
        </w:rPr>
        <w:t>A cost-effectiveness analysis of lisdexamfetamine dimesylate in the treatment of adults with attention-deficit/hyperactivity disorder in the United Kingdom</w:t>
      </w:r>
    </w:p>
    <w:p w14:paraId="79E427BB" w14:textId="3C0DFB81" w:rsidR="007924CB" w:rsidRPr="00E14060" w:rsidRDefault="007924CB" w:rsidP="007924CB">
      <w:pPr>
        <w:spacing w:line="480" w:lineRule="auto"/>
        <w:rPr>
          <w:sz w:val="24"/>
          <w:szCs w:val="24"/>
          <w:lang w:val="en-GB"/>
        </w:rPr>
      </w:pPr>
      <w:r w:rsidRPr="00E14060">
        <w:rPr>
          <w:sz w:val="24"/>
          <w:szCs w:val="24"/>
          <w:lang w:val="en-GB"/>
        </w:rPr>
        <w:t>Journal:</w:t>
      </w:r>
      <w:r w:rsidR="00D25089" w:rsidRPr="00E14060">
        <w:rPr>
          <w:sz w:val="24"/>
          <w:szCs w:val="24"/>
          <w:lang w:val="en-GB"/>
        </w:rPr>
        <w:t xml:space="preserve"> The European Journal of Health Economics</w:t>
      </w:r>
    </w:p>
    <w:p w14:paraId="40D52BE4" w14:textId="4369FD84" w:rsidR="007924CB" w:rsidRPr="00E14060" w:rsidRDefault="007924CB" w:rsidP="007924CB">
      <w:pPr>
        <w:spacing w:line="480" w:lineRule="auto"/>
        <w:rPr>
          <w:sz w:val="24"/>
          <w:szCs w:val="24"/>
          <w:lang w:val="en-GB"/>
        </w:rPr>
      </w:pPr>
      <w:r w:rsidRPr="00E14060">
        <w:rPr>
          <w:sz w:val="24"/>
          <w:szCs w:val="24"/>
          <w:lang w:val="en-GB"/>
        </w:rPr>
        <w:t xml:space="preserve">Authors: </w:t>
      </w:r>
      <w:r w:rsidR="00D25089" w:rsidRPr="00E14060">
        <w:rPr>
          <w:sz w:val="24"/>
          <w:szCs w:val="24"/>
          <w:lang w:val="en-GB"/>
        </w:rPr>
        <w:t>Evelina A Zimovetz, Alain Joseph, Rajeev Ayyagari, Josephine A Mauskopf</w:t>
      </w:r>
    </w:p>
    <w:p w14:paraId="4D01A684" w14:textId="0952878B" w:rsidR="007924CB" w:rsidRPr="00E14060" w:rsidRDefault="007924CB" w:rsidP="00D25089">
      <w:pPr>
        <w:spacing w:line="480" w:lineRule="auto"/>
        <w:rPr>
          <w:sz w:val="24"/>
          <w:szCs w:val="24"/>
          <w:lang w:val="en-GB"/>
        </w:rPr>
      </w:pPr>
      <w:r w:rsidRPr="00E14060">
        <w:rPr>
          <w:sz w:val="24"/>
          <w:szCs w:val="24"/>
          <w:lang w:val="en-GB"/>
        </w:rPr>
        <w:t>Corresponding author:</w:t>
      </w:r>
      <w:r w:rsidR="00D25089" w:rsidRPr="00E14060">
        <w:rPr>
          <w:sz w:val="24"/>
          <w:szCs w:val="24"/>
          <w:lang w:val="en-GB"/>
        </w:rPr>
        <w:t xml:space="preserve"> Evelina Zimovetz, RTI Health Solutions; ezimovetz@rti.org</w:t>
      </w:r>
    </w:p>
    <w:p w14:paraId="66DF1224" w14:textId="77777777" w:rsidR="008624C2" w:rsidRPr="00E14060" w:rsidRDefault="008624C2" w:rsidP="00A73A4C">
      <w:pPr>
        <w:pStyle w:val="AGbodytext0"/>
        <w:rPr>
          <w:sz w:val="24"/>
          <w:szCs w:val="24"/>
        </w:rPr>
      </w:pPr>
      <w:bookmarkStart w:id="0" w:name="_Toc391914760"/>
      <w:bookmarkStart w:id="1" w:name="_Toc339273223"/>
      <w:bookmarkStart w:id="2" w:name="_Toc342467724"/>
      <w:bookmarkStart w:id="3" w:name="_Toc342491630"/>
      <w:bookmarkStart w:id="4" w:name="_Toc384682986"/>
      <w:bookmarkStart w:id="5" w:name="_Toc512831164"/>
      <w:bookmarkStart w:id="6" w:name="_Toc150058284"/>
      <w:bookmarkEnd w:id="0"/>
    </w:p>
    <w:p w14:paraId="16C7D67B" w14:textId="77777777" w:rsidR="007924CB" w:rsidRPr="00E14060" w:rsidRDefault="007924CB">
      <w:pPr>
        <w:rPr>
          <w:sz w:val="24"/>
          <w:szCs w:val="24"/>
          <w:lang w:val="en-GB" w:eastAsia="zh-CN"/>
        </w:rPr>
      </w:pPr>
      <w:r w:rsidRPr="00E14060">
        <w:rPr>
          <w:sz w:val="24"/>
          <w:szCs w:val="24"/>
          <w:lang w:val="en-GB" w:eastAsia="zh-CN"/>
        </w:rPr>
        <w:br w:type="page"/>
      </w:r>
    </w:p>
    <w:p w14:paraId="0B7BF9A3" w14:textId="77777777" w:rsidR="004C2AEE" w:rsidRPr="00E14060" w:rsidRDefault="004C2AEE" w:rsidP="00A73A4C">
      <w:pPr>
        <w:pStyle w:val="AGbodytext0"/>
        <w:rPr>
          <w:sz w:val="24"/>
          <w:szCs w:val="24"/>
          <w:lang w:eastAsia="zh-CN"/>
        </w:rPr>
      </w:pPr>
    </w:p>
    <w:p w14:paraId="2E24AA99" w14:textId="77777777" w:rsidR="00626F3E" w:rsidRPr="00E14060" w:rsidRDefault="00DA6939" w:rsidP="00AD0074">
      <w:pPr>
        <w:pStyle w:val="Heading1"/>
        <w:rPr>
          <w:color w:val="auto"/>
          <w:lang w:val="en-GB"/>
        </w:rPr>
      </w:pPr>
      <w:bookmarkStart w:id="7" w:name="_Toc391913666"/>
      <w:bookmarkStart w:id="8" w:name="_Toc402543814"/>
      <w:r w:rsidRPr="00E14060">
        <w:rPr>
          <w:color w:val="auto"/>
          <w:lang w:val="en-GB"/>
        </w:rPr>
        <w:t xml:space="preserve">Background </w:t>
      </w:r>
      <w:bookmarkEnd w:id="1"/>
      <w:bookmarkEnd w:id="2"/>
      <w:bookmarkEnd w:id="3"/>
      <w:r w:rsidR="00FE3F68" w:rsidRPr="00E14060">
        <w:rPr>
          <w:color w:val="auto"/>
          <w:lang w:val="en-GB"/>
        </w:rPr>
        <w:t>and objectives</w:t>
      </w:r>
      <w:bookmarkStart w:id="9" w:name="_Toc376521156"/>
      <w:bookmarkEnd w:id="4"/>
      <w:bookmarkEnd w:id="7"/>
      <w:bookmarkEnd w:id="8"/>
      <w:bookmarkEnd w:id="9"/>
    </w:p>
    <w:p w14:paraId="4FB174E4" w14:textId="77777777" w:rsidR="00217814" w:rsidRPr="00E14060" w:rsidRDefault="00217814" w:rsidP="00AE3D2D">
      <w:pPr>
        <w:rPr>
          <w:lang w:val="en-GB"/>
        </w:rPr>
      </w:pPr>
    </w:p>
    <w:p w14:paraId="65DE2957" w14:textId="77777777" w:rsidR="000261D0" w:rsidRPr="00E14060" w:rsidRDefault="000261D0" w:rsidP="000261D0">
      <w:pPr>
        <w:spacing w:line="360" w:lineRule="auto"/>
        <w:rPr>
          <w:sz w:val="24"/>
          <w:lang w:val="en-GB"/>
        </w:rPr>
      </w:pPr>
      <w:r w:rsidRPr="00E14060">
        <w:rPr>
          <w:sz w:val="24"/>
          <w:lang w:val="en-GB"/>
        </w:rPr>
        <w:t>Attention deficit hyperactivity disorder (ADHD) is estimated to affect 2% to 5% of the adult population worldwide, depending on country, and choice of ADHD diagnostic criteria</w:t>
      </w:r>
      <w:r w:rsidR="00A921CE" w:rsidRPr="00E14060">
        <w:rPr>
          <w:sz w:val="24"/>
          <w:lang w:val="en-GB"/>
        </w:rPr>
        <w:t xml:space="preserve"> (</w:t>
      </w:r>
      <w:r w:rsidR="00A921CE" w:rsidRPr="00E14060">
        <w:rPr>
          <w:sz w:val="24"/>
          <w:szCs w:val="24"/>
          <w:lang w:val="en-GB"/>
        </w:rPr>
        <w:t xml:space="preserve">Fayyad et al., 2007; Simon et al., 2009; </w:t>
      </w:r>
      <w:r w:rsidR="00803C19" w:rsidRPr="00E14060">
        <w:rPr>
          <w:sz w:val="24"/>
          <w:szCs w:val="24"/>
          <w:lang w:val="en-GB"/>
        </w:rPr>
        <w:t>De Graaf et al., 2008)</w:t>
      </w:r>
      <w:r w:rsidRPr="00E14060">
        <w:rPr>
          <w:sz w:val="24"/>
          <w:lang w:val="en-GB"/>
        </w:rPr>
        <w:t>. Although the majority of ADHD cases are diagnosed during childhood, ADHD persists into adulthood for approximately two-thirds of adolescent ADHD patients</w:t>
      </w:r>
      <w:r w:rsidR="002409C4" w:rsidRPr="00E14060">
        <w:rPr>
          <w:sz w:val="24"/>
          <w:lang w:val="en-GB"/>
        </w:rPr>
        <w:t xml:space="preserve"> (</w:t>
      </w:r>
      <w:r w:rsidR="002409C4" w:rsidRPr="00E14060">
        <w:rPr>
          <w:sz w:val="24"/>
          <w:szCs w:val="24"/>
          <w:lang w:val="en-GB"/>
        </w:rPr>
        <w:t xml:space="preserve">Faraone et al., 2006; </w:t>
      </w:r>
      <w:r w:rsidR="006B2262" w:rsidRPr="00E14060">
        <w:rPr>
          <w:sz w:val="24"/>
          <w:szCs w:val="24"/>
          <w:lang w:val="en-GB"/>
        </w:rPr>
        <w:t>Klein et al., 2012)</w:t>
      </w:r>
      <w:r w:rsidRPr="00E14060">
        <w:rPr>
          <w:sz w:val="24"/>
          <w:lang w:val="en-GB"/>
        </w:rPr>
        <w:t>. If left untreated, ADHD may pose a significant barrier to personal development and cause a substantial psychological and financial burden to patients’ families</w:t>
      </w:r>
      <w:r w:rsidR="00F33E21" w:rsidRPr="00E14060">
        <w:rPr>
          <w:sz w:val="24"/>
          <w:lang w:val="en-GB"/>
        </w:rPr>
        <w:t xml:space="preserve"> (</w:t>
      </w:r>
      <w:r w:rsidR="00F33E21" w:rsidRPr="00E14060">
        <w:rPr>
          <w:rFonts w:eastAsia="Calibri"/>
          <w:sz w:val="22"/>
          <w:szCs w:val="22"/>
          <w:lang w:val="en-GB"/>
        </w:rPr>
        <w:t>Matza et al., 2005)</w:t>
      </w:r>
      <w:r w:rsidRPr="00E14060">
        <w:rPr>
          <w:sz w:val="24"/>
          <w:lang w:val="en-GB"/>
        </w:rPr>
        <w:t>. Despite the negative consequences associated with ADHD, the disease was essentially unrecognized, especially in adults, until a few years ago. Although awareness of adult ADHD is on the rise in European countries, under</w:t>
      </w:r>
      <w:r w:rsidR="00B77106" w:rsidRPr="00E14060">
        <w:rPr>
          <w:sz w:val="24"/>
          <w:lang w:val="en-GB"/>
        </w:rPr>
        <w:t>-</w:t>
      </w:r>
      <w:r w:rsidRPr="00E14060">
        <w:rPr>
          <w:sz w:val="24"/>
          <w:lang w:val="en-GB"/>
        </w:rPr>
        <w:t xml:space="preserve">diagnosis and misdiagnosis </w:t>
      </w:r>
      <w:r w:rsidR="002460F2" w:rsidRPr="00E14060">
        <w:rPr>
          <w:sz w:val="24"/>
          <w:lang w:val="en-GB"/>
        </w:rPr>
        <w:t>are</w:t>
      </w:r>
      <w:r w:rsidRPr="00E14060">
        <w:rPr>
          <w:sz w:val="24"/>
          <w:lang w:val="en-GB"/>
        </w:rPr>
        <w:t xml:space="preserve"> still quite common</w:t>
      </w:r>
      <w:r w:rsidR="00BC3C37" w:rsidRPr="00E14060">
        <w:rPr>
          <w:sz w:val="24"/>
          <w:lang w:val="en-GB"/>
        </w:rPr>
        <w:t xml:space="preserve"> (</w:t>
      </w:r>
      <w:r w:rsidR="00BC3C37" w:rsidRPr="00E14060">
        <w:rPr>
          <w:rFonts w:eastAsia="Calibri"/>
          <w:sz w:val="22"/>
          <w:szCs w:val="22"/>
          <w:lang w:val="en-GB"/>
        </w:rPr>
        <w:t>Feifel et al., 2008)</w:t>
      </w:r>
      <w:r w:rsidRPr="00E14060">
        <w:rPr>
          <w:sz w:val="24"/>
          <w:lang w:val="en-GB"/>
        </w:rPr>
        <w:t xml:space="preserve">. In addition, management of these patients is often poorly understood. </w:t>
      </w:r>
    </w:p>
    <w:p w14:paraId="16E4D8A2" w14:textId="77777777" w:rsidR="00875663" w:rsidRPr="00E14060" w:rsidRDefault="00875663" w:rsidP="000261D0">
      <w:pPr>
        <w:spacing w:line="360" w:lineRule="auto"/>
        <w:rPr>
          <w:sz w:val="24"/>
          <w:lang w:val="en-GB"/>
        </w:rPr>
      </w:pPr>
    </w:p>
    <w:p w14:paraId="64577326" w14:textId="2403CB9F" w:rsidR="000261D0" w:rsidRPr="00E14060" w:rsidRDefault="000261D0" w:rsidP="000261D0">
      <w:pPr>
        <w:spacing w:line="360" w:lineRule="auto"/>
        <w:rPr>
          <w:sz w:val="24"/>
          <w:lang w:val="en-GB"/>
        </w:rPr>
      </w:pPr>
      <w:r w:rsidRPr="00E14060">
        <w:rPr>
          <w:sz w:val="24"/>
          <w:lang w:val="en-GB"/>
        </w:rPr>
        <w:t xml:space="preserve">Stimulants, including amphetamines (AMPH) and methylphenidate (MPH), </w:t>
      </w:r>
      <w:r w:rsidR="005F1F51" w:rsidRPr="00E14060">
        <w:rPr>
          <w:sz w:val="24"/>
          <w:lang w:val="en-GB"/>
        </w:rPr>
        <w:t xml:space="preserve">are </w:t>
      </w:r>
      <w:r w:rsidRPr="00E14060">
        <w:rPr>
          <w:sz w:val="24"/>
          <w:lang w:val="en-GB"/>
        </w:rPr>
        <w:t>effective first-line pharmacological treatment option</w:t>
      </w:r>
      <w:r w:rsidR="005F1F51" w:rsidRPr="00E14060">
        <w:rPr>
          <w:sz w:val="24"/>
          <w:lang w:val="en-GB"/>
        </w:rPr>
        <w:t>s</w:t>
      </w:r>
      <w:r w:rsidRPr="00E14060">
        <w:rPr>
          <w:sz w:val="24"/>
          <w:lang w:val="en-GB"/>
        </w:rPr>
        <w:t xml:space="preserve"> for the majority of ADHD children and adolescents, with about 70% of patients responding to treatment in the short-term</w:t>
      </w:r>
      <w:r w:rsidR="00ED5D57" w:rsidRPr="00E14060">
        <w:rPr>
          <w:sz w:val="24"/>
          <w:lang w:val="en-GB"/>
        </w:rPr>
        <w:t xml:space="preserve"> (</w:t>
      </w:r>
      <w:r w:rsidR="00ED5D57" w:rsidRPr="00E14060">
        <w:rPr>
          <w:rFonts w:eastAsia="Calibri"/>
          <w:sz w:val="22"/>
          <w:szCs w:val="22"/>
          <w:lang w:val="en-GB"/>
        </w:rPr>
        <w:t xml:space="preserve">Olfson et al., </w:t>
      </w:r>
      <w:r w:rsidR="00983819" w:rsidRPr="00E14060">
        <w:rPr>
          <w:rFonts w:eastAsia="Calibri"/>
          <w:sz w:val="22"/>
          <w:szCs w:val="22"/>
          <w:lang w:val="en-GB"/>
        </w:rPr>
        <w:t>2004)</w:t>
      </w:r>
      <w:r w:rsidRPr="00E14060">
        <w:rPr>
          <w:sz w:val="24"/>
          <w:lang w:val="en-GB"/>
        </w:rPr>
        <w:t>.</w:t>
      </w:r>
      <w:r w:rsidRPr="00E14060">
        <w:rPr>
          <w:sz w:val="24"/>
          <w:vertAlign w:val="superscript"/>
          <w:lang w:val="en-GB"/>
        </w:rPr>
        <w:t xml:space="preserve"> </w:t>
      </w:r>
      <w:r w:rsidRPr="00E14060">
        <w:rPr>
          <w:sz w:val="24"/>
          <w:lang w:val="en-GB"/>
        </w:rPr>
        <w:t>However, neither AMPH nor MPH is approved for adults with ADHD in European countries without restrictions</w:t>
      </w:r>
      <w:r w:rsidR="00C00AD2" w:rsidRPr="00E14060">
        <w:rPr>
          <w:sz w:val="24"/>
          <w:lang w:val="en-GB"/>
        </w:rPr>
        <w:t xml:space="preserve"> (</w:t>
      </w:r>
      <w:r w:rsidR="00C00AD2" w:rsidRPr="00E14060">
        <w:rPr>
          <w:rFonts w:eastAsia="Calibri"/>
          <w:sz w:val="22"/>
          <w:szCs w:val="22"/>
          <w:lang w:val="en-GB"/>
        </w:rPr>
        <w:t xml:space="preserve">Retz et al., </w:t>
      </w:r>
      <w:r w:rsidR="003B47EF" w:rsidRPr="00E14060">
        <w:rPr>
          <w:rFonts w:eastAsia="Calibri"/>
          <w:sz w:val="22"/>
          <w:szCs w:val="22"/>
          <w:lang w:val="en-GB"/>
        </w:rPr>
        <w:t>2011)</w:t>
      </w:r>
      <w:r w:rsidRPr="00E14060">
        <w:rPr>
          <w:sz w:val="24"/>
          <w:lang w:val="en-GB"/>
        </w:rPr>
        <w:t>. Concerta</w:t>
      </w:r>
      <w:r w:rsidR="005F1F51" w:rsidRPr="00E14060">
        <w:rPr>
          <w:sz w:val="24"/>
          <w:lang w:val="en-GB"/>
        </w:rPr>
        <w:t>®</w:t>
      </w:r>
      <w:r w:rsidRPr="00E14060">
        <w:rPr>
          <w:sz w:val="24"/>
          <w:lang w:val="en-GB"/>
        </w:rPr>
        <w:t>, an osmotic release oral system MPH (OROS-MPH) compound, is approved for adults who started the drug and achieved good response before the age of 18 years (“adult continuers”). Medikinet Adult, another extended release MPH (MPH-ER) compound, is approved in Germany for adults who were diagnosed when they were children or adolescent and did not have sufficient response to their prior therapy (“adult non-responders”)</w:t>
      </w:r>
      <w:r w:rsidR="009150D5" w:rsidRPr="00E14060">
        <w:rPr>
          <w:sz w:val="24"/>
          <w:lang w:val="en-GB"/>
        </w:rPr>
        <w:t xml:space="preserve"> (</w:t>
      </w:r>
      <w:r w:rsidR="009150D5" w:rsidRPr="00E14060">
        <w:rPr>
          <w:sz w:val="24"/>
          <w:szCs w:val="24"/>
          <w:lang w:val="en-GB"/>
        </w:rPr>
        <w:t>Medice, 2011)</w:t>
      </w:r>
      <w:r w:rsidRPr="00E14060">
        <w:rPr>
          <w:sz w:val="24"/>
          <w:lang w:val="en-GB"/>
        </w:rPr>
        <w:t>. Beside stimulants, non-stimulant is another treatment option for ADHD patients. Atomoxetine (ATX), a non-stimulant, has recently been</w:t>
      </w:r>
      <w:r w:rsidR="00241DBD" w:rsidRPr="00E14060">
        <w:rPr>
          <w:sz w:val="24"/>
          <w:lang w:val="en-GB"/>
        </w:rPr>
        <w:t xml:space="preserve"> </w:t>
      </w:r>
      <w:r w:rsidRPr="00E14060">
        <w:rPr>
          <w:sz w:val="24"/>
          <w:lang w:val="en-GB"/>
        </w:rPr>
        <w:t xml:space="preserve">approved by the Medicines and Healthcare Products </w:t>
      </w:r>
      <w:r w:rsidRPr="00E14060">
        <w:rPr>
          <w:sz w:val="24"/>
          <w:lang w:val="en-GB"/>
        </w:rPr>
        <w:lastRenderedPageBreak/>
        <w:t xml:space="preserve">Regulatory Agency (MHRA) in </w:t>
      </w:r>
      <w:r w:rsidR="00972762" w:rsidRPr="00E14060">
        <w:rPr>
          <w:sz w:val="24"/>
          <w:lang w:val="en-GB"/>
        </w:rPr>
        <w:t xml:space="preserve">the </w:t>
      </w:r>
      <w:r w:rsidRPr="00E14060">
        <w:rPr>
          <w:sz w:val="24"/>
          <w:lang w:val="en-GB"/>
        </w:rPr>
        <w:t>UK for adult ADHD patients with pre-existing symptoms during childhood</w:t>
      </w:r>
      <w:r w:rsidR="00A101CF" w:rsidRPr="00E14060">
        <w:rPr>
          <w:sz w:val="24"/>
          <w:lang w:val="en-GB"/>
        </w:rPr>
        <w:t xml:space="preserve"> (</w:t>
      </w:r>
      <w:r w:rsidR="00A101CF" w:rsidRPr="00E14060">
        <w:rPr>
          <w:sz w:val="24"/>
          <w:szCs w:val="24"/>
          <w:lang w:val="en-GB"/>
        </w:rPr>
        <w:t>McKee, 2013)</w:t>
      </w:r>
      <w:r w:rsidRPr="00E14060">
        <w:rPr>
          <w:sz w:val="24"/>
          <w:lang w:val="en-GB"/>
        </w:rPr>
        <w:t>.</w:t>
      </w:r>
      <w:r w:rsidR="00212F8F" w:rsidRPr="00E14060">
        <w:rPr>
          <w:sz w:val="24"/>
          <w:lang w:val="en-GB"/>
        </w:rPr>
        <w:fldChar w:fldCharType="begin"/>
      </w:r>
      <w:r w:rsidRPr="00E14060">
        <w:rPr>
          <w:sz w:val="24"/>
          <w:lang w:val="en-GB"/>
        </w:rPr>
        <w:instrText xml:space="preserve"> ADDIN ZOTERO_ITEM CSL_CITATION {"citationID":"uk0s09t4m","properties":{"formattedCitation":"{\\rtf \\super 11\\nosupersub{}}","plainCitation":"11"},"citationItems":[{"id":132,"uris":["http://zotero.org/users/1247927/items/J9P6AEM2"],"uri":["http://zotero.org/users/1247927/items/J9P6AEM2"],"itemData":{"id":132,"type":"article-newspaper","title":"UK licenses first therapy for adults diagnosed with ADHD","container-title":"PharmaTimes","URL":"http://www.pharmatimes.com/article/13-06-03/UK_licenses_first_therapy_for_adults_diagnosed_with_ADHD.aspx","author":[{"family":"McKee","given":"Selina"}],"issued":{"date-parts":[["2013",6,3]]}}}],"schema":"https://github.com/citation-style-language/schema/raw/master/csl-citation.json"} </w:instrText>
      </w:r>
      <w:r w:rsidR="00212F8F" w:rsidRPr="00E14060">
        <w:rPr>
          <w:sz w:val="24"/>
          <w:lang w:val="en-GB"/>
        </w:rPr>
        <w:fldChar w:fldCharType="separate"/>
      </w:r>
      <w:r w:rsidRPr="00E14060">
        <w:rPr>
          <w:sz w:val="24"/>
          <w:szCs w:val="24"/>
          <w:vertAlign w:val="superscript"/>
          <w:lang w:val="en-GB"/>
        </w:rPr>
        <w:t>11</w:t>
      </w:r>
      <w:r w:rsidR="00212F8F" w:rsidRPr="00E14060">
        <w:rPr>
          <w:sz w:val="24"/>
          <w:lang w:val="en-GB"/>
        </w:rPr>
        <w:fldChar w:fldCharType="end"/>
      </w:r>
      <w:r w:rsidRPr="00E14060">
        <w:rPr>
          <w:sz w:val="24"/>
          <w:lang w:val="en-GB"/>
        </w:rPr>
        <w:t xml:space="preserve"> Currently, the UK National Institute for Health and Care Excellence (NICE) clinical guidelines and European Consensus Statement on Diagnosis and Treatment of ADHD recommend MPH as the first-line ADHD therapy among adults</w:t>
      </w:r>
      <w:r w:rsidR="009F5EB4" w:rsidRPr="00E14060">
        <w:rPr>
          <w:sz w:val="24"/>
          <w:lang w:val="en-GB"/>
        </w:rPr>
        <w:t xml:space="preserve"> (</w:t>
      </w:r>
      <w:r w:rsidR="00821873" w:rsidRPr="00E14060">
        <w:rPr>
          <w:sz w:val="24"/>
          <w:szCs w:val="24"/>
          <w:lang w:val="en-GB"/>
        </w:rPr>
        <w:t xml:space="preserve">Retz et al., 2011; </w:t>
      </w:r>
      <w:r w:rsidR="009F5EB4" w:rsidRPr="00E14060">
        <w:rPr>
          <w:rFonts w:eastAsia="Calibri"/>
          <w:sz w:val="22"/>
          <w:szCs w:val="22"/>
          <w:lang w:val="en-GB"/>
        </w:rPr>
        <w:t xml:space="preserve">Kooij et al., 2010; </w:t>
      </w:r>
      <w:r w:rsidR="004C072C" w:rsidRPr="00E14060">
        <w:rPr>
          <w:rFonts w:eastAsia="Calibri"/>
          <w:sz w:val="22"/>
          <w:szCs w:val="22"/>
          <w:lang w:val="en-GB"/>
        </w:rPr>
        <w:t>NICE, 2009)</w:t>
      </w:r>
      <w:r w:rsidRPr="00E14060">
        <w:rPr>
          <w:sz w:val="24"/>
          <w:lang w:val="en-GB"/>
        </w:rPr>
        <w:t>.</w:t>
      </w:r>
      <w:r w:rsidRPr="00E14060">
        <w:rPr>
          <w:sz w:val="24"/>
          <w:vertAlign w:val="superscript"/>
          <w:lang w:val="en-GB"/>
        </w:rPr>
        <w:t xml:space="preserve"> </w:t>
      </w:r>
      <w:r w:rsidRPr="00E14060">
        <w:rPr>
          <w:sz w:val="24"/>
          <w:lang w:val="en-GB"/>
        </w:rPr>
        <w:t xml:space="preserve">If MPH is ineffective or poorly tolerated, ATX </w:t>
      </w:r>
      <w:r w:rsidR="00875663" w:rsidRPr="00E14060">
        <w:rPr>
          <w:sz w:val="24"/>
          <w:lang w:val="en-GB"/>
        </w:rPr>
        <w:t>can be used</w:t>
      </w:r>
      <w:r w:rsidRPr="00E14060">
        <w:rPr>
          <w:sz w:val="24"/>
          <w:lang w:val="en-GB"/>
        </w:rPr>
        <w:t xml:space="preserve">. </w:t>
      </w:r>
    </w:p>
    <w:p w14:paraId="09E970C5" w14:textId="77777777" w:rsidR="00875663" w:rsidRPr="00E14060" w:rsidRDefault="00875663" w:rsidP="000261D0">
      <w:pPr>
        <w:spacing w:line="360" w:lineRule="auto"/>
        <w:rPr>
          <w:sz w:val="24"/>
          <w:lang w:val="en-GB"/>
        </w:rPr>
      </w:pPr>
    </w:p>
    <w:p w14:paraId="5B97E19F" w14:textId="77777777" w:rsidR="00130BB7" w:rsidRPr="00E14060" w:rsidRDefault="000261D0" w:rsidP="000261D0">
      <w:pPr>
        <w:spacing w:line="360" w:lineRule="auto"/>
        <w:rPr>
          <w:sz w:val="24"/>
          <w:szCs w:val="24"/>
          <w:lang w:val="en-GB"/>
        </w:rPr>
      </w:pPr>
      <w:r w:rsidRPr="00E14060">
        <w:rPr>
          <w:sz w:val="24"/>
          <w:lang w:val="en-GB"/>
        </w:rPr>
        <w:t>Lisdexamphetamine (LDX</w:t>
      </w:r>
      <w:r w:rsidR="0024606A" w:rsidRPr="00E14060">
        <w:rPr>
          <w:sz w:val="24"/>
          <w:lang w:val="en-GB"/>
        </w:rPr>
        <w:t>)</w:t>
      </w:r>
      <w:r w:rsidR="006C78D0" w:rsidRPr="00E14060">
        <w:rPr>
          <w:sz w:val="24"/>
          <w:lang w:val="en-GB"/>
        </w:rPr>
        <w:t xml:space="preserve"> </w:t>
      </w:r>
      <w:r w:rsidRPr="00E14060">
        <w:rPr>
          <w:sz w:val="24"/>
          <w:lang w:val="en-GB"/>
        </w:rPr>
        <w:t xml:space="preserve">is a stimulant approved for children, adolescents and adult ADHD patients in </w:t>
      </w:r>
      <w:r w:rsidR="00293776" w:rsidRPr="00E14060">
        <w:rPr>
          <w:sz w:val="24"/>
          <w:lang w:val="en-GB"/>
        </w:rPr>
        <w:t xml:space="preserve">the </w:t>
      </w:r>
      <w:r w:rsidRPr="00E14060">
        <w:rPr>
          <w:sz w:val="24"/>
          <w:lang w:val="en-GB"/>
        </w:rPr>
        <w:t>US</w:t>
      </w:r>
      <w:r w:rsidR="00293776" w:rsidRPr="00E14060">
        <w:rPr>
          <w:sz w:val="24"/>
          <w:lang w:val="en-GB"/>
        </w:rPr>
        <w:t>, Canada</w:t>
      </w:r>
      <w:r w:rsidRPr="00E14060">
        <w:rPr>
          <w:sz w:val="24"/>
          <w:lang w:val="en-GB"/>
        </w:rPr>
        <w:t xml:space="preserve"> under the brand name Vyvanse, </w:t>
      </w:r>
      <w:r w:rsidR="00293776" w:rsidRPr="00E14060">
        <w:rPr>
          <w:sz w:val="24"/>
          <w:lang w:val="en-GB"/>
        </w:rPr>
        <w:t xml:space="preserve">for children in Brazil under the name Venvanse, </w:t>
      </w:r>
      <w:r w:rsidRPr="00E14060">
        <w:rPr>
          <w:sz w:val="24"/>
          <w:lang w:val="en-GB"/>
        </w:rPr>
        <w:t xml:space="preserve">and for children and adolescents in Europe under the brand name Elvanse. </w:t>
      </w:r>
      <w:r w:rsidR="0024606A" w:rsidRPr="00E14060">
        <w:rPr>
          <w:sz w:val="24"/>
          <w:lang w:val="en-GB"/>
        </w:rPr>
        <w:t xml:space="preserve">A pharmacologically inactive prodrug, LDX is rapidly absorbed from the gastrointestinal tract after oral administration and hydrolysed primarily by red blood cells to dexamfetamine, which is responsible for the drug’s activity. </w:t>
      </w:r>
      <w:r w:rsidRPr="00E14060">
        <w:rPr>
          <w:sz w:val="24"/>
          <w:lang w:val="en-GB"/>
        </w:rPr>
        <w:t xml:space="preserve">Shire is planning to pursue the adult </w:t>
      </w:r>
      <w:r w:rsidRPr="00E14060">
        <w:rPr>
          <w:sz w:val="24"/>
          <w:szCs w:val="24"/>
          <w:lang w:val="en-GB"/>
        </w:rPr>
        <w:t>indication for LDX in the European market. Two phase III clinical trials have demonstrated significantly higher efficacy of LDX compared to placebo in treatment of adult patients with ADHD</w:t>
      </w:r>
      <w:r w:rsidR="002F7BCE" w:rsidRPr="00E14060">
        <w:rPr>
          <w:sz w:val="24"/>
          <w:szCs w:val="24"/>
          <w:lang w:val="en-GB"/>
        </w:rPr>
        <w:t xml:space="preserve"> (</w:t>
      </w:r>
      <w:r w:rsidR="000828B6" w:rsidRPr="00E14060">
        <w:rPr>
          <w:sz w:val="24"/>
          <w:szCs w:val="24"/>
          <w:lang w:val="en-GB"/>
        </w:rPr>
        <w:t xml:space="preserve">Adler et al., 2008; </w:t>
      </w:r>
      <w:r w:rsidR="002F7BCE" w:rsidRPr="00E14060">
        <w:rPr>
          <w:sz w:val="24"/>
          <w:szCs w:val="24"/>
          <w:lang w:val="en-GB"/>
        </w:rPr>
        <w:t xml:space="preserve">Wigal et al., </w:t>
      </w:r>
      <w:r w:rsidR="00A2095C" w:rsidRPr="00E14060">
        <w:rPr>
          <w:sz w:val="24"/>
          <w:szCs w:val="24"/>
          <w:lang w:val="en-GB"/>
        </w:rPr>
        <w:t>2010</w:t>
      </w:r>
      <w:r w:rsidR="000828B6" w:rsidRPr="00E14060">
        <w:rPr>
          <w:sz w:val="24"/>
          <w:szCs w:val="24"/>
          <w:lang w:val="en-GB"/>
        </w:rPr>
        <w:t>)</w:t>
      </w:r>
      <w:r w:rsidRPr="00E14060">
        <w:rPr>
          <w:sz w:val="24"/>
          <w:szCs w:val="24"/>
          <w:lang w:val="en-GB"/>
        </w:rPr>
        <w:t xml:space="preserve">. Upon entering the market, LDX will be competing with MPH and ATX; however, no systematic comparison has been conducted between LDX and these comparator drugs. </w:t>
      </w:r>
    </w:p>
    <w:p w14:paraId="6CB78978" w14:textId="77777777" w:rsidR="00130BB7" w:rsidRPr="00E14060" w:rsidRDefault="00130BB7" w:rsidP="000261D0">
      <w:pPr>
        <w:spacing w:line="360" w:lineRule="auto"/>
        <w:rPr>
          <w:sz w:val="24"/>
          <w:szCs w:val="24"/>
          <w:lang w:val="en-GB"/>
        </w:rPr>
      </w:pPr>
    </w:p>
    <w:p w14:paraId="5821B255" w14:textId="6E91690F" w:rsidR="00130BB7" w:rsidRPr="00E14060" w:rsidRDefault="00130BB7" w:rsidP="00130BB7">
      <w:pPr>
        <w:spacing w:line="360" w:lineRule="auto"/>
        <w:rPr>
          <w:sz w:val="24"/>
          <w:szCs w:val="24"/>
          <w:lang w:val="en-GB"/>
        </w:rPr>
      </w:pPr>
      <w:r w:rsidRPr="00E14060">
        <w:rPr>
          <w:sz w:val="24"/>
          <w:szCs w:val="24"/>
          <w:lang w:val="en-GB"/>
        </w:rPr>
        <w:t>The goal of this study is to fill this evidence gap.</w:t>
      </w:r>
      <w:r w:rsidR="00241DBD" w:rsidRPr="00E14060">
        <w:rPr>
          <w:sz w:val="24"/>
          <w:szCs w:val="24"/>
          <w:lang w:val="en-GB"/>
        </w:rPr>
        <w:t xml:space="preserve"> </w:t>
      </w:r>
      <w:r w:rsidRPr="00E14060">
        <w:rPr>
          <w:sz w:val="24"/>
          <w:szCs w:val="24"/>
          <w:lang w:val="en-GB"/>
        </w:rPr>
        <w:t>Specifically, the study has two aims:</w:t>
      </w:r>
    </w:p>
    <w:p w14:paraId="1FC35CE5" w14:textId="77777777" w:rsidR="00130BB7" w:rsidRPr="00E14060" w:rsidRDefault="00130BB7" w:rsidP="00130BB7">
      <w:pPr>
        <w:spacing w:line="360" w:lineRule="auto"/>
        <w:rPr>
          <w:sz w:val="24"/>
          <w:szCs w:val="24"/>
          <w:lang w:val="en-GB"/>
        </w:rPr>
      </w:pPr>
    </w:p>
    <w:p w14:paraId="24CF73E4" w14:textId="77777777" w:rsidR="00130BB7" w:rsidRPr="00E14060" w:rsidRDefault="00130BB7" w:rsidP="00130BB7">
      <w:pPr>
        <w:spacing w:line="360" w:lineRule="auto"/>
        <w:rPr>
          <w:sz w:val="24"/>
          <w:szCs w:val="24"/>
          <w:u w:val="single"/>
          <w:lang w:val="en-GB"/>
        </w:rPr>
      </w:pPr>
      <w:r w:rsidRPr="00E14060">
        <w:rPr>
          <w:sz w:val="24"/>
          <w:szCs w:val="24"/>
          <w:u w:val="single"/>
          <w:lang w:val="en-GB"/>
        </w:rPr>
        <w:t>Systematic literature review</w:t>
      </w:r>
    </w:p>
    <w:p w14:paraId="459DBC3B" w14:textId="77777777" w:rsidR="00130BB7" w:rsidRPr="00E14060" w:rsidRDefault="00130BB7" w:rsidP="00130BB7">
      <w:pPr>
        <w:spacing w:line="360" w:lineRule="auto"/>
        <w:rPr>
          <w:sz w:val="24"/>
          <w:szCs w:val="24"/>
          <w:lang w:val="en-GB"/>
        </w:rPr>
      </w:pPr>
      <w:r w:rsidRPr="00E14060">
        <w:rPr>
          <w:sz w:val="24"/>
          <w:szCs w:val="24"/>
          <w:lang w:val="en-GB"/>
        </w:rPr>
        <w:t xml:space="preserve">Study objective 1: To systematically compile and summarize all available clinical evidence for efficacy of LDX and other </w:t>
      </w:r>
      <w:r w:rsidR="00DE1684" w:rsidRPr="00E14060">
        <w:rPr>
          <w:sz w:val="24"/>
          <w:szCs w:val="24"/>
          <w:lang w:val="en-GB"/>
        </w:rPr>
        <w:t xml:space="preserve">relevant </w:t>
      </w:r>
      <w:r w:rsidRPr="00E14060">
        <w:rPr>
          <w:sz w:val="24"/>
          <w:szCs w:val="24"/>
          <w:lang w:val="en-GB"/>
        </w:rPr>
        <w:t>comparator drugs with clinical trials in the adult ADHD population</w:t>
      </w:r>
    </w:p>
    <w:p w14:paraId="4F4B0B6F" w14:textId="77777777" w:rsidR="00130BB7" w:rsidRPr="00E14060" w:rsidRDefault="00130BB7" w:rsidP="00130BB7">
      <w:pPr>
        <w:spacing w:line="360" w:lineRule="auto"/>
        <w:rPr>
          <w:sz w:val="24"/>
          <w:szCs w:val="24"/>
          <w:lang w:val="en-GB"/>
        </w:rPr>
      </w:pPr>
    </w:p>
    <w:p w14:paraId="0D027FAA" w14:textId="77777777" w:rsidR="00130BB7" w:rsidRPr="00E14060" w:rsidRDefault="00130BB7" w:rsidP="00130BB7">
      <w:pPr>
        <w:spacing w:line="360" w:lineRule="auto"/>
        <w:rPr>
          <w:sz w:val="24"/>
          <w:szCs w:val="24"/>
          <w:u w:val="single"/>
          <w:lang w:val="en-GB"/>
        </w:rPr>
      </w:pPr>
      <w:r w:rsidRPr="00E14060">
        <w:rPr>
          <w:sz w:val="24"/>
          <w:szCs w:val="24"/>
          <w:u w:val="single"/>
          <w:lang w:val="en-GB"/>
        </w:rPr>
        <w:t>Mixed treatment comparison</w:t>
      </w:r>
    </w:p>
    <w:p w14:paraId="33E8442C" w14:textId="77777777" w:rsidR="00130BB7" w:rsidRPr="00E14060" w:rsidRDefault="00130BB7" w:rsidP="00130BB7">
      <w:pPr>
        <w:spacing w:line="360" w:lineRule="auto"/>
        <w:rPr>
          <w:sz w:val="24"/>
          <w:szCs w:val="24"/>
          <w:lang w:val="en-GB"/>
        </w:rPr>
      </w:pPr>
      <w:r w:rsidRPr="00E14060">
        <w:rPr>
          <w:sz w:val="24"/>
          <w:szCs w:val="24"/>
          <w:lang w:val="en-GB"/>
        </w:rPr>
        <w:lastRenderedPageBreak/>
        <w:t xml:space="preserve">Study objective 2: To compare the efficacy and safety of LDX vs. other comparator treatments in adult ADHD using </w:t>
      </w:r>
      <w:r w:rsidR="0024606A" w:rsidRPr="00E14060">
        <w:rPr>
          <w:sz w:val="24"/>
          <w:szCs w:val="24"/>
          <w:lang w:val="en-GB"/>
        </w:rPr>
        <w:t xml:space="preserve">all </w:t>
      </w:r>
      <w:r w:rsidR="00293776" w:rsidRPr="00E14060">
        <w:rPr>
          <w:sz w:val="24"/>
          <w:szCs w:val="24"/>
          <w:lang w:val="en-GB"/>
        </w:rPr>
        <w:t>available clinical evidence</w:t>
      </w:r>
      <w:r w:rsidR="0024606A" w:rsidRPr="00E14060">
        <w:rPr>
          <w:sz w:val="24"/>
          <w:szCs w:val="24"/>
          <w:lang w:val="en-GB"/>
        </w:rPr>
        <w:t xml:space="preserve">, both indirect and direct, using </w:t>
      </w:r>
      <w:r w:rsidRPr="00E14060">
        <w:rPr>
          <w:sz w:val="24"/>
          <w:szCs w:val="24"/>
          <w:lang w:val="en-GB"/>
        </w:rPr>
        <w:t xml:space="preserve">mixed treatment comparisons </w:t>
      </w:r>
      <w:r w:rsidR="0024606A" w:rsidRPr="00E14060">
        <w:rPr>
          <w:sz w:val="24"/>
          <w:szCs w:val="24"/>
          <w:lang w:val="en-GB"/>
        </w:rPr>
        <w:t>methodology</w:t>
      </w:r>
    </w:p>
    <w:p w14:paraId="708C144A" w14:textId="77777777" w:rsidR="00130BB7" w:rsidRPr="00E14060" w:rsidRDefault="00130BB7" w:rsidP="00130BB7">
      <w:pPr>
        <w:spacing w:line="360" w:lineRule="auto"/>
        <w:rPr>
          <w:sz w:val="24"/>
          <w:szCs w:val="24"/>
          <w:lang w:val="en-GB"/>
        </w:rPr>
      </w:pPr>
    </w:p>
    <w:p w14:paraId="48F33F96" w14:textId="77777777" w:rsidR="00130BB7" w:rsidRPr="00E14060" w:rsidRDefault="00130BB7" w:rsidP="000261D0">
      <w:pPr>
        <w:spacing w:line="360" w:lineRule="auto"/>
        <w:rPr>
          <w:sz w:val="24"/>
          <w:lang w:val="en-GB"/>
        </w:rPr>
      </w:pPr>
    </w:p>
    <w:p w14:paraId="36DB3C21" w14:textId="77777777" w:rsidR="00130BB7" w:rsidRPr="00E14060" w:rsidRDefault="00130BB7" w:rsidP="000261D0">
      <w:pPr>
        <w:spacing w:line="360" w:lineRule="auto"/>
        <w:rPr>
          <w:sz w:val="24"/>
          <w:lang w:val="en-GB"/>
        </w:rPr>
      </w:pPr>
    </w:p>
    <w:p w14:paraId="139E8147" w14:textId="77777777" w:rsidR="000261D0" w:rsidRPr="00E14060" w:rsidRDefault="00007CE4" w:rsidP="00140A0D">
      <w:pPr>
        <w:pStyle w:val="Heading1"/>
        <w:rPr>
          <w:color w:val="auto"/>
          <w:lang w:val="en-GB"/>
        </w:rPr>
      </w:pPr>
      <w:r w:rsidRPr="00E14060">
        <w:rPr>
          <w:color w:val="auto"/>
          <w:lang w:val="en-GB"/>
        </w:rPr>
        <w:br w:type="page"/>
      </w:r>
      <w:bookmarkStart w:id="10" w:name="_Toc361994258"/>
      <w:bookmarkStart w:id="11" w:name="_Toc362264686"/>
      <w:bookmarkStart w:id="12" w:name="_Toc362265197"/>
      <w:bookmarkStart w:id="13" w:name="_Toc362270176"/>
      <w:bookmarkStart w:id="14" w:name="_Toc362273141"/>
      <w:bookmarkStart w:id="15" w:name="_Toc342492422"/>
      <w:bookmarkStart w:id="16" w:name="_Toc342492453"/>
      <w:bookmarkStart w:id="17" w:name="_Toc342492480"/>
      <w:bookmarkStart w:id="18" w:name="_Toc342491633"/>
      <w:bookmarkStart w:id="19" w:name="_Toc342492423"/>
      <w:bookmarkStart w:id="20" w:name="_Toc342492454"/>
      <w:bookmarkStart w:id="21" w:name="_Toc342492481"/>
      <w:bookmarkStart w:id="22" w:name="_Toc375731690"/>
      <w:bookmarkStart w:id="23" w:name="_Toc339273226"/>
      <w:bookmarkStart w:id="24" w:name="_Toc339273227"/>
      <w:bookmarkStart w:id="25" w:name="_Toc286837451"/>
      <w:bookmarkStart w:id="26" w:name="_Toc375731691"/>
      <w:bookmarkStart w:id="27" w:name="_Toc361994262"/>
      <w:bookmarkStart w:id="28" w:name="_Toc362264690"/>
      <w:bookmarkStart w:id="29" w:name="_Toc362265201"/>
      <w:bookmarkStart w:id="30" w:name="_Toc362270180"/>
      <w:bookmarkStart w:id="31" w:name="_Toc362273145"/>
      <w:bookmarkStart w:id="32" w:name="_Toc375731692"/>
      <w:bookmarkStart w:id="33" w:name="_Toc342656388"/>
      <w:bookmarkStart w:id="34" w:name="_Toc342656484"/>
      <w:bookmarkStart w:id="35" w:name="_Toc342659634"/>
      <w:bookmarkStart w:id="36" w:name="_Toc375731700"/>
      <w:bookmarkStart w:id="37" w:name="_Toc375731701"/>
      <w:bookmarkStart w:id="38" w:name="_Toc375731702"/>
      <w:bookmarkStart w:id="39" w:name="_Toc375731704"/>
      <w:bookmarkStart w:id="40" w:name="_Toc375731705"/>
      <w:bookmarkStart w:id="41" w:name="_Toc375731706"/>
      <w:bookmarkStart w:id="42" w:name="_Toc375731707"/>
      <w:bookmarkStart w:id="43" w:name="_Toc375731708"/>
      <w:bookmarkStart w:id="44" w:name="_Toc342491592"/>
      <w:bookmarkStart w:id="45" w:name="_Toc342491636"/>
      <w:bookmarkStart w:id="46" w:name="_Toc342491690"/>
      <w:bookmarkStart w:id="47" w:name="_Toc342491716"/>
      <w:bookmarkStart w:id="48" w:name="_Toc342491770"/>
      <w:bookmarkStart w:id="49" w:name="_Toc342491817"/>
      <w:bookmarkStart w:id="50" w:name="_Toc342491946"/>
      <w:bookmarkStart w:id="51" w:name="_Toc342492220"/>
      <w:bookmarkStart w:id="52" w:name="_Toc342492270"/>
      <w:bookmarkStart w:id="53" w:name="_Toc342492294"/>
      <w:bookmarkStart w:id="54" w:name="_Toc342492320"/>
      <w:bookmarkStart w:id="55" w:name="_Toc342492426"/>
      <w:bookmarkStart w:id="56" w:name="_Toc342492457"/>
      <w:bookmarkStart w:id="57" w:name="_Toc342492484"/>
      <w:bookmarkStart w:id="58" w:name="_Toc375731710"/>
      <w:bookmarkStart w:id="59" w:name="_Toc375731713"/>
      <w:bookmarkStart w:id="60" w:name="_Toc375731714"/>
      <w:bookmarkStart w:id="61" w:name="_Toc375731715"/>
      <w:bookmarkStart w:id="62" w:name="_Toc375731716"/>
      <w:bookmarkStart w:id="63" w:name="_Toc375731717"/>
      <w:bookmarkStart w:id="64" w:name="_Toc342491596"/>
      <w:bookmarkStart w:id="65" w:name="_Toc342491640"/>
      <w:bookmarkStart w:id="66" w:name="_Toc342491694"/>
      <w:bookmarkStart w:id="67" w:name="_Toc342491720"/>
      <w:bookmarkStart w:id="68" w:name="_Toc342491774"/>
      <w:bookmarkStart w:id="69" w:name="_Toc342491821"/>
      <w:bookmarkStart w:id="70" w:name="_Toc342491950"/>
      <w:bookmarkStart w:id="71" w:name="_Toc342492224"/>
      <w:bookmarkStart w:id="72" w:name="_Toc342492274"/>
      <w:bookmarkStart w:id="73" w:name="_Toc342492298"/>
      <w:bookmarkStart w:id="74" w:name="_Toc342492324"/>
      <w:bookmarkStart w:id="75" w:name="_Toc342492430"/>
      <w:bookmarkStart w:id="76" w:name="_Toc342492461"/>
      <w:bookmarkStart w:id="77" w:name="_Toc342492488"/>
      <w:bookmarkStart w:id="78" w:name="_Toc375731724"/>
      <w:bookmarkStart w:id="79" w:name="_Toc375731732"/>
      <w:bookmarkStart w:id="80" w:name="_Toc375731735"/>
      <w:bookmarkStart w:id="81" w:name="_Toc342491601"/>
      <w:bookmarkStart w:id="82" w:name="_Toc342491645"/>
      <w:bookmarkStart w:id="83" w:name="_Toc342491699"/>
      <w:bookmarkStart w:id="84" w:name="_Toc342491725"/>
      <w:bookmarkStart w:id="85" w:name="_Toc342491779"/>
      <w:bookmarkStart w:id="86" w:name="_Toc342491826"/>
      <w:bookmarkStart w:id="87" w:name="_Toc342491955"/>
      <w:bookmarkStart w:id="88" w:name="_Toc342492229"/>
      <w:bookmarkStart w:id="89" w:name="_Toc342492279"/>
      <w:bookmarkStart w:id="90" w:name="_Toc342492303"/>
      <w:bookmarkStart w:id="91" w:name="_Toc342492329"/>
      <w:bookmarkStart w:id="92" w:name="_Toc342492435"/>
      <w:bookmarkStart w:id="93" w:name="_Toc342492466"/>
      <w:bookmarkStart w:id="94" w:name="_Toc342492493"/>
      <w:bookmarkStart w:id="95" w:name="_Toc342491602"/>
      <w:bookmarkStart w:id="96" w:name="_Toc342491646"/>
      <w:bookmarkStart w:id="97" w:name="_Toc342491700"/>
      <w:bookmarkStart w:id="98" w:name="_Toc342491726"/>
      <w:bookmarkStart w:id="99" w:name="_Toc342491780"/>
      <w:bookmarkStart w:id="100" w:name="_Toc342491827"/>
      <w:bookmarkStart w:id="101" w:name="_Toc342491956"/>
      <w:bookmarkStart w:id="102" w:name="_Toc342492230"/>
      <w:bookmarkStart w:id="103" w:name="_Toc342492280"/>
      <w:bookmarkStart w:id="104" w:name="_Toc342492304"/>
      <w:bookmarkStart w:id="105" w:name="_Toc342492330"/>
      <w:bookmarkStart w:id="106" w:name="_Toc342492436"/>
      <w:bookmarkStart w:id="107" w:name="_Toc342492467"/>
      <w:bookmarkStart w:id="108" w:name="_Toc342492494"/>
      <w:bookmarkStart w:id="109" w:name="_Toc375731739"/>
      <w:bookmarkStart w:id="110" w:name="_Toc375731740"/>
      <w:bookmarkStart w:id="111" w:name="_Toc375731741"/>
      <w:bookmarkStart w:id="112" w:name="_Toc375731742"/>
      <w:bookmarkStart w:id="113" w:name="_Toc375731743"/>
      <w:bookmarkStart w:id="114" w:name="_Toc375731745"/>
      <w:bookmarkStart w:id="115" w:name="_Toc286917728"/>
      <w:bookmarkStart w:id="116" w:name="_Toc286917729"/>
      <w:bookmarkStart w:id="117" w:name="_Toc286917731"/>
      <w:bookmarkStart w:id="118" w:name="_Toc286917732"/>
      <w:bookmarkStart w:id="119" w:name="_Toc286917733"/>
      <w:bookmarkStart w:id="120" w:name="_Toc286917734"/>
      <w:bookmarkStart w:id="121" w:name="_Toc286917735"/>
      <w:bookmarkStart w:id="122" w:name="_Toc286917736"/>
      <w:bookmarkStart w:id="123" w:name="_Toc286917737"/>
      <w:bookmarkStart w:id="124" w:name="_Toc286917738"/>
      <w:bookmarkStart w:id="125" w:name="_Toc375731748"/>
      <w:bookmarkStart w:id="126" w:name="_Toc375731750"/>
      <w:bookmarkStart w:id="127" w:name="_Toc375731751"/>
      <w:bookmarkStart w:id="128" w:name="_Toc375731752"/>
      <w:bookmarkStart w:id="129" w:name="_Toc375731753"/>
      <w:bookmarkStart w:id="130" w:name="_Toc375731756"/>
      <w:bookmarkStart w:id="131" w:name="_Toc375731759"/>
      <w:bookmarkStart w:id="132" w:name="_Toc375731760"/>
      <w:bookmarkStart w:id="133" w:name="_Toc375731761"/>
      <w:bookmarkStart w:id="134" w:name="_Toc384682987"/>
      <w:bookmarkStart w:id="135" w:name="_Toc391913667"/>
      <w:bookmarkStart w:id="136" w:name="_Toc402543815"/>
      <w:bookmarkEnd w:id="5"/>
      <w:bookmarkEnd w:id="6"/>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r w:rsidR="00BE4C8B" w:rsidRPr="00E14060">
        <w:rPr>
          <w:color w:val="auto"/>
          <w:lang w:val="en-GB"/>
        </w:rPr>
        <w:lastRenderedPageBreak/>
        <w:t>Systematic literature review</w:t>
      </w:r>
      <w:bookmarkEnd w:id="134"/>
      <w:bookmarkEnd w:id="135"/>
      <w:bookmarkEnd w:id="136"/>
    </w:p>
    <w:p w14:paraId="42D2389D" w14:textId="5B82967E" w:rsidR="000261D0" w:rsidRPr="00E14060" w:rsidRDefault="000261D0" w:rsidP="00447896">
      <w:pPr>
        <w:autoSpaceDE w:val="0"/>
        <w:autoSpaceDN w:val="0"/>
        <w:adjustRightInd w:val="0"/>
        <w:spacing w:before="240" w:after="240" w:line="360" w:lineRule="auto"/>
        <w:rPr>
          <w:sz w:val="24"/>
          <w:szCs w:val="24"/>
          <w:lang w:val="en-GB"/>
        </w:rPr>
      </w:pPr>
      <w:r w:rsidRPr="00E14060">
        <w:rPr>
          <w:sz w:val="24"/>
          <w:szCs w:val="24"/>
          <w:lang w:val="en-GB"/>
        </w:rPr>
        <w:t>A systematic literature review was conducted to identify clinical evidence for the efficacy and safety of treatments for adult ADHD. The databases and corresponding search strategies were selected according to NICE guidelines</w:t>
      </w:r>
      <w:r w:rsidR="00EE0E99" w:rsidRPr="00E14060">
        <w:rPr>
          <w:sz w:val="24"/>
          <w:szCs w:val="24"/>
          <w:lang w:val="en-GB"/>
        </w:rPr>
        <w:t xml:space="preserve"> (NICE, 20</w:t>
      </w:r>
      <w:r w:rsidR="009F1821" w:rsidRPr="00E14060">
        <w:rPr>
          <w:sz w:val="24"/>
          <w:szCs w:val="24"/>
          <w:lang w:val="en-GB"/>
        </w:rPr>
        <w:t>12</w:t>
      </w:r>
      <w:r w:rsidR="00EE0E99" w:rsidRPr="00E14060">
        <w:rPr>
          <w:sz w:val="24"/>
          <w:szCs w:val="24"/>
          <w:lang w:val="en-GB"/>
        </w:rPr>
        <w:t>)</w:t>
      </w:r>
      <w:r w:rsidRPr="00E14060">
        <w:rPr>
          <w:sz w:val="24"/>
          <w:szCs w:val="24"/>
          <w:lang w:val="en-GB"/>
        </w:rPr>
        <w:t>.</w:t>
      </w:r>
      <w:r w:rsidR="00241DBD" w:rsidRPr="00E14060">
        <w:rPr>
          <w:sz w:val="24"/>
          <w:szCs w:val="24"/>
          <w:lang w:val="en-GB"/>
        </w:rPr>
        <w:t xml:space="preserve"> </w:t>
      </w:r>
    </w:p>
    <w:p w14:paraId="15D2C53E" w14:textId="77777777" w:rsidR="00E101E3" w:rsidRPr="00E14060" w:rsidRDefault="00E101E3" w:rsidP="00AD0074">
      <w:pPr>
        <w:pStyle w:val="Heading2"/>
        <w:tabs>
          <w:tab w:val="clear" w:pos="936"/>
          <w:tab w:val="clear" w:pos="1152"/>
          <w:tab w:val="left" w:pos="0"/>
        </w:tabs>
        <w:ind w:left="0" w:firstLine="0"/>
        <w:rPr>
          <w:color w:val="auto"/>
          <w:lang w:val="en-GB"/>
        </w:rPr>
      </w:pPr>
      <w:bookmarkStart w:id="137" w:name="_Toc384682988"/>
      <w:bookmarkStart w:id="138" w:name="_Toc391913668"/>
      <w:bookmarkStart w:id="139" w:name="_Toc402543816"/>
      <w:r w:rsidRPr="00E14060">
        <w:rPr>
          <w:color w:val="auto"/>
          <w:lang w:val="en-GB"/>
        </w:rPr>
        <w:t>Literature search strategy</w:t>
      </w:r>
      <w:bookmarkEnd w:id="137"/>
      <w:bookmarkEnd w:id="138"/>
      <w:bookmarkEnd w:id="139"/>
      <w:r w:rsidRPr="00E14060">
        <w:rPr>
          <w:color w:val="auto"/>
          <w:lang w:val="en-GB"/>
        </w:rPr>
        <w:t xml:space="preserve"> </w:t>
      </w:r>
    </w:p>
    <w:p w14:paraId="51E585B5" w14:textId="164F04DA" w:rsidR="000261D0" w:rsidRPr="00E14060" w:rsidRDefault="00BB14F0" w:rsidP="000261D0">
      <w:pPr>
        <w:autoSpaceDE w:val="0"/>
        <w:autoSpaceDN w:val="0"/>
        <w:adjustRightInd w:val="0"/>
        <w:spacing w:before="240" w:after="240" w:line="360" w:lineRule="auto"/>
        <w:rPr>
          <w:sz w:val="24"/>
          <w:lang w:val="en-GB"/>
        </w:rPr>
      </w:pPr>
      <w:r w:rsidRPr="00E14060">
        <w:rPr>
          <w:sz w:val="24"/>
          <w:lang w:val="en-GB"/>
        </w:rPr>
        <w:t>Prior to initiating the systematic literature review, a</w:t>
      </w:r>
      <w:r w:rsidR="00C45254" w:rsidRPr="00E14060">
        <w:rPr>
          <w:sz w:val="24"/>
          <w:lang w:val="en-GB"/>
        </w:rPr>
        <w:t xml:space="preserve"> comprehensive search strategy was developed. </w:t>
      </w:r>
      <w:r w:rsidR="000261D0" w:rsidRPr="00E14060">
        <w:rPr>
          <w:sz w:val="24"/>
          <w:lang w:val="en-GB"/>
        </w:rPr>
        <w:t xml:space="preserve">The </w:t>
      </w:r>
      <w:r w:rsidR="00D42E85" w:rsidRPr="00E14060">
        <w:rPr>
          <w:sz w:val="24"/>
          <w:lang w:val="en-GB"/>
        </w:rPr>
        <w:t xml:space="preserve">interventions </w:t>
      </w:r>
      <w:r w:rsidR="00C30AC8" w:rsidRPr="00E14060">
        <w:rPr>
          <w:sz w:val="24"/>
          <w:lang w:val="en-GB"/>
        </w:rPr>
        <w:t>of interest for this study</w:t>
      </w:r>
      <w:r w:rsidR="00D42E85" w:rsidRPr="00E14060">
        <w:rPr>
          <w:sz w:val="24"/>
          <w:lang w:val="en-GB"/>
        </w:rPr>
        <w:t xml:space="preserve"> included</w:t>
      </w:r>
      <w:r w:rsidR="000261D0" w:rsidRPr="00E14060">
        <w:rPr>
          <w:sz w:val="24"/>
          <w:lang w:val="en-GB"/>
        </w:rPr>
        <w:t xml:space="preserve"> LDX and </w:t>
      </w:r>
      <w:r w:rsidR="00D56607" w:rsidRPr="00E14060">
        <w:rPr>
          <w:sz w:val="24"/>
          <w:lang w:val="en-GB"/>
        </w:rPr>
        <w:t xml:space="preserve">other drugs that are approved for </w:t>
      </w:r>
      <w:r w:rsidR="000261D0" w:rsidRPr="00E14060">
        <w:rPr>
          <w:sz w:val="24"/>
          <w:lang w:val="en-GB"/>
        </w:rPr>
        <w:t>the treatment of adult ADHD</w:t>
      </w:r>
      <w:r w:rsidR="00D56607" w:rsidRPr="00E14060">
        <w:rPr>
          <w:sz w:val="24"/>
          <w:lang w:val="en-GB"/>
        </w:rPr>
        <w:t xml:space="preserve"> in the UK</w:t>
      </w:r>
      <w:r w:rsidR="000261D0" w:rsidRPr="00E14060">
        <w:rPr>
          <w:sz w:val="24"/>
          <w:lang w:val="en-GB"/>
        </w:rPr>
        <w:t>. Systematic filters for population, age, and study design were constructed and applied to limit results to randomized controlled trials</w:t>
      </w:r>
      <w:r w:rsidR="00C30AC8" w:rsidRPr="00E14060">
        <w:rPr>
          <w:sz w:val="24"/>
          <w:lang w:val="en-GB"/>
        </w:rPr>
        <w:t xml:space="preserve">, </w:t>
      </w:r>
      <w:r w:rsidR="00C36444" w:rsidRPr="00E14060">
        <w:rPr>
          <w:sz w:val="24"/>
          <w:lang w:val="en-GB"/>
        </w:rPr>
        <w:t xml:space="preserve">non-randomized </w:t>
      </w:r>
      <w:r w:rsidR="00C30AC8" w:rsidRPr="00E14060">
        <w:rPr>
          <w:sz w:val="24"/>
          <w:lang w:val="en-GB"/>
        </w:rPr>
        <w:t xml:space="preserve">controlled trials, and systematic reviews concerning the pharmacologic treatment of </w:t>
      </w:r>
      <w:r w:rsidR="000261D0" w:rsidRPr="00E14060">
        <w:rPr>
          <w:sz w:val="24"/>
          <w:lang w:val="en-GB"/>
        </w:rPr>
        <w:t xml:space="preserve">adults with ADHD. </w:t>
      </w:r>
      <w:r w:rsidR="005E4D9D" w:rsidRPr="00E14060">
        <w:rPr>
          <w:sz w:val="24"/>
          <w:lang w:val="en-GB"/>
        </w:rPr>
        <w:t xml:space="preserve">Search </w:t>
      </w:r>
      <w:r w:rsidR="00DE2037" w:rsidRPr="00E14060">
        <w:rPr>
          <w:sz w:val="24"/>
          <w:lang w:val="en-GB"/>
        </w:rPr>
        <w:t>f</w:t>
      </w:r>
      <w:r w:rsidR="000261D0" w:rsidRPr="00E14060">
        <w:rPr>
          <w:sz w:val="24"/>
          <w:lang w:val="en-GB"/>
        </w:rPr>
        <w:t>ilters and keywords were constructed according to NICE guidelines</w:t>
      </w:r>
      <w:r w:rsidR="00A9190B" w:rsidRPr="00E14060">
        <w:rPr>
          <w:sz w:val="24"/>
          <w:lang w:val="en-GB"/>
        </w:rPr>
        <w:t xml:space="preserve"> (NICE, 20</w:t>
      </w:r>
      <w:r w:rsidR="00F55B7E" w:rsidRPr="00E14060">
        <w:rPr>
          <w:sz w:val="24"/>
          <w:lang w:val="en-GB"/>
        </w:rPr>
        <w:t>12</w:t>
      </w:r>
      <w:r w:rsidR="00A9190B" w:rsidRPr="00E14060">
        <w:rPr>
          <w:sz w:val="24"/>
          <w:lang w:val="en-GB"/>
        </w:rPr>
        <w:t>)</w:t>
      </w:r>
      <w:r w:rsidR="000261D0" w:rsidRPr="00E14060">
        <w:rPr>
          <w:sz w:val="24"/>
          <w:lang w:val="en-GB"/>
        </w:rPr>
        <w:t xml:space="preserve">. The search terms comprised both keyword terminology and </w:t>
      </w:r>
      <w:r w:rsidR="00C30AC8" w:rsidRPr="00E14060">
        <w:rPr>
          <w:sz w:val="24"/>
          <w:lang w:val="en-GB"/>
        </w:rPr>
        <w:t xml:space="preserve">database-specific headings, such as Emtree terms, specific to EMBASE, or </w:t>
      </w:r>
      <w:r w:rsidR="000261D0" w:rsidRPr="00E14060">
        <w:rPr>
          <w:sz w:val="24"/>
          <w:lang w:val="en-GB"/>
        </w:rPr>
        <w:t>Medical Subject Headings (MeSH)</w:t>
      </w:r>
      <w:r w:rsidR="00C30AC8" w:rsidRPr="00E14060">
        <w:rPr>
          <w:sz w:val="24"/>
          <w:lang w:val="en-GB"/>
        </w:rPr>
        <w:t xml:space="preserve">, </w:t>
      </w:r>
      <w:r w:rsidR="00D171C2" w:rsidRPr="00E14060">
        <w:rPr>
          <w:sz w:val="24"/>
          <w:lang w:val="en-GB"/>
        </w:rPr>
        <w:t>specific to</w:t>
      </w:r>
      <w:r w:rsidR="00C30AC8" w:rsidRPr="00E14060">
        <w:rPr>
          <w:sz w:val="24"/>
          <w:lang w:val="en-GB"/>
        </w:rPr>
        <w:t xml:space="preserve"> MEDLINE, CINAHL, and The Cochrane Libraries</w:t>
      </w:r>
      <w:r w:rsidR="000261D0" w:rsidRPr="00E14060">
        <w:rPr>
          <w:sz w:val="24"/>
          <w:lang w:val="en-GB"/>
        </w:rPr>
        <w:t xml:space="preserve">. </w:t>
      </w:r>
      <w:r w:rsidR="00B458A1" w:rsidRPr="00E14060">
        <w:rPr>
          <w:sz w:val="24"/>
          <w:lang w:val="en-GB"/>
        </w:rPr>
        <w:t>The search</w:t>
      </w:r>
      <w:r w:rsidR="00B05B41" w:rsidRPr="00E14060">
        <w:rPr>
          <w:sz w:val="24"/>
          <w:lang w:val="en-GB"/>
        </w:rPr>
        <w:t>es were conducted in the first week of September 2013 and</w:t>
      </w:r>
      <w:r w:rsidR="00B458A1" w:rsidRPr="00E14060">
        <w:rPr>
          <w:sz w:val="24"/>
          <w:lang w:val="en-GB"/>
        </w:rPr>
        <w:t xml:space="preserve"> covered</w:t>
      </w:r>
      <w:r w:rsidR="00B05B41" w:rsidRPr="00E14060">
        <w:rPr>
          <w:sz w:val="24"/>
          <w:lang w:val="en-GB"/>
        </w:rPr>
        <w:t xml:space="preserve"> articles published</w:t>
      </w:r>
      <w:r w:rsidR="00B458A1" w:rsidRPr="00E14060">
        <w:rPr>
          <w:sz w:val="24"/>
          <w:lang w:val="en-GB"/>
        </w:rPr>
        <w:t xml:space="preserve"> through the end of August 2013. </w:t>
      </w:r>
      <w:r w:rsidR="000261D0" w:rsidRPr="00E14060">
        <w:rPr>
          <w:sz w:val="24"/>
          <w:lang w:val="en-GB"/>
        </w:rPr>
        <w:t xml:space="preserve">Full listings of </w:t>
      </w:r>
      <w:r w:rsidR="00B458A1" w:rsidRPr="00E14060">
        <w:rPr>
          <w:sz w:val="24"/>
          <w:lang w:val="en-GB"/>
        </w:rPr>
        <w:t xml:space="preserve">search dates and </w:t>
      </w:r>
      <w:r w:rsidR="000261D0" w:rsidRPr="00E14060">
        <w:rPr>
          <w:sz w:val="24"/>
          <w:lang w:val="en-GB"/>
        </w:rPr>
        <w:t xml:space="preserve">search terms for each database are </w:t>
      </w:r>
      <w:r w:rsidR="00EB6503" w:rsidRPr="00E14060">
        <w:rPr>
          <w:sz w:val="24"/>
          <w:lang w:val="en-GB"/>
        </w:rPr>
        <w:t>available on request</w:t>
      </w:r>
      <w:r w:rsidR="000261D0" w:rsidRPr="00E14060">
        <w:rPr>
          <w:sz w:val="24"/>
          <w:lang w:val="en-GB"/>
        </w:rPr>
        <w:t>.</w:t>
      </w:r>
    </w:p>
    <w:p w14:paraId="6D4754B5" w14:textId="77777777" w:rsidR="000261D0" w:rsidRPr="00E14060" w:rsidRDefault="000261D0" w:rsidP="00447896">
      <w:pPr>
        <w:autoSpaceDE w:val="0"/>
        <w:autoSpaceDN w:val="0"/>
        <w:adjustRightInd w:val="0"/>
        <w:spacing w:before="240" w:after="240" w:line="360" w:lineRule="auto"/>
        <w:rPr>
          <w:sz w:val="24"/>
          <w:lang w:val="en-GB"/>
        </w:rPr>
      </w:pPr>
      <w:r w:rsidRPr="00E14060">
        <w:rPr>
          <w:sz w:val="24"/>
          <w:lang w:val="en-GB"/>
        </w:rPr>
        <w:t>The following databases were searched, using the interface indicated in brackets:</w:t>
      </w:r>
    </w:p>
    <w:p w14:paraId="6489896E" w14:textId="77777777" w:rsidR="000261D0" w:rsidRPr="00E14060" w:rsidRDefault="000261D0" w:rsidP="00571887">
      <w:pPr>
        <w:pStyle w:val="BMSBodyText"/>
        <w:numPr>
          <w:ilvl w:val="0"/>
          <w:numId w:val="26"/>
        </w:numPr>
        <w:spacing w:beforeLines="100" w:afterLines="100" w:line="240" w:lineRule="auto"/>
        <w:rPr>
          <w:color w:val="auto"/>
          <w:lang w:val="en-GB"/>
        </w:rPr>
      </w:pPr>
      <w:r w:rsidRPr="00E14060">
        <w:rPr>
          <w:color w:val="auto"/>
          <w:lang w:val="en-GB"/>
        </w:rPr>
        <w:t>Published research</w:t>
      </w:r>
    </w:p>
    <w:p w14:paraId="0B6A2D89" w14:textId="77777777" w:rsidR="000261D0" w:rsidRPr="00E14060" w:rsidRDefault="000261D0" w:rsidP="00571887">
      <w:pPr>
        <w:pStyle w:val="BMSBodyText"/>
        <w:numPr>
          <w:ilvl w:val="1"/>
          <w:numId w:val="26"/>
        </w:numPr>
        <w:spacing w:beforeLines="100" w:afterLines="100" w:line="240" w:lineRule="auto"/>
        <w:rPr>
          <w:color w:val="auto"/>
          <w:lang w:val="en-GB"/>
        </w:rPr>
      </w:pPr>
      <w:r w:rsidRPr="00E14060">
        <w:rPr>
          <w:color w:val="auto"/>
          <w:lang w:val="en-GB"/>
        </w:rPr>
        <w:t xml:space="preserve">MEDLINE and MEDLINE In-Process [OvidSP] </w:t>
      </w:r>
    </w:p>
    <w:p w14:paraId="03619BD1" w14:textId="77777777" w:rsidR="000261D0" w:rsidRPr="00E14060" w:rsidRDefault="000261D0" w:rsidP="00571887">
      <w:pPr>
        <w:pStyle w:val="BMSBodyText"/>
        <w:numPr>
          <w:ilvl w:val="1"/>
          <w:numId w:val="26"/>
        </w:numPr>
        <w:spacing w:beforeLines="100" w:afterLines="100" w:line="240" w:lineRule="auto"/>
        <w:rPr>
          <w:color w:val="auto"/>
          <w:lang w:val="en-GB"/>
        </w:rPr>
      </w:pPr>
      <w:r w:rsidRPr="00E14060">
        <w:rPr>
          <w:color w:val="auto"/>
          <w:lang w:val="en-GB"/>
        </w:rPr>
        <w:t>EMBASE [OvidSP]</w:t>
      </w:r>
    </w:p>
    <w:p w14:paraId="52A3597F" w14:textId="77777777" w:rsidR="000261D0" w:rsidRPr="00E14060" w:rsidRDefault="000261D0" w:rsidP="00571887">
      <w:pPr>
        <w:pStyle w:val="BMSBodyText"/>
        <w:numPr>
          <w:ilvl w:val="1"/>
          <w:numId w:val="26"/>
        </w:numPr>
        <w:spacing w:beforeLines="100" w:afterLines="100" w:line="240" w:lineRule="auto"/>
        <w:rPr>
          <w:color w:val="auto"/>
          <w:lang w:val="en-GB"/>
        </w:rPr>
      </w:pPr>
      <w:r w:rsidRPr="00E14060">
        <w:rPr>
          <w:color w:val="auto"/>
          <w:lang w:val="en-GB"/>
        </w:rPr>
        <w:t>PsychINFO [OvidSP]</w:t>
      </w:r>
    </w:p>
    <w:p w14:paraId="5FAD3C4B" w14:textId="77777777" w:rsidR="000261D0" w:rsidRPr="00E14060" w:rsidRDefault="000261D0" w:rsidP="00571887">
      <w:pPr>
        <w:pStyle w:val="BMSBodyText"/>
        <w:numPr>
          <w:ilvl w:val="1"/>
          <w:numId w:val="26"/>
        </w:numPr>
        <w:spacing w:beforeLines="100" w:afterLines="100" w:line="240" w:lineRule="auto"/>
        <w:rPr>
          <w:color w:val="auto"/>
          <w:lang w:val="en-GB"/>
        </w:rPr>
      </w:pPr>
      <w:r w:rsidRPr="00E14060">
        <w:rPr>
          <w:color w:val="auto"/>
          <w:lang w:val="en-GB"/>
        </w:rPr>
        <w:t>Cochrane Central Register of Controlled Trials (CENTRAL) (Cochrane Library) [OvidSP]</w:t>
      </w:r>
    </w:p>
    <w:p w14:paraId="13EEFD50" w14:textId="77777777" w:rsidR="000261D0" w:rsidRPr="00E14060" w:rsidRDefault="000261D0" w:rsidP="00571887">
      <w:pPr>
        <w:pStyle w:val="BMSBodyText"/>
        <w:numPr>
          <w:ilvl w:val="1"/>
          <w:numId w:val="26"/>
        </w:numPr>
        <w:spacing w:beforeLines="100" w:afterLines="100" w:line="240" w:lineRule="auto"/>
        <w:rPr>
          <w:color w:val="auto"/>
          <w:lang w:val="en-GB"/>
        </w:rPr>
      </w:pPr>
      <w:r w:rsidRPr="00E14060">
        <w:rPr>
          <w:color w:val="auto"/>
          <w:lang w:val="en-GB"/>
        </w:rPr>
        <w:t>CINAHL [EBSCO]</w:t>
      </w:r>
    </w:p>
    <w:p w14:paraId="5278A766" w14:textId="77777777" w:rsidR="000261D0" w:rsidRPr="00E14060" w:rsidRDefault="000261D0" w:rsidP="00571887">
      <w:pPr>
        <w:pStyle w:val="BMSBodyText"/>
        <w:numPr>
          <w:ilvl w:val="1"/>
          <w:numId w:val="26"/>
        </w:numPr>
        <w:spacing w:beforeLines="100" w:afterLines="100" w:line="240" w:lineRule="auto"/>
        <w:rPr>
          <w:color w:val="auto"/>
          <w:lang w:val="en-GB"/>
        </w:rPr>
      </w:pPr>
      <w:r w:rsidRPr="00E14060">
        <w:rPr>
          <w:color w:val="auto"/>
          <w:lang w:val="en-GB"/>
        </w:rPr>
        <w:t>Science Citation Index (SCI) [Web of Knowledge]</w:t>
      </w:r>
    </w:p>
    <w:p w14:paraId="79BADCE0" w14:textId="77777777" w:rsidR="000261D0" w:rsidRPr="00E14060" w:rsidRDefault="000261D0" w:rsidP="00571887">
      <w:pPr>
        <w:pStyle w:val="BMSBodyText"/>
        <w:numPr>
          <w:ilvl w:val="0"/>
          <w:numId w:val="26"/>
        </w:numPr>
        <w:spacing w:beforeLines="100" w:afterLines="100" w:line="240" w:lineRule="auto"/>
        <w:rPr>
          <w:color w:val="auto"/>
          <w:lang w:val="en-GB"/>
        </w:rPr>
      </w:pPr>
      <w:r w:rsidRPr="00E14060">
        <w:rPr>
          <w:color w:val="auto"/>
          <w:lang w:val="en-GB"/>
        </w:rPr>
        <w:lastRenderedPageBreak/>
        <w:t>Guidelines, Systematic Reviews, and HTAs</w:t>
      </w:r>
    </w:p>
    <w:p w14:paraId="10B88200" w14:textId="77777777" w:rsidR="000261D0" w:rsidRPr="00E14060" w:rsidRDefault="000261D0" w:rsidP="00571887">
      <w:pPr>
        <w:pStyle w:val="BMSBodyText"/>
        <w:numPr>
          <w:ilvl w:val="1"/>
          <w:numId w:val="26"/>
        </w:numPr>
        <w:spacing w:beforeLines="100" w:afterLines="100" w:line="240" w:lineRule="auto"/>
        <w:rPr>
          <w:color w:val="auto"/>
          <w:lang w:val="en-GB"/>
        </w:rPr>
      </w:pPr>
      <w:r w:rsidRPr="00E14060">
        <w:rPr>
          <w:color w:val="auto"/>
          <w:lang w:val="en-GB"/>
        </w:rPr>
        <w:t>Cochrane Database of Systematic Reviews (CDSR) [OvidSP]</w:t>
      </w:r>
    </w:p>
    <w:p w14:paraId="116000F6" w14:textId="77777777" w:rsidR="000261D0" w:rsidRPr="00E14060" w:rsidRDefault="000261D0" w:rsidP="00571887">
      <w:pPr>
        <w:pStyle w:val="BMSBodyText"/>
        <w:numPr>
          <w:ilvl w:val="1"/>
          <w:numId w:val="26"/>
        </w:numPr>
        <w:spacing w:beforeLines="100" w:afterLines="100" w:line="240" w:lineRule="auto"/>
        <w:rPr>
          <w:color w:val="auto"/>
          <w:lang w:val="en-GB"/>
        </w:rPr>
      </w:pPr>
      <w:r w:rsidRPr="00E14060">
        <w:rPr>
          <w:color w:val="auto"/>
          <w:lang w:val="en-GB"/>
        </w:rPr>
        <w:t>Database of Abstracts of Reviews of Effects (DARE, via Cochrane Library) [OvidSP]</w:t>
      </w:r>
    </w:p>
    <w:p w14:paraId="2B11915E" w14:textId="57992EDF" w:rsidR="000261D0" w:rsidRPr="00E14060" w:rsidRDefault="000261D0" w:rsidP="00571887">
      <w:pPr>
        <w:pStyle w:val="BMSBodyText"/>
        <w:numPr>
          <w:ilvl w:val="1"/>
          <w:numId w:val="26"/>
        </w:numPr>
        <w:spacing w:beforeLines="100" w:afterLines="100" w:line="240" w:lineRule="auto"/>
        <w:rPr>
          <w:color w:val="auto"/>
          <w:lang w:val="en-GB"/>
        </w:rPr>
      </w:pPr>
      <w:r w:rsidRPr="00E14060">
        <w:rPr>
          <w:color w:val="auto"/>
          <w:lang w:val="en-GB"/>
        </w:rPr>
        <w:t>Health Technology Assessment Database (HTA, via Cochrane Library)</w:t>
      </w:r>
      <w:r w:rsidR="00241DBD" w:rsidRPr="00E14060">
        <w:rPr>
          <w:color w:val="auto"/>
          <w:lang w:val="en-GB"/>
        </w:rPr>
        <w:t xml:space="preserve"> </w:t>
      </w:r>
      <w:r w:rsidRPr="00E14060">
        <w:rPr>
          <w:color w:val="auto"/>
          <w:lang w:val="en-GB"/>
        </w:rPr>
        <w:t>[OvidSP]</w:t>
      </w:r>
    </w:p>
    <w:p w14:paraId="5C029F3C" w14:textId="77777777" w:rsidR="000261D0" w:rsidRPr="00E14060" w:rsidRDefault="000261D0" w:rsidP="00571887">
      <w:pPr>
        <w:pStyle w:val="BMSBodyText"/>
        <w:numPr>
          <w:ilvl w:val="1"/>
          <w:numId w:val="26"/>
        </w:numPr>
        <w:spacing w:beforeLines="100" w:afterLines="100" w:line="240" w:lineRule="auto"/>
        <w:rPr>
          <w:color w:val="auto"/>
          <w:lang w:val="en-GB"/>
        </w:rPr>
      </w:pPr>
      <w:r w:rsidRPr="00E14060">
        <w:rPr>
          <w:color w:val="auto"/>
          <w:lang w:val="en-GB"/>
        </w:rPr>
        <w:t>National Institute for Health and C</w:t>
      </w:r>
      <w:r w:rsidR="00DE2037" w:rsidRPr="00E14060">
        <w:rPr>
          <w:color w:val="auto"/>
          <w:lang w:val="en-GB"/>
        </w:rPr>
        <w:t>are</w:t>
      </w:r>
      <w:r w:rsidRPr="00E14060">
        <w:rPr>
          <w:color w:val="auto"/>
          <w:lang w:val="en-GB"/>
        </w:rPr>
        <w:t xml:space="preserve"> Excellence (NICE) [www.nice.org.uk/]</w:t>
      </w:r>
    </w:p>
    <w:p w14:paraId="6BA3A3B3" w14:textId="77777777" w:rsidR="000261D0" w:rsidRPr="00E14060" w:rsidRDefault="000261D0" w:rsidP="00571887">
      <w:pPr>
        <w:pStyle w:val="BMSBodyText"/>
        <w:numPr>
          <w:ilvl w:val="0"/>
          <w:numId w:val="26"/>
        </w:numPr>
        <w:spacing w:beforeLines="100" w:afterLines="100" w:line="240" w:lineRule="auto"/>
        <w:rPr>
          <w:color w:val="auto"/>
          <w:lang w:val="en-GB"/>
        </w:rPr>
      </w:pPr>
      <w:r w:rsidRPr="00E14060">
        <w:rPr>
          <w:color w:val="auto"/>
          <w:lang w:val="en-GB"/>
        </w:rPr>
        <w:t>Completed and ongoing trials</w:t>
      </w:r>
    </w:p>
    <w:p w14:paraId="7FCC013C" w14:textId="77777777" w:rsidR="000261D0" w:rsidRPr="00E14060" w:rsidRDefault="000261D0" w:rsidP="00DC246A">
      <w:pPr>
        <w:pStyle w:val="BMSBodyText"/>
        <w:numPr>
          <w:ilvl w:val="1"/>
          <w:numId w:val="26"/>
        </w:numPr>
        <w:spacing w:before="0" w:after="0"/>
        <w:rPr>
          <w:color w:val="auto"/>
          <w:lang w:val="en-GB"/>
        </w:rPr>
      </w:pPr>
      <w:r w:rsidRPr="00E14060">
        <w:rPr>
          <w:color w:val="auto"/>
          <w:lang w:val="en-GB"/>
        </w:rPr>
        <w:t>Clinicaltrials.gov [clinicaltrials.gov]</w:t>
      </w:r>
    </w:p>
    <w:p w14:paraId="50585AB3" w14:textId="77777777" w:rsidR="000261D0" w:rsidRPr="00E14060" w:rsidRDefault="000261D0" w:rsidP="00DC246A">
      <w:pPr>
        <w:pStyle w:val="BMSBodyText"/>
        <w:numPr>
          <w:ilvl w:val="1"/>
          <w:numId w:val="26"/>
        </w:numPr>
        <w:spacing w:before="0" w:after="0"/>
        <w:rPr>
          <w:color w:val="auto"/>
          <w:lang w:val="en-GB"/>
        </w:rPr>
      </w:pPr>
      <w:r w:rsidRPr="00E14060">
        <w:rPr>
          <w:color w:val="auto"/>
          <w:lang w:val="en-GB"/>
        </w:rPr>
        <w:t xml:space="preserve">ISRCTN Register of Clinical Trials </w:t>
      </w:r>
      <w:r w:rsidR="00A26D49" w:rsidRPr="00E14060">
        <w:rPr>
          <w:color w:val="auto"/>
          <w:lang w:val="en-GB"/>
        </w:rPr>
        <w:t>[http://wwww.controlled-trials.com/isrctn/</w:t>
      </w:r>
      <w:r w:rsidRPr="00E14060">
        <w:rPr>
          <w:color w:val="auto"/>
          <w:lang w:val="en-GB"/>
        </w:rPr>
        <w:t>]</w:t>
      </w:r>
    </w:p>
    <w:p w14:paraId="689C6143" w14:textId="77777777" w:rsidR="000261D0" w:rsidRPr="00E14060" w:rsidRDefault="000261D0" w:rsidP="00DC246A">
      <w:pPr>
        <w:pStyle w:val="BMSBodyText"/>
        <w:numPr>
          <w:ilvl w:val="1"/>
          <w:numId w:val="26"/>
        </w:numPr>
        <w:spacing w:before="0" w:after="0"/>
        <w:rPr>
          <w:color w:val="auto"/>
          <w:lang w:val="en-GB"/>
        </w:rPr>
      </w:pPr>
      <w:r w:rsidRPr="00E14060">
        <w:rPr>
          <w:color w:val="auto"/>
          <w:lang w:val="en-GB"/>
        </w:rPr>
        <w:t>UK Clinical Research Network Study Portfolio (UKCRN) [</w:t>
      </w:r>
      <w:hyperlink r:id="rId11" w:history="1">
        <w:r w:rsidRPr="00E14060">
          <w:rPr>
            <w:color w:val="auto"/>
            <w:lang w:val="en-GB"/>
          </w:rPr>
          <w:t>http://public.ukcrn.org.uk/search/</w:t>
        </w:r>
      </w:hyperlink>
      <w:r w:rsidRPr="00E14060">
        <w:rPr>
          <w:color w:val="auto"/>
          <w:lang w:val="en-GB"/>
        </w:rPr>
        <w:t>]</w:t>
      </w:r>
    </w:p>
    <w:p w14:paraId="524C382E" w14:textId="77777777" w:rsidR="000261D0" w:rsidRPr="00E14060" w:rsidRDefault="000261D0" w:rsidP="00DC246A">
      <w:pPr>
        <w:pStyle w:val="BMSBodyText"/>
        <w:numPr>
          <w:ilvl w:val="1"/>
          <w:numId w:val="26"/>
        </w:numPr>
        <w:spacing w:before="0" w:after="0"/>
        <w:rPr>
          <w:color w:val="auto"/>
          <w:lang w:val="en-GB"/>
        </w:rPr>
      </w:pPr>
      <w:r w:rsidRPr="00E14060">
        <w:rPr>
          <w:color w:val="auto"/>
          <w:lang w:val="en-GB"/>
        </w:rPr>
        <w:t>National Research Register (NRR) Archive [</w:t>
      </w:r>
      <w:hyperlink r:id="rId12" w:history="1">
        <w:r w:rsidRPr="00E14060">
          <w:rPr>
            <w:color w:val="auto"/>
            <w:lang w:val="en-GB"/>
          </w:rPr>
          <w:t>http://www.nihr.ac.uk/Pages/NRRArchive.aspx</w:t>
        </w:r>
      </w:hyperlink>
      <w:r w:rsidRPr="00E14060">
        <w:rPr>
          <w:color w:val="auto"/>
          <w:lang w:val="en-GB"/>
        </w:rPr>
        <w:t>]</w:t>
      </w:r>
    </w:p>
    <w:p w14:paraId="51142BAE" w14:textId="77777777" w:rsidR="000261D0" w:rsidRPr="00E14060" w:rsidRDefault="000261D0" w:rsidP="00DC246A">
      <w:pPr>
        <w:pStyle w:val="BMSBodyText"/>
        <w:numPr>
          <w:ilvl w:val="1"/>
          <w:numId w:val="26"/>
        </w:numPr>
        <w:spacing w:before="0" w:after="0"/>
        <w:rPr>
          <w:color w:val="auto"/>
          <w:lang w:val="en-GB"/>
        </w:rPr>
      </w:pPr>
      <w:r w:rsidRPr="00E14060">
        <w:rPr>
          <w:color w:val="auto"/>
          <w:lang w:val="en-GB"/>
        </w:rPr>
        <w:t>International Clinical Trials Registry Platform (ICTRP) [</w:t>
      </w:r>
      <w:hyperlink r:id="rId13" w:history="1">
        <w:r w:rsidRPr="00E14060">
          <w:rPr>
            <w:color w:val="auto"/>
            <w:lang w:val="en-GB"/>
          </w:rPr>
          <w:t>http://apps.who.int/trialsearch/</w:t>
        </w:r>
      </w:hyperlink>
      <w:r w:rsidRPr="00E14060">
        <w:rPr>
          <w:color w:val="auto"/>
          <w:lang w:val="en-GB"/>
        </w:rPr>
        <w:t>]</w:t>
      </w:r>
    </w:p>
    <w:p w14:paraId="0DDC8C6E" w14:textId="77777777" w:rsidR="000261D0" w:rsidRPr="00E14060" w:rsidRDefault="000261D0" w:rsidP="00571887">
      <w:pPr>
        <w:pStyle w:val="BMSBodyText"/>
        <w:numPr>
          <w:ilvl w:val="0"/>
          <w:numId w:val="26"/>
        </w:numPr>
        <w:spacing w:beforeLines="100" w:afterLines="100" w:line="240" w:lineRule="auto"/>
        <w:rPr>
          <w:color w:val="auto"/>
          <w:lang w:val="en-GB"/>
        </w:rPr>
      </w:pPr>
      <w:r w:rsidRPr="00E14060">
        <w:rPr>
          <w:color w:val="auto"/>
          <w:lang w:val="en-GB"/>
        </w:rPr>
        <w:t>Conference proceedings</w:t>
      </w:r>
    </w:p>
    <w:p w14:paraId="6103FFBF" w14:textId="77777777" w:rsidR="000261D0" w:rsidRPr="00E14060" w:rsidRDefault="000261D0" w:rsidP="00DC246A">
      <w:pPr>
        <w:pStyle w:val="BMSBodyText"/>
        <w:numPr>
          <w:ilvl w:val="1"/>
          <w:numId w:val="26"/>
        </w:numPr>
        <w:spacing w:before="0" w:after="0"/>
        <w:rPr>
          <w:color w:val="auto"/>
          <w:lang w:val="en-GB"/>
        </w:rPr>
      </w:pPr>
      <w:r w:rsidRPr="00E14060">
        <w:rPr>
          <w:color w:val="auto"/>
          <w:lang w:val="en-GB"/>
        </w:rPr>
        <w:t>American Psychiatric Association (APA) Conference Proceedings (2008-2013)</w:t>
      </w:r>
      <w:r w:rsidR="00D171C2" w:rsidRPr="00E14060">
        <w:rPr>
          <w:color w:val="auto"/>
          <w:lang w:val="en-GB"/>
        </w:rPr>
        <w:t>[PDFs of APA Conference Abstracts, available at http://www.psychiatry.org]</w:t>
      </w:r>
    </w:p>
    <w:p w14:paraId="71772D88" w14:textId="77777777" w:rsidR="000261D0" w:rsidRPr="00E14060" w:rsidRDefault="000261D0" w:rsidP="00DC246A">
      <w:pPr>
        <w:pStyle w:val="BMSBodyText"/>
        <w:numPr>
          <w:ilvl w:val="1"/>
          <w:numId w:val="26"/>
        </w:numPr>
        <w:spacing w:before="0" w:after="0"/>
        <w:rPr>
          <w:color w:val="auto"/>
          <w:lang w:val="en-GB"/>
        </w:rPr>
      </w:pPr>
      <w:r w:rsidRPr="00E14060">
        <w:rPr>
          <w:color w:val="auto"/>
          <w:lang w:val="en-GB"/>
        </w:rPr>
        <w:t>Conference Proceedings Citation Index (CPSI) [Web of Knowledge]</w:t>
      </w:r>
    </w:p>
    <w:p w14:paraId="041AB0DF" w14:textId="77777777" w:rsidR="00254642" w:rsidRPr="00E14060" w:rsidRDefault="00254642" w:rsidP="00DC246A">
      <w:pPr>
        <w:pStyle w:val="BMSBodyText"/>
        <w:spacing w:before="0" w:after="0"/>
        <w:ind w:left="1080"/>
        <w:rPr>
          <w:color w:val="auto"/>
          <w:lang w:val="en-GB"/>
        </w:rPr>
      </w:pPr>
    </w:p>
    <w:p w14:paraId="0F00153C" w14:textId="77777777" w:rsidR="00086928" w:rsidRPr="00E14060" w:rsidRDefault="00086928" w:rsidP="00C10050">
      <w:pPr>
        <w:pStyle w:val="Heading2"/>
        <w:tabs>
          <w:tab w:val="clear" w:pos="936"/>
          <w:tab w:val="clear" w:pos="1152"/>
          <w:tab w:val="left" w:pos="0"/>
        </w:tabs>
        <w:spacing w:before="0" w:after="0" w:line="360" w:lineRule="auto"/>
        <w:ind w:left="0" w:firstLine="0"/>
        <w:rPr>
          <w:color w:val="auto"/>
          <w:lang w:val="en-GB"/>
        </w:rPr>
      </w:pPr>
      <w:bookmarkStart w:id="140" w:name="_Toc384682989"/>
      <w:bookmarkStart w:id="141" w:name="_Toc391913669"/>
      <w:bookmarkStart w:id="142" w:name="_Toc402543817"/>
      <w:r w:rsidRPr="00E14060">
        <w:rPr>
          <w:color w:val="auto"/>
          <w:lang w:val="en-GB"/>
        </w:rPr>
        <w:t>Selection Criteria</w:t>
      </w:r>
      <w:bookmarkEnd w:id="140"/>
      <w:bookmarkEnd w:id="141"/>
      <w:bookmarkEnd w:id="142"/>
      <w:r w:rsidRPr="00E14060">
        <w:rPr>
          <w:color w:val="auto"/>
          <w:lang w:val="en-GB"/>
        </w:rPr>
        <w:t xml:space="preserve"> </w:t>
      </w:r>
    </w:p>
    <w:p w14:paraId="113B5772" w14:textId="77777777" w:rsidR="00D42E85" w:rsidRPr="00E14060" w:rsidRDefault="00D42E85" w:rsidP="00C10050">
      <w:pPr>
        <w:adjustRightInd w:val="0"/>
        <w:snapToGrid w:val="0"/>
        <w:spacing w:line="360" w:lineRule="auto"/>
        <w:rPr>
          <w:sz w:val="24"/>
          <w:szCs w:val="24"/>
          <w:lang w:val="en-GB"/>
        </w:rPr>
      </w:pPr>
      <w:r w:rsidRPr="00E14060">
        <w:rPr>
          <w:sz w:val="24"/>
          <w:szCs w:val="24"/>
          <w:lang w:val="en-GB"/>
        </w:rPr>
        <w:t xml:space="preserve">Drugs approved for the treatment of adult ADHD in the UK include </w:t>
      </w:r>
      <w:r w:rsidR="002B73F8" w:rsidRPr="00E14060">
        <w:rPr>
          <w:sz w:val="24"/>
          <w:szCs w:val="24"/>
          <w:lang w:val="en-GB"/>
        </w:rPr>
        <w:t>LDX</w:t>
      </w:r>
      <w:r w:rsidR="00431914" w:rsidRPr="00E14060">
        <w:rPr>
          <w:sz w:val="24"/>
          <w:szCs w:val="24"/>
          <w:lang w:val="en-GB"/>
        </w:rPr>
        <w:t xml:space="preserve">, </w:t>
      </w:r>
      <w:r w:rsidR="006F6803" w:rsidRPr="00E14060">
        <w:rPr>
          <w:sz w:val="24"/>
          <w:szCs w:val="24"/>
          <w:lang w:val="en-GB"/>
        </w:rPr>
        <w:t>ATX</w:t>
      </w:r>
      <w:r w:rsidR="00431914" w:rsidRPr="00E14060">
        <w:rPr>
          <w:sz w:val="24"/>
          <w:szCs w:val="24"/>
          <w:lang w:val="en-GB"/>
        </w:rPr>
        <w:t>,</w:t>
      </w:r>
      <w:r w:rsidR="006F6803" w:rsidRPr="00E14060">
        <w:rPr>
          <w:sz w:val="24"/>
          <w:szCs w:val="24"/>
          <w:lang w:val="en-GB"/>
        </w:rPr>
        <w:t xml:space="preserve"> and MPH. </w:t>
      </w:r>
      <w:r w:rsidR="00DD43E0" w:rsidRPr="00E14060">
        <w:rPr>
          <w:sz w:val="24"/>
          <w:szCs w:val="24"/>
          <w:lang w:val="en-GB"/>
        </w:rPr>
        <w:t xml:space="preserve">MPH included both MPH immediate release (MPH-IR) and MPH extended release (MPH-ER, composed of MPH intermediate release [MPH-intR] with </w:t>
      </w:r>
      <w:r w:rsidR="00DD43E0" w:rsidRPr="00E14060">
        <w:rPr>
          <w:sz w:val="24"/>
          <w:szCs w:val="24"/>
          <w:lang w:val="en-GB"/>
        </w:rPr>
        <w:lastRenderedPageBreak/>
        <w:t xml:space="preserve">effects lasting 8-10 hours and the generally </w:t>
      </w:r>
      <w:r w:rsidR="004C4217" w:rsidRPr="00E14060">
        <w:rPr>
          <w:sz w:val="24"/>
          <w:szCs w:val="24"/>
          <w:lang w:val="en-GB"/>
        </w:rPr>
        <w:t>p</w:t>
      </w:r>
      <w:r w:rsidR="00DD43E0" w:rsidRPr="00E14060">
        <w:rPr>
          <w:sz w:val="24"/>
          <w:szCs w:val="24"/>
          <w:lang w:val="en-GB"/>
        </w:rPr>
        <w:t xml:space="preserve">referred extended release [OROS/ER] with effects lasting 12 hours). </w:t>
      </w:r>
    </w:p>
    <w:p w14:paraId="2C96702E" w14:textId="090D31D8" w:rsidR="000261D0" w:rsidRPr="00E14060" w:rsidRDefault="00D42E85" w:rsidP="00F93B0E">
      <w:pPr>
        <w:adjustRightInd w:val="0"/>
        <w:snapToGrid w:val="0"/>
        <w:spacing w:before="240" w:after="240" w:line="360" w:lineRule="auto"/>
        <w:rPr>
          <w:sz w:val="24"/>
          <w:szCs w:val="24"/>
          <w:lang w:val="en-GB"/>
        </w:rPr>
      </w:pPr>
      <w:r w:rsidRPr="00E14060">
        <w:rPr>
          <w:sz w:val="24"/>
          <w:szCs w:val="24"/>
          <w:lang w:val="en-GB"/>
        </w:rPr>
        <w:t xml:space="preserve">Screening of the search results was conducted according to pre-determined inclusion and exclusion criteria designed to identify randomized controlled trials </w:t>
      </w:r>
      <w:r w:rsidR="004C4217" w:rsidRPr="00E14060">
        <w:rPr>
          <w:sz w:val="24"/>
          <w:szCs w:val="24"/>
          <w:lang w:val="en-GB"/>
        </w:rPr>
        <w:t xml:space="preserve">for </w:t>
      </w:r>
      <w:r w:rsidRPr="00E14060">
        <w:rPr>
          <w:sz w:val="24"/>
          <w:szCs w:val="24"/>
          <w:lang w:val="en-GB"/>
        </w:rPr>
        <w:t>the safety and efficacy of the drugs of interest.</w:t>
      </w:r>
      <w:r w:rsidR="00241DBD" w:rsidRPr="00E14060">
        <w:rPr>
          <w:sz w:val="24"/>
          <w:szCs w:val="24"/>
          <w:lang w:val="en-GB"/>
        </w:rPr>
        <w:t xml:space="preserve"> </w:t>
      </w:r>
      <w:r w:rsidR="000261D0" w:rsidRPr="00E14060">
        <w:rPr>
          <w:sz w:val="24"/>
          <w:szCs w:val="24"/>
          <w:lang w:val="en-GB"/>
        </w:rPr>
        <w:t xml:space="preserve">Screening was conducted in three rounds: first, at the level of the title and/or abstract; second, at the level of the full text article; third, according to criteria specific to RCTs. </w:t>
      </w:r>
      <w:r w:rsidR="00E97BF0" w:rsidRPr="00E14060">
        <w:rPr>
          <w:sz w:val="24"/>
          <w:szCs w:val="24"/>
          <w:lang w:val="en-GB"/>
        </w:rPr>
        <w:t>Studies</w:t>
      </w:r>
      <w:r w:rsidR="000261D0" w:rsidRPr="00E14060">
        <w:rPr>
          <w:sz w:val="24"/>
          <w:szCs w:val="24"/>
          <w:lang w:val="en-GB"/>
        </w:rPr>
        <w:t xml:space="preserve"> meeting </w:t>
      </w:r>
      <w:r w:rsidR="002B73F8" w:rsidRPr="00E14060">
        <w:rPr>
          <w:sz w:val="24"/>
          <w:szCs w:val="24"/>
          <w:lang w:val="en-GB"/>
        </w:rPr>
        <w:t>all the</w:t>
      </w:r>
      <w:r w:rsidR="000261D0" w:rsidRPr="00E14060">
        <w:rPr>
          <w:sz w:val="24"/>
          <w:szCs w:val="24"/>
          <w:lang w:val="en-GB"/>
        </w:rPr>
        <w:t xml:space="preserve"> inclusion criteria at </w:t>
      </w:r>
      <w:r w:rsidR="00E97BF0" w:rsidRPr="00E14060">
        <w:rPr>
          <w:sz w:val="24"/>
          <w:szCs w:val="24"/>
          <w:lang w:val="en-GB"/>
        </w:rPr>
        <w:t>each</w:t>
      </w:r>
      <w:r w:rsidR="000261D0" w:rsidRPr="00E14060">
        <w:rPr>
          <w:sz w:val="24"/>
          <w:szCs w:val="24"/>
          <w:lang w:val="en-GB"/>
        </w:rPr>
        <w:t xml:space="preserve"> level of screening were eligible </w:t>
      </w:r>
      <w:r w:rsidR="008A5F07" w:rsidRPr="00E14060">
        <w:rPr>
          <w:sz w:val="24"/>
          <w:szCs w:val="24"/>
          <w:lang w:val="en-GB"/>
        </w:rPr>
        <w:t>for</w:t>
      </w:r>
      <w:r w:rsidR="000261D0" w:rsidRPr="00E14060">
        <w:rPr>
          <w:sz w:val="24"/>
          <w:szCs w:val="24"/>
          <w:lang w:val="en-GB"/>
        </w:rPr>
        <w:t xml:space="preserve"> the next </w:t>
      </w:r>
      <w:r w:rsidR="00E97BF0" w:rsidRPr="00E14060">
        <w:rPr>
          <w:sz w:val="24"/>
          <w:szCs w:val="24"/>
          <w:lang w:val="en-GB"/>
        </w:rPr>
        <w:t>level</w:t>
      </w:r>
      <w:r w:rsidR="000261D0" w:rsidRPr="00E14060">
        <w:rPr>
          <w:sz w:val="24"/>
          <w:szCs w:val="24"/>
          <w:lang w:val="en-GB"/>
        </w:rPr>
        <w:t xml:space="preserve"> o</w:t>
      </w:r>
      <w:r w:rsidR="002B73F8" w:rsidRPr="00E14060">
        <w:rPr>
          <w:sz w:val="24"/>
          <w:szCs w:val="24"/>
          <w:lang w:val="en-GB"/>
        </w:rPr>
        <w:t xml:space="preserve">f </w:t>
      </w:r>
      <w:r w:rsidR="000261D0" w:rsidRPr="00E14060">
        <w:rPr>
          <w:sz w:val="24"/>
          <w:szCs w:val="24"/>
          <w:lang w:val="en-GB"/>
        </w:rPr>
        <w:t xml:space="preserve">screening. </w:t>
      </w:r>
      <w:r w:rsidR="00F1011B" w:rsidRPr="00E14060">
        <w:rPr>
          <w:sz w:val="24"/>
          <w:szCs w:val="24"/>
          <w:lang w:val="en-GB"/>
        </w:rPr>
        <w:t xml:space="preserve">Studies were selected independently by two reviewers, with discrepancies resolved through consensus, or consultation with a third reviewer if a consensus could not be reached. </w:t>
      </w:r>
    </w:p>
    <w:p w14:paraId="225A5E4B" w14:textId="77777777" w:rsidR="007A1779" w:rsidRPr="00E14060" w:rsidRDefault="007A1779" w:rsidP="004C5288">
      <w:pPr>
        <w:shd w:val="clear" w:color="auto" w:fill="FFFFFF"/>
        <w:spacing w:after="120" w:line="360" w:lineRule="auto"/>
        <w:contextualSpacing/>
        <w:rPr>
          <w:sz w:val="24"/>
          <w:szCs w:val="24"/>
          <w:lang w:val="en-GB" w:eastAsia="zh-CN"/>
        </w:rPr>
      </w:pPr>
      <w:r w:rsidRPr="00E14060">
        <w:rPr>
          <w:sz w:val="24"/>
          <w:szCs w:val="24"/>
          <w:lang w:val="en-GB"/>
        </w:rPr>
        <w:t>To be eligible for inclusion in efficacy analyses, a</w:t>
      </w:r>
      <w:r w:rsidR="006F6803" w:rsidRPr="00E14060">
        <w:rPr>
          <w:sz w:val="24"/>
          <w:szCs w:val="24"/>
          <w:lang w:val="en-GB"/>
        </w:rPr>
        <w:t>n</w:t>
      </w:r>
      <w:r w:rsidRPr="00E14060">
        <w:rPr>
          <w:sz w:val="24"/>
          <w:szCs w:val="24"/>
          <w:lang w:val="en-GB"/>
        </w:rPr>
        <w:t xml:space="preserve"> </w:t>
      </w:r>
      <w:r w:rsidRPr="00E14060">
        <w:rPr>
          <w:sz w:val="24"/>
          <w:szCs w:val="24"/>
          <w:lang w:val="en-GB" w:eastAsia="zh-CN"/>
        </w:rPr>
        <w:t>RCT had to report at least one of the efficacy outcomes</w:t>
      </w:r>
      <w:r w:rsidR="00864915" w:rsidRPr="00E14060">
        <w:rPr>
          <w:sz w:val="24"/>
          <w:szCs w:val="24"/>
          <w:lang w:val="en-GB" w:eastAsia="zh-CN"/>
        </w:rPr>
        <w:t xml:space="preserve"> listed in </w:t>
      </w:r>
      <w:r w:rsidR="00864915" w:rsidRPr="00E14060">
        <w:rPr>
          <w:b/>
          <w:sz w:val="24"/>
          <w:szCs w:val="24"/>
          <w:lang w:val="en-GB" w:eastAsia="zh-CN"/>
        </w:rPr>
        <w:t>Table 1</w:t>
      </w:r>
      <w:r w:rsidR="00864915" w:rsidRPr="00E14060">
        <w:rPr>
          <w:sz w:val="24"/>
          <w:szCs w:val="24"/>
          <w:lang w:val="en-GB" w:eastAsia="zh-CN"/>
        </w:rPr>
        <w:t>.</w:t>
      </w:r>
    </w:p>
    <w:p w14:paraId="7FE024F4" w14:textId="77777777" w:rsidR="00530B40" w:rsidRPr="00E14060" w:rsidRDefault="00530B40">
      <w:pPr>
        <w:rPr>
          <w:sz w:val="24"/>
          <w:szCs w:val="24"/>
          <w:lang w:val="en-GB"/>
        </w:rPr>
      </w:pPr>
      <w:r w:rsidRPr="00E14060">
        <w:rPr>
          <w:sz w:val="24"/>
          <w:szCs w:val="24"/>
          <w:lang w:val="en-GB"/>
        </w:rPr>
        <w:br w:type="page"/>
      </w:r>
    </w:p>
    <w:p w14:paraId="54F6B04E" w14:textId="15423D32" w:rsidR="00864915" w:rsidRPr="00E14060" w:rsidRDefault="00AE6A1C" w:rsidP="00A73A4C">
      <w:pPr>
        <w:rPr>
          <w:b/>
          <w:sz w:val="24"/>
          <w:szCs w:val="24"/>
          <w:lang w:val="en-GB"/>
        </w:rPr>
      </w:pPr>
      <w:r w:rsidRPr="00E14060">
        <w:rPr>
          <w:b/>
          <w:sz w:val="24"/>
          <w:szCs w:val="24"/>
          <w:lang w:val="en-GB"/>
        </w:rPr>
        <w:lastRenderedPageBreak/>
        <w:t>Table 1.</w:t>
      </w:r>
      <w:r w:rsidR="00241DBD" w:rsidRPr="00E14060">
        <w:rPr>
          <w:b/>
          <w:sz w:val="24"/>
          <w:szCs w:val="24"/>
          <w:lang w:val="en-GB"/>
        </w:rPr>
        <w:t xml:space="preserve"> </w:t>
      </w:r>
      <w:r w:rsidR="00864915" w:rsidRPr="00E14060">
        <w:rPr>
          <w:b/>
          <w:sz w:val="24"/>
          <w:szCs w:val="24"/>
          <w:lang w:val="en-GB"/>
        </w:rPr>
        <w:t>Outcomes of Interest</w:t>
      </w:r>
    </w:p>
    <w:p w14:paraId="16D6905B" w14:textId="77777777" w:rsidR="00864915" w:rsidRPr="00E14060" w:rsidRDefault="00864915" w:rsidP="00A73A4C">
      <w:pPr>
        <w:rPr>
          <w:lang w:val="en-GB"/>
        </w:rPr>
      </w:pPr>
    </w:p>
    <w:tbl>
      <w:tblPr>
        <w:tblStyle w:val="TableGrid"/>
        <w:tblW w:w="0" w:type="auto"/>
        <w:tblBorders>
          <w:left w:val="none" w:sz="0" w:space="0" w:color="auto"/>
          <w:right w:val="none" w:sz="0" w:space="0" w:color="auto"/>
          <w:insideH w:val="dotted" w:sz="4" w:space="0" w:color="auto"/>
        </w:tblBorders>
        <w:tblLook w:val="04A0" w:firstRow="1" w:lastRow="0" w:firstColumn="1" w:lastColumn="0" w:noHBand="0" w:noVBand="1"/>
      </w:tblPr>
      <w:tblGrid>
        <w:gridCol w:w="10800"/>
      </w:tblGrid>
      <w:tr w:rsidR="00864915" w:rsidRPr="00E14060" w14:paraId="266B22D8" w14:textId="77777777" w:rsidTr="00A73A4C">
        <w:tc>
          <w:tcPr>
            <w:tcW w:w="11016" w:type="dxa"/>
            <w:tcBorders>
              <w:top w:val="single" w:sz="4" w:space="0" w:color="auto"/>
              <w:bottom w:val="single" w:sz="4" w:space="0" w:color="auto"/>
            </w:tcBorders>
          </w:tcPr>
          <w:p w14:paraId="406CBBBD" w14:textId="77777777" w:rsidR="00864915" w:rsidRPr="00E14060" w:rsidRDefault="00864915" w:rsidP="00864915">
            <w:pPr>
              <w:rPr>
                <w:b/>
                <w:lang w:val="en-GB"/>
              </w:rPr>
            </w:pPr>
            <w:r w:rsidRPr="00E14060">
              <w:rPr>
                <w:b/>
                <w:lang w:val="en-GB"/>
              </w:rPr>
              <w:t>Outcome</w:t>
            </w:r>
          </w:p>
        </w:tc>
      </w:tr>
      <w:tr w:rsidR="00864915" w:rsidRPr="00E14060" w14:paraId="4EAF2DA9" w14:textId="77777777" w:rsidTr="00A73A4C">
        <w:tc>
          <w:tcPr>
            <w:tcW w:w="11016" w:type="dxa"/>
            <w:tcBorders>
              <w:top w:val="single" w:sz="4" w:space="0" w:color="auto"/>
            </w:tcBorders>
          </w:tcPr>
          <w:p w14:paraId="7724827F" w14:textId="77777777" w:rsidR="00864915" w:rsidRPr="00E14060" w:rsidRDefault="00864915" w:rsidP="00864915">
            <w:pPr>
              <w:rPr>
                <w:lang w:val="en-GB"/>
              </w:rPr>
            </w:pPr>
            <w:r w:rsidRPr="00E14060">
              <w:rPr>
                <w:sz w:val="24"/>
                <w:szCs w:val="24"/>
                <w:lang w:val="en-GB"/>
              </w:rPr>
              <w:t xml:space="preserve">Adult ADHD Rating Scale-IV (ADHD-RS-IV) </w:t>
            </w:r>
          </w:p>
        </w:tc>
      </w:tr>
      <w:tr w:rsidR="006C2843" w:rsidRPr="00E14060" w14:paraId="4F6B943B" w14:textId="77777777" w:rsidTr="00A73A4C">
        <w:tc>
          <w:tcPr>
            <w:tcW w:w="11016" w:type="dxa"/>
            <w:tcBorders>
              <w:top w:val="single" w:sz="4" w:space="0" w:color="auto"/>
            </w:tcBorders>
          </w:tcPr>
          <w:p w14:paraId="3177790C" w14:textId="77777777" w:rsidR="006C2843" w:rsidRPr="00E14060" w:rsidRDefault="006C2843" w:rsidP="00864915">
            <w:pPr>
              <w:rPr>
                <w:sz w:val="24"/>
                <w:szCs w:val="24"/>
                <w:lang w:val="en-GB"/>
              </w:rPr>
            </w:pPr>
            <w:r w:rsidRPr="00E14060">
              <w:rPr>
                <w:sz w:val="24"/>
                <w:szCs w:val="24"/>
                <w:lang w:val="en-GB"/>
              </w:rPr>
              <w:t>Adult Attention-Deficit/Hyperactivity Disorder Investigator Symptom Rating Scale (AISRS)</w:t>
            </w:r>
          </w:p>
        </w:tc>
      </w:tr>
      <w:tr w:rsidR="00864915" w:rsidRPr="00E14060" w14:paraId="5D5E9715" w14:textId="77777777" w:rsidTr="00A73A4C">
        <w:tc>
          <w:tcPr>
            <w:tcW w:w="11016" w:type="dxa"/>
          </w:tcPr>
          <w:p w14:paraId="6D227139" w14:textId="77777777" w:rsidR="00864915" w:rsidRPr="00E14060" w:rsidRDefault="00864915" w:rsidP="00864915">
            <w:pPr>
              <w:rPr>
                <w:lang w:val="en-GB"/>
              </w:rPr>
            </w:pPr>
            <w:r w:rsidRPr="00E14060">
              <w:rPr>
                <w:sz w:val="24"/>
                <w:szCs w:val="24"/>
                <w:lang w:val="en-GB"/>
              </w:rPr>
              <w:t xml:space="preserve">Clinical Global Impression – Improvement (CGI-I) </w:t>
            </w:r>
          </w:p>
        </w:tc>
      </w:tr>
      <w:tr w:rsidR="00864915" w:rsidRPr="00E14060" w14:paraId="22114B05" w14:textId="77777777" w:rsidTr="00A73A4C">
        <w:tc>
          <w:tcPr>
            <w:tcW w:w="11016" w:type="dxa"/>
          </w:tcPr>
          <w:p w14:paraId="10D6F8BE" w14:textId="77777777" w:rsidR="00864915" w:rsidRPr="00E14060" w:rsidRDefault="00864915" w:rsidP="00864915">
            <w:pPr>
              <w:rPr>
                <w:lang w:val="en-GB"/>
              </w:rPr>
            </w:pPr>
            <w:r w:rsidRPr="00E14060">
              <w:rPr>
                <w:sz w:val="24"/>
                <w:szCs w:val="24"/>
                <w:lang w:val="en-GB"/>
              </w:rPr>
              <w:t>Clinical Global Impression – Severity (CGI-S)</w:t>
            </w:r>
          </w:p>
        </w:tc>
      </w:tr>
      <w:tr w:rsidR="00864915" w:rsidRPr="00E14060" w14:paraId="6A63D1DC" w14:textId="77777777" w:rsidTr="00A73A4C">
        <w:tc>
          <w:tcPr>
            <w:tcW w:w="11016" w:type="dxa"/>
          </w:tcPr>
          <w:p w14:paraId="0C77C8ED" w14:textId="77777777" w:rsidR="00864915" w:rsidRPr="00E14060" w:rsidRDefault="00864915" w:rsidP="00864915">
            <w:pPr>
              <w:rPr>
                <w:lang w:val="en-GB"/>
              </w:rPr>
            </w:pPr>
            <w:r w:rsidRPr="00E14060">
              <w:rPr>
                <w:sz w:val="24"/>
                <w:szCs w:val="24"/>
                <w:lang w:val="en-GB"/>
              </w:rPr>
              <w:t>Conners' Adult ADHD Rating Scale, investigator-rated, screening version (CAARS-Inv:SV)</w:t>
            </w:r>
          </w:p>
        </w:tc>
      </w:tr>
      <w:tr w:rsidR="00864915" w:rsidRPr="00E14060" w14:paraId="73A5EC4C" w14:textId="77777777" w:rsidTr="00A73A4C">
        <w:tc>
          <w:tcPr>
            <w:tcW w:w="11016" w:type="dxa"/>
          </w:tcPr>
          <w:p w14:paraId="1276D3BE" w14:textId="77777777" w:rsidR="00864915" w:rsidRPr="00E14060" w:rsidRDefault="00864915" w:rsidP="00864915">
            <w:pPr>
              <w:rPr>
                <w:lang w:val="en-GB"/>
              </w:rPr>
            </w:pPr>
            <w:r w:rsidRPr="00E14060">
              <w:rPr>
                <w:sz w:val="24"/>
                <w:szCs w:val="24"/>
                <w:lang w:val="en-GB"/>
              </w:rPr>
              <w:t>Conners' Adult ADHD Rating Scale, observer ratings, screening version (CAARS-O:SV)</w:t>
            </w:r>
          </w:p>
        </w:tc>
      </w:tr>
      <w:tr w:rsidR="00864915" w:rsidRPr="00E14060" w14:paraId="71B80641" w14:textId="77777777" w:rsidTr="00A73A4C">
        <w:tc>
          <w:tcPr>
            <w:tcW w:w="11016" w:type="dxa"/>
          </w:tcPr>
          <w:p w14:paraId="3F671C5E" w14:textId="77777777" w:rsidR="00864915" w:rsidRPr="00E14060" w:rsidRDefault="00864915" w:rsidP="00864915">
            <w:pPr>
              <w:rPr>
                <w:lang w:val="en-GB"/>
              </w:rPr>
            </w:pPr>
            <w:r w:rsidRPr="00E14060">
              <w:rPr>
                <w:sz w:val="24"/>
                <w:szCs w:val="24"/>
                <w:lang w:val="en-GB"/>
              </w:rPr>
              <w:t>Conners' Adult ADHD Rating Scale, self-report, screening version (CAARS-S:SV)</w:t>
            </w:r>
          </w:p>
        </w:tc>
      </w:tr>
      <w:tr w:rsidR="00864915" w:rsidRPr="00E14060" w14:paraId="730B5B39" w14:textId="77777777" w:rsidTr="00A73A4C">
        <w:tc>
          <w:tcPr>
            <w:tcW w:w="11016" w:type="dxa"/>
          </w:tcPr>
          <w:p w14:paraId="3BD4F016" w14:textId="77777777" w:rsidR="00864915" w:rsidRPr="00E14060" w:rsidRDefault="00864915" w:rsidP="00864915">
            <w:pPr>
              <w:rPr>
                <w:lang w:val="en-GB"/>
              </w:rPr>
            </w:pPr>
            <w:r w:rsidRPr="00E14060">
              <w:rPr>
                <w:sz w:val="24"/>
                <w:szCs w:val="24"/>
                <w:lang w:val="en-GB"/>
              </w:rPr>
              <w:t>Barkley Adult ADHD Rating Scale (BAARS)</w:t>
            </w:r>
          </w:p>
        </w:tc>
      </w:tr>
      <w:tr w:rsidR="00864915" w:rsidRPr="00E14060" w14:paraId="3ED1FA64" w14:textId="77777777" w:rsidTr="00A73A4C">
        <w:tc>
          <w:tcPr>
            <w:tcW w:w="11016" w:type="dxa"/>
          </w:tcPr>
          <w:p w14:paraId="15B794BE" w14:textId="77777777" w:rsidR="00864915" w:rsidRPr="00E14060" w:rsidRDefault="00864915" w:rsidP="00864915">
            <w:pPr>
              <w:rPr>
                <w:lang w:val="en-GB"/>
              </w:rPr>
            </w:pPr>
            <w:r w:rsidRPr="00E14060">
              <w:rPr>
                <w:sz w:val="24"/>
                <w:szCs w:val="24"/>
                <w:lang w:val="en-GB"/>
              </w:rPr>
              <w:t>Brown Attention-Deficit Disorder Scale for Adults (BADDS)</w:t>
            </w:r>
          </w:p>
        </w:tc>
      </w:tr>
      <w:tr w:rsidR="00864915" w:rsidRPr="00E14060" w14:paraId="73077AF0" w14:textId="77777777" w:rsidTr="00A73A4C">
        <w:tc>
          <w:tcPr>
            <w:tcW w:w="11016" w:type="dxa"/>
          </w:tcPr>
          <w:p w14:paraId="187F9F1B" w14:textId="77777777" w:rsidR="00864915" w:rsidRPr="00E14060" w:rsidRDefault="00864915" w:rsidP="00864915">
            <w:pPr>
              <w:rPr>
                <w:lang w:val="en-GB"/>
              </w:rPr>
            </w:pPr>
            <w:r w:rsidRPr="00E14060">
              <w:rPr>
                <w:sz w:val="24"/>
                <w:szCs w:val="24"/>
                <w:lang w:val="en-GB"/>
              </w:rPr>
              <w:t>Global Assessment of Functioning Scale (GAF)</w:t>
            </w:r>
          </w:p>
        </w:tc>
      </w:tr>
    </w:tbl>
    <w:p w14:paraId="010448DF" w14:textId="77777777" w:rsidR="00AE6A1C" w:rsidRPr="00E14060" w:rsidRDefault="00AE6A1C" w:rsidP="00447896">
      <w:pPr>
        <w:adjustRightInd w:val="0"/>
        <w:snapToGrid w:val="0"/>
        <w:spacing w:before="240" w:after="240" w:line="360" w:lineRule="auto"/>
        <w:rPr>
          <w:sz w:val="24"/>
          <w:szCs w:val="24"/>
          <w:lang w:val="en-GB"/>
        </w:rPr>
      </w:pPr>
    </w:p>
    <w:p w14:paraId="1C6C33E8" w14:textId="77777777" w:rsidR="00086928" w:rsidRPr="00E14060" w:rsidRDefault="007A1779" w:rsidP="00447896">
      <w:pPr>
        <w:adjustRightInd w:val="0"/>
        <w:snapToGrid w:val="0"/>
        <w:spacing w:before="240" w:after="240" w:line="360" w:lineRule="auto"/>
        <w:rPr>
          <w:sz w:val="24"/>
          <w:szCs w:val="24"/>
          <w:lang w:val="en-GB"/>
        </w:rPr>
      </w:pPr>
      <w:r w:rsidRPr="00E14060">
        <w:rPr>
          <w:sz w:val="24"/>
          <w:szCs w:val="24"/>
          <w:lang w:val="en-GB"/>
        </w:rPr>
        <w:t>RCTs including all</w:t>
      </w:r>
      <w:r w:rsidR="00B12E8D" w:rsidRPr="00E14060">
        <w:rPr>
          <w:sz w:val="24"/>
          <w:szCs w:val="24"/>
          <w:lang w:val="en-GB"/>
        </w:rPr>
        <w:t>-</w:t>
      </w:r>
      <w:r w:rsidRPr="00E14060">
        <w:rPr>
          <w:sz w:val="24"/>
          <w:szCs w:val="24"/>
          <w:lang w:val="en-GB"/>
        </w:rPr>
        <w:t>cause discontinuation rates and/or discontinuation due to adverse events were considered for inclusion in the safety analysis</w:t>
      </w:r>
      <w:r w:rsidR="004D7DCC" w:rsidRPr="00E14060">
        <w:rPr>
          <w:sz w:val="24"/>
          <w:szCs w:val="24"/>
          <w:lang w:val="en-GB"/>
        </w:rPr>
        <w:t>, independent of the efficacy criteria above</w:t>
      </w:r>
      <w:r w:rsidRPr="00E14060">
        <w:rPr>
          <w:sz w:val="24"/>
          <w:szCs w:val="24"/>
          <w:lang w:val="en-GB"/>
        </w:rPr>
        <w:t>.</w:t>
      </w:r>
      <w:r w:rsidR="000261D0" w:rsidRPr="00E14060">
        <w:rPr>
          <w:sz w:val="24"/>
          <w:szCs w:val="24"/>
          <w:lang w:val="en-GB"/>
        </w:rPr>
        <w:t xml:space="preserve"> </w:t>
      </w:r>
      <w:r w:rsidRPr="00E14060">
        <w:rPr>
          <w:sz w:val="24"/>
          <w:szCs w:val="24"/>
          <w:lang w:val="en-GB"/>
        </w:rPr>
        <w:t>In addition, RCTs need to be comparable to LDX either directly or indirectly (i.e.</w:t>
      </w:r>
      <w:r w:rsidR="00D85CA8" w:rsidRPr="00E14060">
        <w:rPr>
          <w:sz w:val="24"/>
          <w:szCs w:val="24"/>
          <w:lang w:val="en-GB"/>
        </w:rPr>
        <w:t>,</w:t>
      </w:r>
      <w:r w:rsidRPr="00E14060">
        <w:rPr>
          <w:sz w:val="24"/>
          <w:szCs w:val="24"/>
          <w:lang w:val="en-GB"/>
        </w:rPr>
        <w:t xml:space="preserve"> through placebo).</w:t>
      </w:r>
    </w:p>
    <w:p w14:paraId="7E101B27" w14:textId="7312EC3F" w:rsidR="00721A40" w:rsidRPr="00E14060" w:rsidRDefault="00385B75" w:rsidP="007C2DF4">
      <w:pPr>
        <w:adjustRightInd w:val="0"/>
        <w:snapToGrid w:val="0"/>
        <w:spacing w:before="240" w:after="240" w:line="360" w:lineRule="auto"/>
        <w:rPr>
          <w:b/>
          <w:sz w:val="24"/>
          <w:lang w:val="en-GB"/>
        </w:rPr>
      </w:pPr>
      <w:r w:rsidRPr="00E14060">
        <w:rPr>
          <w:iCs/>
          <w:sz w:val="24"/>
          <w:szCs w:val="24"/>
          <w:lang w:val="en-GB"/>
        </w:rPr>
        <w:t xml:space="preserve">The </w:t>
      </w:r>
      <w:r w:rsidR="000261D0" w:rsidRPr="00E14060">
        <w:rPr>
          <w:iCs/>
          <w:sz w:val="24"/>
          <w:szCs w:val="24"/>
          <w:lang w:val="en-GB"/>
        </w:rPr>
        <w:t xml:space="preserve">full </w:t>
      </w:r>
      <w:r w:rsidR="002B73F8" w:rsidRPr="00E14060">
        <w:rPr>
          <w:iCs/>
          <w:sz w:val="24"/>
          <w:szCs w:val="24"/>
          <w:lang w:val="en-GB"/>
        </w:rPr>
        <w:t xml:space="preserve">set of </w:t>
      </w:r>
      <w:r w:rsidRPr="00E14060">
        <w:rPr>
          <w:iCs/>
          <w:sz w:val="24"/>
          <w:szCs w:val="24"/>
          <w:lang w:val="en-GB"/>
        </w:rPr>
        <w:t>exclusion criteria</w:t>
      </w:r>
      <w:r w:rsidR="002B73F8" w:rsidRPr="00E14060">
        <w:rPr>
          <w:iCs/>
          <w:sz w:val="24"/>
          <w:szCs w:val="24"/>
          <w:lang w:val="en-GB"/>
        </w:rPr>
        <w:t>, per round of screening,</w:t>
      </w:r>
      <w:r w:rsidRPr="00E14060">
        <w:rPr>
          <w:iCs/>
          <w:sz w:val="24"/>
          <w:szCs w:val="24"/>
          <w:lang w:val="en-GB"/>
        </w:rPr>
        <w:t xml:space="preserve"> </w:t>
      </w:r>
      <w:r w:rsidR="002B73F8" w:rsidRPr="00E14060">
        <w:rPr>
          <w:iCs/>
          <w:sz w:val="24"/>
          <w:szCs w:val="24"/>
          <w:lang w:val="en-GB"/>
        </w:rPr>
        <w:t>is</w:t>
      </w:r>
      <w:r w:rsidRPr="00E14060">
        <w:rPr>
          <w:iCs/>
          <w:sz w:val="24"/>
          <w:szCs w:val="24"/>
          <w:lang w:val="en-GB"/>
        </w:rPr>
        <w:t xml:space="preserve"> listed </w:t>
      </w:r>
      <w:r w:rsidR="00C0132B" w:rsidRPr="00E14060">
        <w:rPr>
          <w:iCs/>
          <w:sz w:val="24"/>
          <w:szCs w:val="24"/>
          <w:lang w:val="en-GB"/>
        </w:rPr>
        <w:t xml:space="preserve">in </w:t>
      </w:r>
      <w:r w:rsidR="007A1779" w:rsidRPr="00E14060">
        <w:rPr>
          <w:b/>
          <w:iCs/>
          <w:sz w:val="24"/>
          <w:szCs w:val="24"/>
          <w:lang w:val="en-GB"/>
        </w:rPr>
        <w:t xml:space="preserve">Table </w:t>
      </w:r>
      <w:r w:rsidR="006F069C" w:rsidRPr="00E14060">
        <w:rPr>
          <w:b/>
          <w:iCs/>
          <w:sz w:val="24"/>
          <w:szCs w:val="24"/>
          <w:lang w:val="en-GB"/>
        </w:rPr>
        <w:t>2</w:t>
      </w:r>
      <w:r w:rsidR="007A1779" w:rsidRPr="00E14060">
        <w:rPr>
          <w:b/>
          <w:iCs/>
          <w:sz w:val="24"/>
          <w:szCs w:val="24"/>
          <w:lang w:val="en-GB"/>
        </w:rPr>
        <w:t>.</w:t>
      </w:r>
      <w:r w:rsidR="00721A40" w:rsidRPr="00E14060">
        <w:rPr>
          <w:iCs/>
          <w:sz w:val="24"/>
          <w:szCs w:val="24"/>
          <w:lang w:val="en-GB"/>
        </w:rPr>
        <w:t xml:space="preserve"> </w:t>
      </w:r>
      <w:r w:rsidR="00721A40" w:rsidRPr="00E14060">
        <w:rPr>
          <w:sz w:val="24"/>
          <w:lang w:val="en-GB"/>
        </w:rPr>
        <w:t>The inclusion and exclusion processes were thoroughly documented, including completion of the Preferred Reporting Items for Systematic Reviews and Meta-analyses (PRISMA)</w:t>
      </w:r>
      <w:r w:rsidR="005A340F" w:rsidRPr="00E14060">
        <w:rPr>
          <w:sz w:val="24"/>
          <w:lang w:val="en-GB"/>
        </w:rPr>
        <w:t xml:space="preserve"> diagram</w:t>
      </w:r>
      <w:r w:rsidR="00721A40" w:rsidRPr="00E14060">
        <w:rPr>
          <w:sz w:val="24"/>
          <w:lang w:val="en-GB"/>
        </w:rPr>
        <w:t xml:space="preserve">. The corresponding PRISMA </w:t>
      </w:r>
      <w:r w:rsidR="00DE2037" w:rsidRPr="00E14060">
        <w:rPr>
          <w:sz w:val="24"/>
          <w:lang w:val="en-GB"/>
        </w:rPr>
        <w:t xml:space="preserve">diagram </w:t>
      </w:r>
      <w:r w:rsidR="00721A40" w:rsidRPr="00E14060">
        <w:rPr>
          <w:sz w:val="24"/>
          <w:lang w:val="en-GB"/>
        </w:rPr>
        <w:t xml:space="preserve">may be found in </w:t>
      </w:r>
      <w:r w:rsidR="007C2DF4" w:rsidRPr="00E14060">
        <w:rPr>
          <w:b/>
          <w:sz w:val="24"/>
          <w:szCs w:val="24"/>
          <w:lang w:val="en-GB"/>
        </w:rPr>
        <w:t>Figure </w:t>
      </w:r>
      <w:r w:rsidR="00A25289" w:rsidRPr="00E14060">
        <w:rPr>
          <w:b/>
          <w:sz w:val="24"/>
          <w:szCs w:val="24"/>
          <w:lang w:val="en-GB"/>
        </w:rPr>
        <w:t>1</w:t>
      </w:r>
      <w:r w:rsidR="00F1011B" w:rsidRPr="00E14060">
        <w:rPr>
          <w:sz w:val="24"/>
          <w:szCs w:val="24"/>
          <w:lang w:val="en-GB"/>
        </w:rPr>
        <w:t xml:space="preserve"> in </w:t>
      </w:r>
      <w:r w:rsidR="00F1011B" w:rsidRPr="00E14060">
        <w:rPr>
          <w:b/>
          <w:sz w:val="24"/>
          <w:szCs w:val="24"/>
          <w:lang w:val="en-GB"/>
        </w:rPr>
        <w:t xml:space="preserve">Section </w:t>
      </w:r>
      <w:r w:rsidR="00EB6503" w:rsidRPr="00E14060">
        <w:rPr>
          <w:b/>
          <w:sz w:val="24"/>
          <w:szCs w:val="24"/>
          <w:lang w:val="en-GB"/>
        </w:rPr>
        <w:t>5.1</w:t>
      </w:r>
      <w:r w:rsidR="00A25289" w:rsidRPr="00E14060">
        <w:rPr>
          <w:b/>
          <w:sz w:val="24"/>
          <w:szCs w:val="24"/>
          <w:lang w:val="en-GB"/>
        </w:rPr>
        <w:t>.</w:t>
      </w:r>
      <w:r w:rsidR="00721A40" w:rsidRPr="00E14060">
        <w:rPr>
          <w:lang w:val="en-GB"/>
        </w:rPr>
        <w:br w:type="page"/>
      </w:r>
    </w:p>
    <w:p w14:paraId="4AEEA4A3" w14:textId="101345FB" w:rsidR="000261D0" w:rsidRPr="00E14060" w:rsidRDefault="000261D0" w:rsidP="0056693B">
      <w:pPr>
        <w:pStyle w:val="AGbodytext0"/>
        <w:spacing w:line="240" w:lineRule="auto"/>
        <w:rPr>
          <w:b/>
          <w:sz w:val="24"/>
          <w:szCs w:val="24"/>
        </w:rPr>
      </w:pPr>
      <w:r w:rsidRPr="00E14060">
        <w:rPr>
          <w:b/>
          <w:sz w:val="24"/>
          <w:szCs w:val="24"/>
        </w:rPr>
        <w:lastRenderedPageBreak/>
        <w:t xml:space="preserve">Table </w:t>
      </w:r>
      <w:r w:rsidR="006F069C" w:rsidRPr="00E14060">
        <w:rPr>
          <w:b/>
          <w:sz w:val="24"/>
          <w:szCs w:val="24"/>
        </w:rPr>
        <w:t>2</w:t>
      </w:r>
      <w:r w:rsidRPr="00E14060">
        <w:rPr>
          <w:b/>
          <w:sz w:val="24"/>
          <w:szCs w:val="24"/>
        </w:rPr>
        <w:t>.</w:t>
      </w:r>
      <w:r w:rsidR="00241DBD" w:rsidRPr="00E14060">
        <w:rPr>
          <w:b/>
          <w:sz w:val="24"/>
          <w:szCs w:val="24"/>
        </w:rPr>
        <w:t xml:space="preserve"> </w:t>
      </w:r>
      <w:r w:rsidRPr="00E14060">
        <w:rPr>
          <w:b/>
          <w:sz w:val="24"/>
          <w:szCs w:val="24"/>
        </w:rPr>
        <w:t>Exclusion criteria by screening round</w:t>
      </w:r>
    </w:p>
    <w:tbl>
      <w:tblPr>
        <w:tblW w:w="9360" w:type="dxa"/>
        <w:tblInd w:w="108" w:type="dxa"/>
        <w:tblLook w:val="04A0" w:firstRow="1" w:lastRow="0" w:firstColumn="1" w:lastColumn="0" w:noHBand="0" w:noVBand="1"/>
      </w:tblPr>
      <w:tblGrid>
        <w:gridCol w:w="601"/>
        <w:gridCol w:w="1608"/>
        <w:gridCol w:w="748"/>
        <w:gridCol w:w="748"/>
        <w:gridCol w:w="255"/>
        <w:gridCol w:w="180"/>
        <w:gridCol w:w="180"/>
        <w:gridCol w:w="420"/>
        <w:gridCol w:w="1035"/>
        <w:gridCol w:w="1035"/>
        <w:gridCol w:w="850"/>
        <w:gridCol w:w="850"/>
        <w:gridCol w:w="850"/>
      </w:tblGrid>
      <w:tr w:rsidR="006D3729" w:rsidRPr="00E14060" w14:paraId="182564ED" w14:textId="77777777" w:rsidTr="006D3729">
        <w:trPr>
          <w:trHeight w:val="300"/>
        </w:trPr>
        <w:tc>
          <w:tcPr>
            <w:tcW w:w="6810" w:type="dxa"/>
            <w:gridSpan w:val="10"/>
            <w:tcBorders>
              <w:top w:val="single" w:sz="4" w:space="0" w:color="auto"/>
              <w:left w:val="nil"/>
              <w:bottom w:val="single" w:sz="4" w:space="0" w:color="auto"/>
              <w:right w:val="nil"/>
            </w:tcBorders>
            <w:shd w:val="clear" w:color="000000" w:fill="FFFFFF"/>
            <w:noWrap/>
            <w:vAlign w:val="center"/>
            <w:hideMark/>
          </w:tcPr>
          <w:p w14:paraId="402ECE04" w14:textId="77777777" w:rsidR="006D3729" w:rsidRPr="00E14060" w:rsidRDefault="006D3729" w:rsidP="00811E71">
            <w:pPr>
              <w:rPr>
                <w:b/>
                <w:bCs/>
                <w:sz w:val="22"/>
                <w:szCs w:val="22"/>
                <w:lang w:val="en-GB"/>
              </w:rPr>
            </w:pPr>
            <w:r w:rsidRPr="00E14060">
              <w:rPr>
                <w:b/>
                <w:bCs/>
                <w:sz w:val="22"/>
                <w:szCs w:val="22"/>
                <w:lang w:val="en-GB"/>
              </w:rPr>
              <w:t>Reasons for exclusion – Screening Round 1, Title/Abstract</w:t>
            </w:r>
          </w:p>
        </w:tc>
        <w:tc>
          <w:tcPr>
            <w:tcW w:w="850" w:type="dxa"/>
            <w:tcBorders>
              <w:top w:val="single" w:sz="4" w:space="0" w:color="auto"/>
              <w:left w:val="nil"/>
              <w:bottom w:val="single" w:sz="4" w:space="0" w:color="auto"/>
              <w:right w:val="nil"/>
            </w:tcBorders>
            <w:shd w:val="clear" w:color="000000" w:fill="FFFFFF"/>
            <w:noWrap/>
            <w:vAlign w:val="bottom"/>
            <w:hideMark/>
          </w:tcPr>
          <w:p w14:paraId="5EA25042" w14:textId="77777777" w:rsidR="006D3729" w:rsidRPr="00E14060" w:rsidRDefault="006D3729" w:rsidP="00E36ECB">
            <w:pPr>
              <w:rPr>
                <w:sz w:val="22"/>
                <w:szCs w:val="22"/>
                <w:lang w:val="en-GB"/>
              </w:rPr>
            </w:pPr>
            <w:r w:rsidRPr="00E14060">
              <w:rPr>
                <w:sz w:val="22"/>
                <w:szCs w:val="22"/>
                <w:lang w:val="en-GB"/>
              </w:rPr>
              <w:t> </w:t>
            </w:r>
          </w:p>
        </w:tc>
        <w:tc>
          <w:tcPr>
            <w:tcW w:w="850" w:type="dxa"/>
            <w:tcBorders>
              <w:top w:val="single" w:sz="4" w:space="0" w:color="auto"/>
              <w:left w:val="nil"/>
              <w:bottom w:val="single" w:sz="4" w:space="0" w:color="auto"/>
              <w:right w:val="nil"/>
            </w:tcBorders>
            <w:shd w:val="clear" w:color="000000" w:fill="FFFFFF"/>
            <w:noWrap/>
            <w:vAlign w:val="bottom"/>
            <w:hideMark/>
          </w:tcPr>
          <w:p w14:paraId="13EDE7E5" w14:textId="77777777" w:rsidR="006D3729" w:rsidRPr="00E14060" w:rsidRDefault="006D3729">
            <w:pPr>
              <w:rPr>
                <w:sz w:val="22"/>
                <w:szCs w:val="22"/>
                <w:lang w:val="en-GB"/>
              </w:rPr>
            </w:pPr>
            <w:r w:rsidRPr="00E14060">
              <w:rPr>
                <w:sz w:val="22"/>
                <w:szCs w:val="22"/>
                <w:lang w:val="en-GB"/>
              </w:rPr>
              <w:t> </w:t>
            </w:r>
          </w:p>
        </w:tc>
        <w:tc>
          <w:tcPr>
            <w:tcW w:w="850" w:type="dxa"/>
            <w:tcBorders>
              <w:top w:val="single" w:sz="4" w:space="0" w:color="auto"/>
              <w:left w:val="nil"/>
              <w:bottom w:val="single" w:sz="4" w:space="0" w:color="auto"/>
              <w:right w:val="nil"/>
            </w:tcBorders>
            <w:shd w:val="clear" w:color="000000" w:fill="FFFFFF"/>
            <w:noWrap/>
            <w:vAlign w:val="bottom"/>
            <w:hideMark/>
          </w:tcPr>
          <w:p w14:paraId="28E5EF98" w14:textId="77777777" w:rsidR="006D3729" w:rsidRPr="00E14060" w:rsidRDefault="006D3729">
            <w:pPr>
              <w:rPr>
                <w:sz w:val="22"/>
                <w:szCs w:val="22"/>
                <w:lang w:val="en-GB"/>
              </w:rPr>
            </w:pPr>
            <w:r w:rsidRPr="00E14060">
              <w:rPr>
                <w:sz w:val="22"/>
                <w:szCs w:val="22"/>
                <w:lang w:val="en-GB"/>
              </w:rPr>
              <w:t> </w:t>
            </w:r>
          </w:p>
        </w:tc>
      </w:tr>
      <w:tr w:rsidR="006D3729" w:rsidRPr="00E14060" w14:paraId="53B9EF02" w14:textId="77777777" w:rsidTr="008C602E">
        <w:trPr>
          <w:trHeight w:val="300"/>
        </w:trPr>
        <w:tc>
          <w:tcPr>
            <w:tcW w:w="601" w:type="dxa"/>
            <w:tcBorders>
              <w:top w:val="nil"/>
              <w:left w:val="nil"/>
              <w:bottom w:val="nil"/>
              <w:right w:val="nil"/>
            </w:tcBorders>
            <w:shd w:val="clear" w:color="000000" w:fill="FABF8F"/>
            <w:noWrap/>
            <w:vAlign w:val="bottom"/>
            <w:hideMark/>
          </w:tcPr>
          <w:p w14:paraId="6D9D8F3E" w14:textId="77777777" w:rsidR="006D3729" w:rsidRPr="00E14060" w:rsidRDefault="006D3729" w:rsidP="000D7285">
            <w:pPr>
              <w:jc w:val="right"/>
              <w:rPr>
                <w:sz w:val="22"/>
                <w:szCs w:val="22"/>
                <w:lang w:val="en-GB"/>
              </w:rPr>
            </w:pPr>
            <w:r w:rsidRPr="00E14060">
              <w:rPr>
                <w:sz w:val="22"/>
                <w:szCs w:val="22"/>
                <w:lang w:val="en-GB"/>
              </w:rPr>
              <w:t>1</w:t>
            </w:r>
          </w:p>
        </w:tc>
        <w:tc>
          <w:tcPr>
            <w:tcW w:w="8759" w:type="dxa"/>
            <w:gridSpan w:val="12"/>
            <w:tcBorders>
              <w:top w:val="single" w:sz="4" w:space="0" w:color="auto"/>
              <w:left w:val="nil"/>
              <w:bottom w:val="nil"/>
              <w:right w:val="nil"/>
            </w:tcBorders>
            <w:shd w:val="clear" w:color="000000" w:fill="FABF8F"/>
            <w:vAlign w:val="bottom"/>
            <w:hideMark/>
          </w:tcPr>
          <w:p w14:paraId="508D31BD" w14:textId="77777777" w:rsidR="006D3729" w:rsidRPr="00E14060" w:rsidRDefault="006D3729" w:rsidP="006D3729">
            <w:pPr>
              <w:rPr>
                <w:sz w:val="22"/>
                <w:szCs w:val="22"/>
                <w:lang w:val="en-GB"/>
              </w:rPr>
            </w:pPr>
            <w:r w:rsidRPr="00E14060">
              <w:rPr>
                <w:sz w:val="22"/>
                <w:szCs w:val="22"/>
                <w:lang w:val="en-GB"/>
              </w:rPr>
              <w:t>Population not of interest</w:t>
            </w:r>
          </w:p>
        </w:tc>
      </w:tr>
      <w:tr w:rsidR="006D3729" w:rsidRPr="00E14060" w14:paraId="1E95B88A" w14:textId="77777777" w:rsidTr="008C602E">
        <w:trPr>
          <w:trHeight w:val="300"/>
        </w:trPr>
        <w:tc>
          <w:tcPr>
            <w:tcW w:w="601" w:type="dxa"/>
            <w:tcBorders>
              <w:top w:val="nil"/>
              <w:left w:val="nil"/>
              <w:bottom w:val="nil"/>
              <w:right w:val="nil"/>
            </w:tcBorders>
            <w:shd w:val="clear" w:color="000000" w:fill="FABF8F"/>
            <w:noWrap/>
            <w:vAlign w:val="bottom"/>
            <w:hideMark/>
          </w:tcPr>
          <w:p w14:paraId="1F130748" w14:textId="77777777" w:rsidR="00E8228A" w:rsidRPr="00E14060" w:rsidRDefault="00E8228A" w:rsidP="008C602E">
            <w:pPr>
              <w:jc w:val="right"/>
              <w:rPr>
                <w:sz w:val="22"/>
                <w:szCs w:val="22"/>
                <w:lang w:val="en-GB"/>
              </w:rPr>
            </w:pPr>
          </w:p>
        </w:tc>
        <w:tc>
          <w:tcPr>
            <w:tcW w:w="1608" w:type="dxa"/>
            <w:tcBorders>
              <w:top w:val="nil"/>
              <w:left w:val="nil"/>
              <w:bottom w:val="nil"/>
              <w:right w:val="nil"/>
            </w:tcBorders>
            <w:shd w:val="clear" w:color="000000" w:fill="FABF8F"/>
            <w:noWrap/>
            <w:vAlign w:val="center"/>
            <w:hideMark/>
          </w:tcPr>
          <w:p w14:paraId="380B09AF" w14:textId="77777777" w:rsidR="006D3729" w:rsidRPr="00E14060" w:rsidRDefault="006D3729" w:rsidP="006D3729">
            <w:pPr>
              <w:ind w:firstLineChars="500" w:firstLine="1050"/>
              <w:rPr>
                <w:sz w:val="21"/>
                <w:szCs w:val="21"/>
                <w:lang w:val="en-GB"/>
              </w:rPr>
            </w:pPr>
            <w:r w:rsidRPr="00E14060">
              <w:rPr>
                <w:sz w:val="21"/>
                <w:szCs w:val="21"/>
                <w:lang w:val="en-GB"/>
              </w:rPr>
              <w:t>-</w:t>
            </w:r>
          </w:p>
        </w:tc>
        <w:tc>
          <w:tcPr>
            <w:tcW w:w="7151" w:type="dxa"/>
            <w:gridSpan w:val="11"/>
            <w:tcBorders>
              <w:top w:val="nil"/>
              <w:left w:val="nil"/>
              <w:bottom w:val="nil"/>
              <w:right w:val="nil"/>
            </w:tcBorders>
            <w:shd w:val="clear" w:color="000000" w:fill="FABF8F"/>
            <w:vAlign w:val="bottom"/>
            <w:hideMark/>
          </w:tcPr>
          <w:p w14:paraId="1A7F3EB7" w14:textId="77777777" w:rsidR="006D3729" w:rsidRPr="00E14060" w:rsidRDefault="006D3729" w:rsidP="006D3729">
            <w:pPr>
              <w:rPr>
                <w:sz w:val="22"/>
                <w:szCs w:val="22"/>
                <w:lang w:val="en-GB"/>
              </w:rPr>
            </w:pPr>
            <w:r w:rsidRPr="00E14060">
              <w:rPr>
                <w:sz w:val="22"/>
                <w:szCs w:val="22"/>
                <w:lang w:val="en-GB"/>
              </w:rPr>
              <w:t>Non-adults (patients aged &lt; 18) are included in the study population</w:t>
            </w:r>
          </w:p>
        </w:tc>
      </w:tr>
      <w:tr w:rsidR="006D3729" w:rsidRPr="00E14060" w14:paraId="49025CCB" w14:textId="77777777" w:rsidTr="008C602E">
        <w:trPr>
          <w:trHeight w:val="300"/>
        </w:trPr>
        <w:tc>
          <w:tcPr>
            <w:tcW w:w="601" w:type="dxa"/>
            <w:tcBorders>
              <w:top w:val="nil"/>
              <w:left w:val="nil"/>
              <w:bottom w:val="nil"/>
              <w:right w:val="nil"/>
            </w:tcBorders>
            <w:shd w:val="clear" w:color="000000" w:fill="FABF8F"/>
            <w:noWrap/>
            <w:vAlign w:val="bottom"/>
            <w:hideMark/>
          </w:tcPr>
          <w:p w14:paraId="70D5599A" w14:textId="77777777" w:rsidR="00E8228A" w:rsidRPr="00E14060" w:rsidRDefault="00E8228A" w:rsidP="008C602E">
            <w:pPr>
              <w:jc w:val="right"/>
              <w:rPr>
                <w:sz w:val="22"/>
                <w:szCs w:val="22"/>
                <w:lang w:val="en-GB"/>
              </w:rPr>
            </w:pPr>
          </w:p>
        </w:tc>
        <w:tc>
          <w:tcPr>
            <w:tcW w:w="1608" w:type="dxa"/>
            <w:tcBorders>
              <w:top w:val="nil"/>
              <w:left w:val="nil"/>
              <w:bottom w:val="nil"/>
              <w:right w:val="nil"/>
            </w:tcBorders>
            <w:shd w:val="clear" w:color="000000" w:fill="FABF8F"/>
            <w:noWrap/>
            <w:vAlign w:val="center"/>
            <w:hideMark/>
          </w:tcPr>
          <w:p w14:paraId="43DB501F" w14:textId="77777777" w:rsidR="006D3729" w:rsidRPr="00E14060" w:rsidRDefault="006D3729" w:rsidP="006D3729">
            <w:pPr>
              <w:ind w:firstLineChars="500" w:firstLine="1050"/>
              <w:rPr>
                <w:sz w:val="21"/>
                <w:szCs w:val="21"/>
                <w:lang w:val="en-GB"/>
              </w:rPr>
            </w:pPr>
            <w:r w:rsidRPr="00E14060">
              <w:rPr>
                <w:sz w:val="21"/>
                <w:szCs w:val="21"/>
                <w:lang w:val="en-GB"/>
              </w:rPr>
              <w:t>-</w:t>
            </w:r>
          </w:p>
        </w:tc>
        <w:tc>
          <w:tcPr>
            <w:tcW w:w="1496" w:type="dxa"/>
            <w:gridSpan w:val="2"/>
            <w:tcBorders>
              <w:top w:val="nil"/>
              <w:left w:val="nil"/>
              <w:bottom w:val="nil"/>
              <w:right w:val="nil"/>
            </w:tcBorders>
            <w:shd w:val="clear" w:color="000000" w:fill="FABF8F"/>
            <w:noWrap/>
            <w:vAlign w:val="bottom"/>
            <w:hideMark/>
          </w:tcPr>
          <w:p w14:paraId="4F9D93BF" w14:textId="77777777" w:rsidR="006D3729" w:rsidRPr="00E14060" w:rsidRDefault="006D3729" w:rsidP="006D3729">
            <w:pPr>
              <w:rPr>
                <w:sz w:val="22"/>
                <w:szCs w:val="22"/>
                <w:lang w:val="en-GB"/>
              </w:rPr>
            </w:pPr>
            <w:r w:rsidRPr="00E14060">
              <w:rPr>
                <w:sz w:val="22"/>
                <w:szCs w:val="22"/>
                <w:lang w:val="en-GB"/>
              </w:rPr>
              <w:t>Not ADHD</w:t>
            </w:r>
          </w:p>
        </w:tc>
        <w:tc>
          <w:tcPr>
            <w:tcW w:w="1035" w:type="dxa"/>
            <w:gridSpan w:val="4"/>
            <w:tcBorders>
              <w:top w:val="nil"/>
              <w:left w:val="nil"/>
              <w:bottom w:val="nil"/>
              <w:right w:val="nil"/>
            </w:tcBorders>
            <w:shd w:val="clear" w:color="000000" w:fill="FABF8F"/>
            <w:noWrap/>
            <w:vAlign w:val="bottom"/>
            <w:hideMark/>
          </w:tcPr>
          <w:p w14:paraId="6B39E219" w14:textId="77777777" w:rsidR="006D3729" w:rsidRPr="00E14060" w:rsidRDefault="006D3729" w:rsidP="006D3729">
            <w:pPr>
              <w:rPr>
                <w:sz w:val="22"/>
                <w:szCs w:val="22"/>
                <w:lang w:val="en-GB"/>
              </w:rPr>
            </w:pPr>
            <w:r w:rsidRPr="00E14060">
              <w:rPr>
                <w:sz w:val="22"/>
                <w:szCs w:val="22"/>
                <w:lang w:val="en-GB"/>
              </w:rPr>
              <w:t> </w:t>
            </w:r>
          </w:p>
        </w:tc>
        <w:tc>
          <w:tcPr>
            <w:tcW w:w="1035" w:type="dxa"/>
            <w:tcBorders>
              <w:top w:val="nil"/>
              <w:left w:val="nil"/>
              <w:bottom w:val="nil"/>
              <w:right w:val="nil"/>
            </w:tcBorders>
            <w:shd w:val="clear" w:color="000000" w:fill="FABF8F"/>
            <w:noWrap/>
            <w:vAlign w:val="bottom"/>
            <w:hideMark/>
          </w:tcPr>
          <w:p w14:paraId="26A3BF83" w14:textId="77777777" w:rsidR="006D3729" w:rsidRPr="00E14060" w:rsidRDefault="006D3729" w:rsidP="006D3729">
            <w:pPr>
              <w:rPr>
                <w:sz w:val="22"/>
                <w:szCs w:val="22"/>
                <w:lang w:val="en-GB"/>
              </w:rPr>
            </w:pPr>
            <w:r w:rsidRPr="00E14060">
              <w:rPr>
                <w:sz w:val="22"/>
                <w:szCs w:val="22"/>
                <w:lang w:val="en-GB"/>
              </w:rPr>
              <w:t> </w:t>
            </w:r>
          </w:p>
        </w:tc>
        <w:tc>
          <w:tcPr>
            <w:tcW w:w="1035" w:type="dxa"/>
            <w:tcBorders>
              <w:top w:val="nil"/>
              <w:left w:val="nil"/>
              <w:bottom w:val="nil"/>
              <w:right w:val="nil"/>
            </w:tcBorders>
            <w:shd w:val="clear" w:color="000000" w:fill="FABF8F"/>
            <w:noWrap/>
            <w:vAlign w:val="bottom"/>
            <w:hideMark/>
          </w:tcPr>
          <w:p w14:paraId="72F6C3C0" w14:textId="77777777" w:rsidR="006D3729" w:rsidRPr="00E14060" w:rsidRDefault="006D3729" w:rsidP="006D3729">
            <w:pPr>
              <w:rPr>
                <w:sz w:val="22"/>
                <w:szCs w:val="22"/>
                <w:lang w:val="en-GB"/>
              </w:rPr>
            </w:pPr>
            <w:r w:rsidRPr="00E14060">
              <w:rPr>
                <w:sz w:val="22"/>
                <w:szCs w:val="22"/>
                <w:lang w:val="en-GB"/>
              </w:rPr>
              <w:t> </w:t>
            </w:r>
          </w:p>
        </w:tc>
        <w:tc>
          <w:tcPr>
            <w:tcW w:w="850" w:type="dxa"/>
            <w:tcBorders>
              <w:top w:val="nil"/>
              <w:left w:val="nil"/>
              <w:bottom w:val="nil"/>
              <w:right w:val="nil"/>
            </w:tcBorders>
            <w:shd w:val="clear" w:color="000000" w:fill="FABF8F"/>
            <w:noWrap/>
            <w:vAlign w:val="bottom"/>
            <w:hideMark/>
          </w:tcPr>
          <w:p w14:paraId="7FC0A1AB" w14:textId="77777777" w:rsidR="006D3729" w:rsidRPr="00E14060" w:rsidRDefault="006D3729" w:rsidP="006D3729">
            <w:pPr>
              <w:rPr>
                <w:sz w:val="22"/>
                <w:szCs w:val="22"/>
                <w:lang w:val="en-GB"/>
              </w:rPr>
            </w:pPr>
            <w:r w:rsidRPr="00E14060">
              <w:rPr>
                <w:sz w:val="22"/>
                <w:szCs w:val="22"/>
                <w:lang w:val="en-GB"/>
              </w:rPr>
              <w:t> </w:t>
            </w:r>
          </w:p>
        </w:tc>
        <w:tc>
          <w:tcPr>
            <w:tcW w:w="850" w:type="dxa"/>
            <w:tcBorders>
              <w:top w:val="nil"/>
              <w:left w:val="nil"/>
              <w:bottom w:val="nil"/>
              <w:right w:val="nil"/>
            </w:tcBorders>
            <w:shd w:val="clear" w:color="000000" w:fill="FABF8F"/>
            <w:noWrap/>
            <w:vAlign w:val="bottom"/>
            <w:hideMark/>
          </w:tcPr>
          <w:p w14:paraId="1C072651" w14:textId="77777777" w:rsidR="006D3729" w:rsidRPr="00E14060" w:rsidRDefault="006D3729" w:rsidP="006D3729">
            <w:pPr>
              <w:rPr>
                <w:sz w:val="22"/>
                <w:szCs w:val="22"/>
                <w:lang w:val="en-GB"/>
              </w:rPr>
            </w:pPr>
            <w:r w:rsidRPr="00E14060">
              <w:rPr>
                <w:sz w:val="22"/>
                <w:szCs w:val="22"/>
                <w:lang w:val="en-GB"/>
              </w:rPr>
              <w:t> </w:t>
            </w:r>
          </w:p>
        </w:tc>
        <w:tc>
          <w:tcPr>
            <w:tcW w:w="850" w:type="dxa"/>
            <w:tcBorders>
              <w:top w:val="nil"/>
              <w:left w:val="nil"/>
              <w:bottom w:val="nil"/>
              <w:right w:val="nil"/>
            </w:tcBorders>
            <w:shd w:val="clear" w:color="000000" w:fill="FABF8F"/>
            <w:noWrap/>
            <w:vAlign w:val="bottom"/>
            <w:hideMark/>
          </w:tcPr>
          <w:p w14:paraId="5955BB61" w14:textId="77777777" w:rsidR="006D3729" w:rsidRPr="00E14060" w:rsidRDefault="006D3729" w:rsidP="006D3729">
            <w:pPr>
              <w:rPr>
                <w:sz w:val="22"/>
                <w:szCs w:val="22"/>
                <w:lang w:val="en-GB"/>
              </w:rPr>
            </w:pPr>
            <w:r w:rsidRPr="00E14060">
              <w:rPr>
                <w:sz w:val="22"/>
                <w:szCs w:val="22"/>
                <w:lang w:val="en-GB"/>
              </w:rPr>
              <w:t> </w:t>
            </w:r>
          </w:p>
        </w:tc>
      </w:tr>
      <w:tr w:rsidR="006D3729" w:rsidRPr="00E14060" w14:paraId="2B25F43D" w14:textId="77777777" w:rsidTr="008C602E">
        <w:trPr>
          <w:trHeight w:val="300"/>
        </w:trPr>
        <w:tc>
          <w:tcPr>
            <w:tcW w:w="601" w:type="dxa"/>
            <w:tcBorders>
              <w:top w:val="nil"/>
              <w:left w:val="nil"/>
              <w:bottom w:val="nil"/>
              <w:right w:val="nil"/>
            </w:tcBorders>
            <w:shd w:val="clear" w:color="000000" w:fill="FABF8F"/>
            <w:noWrap/>
            <w:vAlign w:val="bottom"/>
            <w:hideMark/>
          </w:tcPr>
          <w:p w14:paraId="7AAEA871" w14:textId="77777777" w:rsidR="00E8228A" w:rsidRPr="00E14060" w:rsidRDefault="00E8228A" w:rsidP="008C602E">
            <w:pPr>
              <w:jc w:val="right"/>
              <w:rPr>
                <w:sz w:val="22"/>
                <w:szCs w:val="22"/>
                <w:lang w:val="en-GB"/>
              </w:rPr>
            </w:pPr>
          </w:p>
        </w:tc>
        <w:tc>
          <w:tcPr>
            <w:tcW w:w="1608" w:type="dxa"/>
            <w:tcBorders>
              <w:top w:val="nil"/>
              <w:left w:val="nil"/>
              <w:bottom w:val="nil"/>
              <w:right w:val="nil"/>
            </w:tcBorders>
            <w:shd w:val="clear" w:color="000000" w:fill="FABF8F"/>
            <w:noWrap/>
            <w:vAlign w:val="center"/>
            <w:hideMark/>
          </w:tcPr>
          <w:p w14:paraId="1980E8F2" w14:textId="77777777" w:rsidR="006D3729" w:rsidRPr="00E14060" w:rsidRDefault="006D3729" w:rsidP="006D3729">
            <w:pPr>
              <w:ind w:firstLineChars="500" w:firstLine="1050"/>
              <w:rPr>
                <w:sz w:val="21"/>
                <w:szCs w:val="21"/>
                <w:lang w:val="en-GB"/>
              </w:rPr>
            </w:pPr>
            <w:r w:rsidRPr="00E14060">
              <w:rPr>
                <w:sz w:val="21"/>
                <w:szCs w:val="21"/>
                <w:lang w:val="en-GB"/>
              </w:rPr>
              <w:t>-</w:t>
            </w:r>
          </w:p>
        </w:tc>
        <w:tc>
          <w:tcPr>
            <w:tcW w:w="2111" w:type="dxa"/>
            <w:gridSpan w:val="5"/>
            <w:tcBorders>
              <w:top w:val="nil"/>
              <w:left w:val="nil"/>
              <w:bottom w:val="nil"/>
              <w:right w:val="nil"/>
            </w:tcBorders>
            <w:shd w:val="clear" w:color="000000" w:fill="FABF8F"/>
            <w:noWrap/>
            <w:vAlign w:val="bottom"/>
            <w:hideMark/>
          </w:tcPr>
          <w:p w14:paraId="017542FE" w14:textId="77777777" w:rsidR="006D3729" w:rsidRPr="00E14060" w:rsidRDefault="006D3729" w:rsidP="006D3729">
            <w:pPr>
              <w:rPr>
                <w:sz w:val="22"/>
                <w:szCs w:val="22"/>
                <w:lang w:val="en-GB"/>
              </w:rPr>
            </w:pPr>
            <w:r w:rsidRPr="00E14060">
              <w:rPr>
                <w:sz w:val="22"/>
                <w:szCs w:val="22"/>
                <w:lang w:val="en-GB"/>
              </w:rPr>
              <w:t>Non-human studies</w:t>
            </w:r>
          </w:p>
        </w:tc>
        <w:tc>
          <w:tcPr>
            <w:tcW w:w="420" w:type="dxa"/>
            <w:tcBorders>
              <w:top w:val="nil"/>
              <w:left w:val="nil"/>
              <w:bottom w:val="nil"/>
              <w:right w:val="nil"/>
            </w:tcBorders>
            <w:shd w:val="clear" w:color="000000" w:fill="FABF8F"/>
            <w:noWrap/>
            <w:vAlign w:val="bottom"/>
            <w:hideMark/>
          </w:tcPr>
          <w:p w14:paraId="0A97AACC" w14:textId="77777777" w:rsidR="006D3729" w:rsidRPr="00E14060" w:rsidRDefault="006D3729" w:rsidP="006D3729">
            <w:pPr>
              <w:rPr>
                <w:sz w:val="22"/>
                <w:szCs w:val="22"/>
                <w:lang w:val="en-GB"/>
              </w:rPr>
            </w:pPr>
            <w:r w:rsidRPr="00E14060">
              <w:rPr>
                <w:sz w:val="22"/>
                <w:szCs w:val="22"/>
                <w:lang w:val="en-GB"/>
              </w:rPr>
              <w:t> </w:t>
            </w:r>
          </w:p>
        </w:tc>
        <w:tc>
          <w:tcPr>
            <w:tcW w:w="1035" w:type="dxa"/>
            <w:tcBorders>
              <w:top w:val="nil"/>
              <w:left w:val="nil"/>
              <w:bottom w:val="nil"/>
              <w:right w:val="nil"/>
            </w:tcBorders>
            <w:shd w:val="clear" w:color="000000" w:fill="FABF8F"/>
            <w:noWrap/>
            <w:vAlign w:val="bottom"/>
            <w:hideMark/>
          </w:tcPr>
          <w:p w14:paraId="77800124" w14:textId="77777777" w:rsidR="006D3729" w:rsidRPr="00E14060" w:rsidRDefault="006D3729" w:rsidP="006D3729">
            <w:pPr>
              <w:rPr>
                <w:sz w:val="22"/>
                <w:szCs w:val="22"/>
                <w:lang w:val="en-GB"/>
              </w:rPr>
            </w:pPr>
            <w:r w:rsidRPr="00E14060">
              <w:rPr>
                <w:sz w:val="22"/>
                <w:szCs w:val="22"/>
                <w:lang w:val="en-GB"/>
              </w:rPr>
              <w:t> </w:t>
            </w:r>
          </w:p>
        </w:tc>
        <w:tc>
          <w:tcPr>
            <w:tcW w:w="1035" w:type="dxa"/>
            <w:tcBorders>
              <w:top w:val="nil"/>
              <w:left w:val="nil"/>
              <w:bottom w:val="nil"/>
              <w:right w:val="nil"/>
            </w:tcBorders>
            <w:shd w:val="clear" w:color="000000" w:fill="FABF8F"/>
            <w:noWrap/>
            <w:vAlign w:val="bottom"/>
            <w:hideMark/>
          </w:tcPr>
          <w:p w14:paraId="04B8ADCB" w14:textId="77777777" w:rsidR="006D3729" w:rsidRPr="00E14060" w:rsidRDefault="006D3729" w:rsidP="006D3729">
            <w:pPr>
              <w:rPr>
                <w:sz w:val="22"/>
                <w:szCs w:val="22"/>
                <w:lang w:val="en-GB"/>
              </w:rPr>
            </w:pPr>
            <w:r w:rsidRPr="00E14060">
              <w:rPr>
                <w:sz w:val="22"/>
                <w:szCs w:val="22"/>
                <w:lang w:val="en-GB"/>
              </w:rPr>
              <w:t> </w:t>
            </w:r>
          </w:p>
        </w:tc>
        <w:tc>
          <w:tcPr>
            <w:tcW w:w="850" w:type="dxa"/>
            <w:tcBorders>
              <w:top w:val="nil"/>
              <w:left w:val="nil"/>
              <w:bottom w:val="nil"/>
              <w:right w:val="nil"/>
            </w:tcBorders>
            <w:shd w:val="clear" w:color="000000" w:fill="FABF8F"/>
            <w:noWrap/>
            <w:vAlign w:val="bottom"/>
            <w:hideMark/>
          </w:tcPr>
          <w:p w14:paraId="3BEFE93D" w14:textId="77777777" w:rsidR="006D3729" w:rsidRPr="00E14060" w:rsidRDefault="006D3729" w:rsidP="006D3729">
            <w:pPr>
              <w:rPr>
                <w:sz w:val="22"/>
                <w:szCs w:val="22"/>
                <w:lang w:val="en-GB"/>
              </w:rPr>
            </w:pPr>
            <w:r w:rsidRPr="00E14060">
              <w:rPr>
                <w:sz w:val="22"/>
                <w:szCs w:val="22"/>
                <w:lang w:val="en-GB"/>
              </w:rPr>
              <w:t> </w:t>
            </w:r>
          </w:p>
        </w:tc>
        <w:tc>
          <w:tcPr>
            <w:tcW w:w="850" w:type="dxa"/>
            <w:tcBorders>
              <w:top w:val="nil"/>
              <w:left w:val="nil"/>
              <w:bottom w:val="nil"/>
              <w:right w:val="nil"/>
            </w:tcBorders>
            <w:shd w:val="clear" w:color="000000" w:fill="FABF8F"/>
            <w:noWrap/>
            <w:vAlign w:val="bottom"/>
            <w:hideMark/>
          </w:tcPr>
          <w:p w14:paraId="7DD38E3E" w14:textId="77777777" w:rsidR="006D3729" w:rsidRPr="00E14060" w:rsidRDefault="006D3729" w:rsidP="006D3729">
            <w:pPr>
              <w:rPr>
                <w:sz w:val="22"/>
                <w:szCs w:val="22"/>
                <w:lang w:val="en-GB"/>
              </w:rPr>
            </w:pPr>
            <w:r w:rsidRPr="00E14060">
              <w:rPr>
                <w:sz w:val="22"/>
                <w:szCs w:val="22"/>
                <w:lang w:val="en-GB"/>
              </w:rPr>
              <w:t> </w:t>
            </w:r>
          </w:p>
        </w:tc>
        <w:tc>
          <w:tcPr>
            <w:tcW w:w="850" w:type="dxa"/>
            <w:tcBorders>
              <w:top w:val="nil"/>
              <w:left w:val="nil"/>
              <w:bottom w:val="nil"/>
              <w:right w:val="nil"/>
            </w:tcBorders>
            <w:shd w:val="clear" w:color="000000" w:fill="FABF8F"/>
            <w:noWrap/>
            <w:vAlign w:val="bottom"/>
            <w:hideMark/>
          </w:tcPr>
          <w:p w14:paraId="3804CC7F" w14:textId="77777777" w:rsidR="006D3729" w:rsidRPr="00E14060" w:rsidRDefault="006D3729" w:rsidP="006D3729">
            <w:pPr>
              <w:rPr>
                <w:sz w:val="22"/>
                <w:szCs w:val="22"/>
                <w:lang w:val="en-GB"/>
              </w:rPr>
            </w:pPr>
            <w:r w:rsidRPr="00E14060">
              <w:rPr>
                <w:sz w:val="22"/>
                <w:szCs w:val="22"/>
                <w:lang w:val="en-GB"/>
              </w:rPr>
              <w:t> </w:t>
            </w:r>
          </w:p>
        </w:tc>
      </w:tr>
      <w:tr w:rsidR="006D3729" w:rsidRPr="00E14060" w14:paraId="6B3C6194" w14:textId="77777777" w:rsidTr="008C602E">
        <w:trPr>
          <w:trHeight w:val="300"/>
        </w:trPr>
        <w:tc>
          <w:tcPr>
            <w:tcW w:w="601" w:type="dxa"/>
            <w:tcBorders>
              <w:top w:val="nil"/>
              <w:left w:val="nil"/>
              <w:bottom w:val="nil"/>
              <w:right w:val="nil"/>
            </w:tcBorders>
            <w:shd w:val="clear" w:color="000000" w:fill="FABF8F"/>
            <w:noWrap/>
            <w:vAlign w:val="bottom"/>
            <w:hideMark/>
          </w:tcPr>
          <w:p w14:paraId="6A17824D" w14:textId="77777777" w:rsidR="006D3729" w:rsidRPr="00E14060" w:rsidRDefault="006D3729" w:rsidP="000D7285">
            <w:pPr>
              <w:jc w:val="right"/>
              <w:rPr>
                <w:sz w:val="22"/>
                <w:szCs w:val="22"/>
                <w:lang w:val="en-GB"/>
              </w:rPr>
            </w:pPr>
            <w:r w:rsidRPr="00E14060">
              <w:rPr>
                <w:sz w:val="22"/>
                <w:szCs w:val="22"/>
                <w:lang w:val="en-GB"/>
              </w:rPr>
              <w:t>2</w:t>
            </w:r>
          </w:p>
        </w:tc>
        <w:tc>
          <w:tcPr>
            <w:tcW w:w="6209" w:type="dxa"/>
            <w:gridSpan w:val="9"/>
            <w:tcBorders>
              <w:top w:val="nil"/>
              <w:left w:val="nil"/>
              <w:bottom w:val="nil"/>
              <w:right w:val="nil"/>
            </w:tcBorders>
            <w:shd w:val="clear" w:color="000000" w:fill="FABF8F"/>
            <w:noWrap/>
            <w:vAlign w:val="center"/>
            <w:hideMark/>
          </w:tcPr>
          <w:p w14:paraId="22EEC261" w14:textId="77777777" w:rsidR="006D3729" w:rsidRPr="00E14060" w:rsidRDefault="006D3729" w:rsidP="006D3729">
            <w:pPr>
              <w:rPr>
                <w:sz w:val="22"/>
                <w:szCs w:val="22"/>
                <w:lang w:val="en-GB"/>
              </w:rPr>
            </w:pPr>
            <w:r w:rsidRPr="00E14060">
              <w:rPr>
                <w:sz w:val="22"/>
                <w:szCs w:val="22"/>
                <w:lang w:val="en-GB"/>
              </w:rPr>
              <w:t>Does not include a study drug (MPH, AMPH, ATX, LDX)</w:t>
            </w:r>
          </w:p>
        </w:tc>
        <w:tc>
          <w:tcPr>
            <w:tcW w:w="850" w:type="dxa"/>
            <w:tcBorders>
              <w:top w:val="nil"/>
              <w:left w:val="nil"/>
              <w:bottom w:val="nil"/>
              <w:right w:val="nil"/>
            </w:tcBorders>
            <w:shd w:val="clear" w:color="000000" w:fill="FABF8F"/>
            <w:noWrap/>
            <w:vAlign w:val="bottom"/>
            <w:hideMark/>
          </w:tcPr>
          <w:p w14:paraId="3CA3C720" w14:textId="77777777" w:rsidR="006D3729" w:rsidRPr="00E14060" w:rsidRDefault="006D3729" w:rsidP="006D3729">
            <w:pPr>
              <w:rPr>
                <w:sz w:val="22"/>
                <w:szCs w:val="22"/>
                <w:lang w:val="en-GB"/>
              </w:rPr>
            </w:pPr>
            <w:r w:rsidRPr="00E14060">
              <w:rPr>
                <w:sz w:val="22"/>
                <w:szCs w:val="22"/>
                <w:lang w:val="en-GB"/>
              </w:rPr>
              <w:t> </w:t>
            </w:r>
          </w:p>
        </w:tc>
        <w:tc>
          <w:tcPr>
            <w:tcW w:w="850" w:type="dxa"/>
            <w:tcBorders>
              <w:top w:val="nil"/>
              <w:left w:val="nil"/>
              <w:bottom w:val="nil"/>
              <w:right w:val="nil"/>
            </w:tcBorders>
            <w:shd w:val="clear" w:color="000000" w:fill="FABF8F"/>
            <w:noWrap/>
            <w:vAlign w:val="bottom"/>
            <w:hideMark/>
          </w:tcPr>
          <w:p w14:paraId="721ADFD4" w14:textId="77777777" w:rsidR="006D3729" w:rsidRPr="00E14060" w:rsidRDefault="006D3729" w:rsidP="006D3729">
            <w:pPr>
              <w:rPr>
                <w:sz w:val="22"/>
                <w:szCs w:val="22"/>
                <w:lang w:val="en-GB"/>
              </w:rPr>
            </w:pPr>
            <w:r w:rsidRPr="00E14060">
              <w:rPr>
                <w:sz w:val="22"/>
                <w:szCs w:val="22"/>
                <w:lang w:val="en-GB"/>
              </w:rPr>
              <w:t> </w:t>
            </w:r>
          </w:p>
        </w:tc>
        <w:tc>
          <w:tcPr>
            <w:tcW w:w="850" w:type="dxa"/>
            <w:tcBorders>
              <w:top w:val="nil"/>
              <w:left w:val="nil"/>
              <w:bottom w:val="nil"/>
              <w:right w:val="nil"/>
            </w:tcBorders>
            <w:shd w:val="clear" w:color="000000" w:fill="FABF8F"/>
            <w:noWrap/>
            <w:vAlign w:val="bottom"/>
            <w:hideMark/>
          </w:tcPr>
          <w:p w14:paraId="0C09B39E" w14:textId="77777777" w:rsidR="006D3729" w:rsidRPr="00E14060" w:rsidRDefault="006D3729" w:rsidP="006D3729">
            <w:pPr>
              <w:rPr>
                <w:sz w:val="22"/>
                <w:szCs w:val="22"/>
                <w:lang w:val="en-GB"/>
              </w:rPr>
            </w:pPr>
            <w:r w:rsidRPr="00E14060">
              <w:rPr>
                <w:sz w:val="22"/>
                <w:szCs w:val="22"/>
                <w:lang w:val="en-GB"/>
              </w:rPr>
              <w:t> </w:t>
            </w:r>
          </w:p>
        </w:tc>
      </w:tr>
      <w:tr w:rsidR="006D3729" w:rsidRPr="00E14060" w14:paraId="78EA4EF6" w14:textId="77777777" w:rsidTr="008C602E">
        <w:trPr>
          <w:trHeight w:val="300"/>
        </w:trPr>
        <w:tc>
          <w:tcPr>
            <w:tcW w:w="601" w:type="dxa"/>
            <w:tcBorders>
              <w:top w:val="nil"/>
              <w:left w:val="nil"/>
              <w:bottom w:val="nil"/>
              <w:right w:val="nil"/>
            </w:tcBorders>
            <w:shd w:val="clear" w:color="000000" w:fill="FABF8F"/>
            <w:noWrap/>
            <w:vAlign w:val="bottom"/>
            <w:hideMark/>
          </w:tcPr>
          <w:p w14:paraId="067858EA" w14:textId="77777777" w:rsidR="006D3729" w:rsidRPr="00E14060" w:rsidRDefault="006D3729" w:rsidP="000D7285">
            <w:pPr>
              <w:jc w:val="right"/>
              <w:rPr>
                <w:sz w:val="22"/>
                <w:szCs w:val="22"/>
                <w:lang w:val="en-GB"/>
              </w:rPr>
            </w:pPr>
            <w:r w:rsidRPr="00E14060">
              <w:rPr>
                <w:sz w:val="22"/>
                <w:szCs w:val="22"/>
                <w:lang w:val="en-GB"/>
              </w:rPr>
              <w:t>3</w:t>
            </w:r>
          </w:p>
        </w:tc>
        <w:tc>
          <w:tcPr>
            <w:tcW w:w="3539" w:type="dxa"/>
            <w:gridSpan w:val="5"/>
            <w:tcBorders>
              <w:top w:val="nil"/>
              <w:left w:val="nil"/>
              <w:bottom w:val="nil"/>
              <w:right w:val="nil"/>
            </w:tcBorders>
            <w:shd w:val="clear" w:color="000000" w:fill="FABF8F"/>
            <w:noWrap/>
            <w:vAlign w:val="bottom"/>
            <w:hideMark/>
          </w:tcPr>
          <w:p w14:paraId="51F7BD15" w14:textId="77777777" w:rsidR="006D3729" w:rsidRPr="00E14060" w:rsidRDefault="006D3729" w:rsidP="006D3729">
            <w:pPr>
              <w:rPr>
                <w:sz w:val="22"/>
                <w:szCs w:val="22"/>
                <w:lang w:val="en-GB"/>
              </w:rPr>
            </w:pPr>
            <w:r w:rsidRPr="00E14060">
              <w:rPr>
                <w:sz w:val="22"/>
                <w:szCs w:val="22"/>
                <w:lang w:val="en-GB"/>
              </w:rPr>
              <w:t>Inappropriate study design:</w:t>
            </w:r>
          </w:p>
        </w:tc>
        <w:tc>
          <w:tcPr>
            <w:tcW w:w="600" w:type="dxa"/>
            <w:gridSpan w:val="2"/>
            <w:tcBorders>
              <w:top w:val="nil"/>
              <w:left w:val="nil"/>
              <w:bottom w:val="nil"/>
              <w:right w:val="nil"/>
            </w:tcBorders>
            <w:shd w:val="clear" w:color="000000" w:fill="FABF8F"/>
            <w:vAlign w:val="bottom"/>
            <w:hideMark/>
          </w:tcPr>
          <w:p w14:paraId="281DB1B0" w14:textId="77777777" w:rsidR="006D3729" w:rsidRPr="00E14060" w:rsidRDefault="006D3729" w:rsidP="006D3729">
            <w:pPr>
              <w:rPr>
                <w:sz w:val="22"/>
                <w:szCs w:val="22"/>
                <w:lang w:val="en-GB"/>
              </w:rPr>
            </w:pPr>
            <w:r w:rsidRPr="00E14060">
              <w:rPr>
                <w:sz w:val="22"/>
                <w:szCs w:val="22"/>
                <w:lang w:val="en-GB"/>
              </w:rPr>
              <w:t> </w:t>
            </w:r>
          </w:p>
        </w:tc>
        <w:tc>
          <w:tcPr>
            <w:tcW w:w="1035" w:type="dxa"/>
            <w:tcBorders>
              <w:top w:val="nil"/>
              <w:left w:val="nil"/>
              <w:bottom w:val="nil"/>
              <w:right w:val="nil"/>
            </w:tcBorders>
            <w:shd w:val="clear" w:color="000000" w:fill="FABF8F"/>
            <w:vAlign w:val="bottom"/>
            <w:hideMark/>
          </w:tcPr>
          <w:p w14:paraId="1636655D" w14:textId="77777777" w:rsidR="006D3729" w:rsidRPr="00E14060" w:rsidRDefault="006D3729" w:rsidP="006D3729">
            <w:pPr>
              <w:rPr>
                <w:sz w:val="22"/>
                <w:szCs w:val="22"/>
                <w:lang w:val="en-GB"/>
              </w:rPr>
            </w:pPr>
            <w:r w:rsidRPr="00E14060">
              <w:rPr>
                <w:sz w:val="22"/>
                <w:szCs w:val="22"/>
                <w:lang w:val="en-GB"/>
              </w:rPr>
              <w:t> </w:t>
            </w:r>
          </w:p>
        </w:tc>
        <w:tc>
          <w:tcPr>
            <w:tcW w:w="1035" w:type="dxa"/>
            <w:tcBorders>
              <w:top w:val="nil"/>
              <w:left w:val="nil"/>
              <w:bottom w:val="nil"/>
              <w:right w:val="nil"/>
            </w:tcBorders>
            <w:shd w:val="clear" w:color="000000" w:fill="FABF8F"/>
            <w:vAlign w:val="bottom"/>
            <w:hideMark/>
          </w:tcPr>
          <w:p w14:paraId="3FDB4BA5" w14:textId="77777777" w:rsidR="006D3729" w:rsidRPr="00E14060" w:rsidRDefault="006D3729" w:rsidP="006D3729">
            <w:pPr>
              <w:rPr>
                <w:sz w:val="22"/>
                <w:szCs w:val="22"/>
                <w:lang w:val="en-GB"/>
              </w:rPr>
            </w:pPr>
            <w:r w:rsidRPr="00E14060">
              <w:rPr>
                <w:sz w:val="22"/>
                <w:szCs w:val="22"/>
                <w:lang w:val="en-GB"/>
              </w:rPr>
              <w:t> </w:t>
            </w:r>
          </w:p>
        </w:tc>
        <w:tc>
          <w:tcPr>
            <w:tcW w:w="850" w:type="dxa"/>
            <w:tcBorders>
              <w:top w:val="nil"/>
              <w:left w:val="nil"/>
              <w:bottom w:val="nil"/>
              <w:right w:val="nil"/>
            </w:tcBorders>
            <w:shd w:val="clear" w:color="000000" w:fill="FABF8F"/>
            <w:vAlign w:val="bottom"/>
            <w:hideMark/>
          </w:tcPr>
          <w:p w14:paraId="5AF1CEE2" w14:textId="77777777" w:rsidR="006D3729" w:rsidRPr="00E14060" w:rsidRDefault="006D3729" w:rsidP="006D3729">
            <w:pPr>
              <w:rPr>
                <w:sz w:val="22"/>
                <w:szCs w:val="22"/>
                <w:lang w:val="en-GB"/>
              </w:rPr>
            </w:pPr>
            <w:r w:rsidRPr="00E14060">
              <w:rPr>
                <w:sz w:val="22"/>
                <w:szCs w:val="22"/>
                <w:lang w:val="en-GB"/>
              </w:rPr>
              <w:t> </w:t>
            </w:r>
          </w:p>
        </w:tc>
        <w:tc>
          <w:tcPr>
            <w:tcW w:w="850" w:type="dxa"/>
            <w:tcBorders>
              <w:top w:val="nil"/>
              <w:left w:val="nil"/>
              <w:bottom w:val="nil"/>
              <w:right w:val="nil"/>
            </w:tcBorders>
            <w:shd w:val="clear" w:color="000000" w:fill="FABF8F"/>
            <w:vAlign w:val="bottom"/>
            <w:hideMark/>
          </w:tcPr>
          <w:p w14:paraId="099A9B0F" w14:textId="77777777" w:rsidR="006D3729" w:rsidRPr="00E14060" w:rsidRDefault="006D3729" w:rsidP="006D3729">
            <w:pPr>
              <w:rPr>
                <w:sz w:val="22"/>
                <w:szCs w:val="22"/>
                <w:lang w:val="en-GB"/>
              </w:rPr>
            </w:pPr>
            <w:r w:rsidRPr="00E14060">
              <w:rPr>
                <w:sz w:val="22"/>
                <w:szCs w:val="22"/>
                <w:lang w:val="en-GB"/>
              </w:rPr>
              <w:t> </w:t>
            </w:r>
          </w:p>
        </w:tc>
        <w:tc>
          <w:tcPr>
            <w:tcW w:w="850" w:type="dxa"/>
            <w:tcBorders>
              <w:top w:val="nil"/>
              <w:left w:val="nil"/>
              <w:bottom w:val="nil"/>
              <w:right w:val="nil"/>
            </w:tcBorders>
            <w:shd w:val="clear" w:color="000000" w:fill="FABF8F"/>
            <w:vAlign w:val="bottom"/>
            <w:hideMark/>
          </w:tcPr>
          <w:p w14:paraId="0B3B3198" w14:textId="77777777" w:rsidR="006D3729" w:rsidRPr="00E14060" w:rsidRDefault="006D3729" w:rsidP="006D3729">
            <w:pPr>
              <w:rPr>
                <w:sz w:val="22"/>
                <w:szCs w:val="22"/>
                <w:lang w:val="en-GB"/>
              </w:rPr>
            </w:pPr>
            <w:r w:rsidRPr="00E14060">
              <w:rPr>
                <w:sz w:val="22"/>
                <w:szCs w:val="22"/>
                <w:lang w:val="en-GB"/>
              </w:rPr>
              <w:t> </w:t>
            </w:r>
          </w:p>
        </w:tc>
      </w:tr>
      <w:tr w:rsidR="006D3729" w:rsidRPr="00E14060" w14:paraId="0F73C88D" w14:textId="77777777" w:rsidTr="008C602E">
        <w:trPr>
          <w:trHeight w:val="300"/>
        </w:trPr>
        <w:tc>
          <w:tcPr>
            <w:tcW w:w="601" w:type="dxa"/>
            <w:tcBorders>
              <w:top w:val="nil"/>
              <w:left w:val="nil"/>
              <w:bottom w:val="nil"/>
              <w:right w:val="nil"/>
            </w:tcBorders>
            <w:shd w:val="clear" w:color="000000" w:fill="FABF8F"/>
            <w:noWrap/>
            <w:vAlign w:val="center"/>
            <w:hideMark/>
          </w:tcPr>
          <w:p w14:paraId="4FE41CCA" w14:textId="77777777" w:rsidR="00E8228A" w:rsidRPr="00E14060" w:rsidRDefault="00E8228A" w:rsidP="008C602E">
            <w:pPr>
              <w:jc w:val="center"/>
              <w:rPr>
                <w:sz w:val="22"/>
                <w:szCs w:val="22"/>
                <w:lang w:val="en-GB"/>
              </w:rPr>
            </w:pPr>
          </w:p>
        </w:tc>
        <w:tc>
          <w:tcPr>
            <w:tcW w:w="1608" w:type="dxa"/>
            <w:tcBorders>
              <w:top w:val="nil"/>
              <w:left w:val="nil"/>
              <w:bottom w:val="nil"/>
              <w:right w:val="nil"/>
            </w:tcBorders>
            <w:shd w:val="clear" w:color="000000" w:fill="FABF8F"/>
            <w:noWrap/>
            <w:vAlign w:val="center"/>
            <w:hideMark/>
          </w:tcPr>
          <w:p w14:paraId="7D316119" w14:textId="77777777" w:rsidR="006D3729" w:rsidRPr="00E14060" w:rsidRDefault="006D3729" w:rsidP="006D3729">
            <w:pPr>
              <w:ind w:firstLineChars="500" w:firstLine="1050"/>
              <w:rPr>
                <w:sz w:val="21"/>
                <w:szCs w:val="21"/>
                <w:lang w:val="en-GB"/>
              </w:rPr>
            </w:pPr>
            <w:r w:rsidRPr="00E14060">
              <w:rPr>
                <w:sz w:val="21"/>
                <w:szCs w:val="21"/>
                <w:lang w:val="en-GB"/>
              </w:rPr>
              <w:t>-</w:t>
            </w:r>
          </w:p>
        </w:tc>
        <w:tc>
          <w:tcPr>
            <w:tcW w:w="1931" w:type="dxa"/>
            <w:gridSpan w:val="4"/>
            <w:tcBorders>
              <w:top w:val="nil"/>
              <w:left w:val="nil"/>
              <w:bottom w:val="nil"/>
              <w:right w:val="nil"/>
            </w:tcBorders>
            <w:shd w:val="clear" w:color="000000" w:fill="FABF8F"/>
            <w:noWrap/>
            <w:vAlign w:val="center"/>
            <w:hideMark/>
          </w:tcPr>
          <w:p w14:paraId="6A66F59D" w14:textId="77777777" w:rsidR="006D3729" w:rsidRPr="00E14060" w:rsidRDefault="006D3729" w:rsidP="006D3729">
            <w:pPr>
              <w:rPr>
                <w:sz w:val="21"/>
                <w:szCs w:val="21"/>
                <w:lang w:val="en-GB"/>
              </w:rPr>
            </w:pPr>
            <w:r w:rsidRPr="00E14060">
              <w:rPr>
                <w:sz w:val="21"/>
                <w:szCs w:val="21"/>
                <w:lang w:val="en-GB"/>
              </w:rPr>
              <w:t>Preclinical studies</w:t>
            </w:r>
          </w:p>
        </w:tc>
        <w:tc>
          <w:tcPr>
            <w:tcW w:w="600" w:type="dxa"/>
            <w:gridSpan w:val="2"/>
            <w:tcBorders>
              <w:top w:val="nil"/>
              <w:left w:val="nil"/>
              <w:bottom w:val="nil"/>
              <w:right w:val="nil"/>
            </w:tcBorders>
            <w:shd w:val="clear" w:color="000000" w:fill="FABF8F"/>
            <w:vAlign w:val="bottom"/>
            <w:hideMark/>
          </w:tcPr>
          <w:p w14:paraId="0AE979DB" w14:textId="77777777" w:rsidR="006D3729" w:rsidRPr="00E14060" w:rsidRDefault="006D3729" w:rsidP="006D3729">
            <w:pPr>
              <w:rPr>
                <w:sz w:val="22"/>
                <w:szCs w:val="22"/>
                <w:lang w:val="en-GB"/>
              </w:rPr>
            </w:pPr>
            <w:r w:rsidRPr="00E14060">
              <w:rPr>
                <w:sz w:val="22"/>
                <w:szCs w:val="22"/>
                <w:lang w:val="en-GB"/>
              </w:rPr>
              <w:t> </w:t>
            </w:r>
          </w:p>
        </w:tc>
        <w:tc>
          <w:tcPr>
            <w:tcW w:w="1035" w:type="dxa"/>
            <w:tcBorders>
              <w:top w:val="nil"/>
              <w:left w:val="nil"/>
              <w:bottom w:val="nil"/>
              <w:right w:val="nil"/>
            </w:tcBorders>
            <w:shd w:val="clear" w:color="000000" w:fill="FABF8F"/>
            <w:vAlign w:val="bottom"/>
            <w:hideMark/>
          </w:tcPr>
          <w:p w14:paraId="39F476AA" w14:textId="77777777" w:rsidR="006D3729" w:rsidRPr="00E14060" w:rsidRDefault="006D3729" w:rsidP="006D3729">
            <w:pPr>
              <w:rPr>
                <w:sz w:val="22"/>
                <w:szCs w:val="22"/>
                <w:lang w:val="en-GB"/>
              </w:rPr>
            </w:pPr>
            <w:r w:rsidRPr="00E14060">
              <w:rPr>
                <w:sz w:val="22"/>
                <w:szCs w:val="22"/>
                <w:lang w:val="en-GB"/>
              </w:rPr>
              <w:t> </w:t>
            </w:r>
          </w:p>
        </w:tc>
        <w:tc>
          <w:tcPr>
            <w:tcW w:w="1035" w:type="dxa"/>
            <w:tcBorders>
              <w:top w:val="nil"/>
              <w:left w:val="nil"/>
              <w:bottom w:val="nil"/>
              <w:right w:val="nil"/>
            </w:tcBorders>
            <w:shd w:val="clear" w:color="000000" w:fill="FABF8F"/>
            <w:vAlign w:val="bottom"/>
            <w:hideMark/>
          </w:tcPr>
          <w:p w14:paraId="727922C2" w14:textId="77777777" w:rsidR="006D3729" w:rsidRPr="00E14060" w:rsidRDefault="006D3729" w:rsidP="006D3729">
            <w:pPr>
              <w:rPr>
                <w:sz w:val="22"/>
                <w:szCs w:val="22"/>
                <w:lang w:val="en-GB"/>
              </w:rPr>
            </w:pPr>
            <w:r w:rsidRPr="00E14060">
              <w:rPr>
                <w:sz w:val="22"/>
                <w:szCs w:val="22"/>
                <w:lang w:val="en-GB"/>
              </w:rPr>
              <w:t> </w:t>
            </w:r>
          </w:p>
        </w:tc>
        <w:tc>
          <w:tcPr>
            <w:tcW w:w="850" w:type="dxa"/>
            <w:tcBorders>
              <w:top w:val="nil"/>
              <w:left w:val="nil"/>
              <w:bottom w:val="nil"/>
              <w:right w:val="nil"/>
            </w:tcBorders>
            <w:shd w:val="clear" w:color="000000" w:fill="FABF8F"/>
            <w:vAlign w:val="bottom"/>
            <w:hideMark/>
          </w:tcPr>
          <w:p w14:paraId="2C3765DD" w14:textId="77777777" w:rsidR="006D3729" w:rsidRPr="00E14060" w:rsidRDefault="006D3729" w:rsidP="006D3729">
            <w:pPr>
              <w:rPr>
                <w:sz w:val="22"/>
                <w:szCs w:val="22"/>
                <w:lang w:val="en-GB"/>
              </w:rPr>
            </w:pPr>
            <w:r w:rsidRPr="00E14060">
              <w:rPr>
                <w:sz w:val="22"/>
                <w:szCs w:val="22"/>
                <w:lang w:val="en-GB"/>
              </w:rPr>
              <w:t> </w:t>
            </w:r>
          </w:p>
        </w:tc>
        <w:tc>
          <w:tcPr>
            <w:tcW w:w="850" w:type="dxa"/>
            <w:tcBorders>
              <w:top w:val="nil"/>
              <w:left w:val="nil"/>
              <w:bottom w:val="nil"/>
              <w:right w:val="nil"/>
            </w:tcBorders>
            <w:shd w:val="clear" w:color="000000" w:fill="FABF8F"/>
            <w:vAlign w:val="bottom"/>
            <w:hideMark/>
          </w:tcPr>
          <w:p w14:paraId="644B8CA6" w14:textId="77777777" w:rsidR="006D3729" w:rsidRPr="00E14060" w:rsidRDefault="006D3729" w:rsidP="006D3729">
            <w:pPr>
              <w:rPr>
                <w:sz w:val="22"/>
                <w:szCs w:val="22"/>
                <w:lang w:val="en-GB"/>
              </w:rPr>
            </w:pPr>
            <w:r w:rsidRPr="00E14060">
              <w:rPr>
                <w:sz w:val="22"/>
                <w:szCs w:val="22"/>
                <w:lang w:val="en-GB"/>
              </w:rPr>
              <w:t> </w:t>
            </w:r>
          </w:p>
        </w:tc>
        <w:tc>
          <w:tcPr>
            <w:tcW w:w="850" w:type="dxa"/>
            <w:tcBorders>
              <w:top w:val="nil"/>
              <w:left w:val="nil"/>
              <w:bottom w:val="nil"/>
              <w:right w:val="nil"/>
            </w:tcBorders>
            <w:shd w:val="clear" w:color="000000" w:fill="FABF8F"/>
            <w:vAlign w:val="bottom"/>
            <w:hideMark/>
          </w:tcPr>
          <w:p w14:paraId="415FB371" w14:textId="77777777" w:rsidR="006D3729" w:rsidRPr="00E14060" w:rsidRDefault="006D3729" w:rsidP="006D3729">
            <w:pPr>
              <w:rPr>
                <w:sz w:val="22"/>
                <w:szCs w:val="22"/>
                <w:lang w:val="en-GB"/>
              </w:rPr>
            </w:pPr>
            <w:r w:rsidRPr="00E14060">
              <w:rPr>
                <w:sz w:val="22"/>
                <w:szCs w:val="22"/>
                <w:lang w:val="en-GB"/>
              </w:rPr>
              <w:t> </w:t>
            </w:r>
          </w:p>
        </w:tc>
      </w:tr>
      <w:tr w:rsidR="006D3729" w:rsidRPr="00E14060" w14:paraId="0B30E8C1" w14:textId="77777777" w:rsidTr="008C602E">
        <w:trPr>
          <w:trHeight w:val="300"/>
        </w:trPr>
        <w:tc>
          <w:tcPr>
            <w:tcW w:w="601" w:type="dxa"/>
            <w:tcBorders>
              <w:top w:val="nil"/>
              <w:left w:val="nil"/>
              <w:bottom w:val="nil"/>
              <w:right w:val="nil"/>
            </w:tcBorders>
            <w:shd w:val="clear" w:color="000000" w:fill="FABF8F"/>
            <w:noWrap/>
            <w:vAlign w:val="center"/>
            <w:hideMark/>
          </w:tcPr>
          <w:p w14:paraId="67E17C2C" w14:textId="77777777" w:rsidR="00E8228A" w:rsidRPr="00E14060" w:rsidRDefault="00E8228A" w:rsidP="008C602E">
            <w:pPr>
              <w:jc w:val="center"/>
              <w:rPr>
                <w:sz w:val="22"/>
                <w:szCs w:val="22"/>
                <w:lang w:val="en-GB"/>
              </w:rPr>
            </w:pPr>
          </w:p>
        </w:tc>
        <w:tc>
          <w:tcPr>
            <w:tcW w:w="1608" w:type="dxa"/>
            <w:tcBorders>
              <w:top w:val="nil"/>
              <w:left w:val="nil"/>
              <w:bottom w:val="nil"/>
              <w:right w:val="nil"/>
            </w:tcBorders>
            <w:shd w:val="clear" w:color="000000" w:fill="FABF8F"/>
            <w:noWrap/>
            <w:vAlign w:val="center"/>
            <w:hideMark/>
          </w:tcPr>
          <w:p w14:paraId="5065919B" w14:textId="77777777" w:rsidR="006D3729" w:rsidRPr="00E14060" w:rsidRDefault="006D3729" w:rsidP="006D3729">
            <w:pPr>
              <w:ind w:firstLineChars="500" w:firstLine="1050"/>
              <w:rPr>
                <w:sz w:val="21"/>
                <w:szCs w:val="21"/>
                <w:lang w:val="en-GB"/>
              </w:rPr>
            </w:pPr>
            <w:r w:rsidRPr="00E14060">
              <w:rPr>
                <w:sz w:val="21"/>
                <w:szCs w:val="21"/>
                <w:lang w:val="en-GB"/>
              </w:rPr>
              <w:t>-</w:t>
            </w:r>
          </w:p>
        </w:tc>
        <w:tc>
          <w:tcPr>
            <w:tcW w:w="1931" w:type="dxa"/>
            <w:gridSpan w:val="4"/>
            <w:tcBorders>
              <w:top w:val="nil"/>
              <w:left w:val="nil"/>
              <w:bottom w:val="nil"/>
              <w:right w:val="nil"/>
            </w:tcBorders>
            <w:shd w:val="clear" w:color="000000" w:fill="FABF8F"/>
            <w:noWrap/>
            <w:vAlign w:val="center"/>
            <w:hideMark/>
          </w:tcPr>
          <w:p w14:paraId="638FB72E" w14:textId="77777777" w:rsidR="006D3729" w:rsidRPr="00E14060" w:rsidRDefault="006D3729" w:rsidP="006D3729">
            <w:pPr>
              <w:rPr>
                <w:sz w:val="21"/>
                <w:szCs w:val="21"/>
                <w:lang w:val="en-GB"/>
              </w:rPr>
            </w:pPr>
            <w:r w:rsidRPr="00E14060">
              <w:rPr>
                <w:sz w:val="21"/>
                <w:szCs w:val="21"/>
                <w:lang w:val="en-GB"/>
              </w:rPr>
              <w:t xml:space="preserve">Phase I studies </w:t>
            </w:r>
          </w:p>
        </w:tc>
        <w:tc>
          <w:tcPr>
            <w:tcW w:w="600" w:type="dxa"/>
            <w:gridSpan w:val="2"/>
            <w:tcBorders>
              <w:top w:val="nil"/>
              <w:left w:val="nil"/>
              <w:bottom w:val="nil"/>
              <w:right w:val="nil"/>
            </w:tcBorders>
            <w:shd w:val="clear" w:color="000000" w:fill="FABF8F"/>
            <w:vAlign w:val="bottom"/>
            <w:hideMark/>
          </w:tcPr>
          <w:p w14:paraId="1B7351AE" w14:textId="77777777" w:rsidR="006D3729" w:rsidRPr="00E14060" w:rsidRDefault="006D3729" w:rsidP="006D3729">
            <w:pPr>
              <w:rPr>
                <w:sz w:val="22"/>
                <w:szCs w:val="22"/>
                <w:lang w:val="en-GB"/>
              </w:rPr>
            </w:pPr>
            <w:r w:rsidRPr="00E14060">
              <w:rPr>
                <w:sz w:val="22"/>
                <w:szCs w:val="22"/>
                <w:lang w:val="en-GB"/>
              </w:rPr>
              <w:t> </w:t>
            </w:r>
          </w:p>
        </w:tc>
        <w:tc>
          <w:tcPr>
            <w:tcW w:w="1035" w:type="dxa"/>
            <w:tcBorders>
              <w:top w:val="nil"/>
              <w:left w:val="nil"/>
              <w:bottom w:val="nil"/>
              <w:right w:val="nil"/>
            </w:tcBorders>
            <w:shd w:val="clear" w:color="000000" w:fill="FABF8F"/>
            <w:vAlign w:val="bottom"/>
            <w:hideMark/>
          </w:tcPr>
          <w:p w14:paraId="32113E41" w14:textId="77777777" w:rsidR="006D3729" w:rsidRPr="00E14060" w:rsidRDefault="006D3729" w:rsidP="006D3729">
            <w:pPr>
              <w:rPr>
                <w:sz w:val="22"/>
                <w:szCs w:val="22"/>
                <w:lang w:val="en-GB"/>
              </w:rPr>
            </w:pPr>
            <w:r w:rsidRPr="00E14060">
              <w:rPr>
                <w:sz w:val="22"/>
                <w:szCs w:val="22"/>
                <w:lang w:val="en-GB"/>
              </w:rPr>
              <w:t> </w:t>
            </w:r>
          </w:p>
        </w:tc>
        <w:tc>
          <w:tcPr>
            <w:tcW w:w="1035" w:type="dxa"/>
            <w:tcBorders>
              <w:top w:val="nil"/>
              <w:left w:val="nil"/>
              <w:bottom w:val="nil"/>
              <w:right w:val="nil"/>
            </w:tcBorders>
            <w:shd w:val="clear" w:color="000000" w:fill="FABF8F"/>
            <w:vAlign w:val="bottom"/>
            <w:hideMark/>
          </w:tcPr>
          <w:p w14:paraId="5A8E0660" w14:textId="77777777" w:rsidR="006D3729" w:rsidRPr="00E14060" w:rsidRDefault="006D3729" w:rsidP="006D3729">
            <w:pPr>
              <w:rPr>
                <w:sz w:val="22"/>
                <w:szCs w:val="22"/>
                <w:lang w:val="en-GB"/>
              </w:rPr>
            </w:pPr>
            <w:r w:rsidRPr="00E14060">
              <w:rPr>
                <w:sz w:val="22"/>
                <w:szCs w:val="22"/>
                <w:lang w:val="en-GB"/>
              </w:rPr>
              <w:t> </w:t>
            </w:r>
          </w:p>
        </w:tc>
        <w:tc>
          <w:tcPr>
            <w:tcW w:w="850" w:type="dxa"/>
            <w:tcBorders>
              <w:top w:val="nil"/>
              <w:left w:val="nil"/>
              <w:bottom w:val="nil"/>
              <w:right w:val="nil"/>
            </w:tcBorders>
            <w:shd w:val="clear" w:color="000000" w:fill="FABF8F"/>
            <w:vAlign w:val="bottom"/>
            <w:hideMark/>
          </w:tcPr>
          <w:p w14:paraId="159764A6" w14:textId="77777777" w:rsidR="006D3729" w:rsidRPr="00E14060" w:rsidRDefault="006D3729" w:rsidP="006D3729">
            <w:pPr>
              <w:rPr>
                <w:sz w:val="22"/>
                <w:szCs w:val="22"/>
                <w:lang w:val="en-GB"/>
              </w:rPr>
            </w:pPr>
            <w:r w:rsidRPr="00E14060">
              <w:rPr>
                <w:sz w:val="22"/>
                <w:szCs w:val="22"/>
                <w:lang w:val="en-GB"/>
              </w:rPr>
              <w:t> </w:t>
            </w:r>
          </w:p>
        </w:tc>
        <w:tc>
          <w:tcPr>
            <w:tcW w:w="850" w:type="dxa"/>
            <w:tcBorders>
              <w:top w:val="nil"/>
              <w:left w:val="nil"/>
              <w:bottom w:val="nil"/>
              <w:right w:val="nil"/>
            </w:tcBorders>
            <w:shd w:val="clear" w:color="000000" w:fill="FABF8F"/>
            <w:vAlign w:val="bottom"/>
            <w:hideMark/>
          </w:tcPr>
          <w:p w14:paraId="6BFCEAA0" w14:textId="77777777" w:rsidR="006D3729" w:rsidRPr="00E14060" w:rsidRDefault="006D3729" w:rsidP="006D3729">
            <w:pPr>
              <w:rPr>
                <w:sz w:val="22"/>
                <w:szCs w:val="22"/>
                <w:lang w:val="en-GB"/>
              </w:rPr>
            </w:pPr>
            <w:r w:rsidRPr="00E14060">
              <w:rPr>
                <w:sz w:val="22"/>
                <w:szCs w:val="22"/>
                <w:lang w:val="en-GB"/>
              </w:rPr>
              <w:t> </w:t>
            </w:r>
          </w:p>
        </w:tc>
        <w:tc>
          <w:tcPr>
            <w:tcW w:w="850" w:type="dxa"/>
            <w:tcBorders>
              <w:top w:val="nil"/>
              <w:left w:val="nil"/>
              <w:bottom w:val="nil"/>
              <w:right w:val="nil"/>
            </w:tcBorders>
            <w:shd w:val="clear" w:color="000000" w:fill="FABF8F"/>
            <w:vAlign w:val="bottom"/>
            <w:hideMark/>
          </w:tcPr>
          <w:p w14:paraId="60C1F069" w14:textId="77777777" w:rsidR="006D3729" w:rsidRPr="00E14060" w:rsidRDefault="006D3729" w:rsidP="006D3729">
            <w:pPr>
              <w:rPr>
                <w:sz w:val="22"/>
                <w:szCs w:val="22"/>
                <w:lang w:val="en-GB"/>
              </w:rPr>
            </w:pPr>
            <w:r w:rsidRPr="00E14060">
              <w:rPr>
                <w:sz w:val="22"/>
                <w:szCs w:val="22"/>
                <w:lang w:val="en-GB"/>
              </w:rPr>
              <w:t> </w:t>
            </w:r>
          </w:p>
        </w:tc>
      </w:tr>
      <w:tr w:rsidR="006D3729" w:rsidRPr="00E14060" w14:paraId="4953B2F8" w14:textId="77777777" w:rsidTr="008C602E">
        <w:trPr>
          <w:trHeight w:val="300"/>
        </w:trPr>
        <w:tc>
          <w:tcPr>
            <w:tcW w:w="601" w:type="dxa"/>
            <w:tcBorders>
              <w:top w:val="nil"/>
              <w:left w:val="nil"/>
              <w:bottom w:val="nil"/>
              <w:right w:val="nil"/>
            </w:tcBorders>
            <w:shd w:val="clear" w:color="000000" w:fill="FABF8F"/>
            <w:noWrap/>
            <w:vAlign w:val="center"/>
            <w:hideMark/>
          </w:tcPr>
          <w:p w14:paraId="6E5DEA36" w14:textId="77777777" w:rsidR="00E8228A" w:rsidRPr="00E14060" w:rsidRDefault="00E8228A" w:rsidP="008C602E">
            <w:pPr>
              <w:jc w:val="center"/>
              <w:rPr>
                <w:sz w:val="22"/>
                <w:szCs w:val="22"/>
                <w:lang w:val="en-GB"/>
              </w:rPr>
            </w:pPr>
          </w:p>
        </w:tc>
        <w:tc>
          <w:tcPr>
            <w:tcW w:w="1608" w:type="dxa"/>
            <w:tcBorders>
              <w:top w:val="nil"/>
              <w:left w:val="nil"/>
              <w:bottom w:val="nil"/>
              <w:right w:val="nil"/>
            </w:tcBorders>
            <w:shd w:val="clear" w:color="000000" w:fill="FABF8F"/>
            <w:noWrap/>
            <w:vAlign w:val="center"/>
            <w:hideMark/>
          </w:tcPr>
          <w:p w14:paraId="23EEF901" w14:textId="77777777" w:rsidR="006D3729" w:rsidRPr="00E14060" w:rsidRDefault="006D3729" w:rsidP="006D3729">
            <w:pPr>
              <w:ind w:firstLineChars="500" w:firstLine="1050"/>
              <w:rPr>
                <w:sz w:val="21"/>
                <w:szCs w:val="21"/>
                <w:lang w:val="en-GB"/>
              </w:rPr>
            </w:pPr>
            <w:r w:rsidRPr="00E14060">
              <w:rPr>
                <w:sz w:val="21"/>
                <w:szCs w:val="21"/>
                <w:lang w:val="en-GB"/>
              </w:rPr>
              <w:t>-</w:t>
            </w:r>
          </w:p>
        </w:tc>
        <w:tc>
          <w:tcPr>
            <w:tcW w:w="1931" w:type="dxa"/>
            <w:gridSpan w:val="4"/>
            <w:tcBorders>
              <w:top w:val="nil"/>
              <w:left w:val="nil"/>
              <w:bottom w:val="nil"/>
              <w:right w:val="nil"/>
            </w:tcBorders>
            <w:shd w:val="clear" w:color="000000" w:fill="FABF8F"/>
            <w:noWrap/>
            <w:vAlign w:val="center"/>
            <w:hideMark/>
          </w:tcPr>
          <w:p w14:paraId="21D357AF" w14:textId="77777777" w:rsidR="006D3729" w:rsidRPr="00E14060" w:rsidRDefault="006D3729" w:rsidP="006D3729">
            <w:pPr>
              <w:rPr>
                <w:sz w:val="21"/>
                <w:szCs w:val="21"/>
                <w:lang w:val="en-GB"/>
              </w:rPr>
            </w:pPr>
            <w:r w:rsidRPr="00E14060">
              <w:rPr>
                <w:sz w:val="21"/>
                <w:szCs w:val="21"/>
                <w:lang w:val="en-GB"/>
              </w:rPr>
              <w:t xml:space="preserve">Prognostic studies </w:t>
            </w:r>
          </w:p>
        </w:tc>
        <w:tc>
          <w:tcPr>
            <w:tcW w:w="600" w:type="dxa"/>
            <w:gridSpan w:val="2"/>
            <w:tcBorders>
              <w:top w:val="nil"/>
              <w:left w:val="nil"/>
              <w:bottom w:val="nil"/>
              <w:right w:val="nil"/>
            </w:tcBorders>
            <w:shd w:val="clear" w:color="000000" w:fill="FABF8F"/>
            <w:vAlign w:val="bottom"/>
            <w:hideMark/>
          </w:tcPr>
          <w:p w14:paraId="43D79084" w14:textId="77777777" w:rsidR="006D3729" w:rsidRPr="00E14060" w:rsidRDefault="006D3729" w:rsidP="006D3729">
            <w:pPr>
              <w:rPr>
                <w:sz w:val="22"/>
                <w:szCs w:val="22"/>
                <w:lang w:val="en-GB"/>
              </w:rPr>
            </w:pPr>
            <w:r w:rsidRPr="00E14060">
              <w:rPr>
                <w:sz w:val="22"/>
                <w:szCs w:val="22"/>
                <w:lang w:val="en-GB"/>
              </w:rPr>
              <w:t> </w:t>
            </w:r>
          </w:p>
        </w:tc>
        <w:tc>
          <w:tcPr>
            <w:tcW w:w="1035" w:type="dxa"/>
            <w:tcBorders>
              <w:top w:val="nil"/>
              <w:left w:val="nil"/>
              <w:bottom w:val="nil"/>
              <w:right w:val="nil"/>
            </w:tcBorders>
            <w:shd w:val="clear" w:color="000000" w:fill="FABF8F"/>
            <w:vAlign w:val="bottom"/>
            <w:hideMark/>
          </w:tcPr>
          <w:p w14:paraId="3FCFFDC8" w14:textId="77777777" w:rsidR="006D3729" w:rsidRPr="00E14060" w:rsidRDefault="006D3729" w:rsidP="006D3729">
            <w:pPr>
              <w:rPr>
                <w:sz w:val="22"/>
                <w:szCs w:val="22"/>
                <w:lang w:val="en-GB"/>
              </w:rPr>
            </w:pPr>
            <w:r w:rsidRPr="00E14060">
              <w:rPr>
                <w:sz w:val="22"/>
                <w:szCs w:val="22"/>
                <w:lang w:val="en-GB"/>
              </w:rPr>
              <w:t> </w:t>
            </w:r>
          </w:p>
        </w:tc>
        <w:tc>
          <w:tcPr>
            <w:tcW w:w="1035" w:type="dxa"/>
            <w:tcBorders>
              <w:top w:val="nil"/>
              <w:left w:val="nil"/>
              <w:bottom w:val="nil"/>
              <w:right w:val="nil"/>
            </w:tcBorders>
            <w:shd w:val="clear" w:color="000000" w:fill="FABF8F"/>
            <w:vAlign w:val="bottom"/>
            <w:hideMark/>
          </w:tcPr>
          <w:p w14:paraId="2947B5BA" w14:textId="77777777" w:rsidR="006D3729" w:rsidRPr="00E14060" w:rsidRDefault="006D3729" w:rsidP="006D3729">
            <w:pPr>
              <w:rPr>
                <w:sz w:val="22"/>
                <w:szCs w:val="22"/>
                <w:lang w:val="en-GB"/>
              </w:rPr>
            </w:pPr>
            <w:r w:rsidRPr="00E14060">
              <w:rPr>
                <w:sz w:val="22"/>
                <w:szCs w:val="22"/>
                <w:lang w:val="en-GB"/>
              </w:rPr>
              <w:t> </w:t>
            </w:r>
          </w:p>
        </w:tc>
        <w:tc>
          <w:tcPr>
            <w:tcW w:w="850" w:type="dxa"/>
            <w:tcBorders>
              <w:top w:val="nil"/>
              <w:left w:val="nil"/>
              <w:bottom w:val="nil"/>
              <w:right w:val="nil"/>
            </w:tcBorders>
            <w:shd w:val="clear" w:color="000000" w:fill="FABF8F"/>
            <w:vAlign w:val="bottom"/>
            <w:hideMark/>
          </w:tcPr>
          <w:p w14:paraId="3F1372C4" w14:textId="77777777" w:rsidR="006D3729" w:rsidRPr="00E14060" w:rsidRDefault="006D3729" w:rsidP="006D3729">
            <w:pPr>
              <w:rPr>
                <w:sz w:val="22"/>
                <w:szCs w:val="22"/>
                <w:lang w:val="en-GB"/>
              </w:rPr>
            </w:pPr>
            <w:r w:rsidRPr="00E14060">
              <w:rPr>
                <w:sz w:val="22"/>
                <w:szCs w:val="22"/>
                <w:lang w:val="en-GB"/>
              </w:rPr>
              <w:t> </w:t>
            </w:r>
          </w:p>
        </w:tc>
        <w:tc>
          <w:tcPr>
            <w:tcW w:w="850" w:type="dxa"/>
            <w:tcBorders>
              <w:top w:val="nil"/>
              <w:left w:val="nil"/>
              <w:bottom w:val="nil"/>
              <w:right w:val="nil"/>
            </w:tcBorders>
            <w:shd w:val="clear" w:color="000000" w:fill="FABF8F"/>
            <w:vAlign w:val="bottom"/>
            <w:hideMark/>
          </w:tcPr>
          <w:p w14:paraId="6826AD01" w14:textId="77777777" w:rsidR="006D3729" w:rsidRPr="00E14060" w:rsidRDefault="006D3729" w:rsidP="006D3729">
            <w:pPr>
              <w:rPr>
                <w:sz w:val="22"/>
                <w:szCs w:val="22"/>
                <w:lang w:val="en-GB"/>
              </w:rPr>
            </w:pPr>
            <w:r w:rsidRPr="00E14060">
              <w:rPr>
                <w:sz w:val="22"/>
                <w:szCs w:val="22"/>
                <w:lang w:val="en-GB"/>
              </w:rPr>
              <w:t> </w:t>
            </w:r>
          </w:p>
        </w:tc>
        <w:tc>
          <w:tcPr>
            <w:tcW w:w="850" w:type="dxa"/>
            <w:tcBorders>
              <w:top w:val="nil"/>
              <w:left w:val="nil"/>
              <w:bottom w:val="nil"/>
              <w:right w:val="nil"/>
            </w:tcBorders>
            <w:shd w:val="clear" w:color="000000" w:fill="FABF8F"/>
            <w:vAlign w:val="bottom"/>
            <w:hideMark/>
          </w:tcPr>
          <w:p w14:paraId="2EC7FD78" w14:textId="77777777" w:rsidR="006D3729" w:rsidRPr="00E14060" w:rsidRDefault="006D3729" w:rsidP="006D3729">
            <w:pPr>
              <w:rPr>
                <w:sz w:val="22"/>
                <w:szCs w:val="22"/>
                <w:lang w:val="en-GB"/>
              </w:rPr>
            </w:pPr>
            <w:r w:rsidRPr="00E14060">
              <w:rPr>
                <w:sz w:val="22"/>
                <w:szCs w:val="22"/>
                <w:lang w:val="en-GB"/>
              </w:rPr>
              <w:t> </w:t>
            </w:r>
          </w:p>
        </w:tc>
      </w:tr>
      <w:tr w:rsidR="006D3729" w:rsidRPr="00E14060" w14:paraId="7FBC0422" w14:textId="77777777" w:rsidTr="008C602E">
        <w:trPr>
          <w:trHeight w:val="300"/>
        </w:trPr>
        <w:tc>
          <w:tcPr>
            <w:tcW w:w="601" w:type="dxa"/>
            <w:tcBorders>
              <w:top w:val="nil"/>
              <w:left w:val="nil"/>
              <w:bottom w:val="nil"/>
              <w:right w:val="nil"/>
            </w:tcBorders>
            <w:shd w:val="clear" w:color="000000" w:fill="FABF8F"/>
            <w:noWrap/>
            <w:vAlign w:val="center"/>
            <w:hideMark/>
          </w:tcPr>
          <w:p w14:paraId="2B05ADC9" w14:textId="77777777" w:rsidR="00E8228A" w:rsidRPr="00E14060" w:rsidRDefault="00E8228A" w:rsidP="008C602E">
            <w:pPr>
              <w:jc w:val="center"/>
              <w:rPr>
                <w:sz w:val="22"/>
                <w:szCs w:val="22"/>
                <w:lang w:val="en-GB"/>
              </w:rPr>
            </w:pPr>
          </w:p>
        </w:tc>
        <w:tc>
          <w:tcPr>
            <w:tcW w:w="1608" w:type="dxa"/>
            <w:tcBorders>
              <w:top w:val="nil"/>
              <w:left w:val="nil"/>
              <w:bottom w:val="nil"/>
              <w:right w:val="nil"/>
            </w:tcBorders>
            <w:shd w:val="clear" w:color="000000" w:fill="FABF8F"/>
            <w:noWrap/>
            <w:vAlign w:val="center"/>
            <w:hideMark/>
          </w:tcPr>
          <w:p w14:paraId="13E8BBC2" w14:textId="77777777" w:rsidR="006D3729" w:rsidRPr="00E14060" w:rsidRDefault="006D3729" w:rsidP="006D3729">
            <w:pPr>
              <w:ind w:firstLineChars="500" w:firstLine="1050"/>
              <w:rPr>
                <w:sz w:val="21"/>
                <w:szCs w:val="21"/>
                <w:lang w:val="en-GB"/>
              </w:rPr>
            </w:pPr>
            <w:r w:rsidRPr="00E14060">
              <w:rPr>
                <w:sz w:val="21"/>
                <w:szCs w:val="21"/>
                <w:lang w:val="en-GB"/>
              </w:rPr>
              <w:t>-</w:t>
            </w:r>
          </w:p>
        </w:tc>
        <w:tc>
          <w:tcPr>
            <w:tcW w:w="2531" w:type="dxa"/>
            <w:gridSpan w:val="6"/>
            <w:tcBorders>
              <w:top w:val="nil"/>
              <w:left w:val="nil"/>
              <w:bottom w:val="nil"/>
              <w:right w:val="nil"/>
            </w:tcBorders>
            <w:shd w:val="clear" w:color="000000" w:fill="FABF8F"/>
            <w:noWrap/>
            <w:vAlign w:val="center"/>
            <w:hideMark/>
          </w:tcPr>
          <w:p w14:paraId="6277BCBE" w14:textId="77777777" w:rsidR="006D3729" w:rsidRPr="00E14060" w:rsidRDefault="006D3729" w:rsidP="006D3729">
            <w:pPr>
              <w:rPr>
                <w:sz w:val="21"/>
                <w:szCs w:val="21"/>
                <w:lang w:val="en-GB"/>
              </w:rPr>
            </w:pPr>
            <w:r w:rsidRPr="00E14060">
              <w:rPr>
                <w:sz w:val="21"/>
                <w:szCs w:val="21"/>
                <w:lang w:val="en-GB"/>
              </w:rPr>
              <w:t xml:space="preserve">Retrospective studies </w:t>
            </w:r>
          </w:p>
        </w:tc>
        <w:tc>
          <w:tcPr>
            <w:tcW w:w="1035" w:type="dxa"/>
            <w:tcBorders>
              <w:top w:val="nil"/>
              <w:left w:val="nil"/>
              <w:bottom w:val="nil"/>
              <w:right w:val="nil"/>
            </w:tcBorders>
            <w:shd w:val="clear" w:color="000000" w:fill="FABF8F"/>
            <w:vAlign w:val="bottom"/>
            <w:hideMark/>
          </w:tcPr>
          <w:p w14:paraId="2690B8DD" w14:textId="77777777" w:rsidR="006D3729" w:rsidRPr="00E14060" w:rsidRDefault="006D3729" w:rsidP="006D3729">
            <w:pPr>
              <w:rPr>
                <w:sz w:val="22"/>
                <w:szCs w:val="22"/>
                <w:lang w:val="en-GB"/>
              </w:rPr>
            </w:pPr>
            <w:r w:rsidRPr="00E14060">
              <w:rPr>
                <w:sz w:val="22"/>
                <w:szCs w:val="22"/>
                <w:lang w:val="en-GB"/>
              </w:rPr>
              <w:t> </w:t>
            </w:r>
          </w:p>
        </w:tc>
        <w:tc>
          <w:tcPr>
            <w:tcW w:w="1035" w:type="dxa"/>
            <w:tcBorders>
              <w:top w:val="nil"/>
              <w:left w:val="nil"/>
              <w:bottom w:val="nil"/>
              <w:right w:val="nil"/>
            </w:tcBorders>
            <w:shd w:val="clear" w:color="000000" w:fill="FABF8F"/>
            <w:vAlign w:val="bottom"/>
            <w:hideMark/>
          </w:tcPr>
          <w:p w14:paraId="1910C915" w14:textId="77777777" w:rsidR="006D3729" w:rsidRPr="00E14060" w:rsidRDefault="006D3729" w:rsidP="006D3729">
            <w:pPr>
              <w:rPr>
                <w:sz w:val="22"/>
                <w:szCs w:val="22"/>
                <w:lang w:val="en-GB"/>
              </w:rPr>
            </w:pPr>
            <w:r w:rsidRPr="00E14060">
              <w:rPr>
                <w:sz w:val="22"/>
                <w:szCs w:val="22"/>
                <w:lang w:val="en-GB"/>
              </w:rPr>
              <w:t> </w:t>
            </w:r>
          </w:p>
        </w:tc>
        <w:tc>
          <w:tcPr>
            <w:tcW w:w="850" w:type="dxa"/>
            <w:tcBorders>
              <w:top w:val="nil"/>
              <w:left w:val="nil"/>
              <w:bottom w:val="nil"/>
              <w:right w:val="nil"/>
            </w:tcBorders>
            <w:shd w:val="clear" w:color="000000" w:fill="FABF8F"/>
            <w:vAlign w:val="bottom"/>
            <w:hideMark/>
          </w:tcPr>
          <w:p w14:paraId="33FEF974" w14:textId="77777777" w:rsidR="006D3729" w:rsidRPr="00E14060" w:rsidRDefault="006D3729" w:rsidP="006D3729">
            <w:pPr>
              <w:rPr>
                <w:sz w:val="22"/>
                <w:szCs w:val="22"/>
                <w:lang w:val="en-GB"/>
              </w:rPr>
            </w:pPr>
            <w:r w:rsidRPr="00E14060">
              <w:rPr>
                <w:sz w:val="22"/>
                <w:szCs w:val="22"/>
                <w:lang w:val="en-GB"/>
              </w:rPr>
              <w:t> </w:t>
            </w:r>
          </w:p>
        </w:tc>
        <w:tc>
          <w:tcPr>
            <w:tcW w:w="850" w:type="dxa"/>
            <w:tcBorders>
              <w:top w:val="nil"/>
              <w:left w:val="nil"/>
              <w:bottom w:val="nil"/>
              <w:right w:val="nil"/>
            </w:tcBorders>
            <w:shd w:val="clear" w:color="000000" w:fill="FABF8F"/>
            <w:vAlign w:val="bottom"/>
            <w:hideMark/>
          </w:tcPr>
          <w:p w14:paraId="57B4B446" w14:textId="77777777" w:rsidR="006D3729" w:rsidRPr="00E14060" w:rsidRDefault="006D3729" w:rsidP="006D3729">
            <w:pPr>
              <w:rPr>
                <w:sz w:val="22"/>
                <w:szCs w:val="22"/>
                <w:lang w:val="en-GB"/>
              </w:rPr>
            </w:pPr>
            <w:r w:rsidRPr="00E14060">
              <w:rPr>
                <w:sz w:val="22"/>
                <w:szCs w:val="22"/>
                <w:lang w:val="en-GB"/>
              </w:rPr>
              <w:t> </w:t>
            </w:r>
          </w:p>
        </w:tc>
        <w:tc>
          <w:tcPr>
            <w:tcW w:w="850" w:type="dxa"/>
            <w:tcBorders>
              <w:top w:val="nil"/>
              <w:left w:val="nil"/>
              <w:bottom w:val="nil"/>
              <w:right w:val="nil"/>
            </w:tcBorders>
            <w:shd w:val="clear" w:color="000000" w:fill="FABF8F"/>
            <w:vAlign w:val="bottom"/>
            <w:hideMark/>
          </w:tcPr>
          <w:p w14:paraId="4A74D92A" w14:textId="77777777" w:rsidR="006D3729" w:rsidRPr="00E14060" w:rsidRDefault="006D3729" w:rsidP="006D3729">
            <w:pPr>
              <w:rPr>
                <w:sz w:val="22"/>
                <w:szCs w:val="22"/>
                <w:lang w:val="en-GB"/>
              </w:rPr>
            </w:pPr>
            <w:r w:rsidRPr="00E14060">
              <w:rPr>
                <w:sz w:val="22"/>
                <w:szCs w:val="22"/>
                <w:lang w:val="en-GB"/>
              </w:rPr>
              <w:t> </w:t>
            </w:r>
          </w:p>
        </w:tc>
      </w:tr>
      <w:tr w:rsidR="006D3729" w:rsidRPr="00E14060" w14:paraId="5CEADDD6" w14:textId="77777777" w:rsidTr="008C602E">
        <w:trPr>
          <w:trHeight w:val="300"/>
        </w:trPr>
        <w:tc>
          <w:tcPr>
            <w:tcW w:w="601" w:type="dxa"/>
            <w:tcBorders>
              <w:top w:val="nil"/>
              <w:left w:val="nil"/>
              <w:bottom w:val="nil"/>
              <w:right w:val="nil"/>
            </w:tcBorders>
            <w:shd w:val="clear" w:color="000000" w:fill="FABF8F"/>
            <w:noWrap/>
            <w:vAlign w:val="center"/>
            <w:hideMark/>
          </w:tcPr>
          <w:p w14:paraId="6AF7916C" w14:textId="77777777" w:rsidR="00E8228A" w:rsidRPr="00E14060" w:rsidRDefault="00E8228A" w:rsidP="008C602E">
            <w:pPr>
              <w:jc w:val="center"/>
              <w:rPr>
                <w:sz w:val="22"/>
                <w:szCs w:val="22"/>
                <w:lang w:val="en-GB"/>
              </w:rPr>
            </w:pPr>
          </w:p>
        </w:tc>
        <w:tc>
          <w:tcPr>
            <w:tcW w:w="1608" w:type="dxa"/>
            <w:tcBorders>
              <w:top w:val="nil"/>
              <w:left w:val="nil"/>
              <w:bottom w:val="nil"/>
              <w:right w:val="nil"/>
            </w:tcBorders>
            <w:shd w:val="clear" w:color="000000" w:fill="FABF8F"/>
            <w:noWrap/>
            <w:vAlign w:val="center"/>
            <w:hideMark/>
          </w:tcPr>
          <w:p w14:paraId="3692CCDA" w14:textId="77777777" w:rsidR="006D3729" w:rsidRPr="00E14060" w:rsidRDefault="006D3729" w:rsidP="006D3729">
            <w:pPr>
              <w:ind w:firstLineChars="500" w:firstLine="1050"/>
              <w:rPr>
                <w:sz w:val="21"/>
                <w:szCs w:val="21"/>
                <w:lang w:val="en-GB"/>
              </w:rPr>
            </w:pPr>
            <w:r w:rsidRPr="00E14060">
              <w:rPr>
                <w:sz w:val="21"/>
                <w:szCs w:val="21"/>
                <w:lang w:val="en-GB"/>
              </w:rPr>
              <w:t>-</w:t>
            </w:r>
          </w:p>
        </w:tc>
        <w:tc>
          <w:tcPr>
            <w:tcW w:w="1496" w:type="dxa"/>
            <w:gridSpan w:val="2"/>
            <w:tcBorders>
              <w:top w:val="nil"/>
              <w:left w:val="nil"/>
              <w:bottom w:val="nil"/>
              <w:right w:val="nil"/>
            </w:tcBorders>
            <w:shd w:val="clear" w:color="000000" w:fill="FABF8F"/>
            <w:noWrap/>
            <w:vAlign w:val="center"/>
            <w:hideMark/>
          </w:tcPr>
          <w:p w14:paraId="38C9A156" w14:textId="77777777" w:rsidR="006D3729" w:rsidRPr="00E14060" w:rsidRDefault="006D3729" w:rsidP="006D3729">
            <w:pPr>
              <w:rPr>
                <w:sz w:val="21"/>
                <w:szCs w:val="21"/>
                <w:lang w:val="en-GB"/>
              </w:rPr>
            </w:pPr>
            <w:r w:rsidRPr="00E14060">
              <w:rPr>
                <w:sz w:val="21"/>
                <w:szCs w:val="21"/>
                <w:lang w:val="en-GB"/>
              </w:rPr>
              <w:t xml:space="preserve">Case reports </w:t>
            </w:r>
          </w:p>
        </w:tc>
        <w:tc>
          <w:tcPr>
            <w:tcW w:w="1035" w:type="dxa"/>
            <w:gridSpan w:val="4"/>
            <w:tcBorders>
              <w:top w:val="nil"/>
              <w:left w:val="nil"/>
              <w:bottom w:val="nil"/>
              <w:right w:val="nil"/>
            </w:tcBorders>
            <w:shd w:val="clear" w:color="000000" w:fill="FABF8F"/>
            <w:vAlign w:val="bottom"/>
            <w:hideMark/>
          </w:tcPr>
          <w:p w14:paraId="2A3F276D" w14:textId="77777777" w:rsidR="006D3729" w:rsidRPr="00E14060" w:rsidRDefault="006D3729" w:rsidP="006D3729">
            <w:pPr>
              <w:rPr>
                <w:sz w:val="22"/>
                <w:szCs w:val="22"/>
                <w:lang w:val="en-GB"/>
              </w:rPr>
            </w:pPr>
            <w:r w:rsidRPr="00E14060">
              <w:rPr>
                <w:sz w:val="22"/>
                <w:szCs w:val="22"/>
                <w:lang w:val="en-GB"/>
              </w:rPr>
              <w:t> </w:t>
            </w:r>
          </w:p>
        </w:tc>
        <w:tc>
          <w:tcPr>
            <w:tcW w:w="1035" w:type="dxa"/>
            <w:tcBorders>
              <w:top w:val="nil"/>
              <w:left w:val="nil"/>
              <w:bottom w:val="nil"/>
              <w:right w:val="nil"/>
            </w:tcBorders>
            <w:shd w:val="clear" w:color="000000" w:fill="FABF8F"/>
            <w:vAlign w:val="bottom"/>
            <w:hideMark/>
          </w:tcPr>
          <w:p w14:paraId="53D84981" w14:textId="77777777" w:rsidR="006D3729" w:rsidRPr="00E14060" w:rsidRDefault="006D3729" w:rsidP="006D3729">
            <w:pPr>
              <w:rPr>
                <w:sz w:val="22"/>
                <w:szCs w:val="22"/>
                <w:lang w:val="en-GB"/>
              </w:rPr>
            </w:pPr>
            <w:r w:rsidRPr="00E14060">
              <w:rPr>
                <w:sz w:val="22"/>
                <w:szCs w:val="22"/>
                <w:lang w:val="en-GB"/>
              </w:rPr>
              <w:t> </w:t>
            </w:r>
          </w:p>
        </w:tc>
        <w:tc>
          <w:tcPr>
            <w:tcW w:w="1035" w:type="dxa"/>
            <w:tcBorders>
              <w:top w:val="nil"/>
              <w:left w:val="nil"/>
              <w:bottom w:val="nil"/>
              <w:right w:val="nil"/>
            </w:tcBorders>
            <w:shd w:val="clear" w:color="000000" w:fill="FABF8F"/>
            <w:vAlign w:val="bottom"/>
            <w:hideMark/>
          </w:tcPr>
          <w:p w14:paraId="2B88A997" w14:textId="77777777" w:rsidR="006D3729" w:rsidRPr="00E14060" w:rsidRDefault="006D3729" w:rsidP="006D3729">
            <w:pPr>
              <w:rPr>
                <w:sz w:val="22"/>
                <w:szCs w:val="22"/>
                <w:lang w:val="en-GB"/>
              </w:rPr>
            </w:pPr>
            <w:r w:rsidRPr="00E14060">
              <w:rPr>
                <w:sz w:val="22"/>
                <w:szCs w:val="22"/>
                <w:lang w:val="en-GB"/>
              </w:rPr>
              <w:t> </w:t>
            </w:r>
          </w:p>
        </w:tc>
        <w:tc>
          <w:tcPr>
            <w:tcW w:w="850" w:type="dxa"/>
            <w:tcBorders>
              <w:top w:val="nil"/>
              <w:left w:val="nil"/>
              <w:bottom w:val="nil"/>
              <w:right w:val="nil"/>
            </w:tcBorders>
            <w:shd w:val="clear" w:color="000000" w:fill="FABF8F"/>
            <w:vAlign w:val="bottom"/>
            <w:hideMark/>
          </w:tcPr>
          <w:p w14:paraId="34DEC386" w14:textId="77777777" w:rsidR="006D3729" w:rsidRPr="00E14060" w:rsidRDefault="006D3729" w:rsidP="006D3729">
            <w:pPr>
              <w:rPr>
                <w:sz w:val="22"/>
                <w:szCs w:val="22"/>
                <w:lang w:val="en-GB"/>
              </w:rPr>
            </w:pPr>
            <w:r w:rsidRPr="00E14060">
              <w:rPr>
                <w:sz w:val="22"/>
                <w:szCs w:val="22"/>
                <w:lang w:val="en-GB"/>
              </w:rPr>
              <w:t> </w:t>
            </w:r>
          </w:p>
        </w:tc>
        <w:tc>
          <w:tcPr>
            <w:tcW w:w="850" w:type="dxa"/>
            <w:tcBorders>
              <w:top w:val="nil"/>
              <w:left w:val="nil"/>
              <w:bottom w:val="nil"/>
              <w:right w:val="nil"/>
            </w:tcBorders>
            <w:shd w:val="clear" w:color="000000" w:fill="FABF8F"/>
            <w:vAlign w:val="bottom"/>
            <w:hideMark/>
          </w:tcPr>
          <w:p w14:paraId="60FFB1F6" w14:textId="77777777" w:rsidR="006D3729" w:rsidRPr="00E14060" w:rsidRDefault="006D3729" w:rsidP="006D3729">
            <w:pPr>
              <w:rPr>
                <w:sz w:val="22"/>
                <w:szCs w:val="22"/>
                <w:lang w:val="en-GB"/>
              </w:rPr>
            </w:pPr>
            <w:r w:rsidRPr="00E14060">
              <w:rPr>
                <w:sz w:val="22"/>
                <w:szCs w:val="22"/>
                <w:lang w:val="en-GB"/>
              </w:rPr>
              <w:t> </w:t>
            </w:r>
          </w:p>
        </w:tc>
        <w:tc>
          <w:tcPr>
            <w:tcW w:w="850" w:type="dxa"/>
            <w:tcBorders>
              <w:top w:val="nil"/>
              <w:left w:val="nil"/>
              <w:bottom w:val="nil"/>
              <w:right w:val="nil"/>
            </w:tcBorders>
            <w:shd w:val="clear" w:color="000000" w:fill="FABF8F"/>
            <w:vAlign w:val="bottom"/>
            <w:hideMark/>
          </w:tcPr>
          <w:p w14:paraId="4C5B12BE" w14:textId="77777777" w:rsidR="006D3729" w:rsidRPr="00E14060" w:rsidRDefault="006D3729" w:rsidP="006D3729">
            <w:pPr>
              <w:rPr>
                <w:sz w:val="22"/>
                <w:szCs w:val="22"/>
                <w:lang w:val="en-GB"/>
              </w:rPr>
            </w:pPr>
            <w:r w:rsidRPr="00E14060">
              <w:rPr>
                <w:sz w:val="22"/>
                <w:szCs w:val="22"/>
                <w:lang w:val="en-GB"/>
              </w:rPr>
              <w:t> </w:t>
            </w:r>
          </w:p>
        </w:tc>
      </w:tr>
      <w:tr w:rsidR="006D3729" w:rsidRPr="00E14060" w14:paraId="2D14EBD6" w14:textId="77777777" w:rsidTr="008C602E">
        <w:trPr>
          <w:trHeight w:val="300"/>
        </w:trPr>
        <w:tc>
          <w:tcPr>
            <w:tcW w:w="601" w:type="dxa"/>
            <w:tcBorders>
              <w:top w:val="nil"/>
              <w:left w:val="nil"/>
              <w:bottom w:val="nil"/>
              <w:right w:val="nil"/>
            </w:tcBorders>
            <w:shd w:val="clear" w:color="000000" w:fill="FABF8F"/>
            <w:noWrap/>
            <w:hideMark/>
          </w:tcPr>
          <w:p w14:paraId="394D3A47" w14:textId="77777777" w:rsidR="00E8228A" w:rsidRPr="00E14060" w:rsidRDefault="00E8228A" w:rsidP="008C602E">
            <w:pPr>
              <w:jc w:val="right"/>
              <w:rPr>
                <w:sz w:val="22"/>
                <w:szCs w:val="22"/>
                <w:lang w:val="en-GB"/>
              </w:rPr>
            </w:pPr>
          </w:p>
        </w:tc>
        <w:tc>
          <w:tcPr>
            <w:tcW w:w="1608" w:type="dxa"/>
            <w:tcBorders>
              <w:top w:val="nil"/>
              <w:left w:val="nil"/>
              <w:bottom w:val="nil"/>
              <w:right w:val="nil"/>
            </w:tcBorders>
            <w:shd w:val="clear" w:color="000000" w:fill="FABF8F"/>
            <w:noWrap/>
            <w:vAlign w:val="center"/>
            <w:hideMark/>
          </w:tcPr>
          <w:p w14:paraId="62C17FF8" w14:textId="77777777" w:rsidR="006D3729" w:rsidRPr="00E14060" w:rsidRDefault="006D3729" w:rsidP="006D3729">
            <w:pPr>
              <w:ind w:firstLineChars="500" w:firstLine="1050"/>
              <w:rPr>
                <w:sz w:val="21"/>
                <w:szCs w:val="21"/>
                <w:lang w:val="en-GB"/>
              </w:rPr>
            </w:pPr>
            <w:r w:rsidRPr="00E14060">
              <w:rPr>
                <w:sz w:val="21"/>
                <w:szCs w:val="21"/>
                <w:lang w:val="en-GB"/>
              </w:rPr>
              <w:t>-</w:t>
            </w:r>
          </w:p>
        </w:tc>
        <w:tc>
          <w:tcPr>
            <w:tcW w:w="5451" w:type="dxa"/>
            <w:gridSpan w:val="9"/>
            <w:tcBorders>
              <w:top w:val="nil"/>
              <w:left w:val="nil"/>
              <w:bottom w:val="nil"/>
              <w:right w:val="nil"/>
            </w:tcBorders>
            <w:shd w:val="clear" w:color="000000" w:fill="FABF8F"/>
            <w:noWrap/>
            <w:vAlign w:val="center"/>
            <w:hideMark/>
          </w:tcPr>
          <w:p w14:paraId="3457468E" w14:textId="77777777" w:rsidR="006D3729" w:rsidRPr="00E14060" w:rsidRDefault="006D3729" w:rsidP="006D3729">
            <w:pPr>
              <w:rPr>
                <w:sz w:val="21"/>
                <w:szCs w:val="21"/>
                <w:lang w:val="en-GB"/>
              </w:rPr>
            </w:pPr>
            <w:r w:rsidRPr="00E14060">
              <w:rPr>
                <w:sz w:val="21"/>
                <w:szCs w:val="21"/>
                <w:lang w:val="en-GB"/>
              </w:rPr>
              <w:t xml:space="preserve">Commentaries, letters, and audio files (publication type) </w:t>
            </w:r>
          </w:p>
        </w:tc>
        <w:tc>
          <w:tcPr>
            <w:tcW w:w="850" w:type="dxa"/>
            <w:tcBorders>
              <w:top w:val="nil"/>
              <w:left w:val="nil"/>
              <w:bottom w:val="nil"/>
              <w:right w:val="nil"/>
            </w:tcBorders>
            <w:shd w:val="clear" w:color="000000" w:fill="FABF8F"/>
            <w:vAlign w:val="bottom"/>
            <w:hideMark/>
          </w:tcPr>
          <w:p w14:paraId="133A79EC" w14:textId="77777777" w:rsidR="006D3729" w:rsidRPr="00E14060" w:rsidRDefault="006D3729" w:rsidP="006D3729">
            <w:pPr>
              <w:rPr>
                <w:sz w:val="22"/>
                <w:szCs w:val="22"/>
                <w:lang w:val="en-GB"/>
              </w:rPr>
            </w:pPr>
            <w:r w:rsidRPr="00E14060">
              <w:rPr>
                <w:sz w:val="22"/>
                <w:szCs w:val="22"/>
                <w:lang w:val="en-GB"/>
              </w:rPr>
              <w:t> </w:t>
            </w:r>
          </w:p>
        </w:tc>
        <w:tc>
          <w:tcPr>
            <w:tcW w:w="850" w:type="dxa"/>
            <w:tcBorders>
              <w:top w:val="nil"/>
              <w:left w:val="nil"/>
              <w:bottom w:val="nil"/>
              <w:right w:val="nil"/>
            </w:tcBorders>
            <w:shd w:val="clear" w:color="000000" w:fill="FABF8F"/>
            <w:vAlign w:val="bottom"/>
            <w:hideMark/>
          </w:tcPr>
          <w:p w14:paraId="45641F63" w14:textId="77777777" w:rsidR="006D3729" w:rsidRPr="00E14060" w:rsidRDefault="006D3729" w:rsidP="006D3729">
            <w:pPr>
              <w:rPr>
                <w:sz w:val="22"/>
                <w:szCs w:val="22"/>
                <w:lang w:val="en-GB"/>
              </w:rPr>
            </w:pPr>
            <w:r w:rsidRPr="00E14060">
              <w:rPr>
                <w:sz w:val="22"/>
                <w:szCs w:val="22"/>
                <w:lang w:val="en-GB"/>
              </w:rPr>
              <w:t> </w:t>
            </w:r>
          </w:p>
        </w:tc>
      </w:tr>
      <w:tr w:rsidR="006D3729" w:rsidRPr="00E14060" w14:paraId="6B5D15D5" w14:textId="77777777" w:rsidTr="008C602E">
        <w:trPr>
          <w:trHeight w:val="300"/>
        </w:trPr>
        <w:tc>
          <w:tcPr>
            <w:tcW w:w="601" w:type="dxa"/>
            <w:tcBorders>
              <w:top w:val="nil"/>
              <w:left w:val="nil"/>
              <w:bottom w:val="nil"/>
              <w:right w:val="nil"/>
            </w:tcBorders>
            <w:shd w:val="clear" w:color="000000" w:fill="FABF8F"/>
            <w:noWrap/>
            <w:hideMark/>
          </w:tcPr>
          <w:p w14:paraId="16A8468A" w14:textId="77777777" w:rsidR="00E8228A" w:rsidRPr="00E14060" w:rsidRDefault="00E8228A" w:rsidP="008C602E">
            <w:pPr>
              <w:jc w:val="right"/>
              <w:rPr>
                <w:sz w:val="22"/>
                <w:szCs w:val="22"/>
                <w:lang w:val="en-GB"/>
              </w:rPr>
            </w:pPr>
          </w:p>
        </w:tc>
        <w:tc>
          <w:tcPr>
            <w:tcW w:w="1608" w:type="dxa"/>
            <w:tcBorders>
              <w:top w:val="nil"/>
              <w:left w:val="nil"/>
              <w:bottom w:val="nil"/>
              <w:right w:val="nil"/>
            </w:tcBorders>
            <w:shd w:val="clear" w:color="000000" w:fill="FABF8F"/>
            <w:noWrap/>
            <w:vAlign w:val="center"/>
            <w:hideMark/>
          </w:tcPr>
          <w:p w14:paraId="50A6CEC9" w14:textId="77777777" w:rsidR="006D3729" w:rsidRPr="00E14060" w:rsidRDefault="006D3729" w:rsidP="006D3729">
            <w:pPr>
              <w:ind w:firstLineChars="500" w:firstLine="1050"/>
              <w:rPr>
                <w:sz w:val="21"/>
                <w:szCs w:val="21"/>
                <w:lang w:val="en-GB"/>
              </w:rPr>
            </w:pPr>
            <w:r w:rsidRPr="00E14060">
              <w:rPr>
                <w:sz w:val="21"/>
                <w:szCs w:val="21"/>
                <w:lang w:val="en-GB"/>
              </w:rPr>
              <w:t>-</w:t>
            </w:r>
          </w:p>
        </w:tc>
        <w:tc>
          <w:tcPr>
            <w:tcW w:w="1751" w:type="dxa"/>
            <w:gridSpan w:val="3"/>
            <w:tcBorders>
              <w:top w:val="nil"/>
              <w:left w:val="nil"/>
              <w:bottom w:val="nil"/>
              <w:right w:val="nil"/>
            </w:tcBorders>
            <w:shd w:val="clear" w:color="000000" w:fill="FABF8F"/>
            <w:noWrap/>
            <w:vAlign w:val="center"/>
            <w:hideMark/>
          </w:tcPr>
          <w:p w14:paraId="2A57C6C5" w14:textId="77777777" w:rsidR="006D3729" w:rsidRPr="00E14060" w:rsidRDefault="006D3729" w:rsidP="006D3729">
            <w:pPr>
              <w:rPr>
                <w:sz w:val="21"/>
                <w:szCs w:val="21"/>
                <w:lang w:val="en-GB"/>
              </w:rPr>
            </w:pPr>
            <w:r w:rsidRPr="00E14060">
              <w:rPr>
                <w:sz w:val="21"/>
                <w:szCs w:val="21"/>
                <w:lang w:val="en-GB"/>
              </w:rPr>
              <w:t xml:space="preserve">Consensus reports </w:t>
            </w:r>
          </w:p>
        </w:tc>
        <w:tc>
          <w:tcPr>
            <w:tcW w:w="780" w:type="dxa"/>
            <w:gridSpan w:val="3"/>
            <w:tcBorders>
              <w:top w:val="nil"/>
              <w:left w:val="nil"/>
              <w:bottom w:val="nil"/>
              <w:right w:val="nil"/>
            </w:tcBorders>
            <w:shd w:val="clear" w:color="000000" w:fill="FABF8F"/>
            <w:vAlign w:val="bottom"/>
            <w:hideMark/>
          </w:tcPr>
          <w:p w14:paraId="04712D91" w14:textId="77777777" w:rsidR="006D3729" w:rsidRPr="00E14060" w:rsidRDefault="006D3729" w:rsidP="006D3729">
            <w:pPr>
              <w:rPr>
                <w:sz w:val="22"/>
                <w:szCs w:val="22"/>
                <w:lang w:val="en-GB"/>
              </w:rPr>
            </w:pPr>
            <w:r w:rsidRPr="00E14060">
              <w:rPr>
                <w:sz w:val="22"/>
                <w:szCs w:val="22"/>
                <w:lang w:val="en-GB"/>
              </w:rPr>
              <w:t> </w:t>
            </w:r>
          </w:p>
        </w:tc>
        <w:tc>
          <w:tcPr>
            <w:tcW w:w="1035" w:type="dxa"/>
            <w:tcBorders>
              <w:top w:val="nil"/>
              <w:left w:val="nil"/>
              <w:bottom w:val="nil"/>
              <w:right w:val="nil"/>
            </w:tcBorders>
            <w:shd w:val="clear" w:color="000000" w:fill="FABF8F"/>
            <w:vAlign w:val="bottom"/>
            <w:hideMark/>
          </w:tcPr>
          <w:p w14:paraId="04EDB76C" w14:textId="77777777" w:rsidR="006D3729" w:rsidRPr="00E14060" w:rsidRDefault="006D3729" w:rsidP="006D3729">
            <w:pPr>
              <w:rPr>
                <w:sz w:val="22"/>
                <w:szCs w:val="22"/>
                <w:lang w:val="en-GB"/>
              </w:rPr>
            </w:pPr>
            <w:r w:rsidRPr="00E14060">
              <w:rPr>
                <w:sz w:val="22"/>
                <w:szCs w:val="22"/>
                <w:lang w:val="en-GB"/>
              </w:rPr>
              <w:t> </w:t>
            </w:r>
          </w:p>
        </w:tc>
        <w:tc>
          <w:tcPr>
            <w:tcW w:w="1035" w:type="dxa"/>
            <w:tcBorders>
              <w:top w:val="nil"/>
              <w:left w:val="nil"/>
              <w:bottom w:val="nil"/>
              <w:right w:val="nil"/>
            </w:tcBorders>
            <w:shd w:val="clear" w:color="000000" w:fill="FABF8F"/>
            <w:vAlign w:val="bottom"/>
            <w:hideMark/>
          </w:tcPr>
          <w:p w14:paraId="2EA25000" w14:textId="77777777" w:rsidR="006D3729" w:rsidRPr="00E14060" w:rsidRDefault="006D3729" w:rsidP="006D3729">
            <w:pPr>
              <w:rPr>
                <w:sz w:val="22"/>
                <w:szCs w:val="22"/>
                <w:lang w:val="en-GB"/>
              </w:rPr>
            </w:pPr>
            <w:r w:rsidRPr="00E14060">
              <w:rPr>
                <w:sz w:val="22"/>
                <w:szCs w:val="22"/>
                <w:lang w:val="en-GB"/>
              </w:rPr>
              <w:t> </w:t>
            </w:r>
          </w:p>
        </w:tc>
        <w:tc>
          <w:tcPr>
            <w:tcW w:w="850" w:type="dxa"/>
            <w:tcBorders>
              <w:top w:val="nil"/>
              <w:left w:val="nil"/>
              <w:bottom w:val="nil"/>
              <w:right w:val="nil"/>
            </w:tcBorders>
            <w:shd w:val="clear" w:color="000000" w:fill="FABF8F"/>
            <w:vAlign w:val="bottom"/>
            <w:hideMark/>
          </w:tcPr>
          <w:p w14:paraId="23E3D875" w14:textId="77777777" w:rsidR="006D3729" w:rsidRPr="00E14060" w:rsidRDefault="006D3729" w:rsidP="006D3729">
            <w:pPr>
              <w:rPr>
                <w:sz w:val="22"/>
                <w:szCs w:val="22"/>
                <w:lang w:val="en-GB"/>
              </w:rPr>
            </w:pPr>
            <w:r w:rsidRPr="00E14060">
              <w:rPr>
                <w:sz w:val="22"/>
                <w:szCs w:val="22"/>
                <w:lang w:val="en-GB"/>
              </w:rPr>
              <w:t> </w:t>
            </w:r>
          </w:p>
        </w:tc>
        <w:tc>
          <w:tcPr>
            <w:tcW w:w="850" w:type="dxa"/>
            <w:tcBorders>
              <w:top w:val="nil"/>
              <w:left w:val="nil"/>
              <w:bottom w:val="nil"/>
              <w:right w:val="nil"/>
            </w:tcBorders>
            <w:shd w:val="clear" w:color="000000" w:fill="FABF8F"/>
            <w:vAlign w:val="bottom"/>
            <w:hideMark/>
          </w:tcPr>
          <w:p w14:paraId="76F3CCC7" w14:textId="77777777" w:rsidR="006D3729" w:rsidRPr="00E14060" w:rsidRDefault="006D3729" w:rsidP="006D3729">
            <w:pPr>
              <w:rPr>
                <w:sz w:val="22"/>
                <w:szCs w:val="22"/>
                <w:lang w:val="en-GB"/>
              </w:rPr>
            </w:pPr>
            <w:r w:rsidRPr="00E14060">
              <w:rPr>
                <w:sz w:val="22"/>
                <w:szCs w:val="22"/>
                <w:lang w:val="en-GB"/>
              </w:rPr>
              <w:t> </w:t>
            </w:r>
          </w:p>
        </w:tc>
        <w:tc>
          <w:tcPr>
            <w:tcW w:w="850" w:type="dxa"/>
            <w:tcBorders>
              <w:top w:val="nil"/>
              <w:left w:val="nil"/>
              <w:bottom w:val="nil"/>
              <w:right w:val="nil"/>
            </w:tcBorders>
            <w:shd w:val="clear" w:color="000000" w:fill="FABF8F"/>
            <w:vAlign w:val="bottom"/>
            <w:hideMark/>
          </w:tcPr>
          <w:p w14:paraId="0203EB0D" w14:textId="77777777" w:rsidR="006D3729" w:rsidRPr="00E14060" w:rsidRDefault="006D3729" w:rsidP="006D3729">
            <w:pPr>
              <w:rPr>
                <w:sz w:val="22"/>
                <w:szCs w:val="22"/>
                <w:lang w:val="en-GB"/>
              </w:rPr>
            </w:pPr>
            <w:r w:rsidRPr="00E14060">
              <w:rPr>
                <w:sz w:val="22"/>
                <w:szCs w:val="22"/>
                <w:lang w:val="en-GB"/>
              </w:rPr>
              <w:t> </w:t>
            </w:r>
          </w:p>
        </w:tc>
      </w:tr>
      <w:tr w:rsidR="006D3729" w:rsidRPr="00E14060" w14:paraId="6995CB18" w14:textId="77777777" w:rsidTr="008C602E">
        <w:trPr>
          <w:trHeight w:val="300"/>
        </w:trPr>
        <w:tc>
          <w:tcPr>
            <w:tcW w:w="601" w:type="dxa"/>
            <w:tcBorders>
              <w:top w:val="nil"/>
              <w:left w:val="nil"/>
              <w:bottom w:val="nil"/>
              <w:right w:val="nil"/>
            </w:tcBorders>
            <w:shd w:val="clear" w:color="000000" w:fill="FABF8F"/>
            <w:noWrap/>
            <w:hideMark/>
          </w:tcPr>
          <w:p w14:paraId="6D1B6A7D" w14:textId="77777777" w:rsidR="00E8228A" w:rsidRPr="00E14060" w:rsidRDefault="00E8228A" w:rsidP="008C602E">
            <w:pPr>
              <w:jc w:val="right"/>
              <w:rPr>
                <w:sz w:val="22"/>
                <w:szCs w:val="22"/>
                <w:lang w:val="en-GB"/>
              </w:rPr>
            </w:pPr>
          </w:p>
        </w:tc>
        <w:tc>
          <w:tcPr>
            <w:tcW w:w="1608" w:type="dxa"/>
            <w:tcBorders>
              <w:top w:val="nil"/>
              <w:left w:val="nil"/>
              <w:bottom w:val="nil"/>
              <w:right w:val="nil"/>
            </w:tcBorders>
            <w:shd w:val="clear" w:color="000000" w:fill="FABF8F"/>
            <w:noWrap/>
            <w:vAlign w:val="center"/>
            <w:hideMark/>
          </w:tcPr>
          <w:p w14:paraId="4FD133B9" w14:textId="77777777" w:rsidR="006D3729" w:rsidRPr="00E14060" w:rsidRDefault="006D3729" w:rsidP="006D3729">
            <w:pPr>
              <w:ind w:firstLineChars="500" w:firstLine="1050"/>
              <w:rPr>
                <w:sz w:val="21"/>
                <w:szCs w:val="21"/>
                <w:lang w:val="en-GB"/>
              </w:rPr>
            </w:pPr>
            <w:r w:rsidRPr="00E14060">
              <w:rPr>
                <w:sz w:val="21"/>
                <w:szCs w:val="21"/>
                <w:lang w:val="en-GB"/>
              </w:rPr>
              <w:t>-</w:t>
            </w:r>
          </w:p>
        </w:tc>
        <w:tc>
          <w:tcPr>
            <w:tcW w:w="3566" w:type="dxa"/>
            <w:gridSpan w:val="7"/>
            <w:tcBorders>
              <w:top w:val="nil"/>
              <w:left w:val="nil"/>
              <w:bottom w:val="nil"/>
              <w:right w:val="nil"/>
            </w:tcBorders>
            <w:shd w:val="clear" w:color="000000" w:fill="FABF8F"/>
            <w:noWrap/>
            <w:vAlign w:val="center"/>
            <w:hideMark/>
          </w:tcPr>
          <w:p w14:paraId="27BA12DB" w14:textId="77777777" w:rsidR="006D3729" w:rsidRPr="00E14060" w:rsidRDefault="006D3729" w:rsidP="006D3729">
            <w:pPr>
              <w:rPr>
                <w:sz w:val="21"/>
                <w:szCs w:val="21"/>
                <w:lang w:val="en-GB"/>
              </w:rPr>
            </w:pPr>
            <w:r w:rsidRPr="00E14060">
              <w:rPr>
                <w:sz w:val="21"/>
                <w:szCs w:val="21"/>
                <w:lang w:val="en-GB"/>
              </w:rPr>
              <w:t>Titles without corresponding abstracts</w:t>
            </w:r>
          </w:p>
        </w:tc>
        <w:tc>
          <w:tcPr>
            <w:tcW w:w="1035" w:type="dxa"/>
            <w:tcBorders>
              <w:top w:val="nil"/>
              <w:left w:val="nil"/>
              <w:bottom w:val="nil"/>
              <w:right w:val="nil"/>
            </w:tcBorders>
            <w:shd w:val="clear" w:color="000000" w:fill="FABF8F"/>
            <w:vAlign w:val="bottom"/>
            <w:hideMark/>
          </w:tcPr>
          <w:p w14:paraId="28721C73" w14:textId="77777777" w:rsidR="006D3729" w:rsidRPr="00E14060" w:rsidRDefault="006D3729" w:rsidP="006D3729">
            <w:pPr>
              <w:rPr>
                <w:sz w:val="22"/>
                <w:szCs w:val="22"/>
                <w:lang w:val="en-GB"/>
              </w:rPr>
            </w:pPr>
            <w:r w:rsidRPr="00E14060">
              <w:rPr>
                <w:sz w:val="22"/>
                <w:szCs w:val="22"/>
                <w:lang w:val="en-GB"/>
              </w:rPr>
              <w:t> </w:t>
            </w:r>
          </w:p>
        </w:tc>
        <w:tc>
          <w:tcPr>
            <w:tcW w:w="850" w:type="dxa"/>
            <w:tcBorders>
              <w:top w:val="nil"/>
              <w:left w:val="nil"/>
              <w:bottom w:val="nil"/>
              <w:right w:val="nil"/>
            </w:tcBorders>
            <w:shd w:val="clear" w:color="000000" w:fill="FABF8F"/>
            <w:vAlign w:val="bottom"/>
            <w:hideMark/>
          </w:tcPr>
          <w:p w14:paraId="3CBA26CB" w14:textId="77777777" w:rsidR="006D3729" w:rsidRPr="00E14060" w:rsidRDefault="006D3729" w:rsidP="006D3729">
            <w:pPr>
              <w:rPr>
                <w:sz w:val="22"/>
                <w:szCs w:val="22"/>
                <w:lang w:val="en-GB"/>
              </w:rPr>
            </w:pPr>
            <w:r w:rsidRPr="00E14060">
              <w:rPr>
                <w:sz w:val="22"/>
                <w:szCs w:val="22"/>
                <w:lang w:val="en-GB"/>
              </w:rPr>
              <w:t> </w:t>
            </w:r>
          </w:p>
        </w:tc>
        <w:tc>
          <w:tcPr>
            <w:tcW w:w="850" w:type="dxa"/>
            <w:tcBorders>
              <w:top w:val="nil"/>
              <w:left w:val="nil"/>
              <w:bottom w:val="nil"/>
              <w:right w:val="nil"/>
            </w:tcBorders>
            <w:shd w:val="clear" w:color="000000" w:fill="FABF8F"/>
            <w:vAlign w:val="bottom"/>
            <w:hideMark/>
          </w:tcPr>
          <w:p w14:paraId="4C6F0A5E" w14:textId="77777777" w:rsidR="006D3729" w:rsidRPr="00E14060" w:rsidRDefault="006D3729" w:rsidP="006D3729">
            <w:pPr>
              <w:rPr>
                <w:sz w:val="22"/>
                <w:szCs w:val="22"/>
                <w:lang w:val="en-GB"/>
              </w:rPr>
            </w:pPr>
            <w:r w:rsidRPr="00E14060">
              <w:rPr>
                <w:sz w:val="22"/>
                <w:szCs w:val="22"/>
                <w:lang w:val="en-GB"/>
              </w:rPr>
              <w:t> </w:t>
            </w:r>
          </w:p>
        </w:tc>
        <w:tc>
          <w:tcPr>
            <w:tcW w:w="850" w:type="dxa"/>
            <w:tcBorders>
              <w:top w:val="nil"/>
              <w:left w:val="nil"/>
              <w:bottom w:val="nil"/>
              <w:right w:val="nil"/>
            </w:tcBorders>
            <w:shd w:val="clear" w:color="000000" w:fill="FABF8F"/>
            <w:vAlign w:val="bottom"/>
            <w:hideMark/>
          </w:tcPr>
          <w:p w14:paraId="5AEDA312" w14:textId="77777777" w:rsidR="006D3729" w:rsidRPr="00E14060" w:rsidRDefault="006D3729" w:rsidP="006D3729">
            <w:pPr>
              <w:rPr>
                <w:sz w:val="22"/>
                <w:szCs w:val="22"/>
                <w:lang w:val="en-GB"/>
              </w:rPr>
            </w:pPr>
            <w:r w:rsidRPr="00E14060">
              <w:rPr>
                <w:sz w:val="22"/>
                <w:szCs w:val="22"/>
                <w:lang w:val="en-GB"/>
              </w:rPr>
              <w:t> </w:t>
            </w:r>
          </w:p>
        </w:tc>
      </w:tr>
      <w:tr w:rsidR="006D3729" w:rsidRPr="00E14060" w14:paraId="1FE6E836" w14:textId="77777777" w:rsidTr="008C602E">
        <w:trPr>
          <w:trHeight w:val="300"/>
        </w:trPr>
        <w:tc>
          <w:tcPr>
            <w:tcW w:w="601" w:type="dxa"/>
            <w:tcBorders>
              <w:top w:val="nil"/>
              <w:left w:val="nil"/>
              <w:bottom w:val="nil"/>
              <w:right w:val="nil"/>
            </w:tcBorders>
            <w:shd w:val="clear" w:color="000000" w:fill="FABF8F"/>
            <w:noWrap/>
            <w:hideMark/>
          </w:tcPr>
          <w:p w14:paraId="329D4497" w14:textId="77777777" w:rsidR="00E8228A" w:rsidRPr="00E14060" w:rsidRDefault="00E8228A" w:rsidP="008C602E">
            <w:pPr>
              <w:jc w:val="right"/>
              <w:rPr>
                <w:sz w:val="22"/>
                <w:szCs w:val="22"/>
                <w:lang w:val="en-GB"/>
              </w:rPr>
            </w:pPr>
          </w:p>
        </w:tc>
        <w:tc>
          <w:tcPr>
            <w:tcW w:w="1608" w:type="dxa"/>
            <w:tcBorders>
              <w:top w:val="nil"/>
              <w:left w:val="nil"/>
              <w:bottom w:val="nil"/>
              <w:right w:val="nil"/>
            </w:tcBorders>
            <w:shd w:val="clear" w:color="000000" w:fill="FABF8F"/>
            <w:noWrap/>
            <w:vAlign w:val="center"/>
            <w:hideMark/>
          </w:tcPr>
          <w:p w14:paraId="565D2BC5" w14:textId="77777777" w:rsidR="006D3729" w:rsidRPr="00E14060" w:rsidRDefault="006D3729" w:rsidP="006D3729">
            <w:pPr>
              <w:ind w:firstLineChars="500" w:firstLine="1050"/>
              <w:rPr>
                <w:sz w:val="21"/>
                <w:szCs w:val="21"/>
                <w:lang w:val="en-GB"/>
              </w:rPr>
            </w:pPr>
            <w:r w:rsidRPr="00E14060">
              <w:rPr>
                <w:sz w:val="21"/>
                <w:szCs w:val="21"/>
                <w:lang w:val="en-GB"/>
              </w:rPr>
              <w:t>-</w:t>
            </w:r>
          </w:p>
        </w:tc>
        <w:tc>
          <w:tcPr>
            <w:tcW w:w="2531" w:type="dxa"/>
            <w:gridSpan w:val="6"/>
            <w:tcBorders>
              <w:top w:val="nil"/>
              <w:left w:val="nil"/>
              <w:bottom w:val="nil"/>
              <w:right w:val="nil"/>
            </w:tcBorders>
            <w:shd w:val="clear" w:color="000000" w:fill="FABF8F"/>
            <w:noWrap/>
            <w:vAlign w:val="center"/>
            <w:hideMark/>
          </w:tcPr>
          <w:p w14:paraId="4F651961" w14:textId="77777777" w:rsidR="006D3729" w:rsidRPr="00E14060" w:rsidRDefault="006D3729" w:rsidP="006D3729">
            <w:pPr>
              <w:rPr>
                <w:sz w:val="21"/>
                <w:szCs w:val="21"/>
                <w:lang w:val="en-GB"/>
              </w:rPr>
            </w:pPr>
            <w:r w:rsidRPr="00E14060">
              <w:rPr>
                <w:sz w:val="21"/>
                <w:szCs w:val="21"/>
                <w:lang w:val="en-GB"/>
              </w:rPr>
              <w:t xml:space="preserve">Nonsystematic reviews </w:t>
            </w:r>
          </w:p>
        </w:tc>
        <w:tc>
          <w:tcPr>
            <w:tcW w:w="1035" w:type="dxa"/>
            <w:tcBorders>
              <w:top w:val="nil"/>
              <w:left w:val="nil"/>
              <w:bottom w:val="nil"/>
              <w:right w:val="nil"/>
            </w:tcBorders>
            <w:shd w:val="clear" w:color="000000" w:fill="FABF8F"/>
            <w:vAlign w:val="bottom"/>
            <w:hideMark/>
          </w:tcPr>
          <w:p w14:paraId="748B7EE5" w14:textId="77777777" w:rsidR="006D3729" w:rsidRPr="00E14060" w:rsidRDefault="006D3729" w:rsidP="006D3729">
            <w:pPr>
              <w:rPr>
                <w:sz w:val="22"/>
                <w:szCs w:val="22"/>
                <w:lang w:val="en-GB"/>
              </w:rPr>
            </w:pPr>
            <w:r w:rsidRPr="00E14060">
              <w:rPr>
                <w:sz w:val="22"/>
                <w:szCs w:val="22"/>
                <w:lang w:val="en-GB"/>
              </w:rPr>
              <w:t> </w:t>
            </w:r>
          </w:p>
        </w:tc>
        <w:tc>
          <w:tcPr>
            <w:tcW w:w="1035" w:type="dxa"/>
            <w:tcBorders>
              <w:top w:val="nil"/>
              <w:left w:val="nil"/>
              <w:bottom w:val="nil"/>
              <w:right w:val="nil"/>
            </w:tcBorders>
            <w:shd w:val="clear" w:color="000000" w:fill="FABF8F"/>
            <w:vAlign w:val="bottom"/>
            <w:hideMark/>
          </w:tcPr>
          <w:p w14:paraId="268FFD2C" w14:textId="77777777" w:rsidR="006D3729" w:rsidRPr="00E14060" w:rsidRDefault="006D3729" w:rsidP="006D3729">
            <w:pPr>
              <w:rPr>
                <w:sz w:val="22"/>
                <w:szCs w:val="22"/>
                <w:lang w:val="en-GB"/>
              </w:rPr>
            </w:pPr>
            <w:r w:rsidRPr="00E14060">
              <w:rPr>
                <w:sz w:val="22"/>
                <w:szCs w:val="22"/>
                <w:lang w:val="en-GB"/>
              </w:rPr>
              <w:t> </w:t>
            </w:r>
          </w:p>
        </w:tc>
        <w:tc>
          <w:tcPr>
            <w:tcW w:w="850" w:type="dxa"/>
            <w:tcBorders>
              <w:top w:val="nil"/>
              <w:left w:val="nil"/>
              <w:bottom w:val="nil"/>
              <w:right w:val="nil"/>
            </w:tcBorders>
            <w:shd w:val="clear" w:color="000000" w:fill="FABF8F"/>
            <w:vAlign w:val="bottom"/>
            <w:hideMark/>
          </w:tcPr>
          <w:p w14:paraId="7CF03CB3" w14:textId="77777777" w:rsidR="006D3729" w:rsidRPr="00E14060" w:rsidRDefault="006D3729" w:rsidP="006D3729">
            <w:pPr>
              <w:rPr>
                <w:sz w:val="22"/>
                <w:szCs w:val="22"/>
                <w:lang w:val="en-GB"/>
              </w:rPr>
            </w:pPr>
            <w:r w:rsidRPr="00E14060">
              <w:rPr>
                <w:sz w:val="22"/>
                <w:szCs w:val="22"/>
                <w:lang w:val="en-GB"/>
              </w:rPr>
              <w:t> </w:t>
            </w:r>
          </w:p>
        </w:tc>
        <w:tc>
          <w:tcPr>
            <w:tcW w:w="850" w:type="dxa"/>
            <w:tcBorders>
              <w:top w:val="nil"/>
              <w:left w:val="nil"/>
              <w:bottom w:val="nil"/>
              <w:right w:val="nil"/>
            </w:tcBorders>
            <w:shd w:val="clear" w:color="000000" w:fill="FABF8F"/>
            <w:vAlign w:val="bottom"/>
            <w:hideMark/>
          </w:tcPr>
          <w:p w14:paraId="27559651" w14:textId="77777777" w:rsidR="006D3729" w:rsidRPr="00E14060" w:rsidRDefault="006D3729" w:rsidP="006D3729">
            <w:pPr>
              <w:rPr>
                <w:sz w:val="22"/>
                <w:szCs w:val="22"/>
                <w:lang w:val="en-GB"/>
              </w:rPr>
            </w:pPr>
            <w:r w:rsidRPr="00E14060">
              <w:rPr>
                <w:sz w:val="22"/>
                <w:szCs w:val="22"/>
                <w:lang w:val="en-GB"/>
              </w:rPr>
              <w:t> </w:t>
            </w:r>
          </w:p>
        </w:tc>
        <w:tc>
          <w:tcPr>
            <w:tcW w:w="850" w:type="dxa"/>
            <w:tcBorders>
              <w:top w:val="nil"/>
              <w:left w:val="nil"/>
              <w:bottom w:val="nil"/>
              <w:right w:val="nil"/>
            </w:tcBorders>
            <w:shd w:val="clear" w:color="000000" w:fill="FABF8F"/>
            <w:vAlign w:val="bottom"/>
            <w:hideMark/>
          </w:tcPr>
          <w:p w14:paraId="19745B7F" w14:textId="77777777" w:rsidR="006D3729" w:rsidRPr="00E14060" w:rsidRDefault="006D3729" w:rsidP="006D3729">
            <w:pPr>
              <w:rPr>
                <w:sz w:val="22"/>
                <w:szCs w:val="22"/>
                <w:lang w:val="en-GB"/>
              </w:rPr>
            </w:pPr>
            <w:r w:rsidRPr="00E14060">
              <w:rPr>
                <w:sz w:val="22"/>
                <w:szCs w:val="22"/>
                <w:lang w:val="en-GB"/>
              </w:rPr>
              <w:t> </w:t>
            </w:r>
          </w:p>
        </w:tc>
      </w:tr>
      <w:tr w:rsidR="006D3729" w:rsidRPr="00E14060" w14:paraId="362098C3" w14:textId="77777777" w:rsidTr="008C602E">
        <w:trPr>
          <w:trHeight w:val="600"/>
        </w:trPr>
        <w:tc>
          <w:tcPr>
            <w:tcW w:w="601" w:type="dxa"/>
            <w:tcBorders>
              <w:top w:val="nil"/>
              <w:left w:val="nil"/>
              <w:bottom w:val="nil"/>
              <w:right w:val="nil"/>
            </w:tcBorders>
            <w:shd w:val="clear" w:color="000000" w:fill="FABF8F"/>
            <w:noWrap/>
            <w:hideMark/>
          </w:tcPr>
          <w:p w14:paraId="7867279F" w14:textId="77777777" w:rsidR="006D3729" w:rsidRPr="00E14060" w:rsidRDefault="006D3729" w:rsidP="000D7285">
            <w:pPr>
              <w:jc w:val="right"/>
              <w:rPr>
                <w:sz w:val="22"/>
                <w:szCs w:val="22"/>
                <w:lang w:val="en-GB"/>
              </w:rPr>
            </w:pPr>
            <w:r w:rsidRPr="00E14060">
              <w:rPr>
                <w:sz w:val="22"/>
                <w:szCs w:val="22"/>
                <w:lang w:val="en-GB"/>
              </w:rPr>
              <w:t>4</w:t>
            </w:r>
          </w:p>
        </w:tc>
        <w:tc>
          <w:tcPr>
            <w:tcW w:w="8759" w:type="dxa"/>
            <w:gridSpan w:val="12"/>
            <w:tcBorders>
              <w:top w:val="nil"/>
              <w:left w:val="nil"/>
              <w:bottom w:val="nil"/>
              <w:right w:val="nil"/>
            </w:tcBorders>
            <w:shd w:val="clear" w:color="000000" w:fill="FABF8F"/>
            <w:hideMark/>
          </w:tcPr>
          <w:p w14:paraId="2867EDF5" w14:textId="77777777" w:rsidR="006D3729" w:rsidRPr="00E14060" w:rsidRDefault="006D3729" w:rsidP="006D3729">
            <w:pPr>
              <w:rPr>
                <w:sz w:val="22"/>
                <w:szCs w:val="22"/>
                <w:lang w:val="en-GB"/>
              </w:rPr>
            </w:pPr>
            <w:r w:rsidRPr="00E14060">
              <w:rPr>
                <w:sz w:val="22"/>
                <w:szCs w:val="22"/>
                <w:lang w:val="en-GB"/>
              </w:rPr>
              <w:t>Outcomes not of interest (e.g., title/abstract specifies that it is a study in pharmacokinetics, biochemical, neuroimaging, genetic studies)</w:t>
            </w:r>
          </w:p>
        </w:tc>
      </w:tr>
      <w:tr w:rsidR="006D3729" w:rsidRPr="00E14060" w14:paraId="75150FE8" w14:textId="77777777" w:rsidTr="006D3729">
        <w:trPr>
          <w:trHeight w:val="300"/>
        </w:trPr>
        <w:tc>
          <w:tcPr>
            <w:tcW w:w="7660" w:type="dxa"/>
            <w:gridSpan w:val="11"/>
            <w:tcBorders>
              <w:top w:val="single" w:sz="4" w:space="0" w:color="auto"/>
              <w:left w:val="nil"/>
              <w:bottom w:val="single" w:sz="4" w:space="0" w:color="auto"/>
              <w:right w:val="nil"/>
            </w:tcBorders>
            <w:shd w:val="clear" w:color="000000" w:fill="FFFFFF"/>
            <w:noWrap/>
            <w:hideMark/>
          </w:tcPr>
          <w:p w14:paraId="1B9132A1" w14:textId="77777777" w:rsidR="006D3729" w:rsidRPr="00E14060" w:rsidRDefault="006D3729" w:rsidP="006D3729">
            <w:pPr>
              <w:rPr>
                <w:b/>
                <w:bCs/>
                <w:sz w:val="22"/>
                <w:szCs w:val="22"/>
                <w:lang w:val="en-GB"/>
              </w:rPr>
            </w:pPr>
            <w:r w:rsidRPr="00E14060">
              <w:rPr>
                <w:b/>
                <w:bCs/>
                <w:sz w:val="22"/>
                <w:szCs w:val="22"/>
                <w:lang w:val="en-GB"/>
              </w:rPr>
              <w:t>Reasons for exclusion – Screening Round 2, Full Text/Full Record</w:t>
            </w:r>
          </w:p>
        </w:tc>
        <w:tc>
          <w:tcPr>
            <w:tcW w:w="850" w:type="dxa"/>
            <w:tcBorders>
              <w:top w:val="nil"/>
              <w:left w:val="nil"/>
              <w:bottom w:val="single" w:sz="4" w:space="0" w:color="auto"/>
              <w:right w:val="nil"/>
            </w:tcBorders>
            <w:shd w:val="clear" w:color="000000" w:fill="FFFFFF"/>
            <w:noWrap/>
            <w:vAlign w:val="bottom"/>
            <w:hideMark/>
          </w:tcPr>
          <w:p w14:paraId="2C501066" w14:textId="77777777" w:rsidR="006D3729" w:rsidRPr="00E14060" w:rsidRDefault="006D3729" w:rsidP="006D3729">
            <w:pPr>
              <w:rPr>
                <w:sz w:val="22"/>
                <w:szCs w:val="22"/>
                <w:lang w:val="en-GB"/>
              </w:rPr>
            </w:pPr>
            <w:r w:rsidRPr="00E14060">
              <w:rPr>
                <w:sz w:val="22"/>
                <w:szCs w:val="22"/>
                <w:lang w:val="en-GB"/>
              </w:rPr>
              <w:t> </w:t>
            </w:r>
          </w:p>
        </w:tc>
        <w:tc>
          <w:tcPr>
            <w:tcW w:w="850" w:type="dxa"/>
            <w:tcBorders>
              <w:top w:val="nil"/>
              <w:left w:val="nil"/>
              <w:bottom w:val="single" w:sz="4" w:space="0" w:color="auto"/>
              <w:right w:val="nil"/>
            </w:tcBorders>
            <w:shd w:val="clear" w:color="000000" w:fill="FFFFFF"/>
            <w:noWrap/>
            <w:vAlign w:val="bottom"/>
            <w:hideMark/>
          </w:tcPr>
          <w:p w14:paraId="1691DE97" w14:textId="77777777" w:rsidR="006D3729" w:rsidRPr="00E14060" w:rsidRDefault="006D3729" w:rsidP="006D3729">
            <w:pPr>
              <w:rPr>
                <w:sz w:val="22"/>
                <w:szCs w:val="22"/>
                <w:lang w:val="en-GB"/>
              </w:rPr>
            </w:pPr>
            <w:r w:rsidRPr="00E14060">
              <w:rPr>
                <w:sz w:val="22"/>
                <w:szCs w:val="22"/>
                <w:lang w:val="en-GB"/>
              </w:rPr>
              <w:t> </w:t>
            </w:r>
          </w:p>
        </w:tc>
      </w:tr>
      <w:tr w:rsidR="006D3729" w:rsidRPr="00E14060" w14:paraId="37D8010C" w14:textId="77777777" w:rsidTr="008C602E">
        <w:trPr>
          <w:trHeight w:val="300"/>
        </w:trPr>
        <w:tc>
          <w:tcPr>
            <w:tcW w:w="601" w:type="dxa"/>
            <w:tcBorders>
              <w:top w:val="nil"/>
              <w:left w:val="nil"/>
              <w:bottom w:val="nil"/>
              <w:right w:val="nil"/>
            </w:tcBorders>
            <w:shd w:val="clear" w:color="000000" w:fill="E6B8B7"/>
            <w:noWrap/>
            <w:vAlign w:val="center"/>
            <w:hideMark/>
          </w:tcPr>
          <w:p w14:paraId="44103B4E" w14:textId="77777777" w:rsidR="006D3729" w:rsidRPr="00E14060" w:rsidRDefault="006D3729" w:rsidP="000D7285">
            <w:pPr>
              <w:jc w:val="right"/>
              <w:rPr>
                <w:sz w:val="22"/>
                <w:szCs w:val="22"/>
                <w:lang w:val="en-GB"/>
              </w:rPr>
            </w:pPr>
            <w:r w:rsidRPr="00E14060">
              <w:rPr>
                <w:sz w:val="22"/>
                <w:szCs w:val="22"/>
                <w:lang w:val="en-GB"/>
              </w:rPr>
              <w:t>1-3</w:t>
            </w:r>
          </w:p>
        </w:tc>
        <w:tc>
          <w:tcPr>
            <w:tcW w:w="5174" w:type="dxa"/>
            <w:gridSpan w:val="8"/>
            <w:tcBorders>
              <w:top w:val="nil"/>
              <w:left w:val="nil"/>
              <w:bottom w:val="nil"/>
              <w:right w:val="nil"/>
            </w:tcBorders>
            <w:shd w:val="clear" w:color="000000" w:fill="E6B8B7"/>
            <w:noWrap/>
            <w:vAlign w:val="center"/>
            <w:hideMark/>
          </w:tcPr>
          <w:p w14:paraId="3DBFFB46" w14:textId="77777777" w:rsidR="006D3729" w:rsidRPr="00E14060" w:rsidRDefault="006D3729" w:rsidP="006D3729">
            <w:pPr>
              <w:rPr>
                <w:sz w:val="22"/>
                <w:szCs w:val="22"/>
                <w:lang w:val="en-GB"/>
              </w:rPr>
            </w:pPr>
            <w:r w:rsidRPr="00E14060">
              <w:rPr>
                <w:sz w:val="22"/>
                <w:szCs w:val="22"/>
                <w:lang w:val="en-GB"/>
              </w:rPr>
              <w:t>Same as Screening Round 1, described above</w:t>
            </w:r>
          </w:p>
        </w:tc>
        <w:tc>
          <w:tcPr>
            <w:tcW w:w="1035" w:type="dxa"/>
            <w:tcBorders>
              <w:top w:val="nil"/>
              <w:left w:val="nil"/>
              <w:bottom w:val="nil"/>
              <w:right w:val="nil"/>
            </w:tcBorders>
            <w:shd w:val="clear" w:color="000000" w:fill="E6B8B7"/>
            <w:noWrap/>
            <w:vAlign w:val="bottom"/>
            <w:hideMark/>
          </w:tcPr>
          <w:p w14:paraId="09178167" w14:textId="77777777" w:rsidR="006D3729" w:rsidRPr="00E14060" w:rsidRDefault="006D3729" w:rsidP="006D3729">
            <w:pPr>
              <w:rPr>
                <w:sz w:val="22"/>
                <w:szCs w:val="22"/>
                <w:lang w:val="en-GB"/>
              </w:rPr>
            </w:pPr>
            <w:r w:rsidRPr="00E14060">
              <w:rPr>
                <w:sz w:val="22"/>
                <w:szCs w:val="22"/>
                <w:lang w:val="en-GB"/>
              </w:rPr>
              <w:t> </w:t>
            </w:r>
          </w:p>
        </w:tc>
        <w:tc>
          <w:tcPr>
            <w:tcW w:w="850" w:type="dxa"/>
            <w:tcBorders>
              <w:top w:val="nil"/>
              <w:left w:val="nil"/>
              <w:bottom w:val="nil"/>
              <w:right w:val="nil"/>
            </w:tcBorders>
            <w:shd w:val="clear" w:color="000000" w:fill="E6B8B7"/>
            <w:noWrap/>
            <w:vAlign w:val="bottom"/>
            <w:hideMark/>
          </w:tcPr>
          <w:p w14:paraId="65CBFF24" w14:textId="77777777" w:rsidR="006D3729" w:rsidRPr="00E14060" w:rsidRDefault="006D3729" w:rsidP="006D3729">
            <w:pPr>
              <w:rPr>
                <w:sz w:val="22"/>
                <w:szCs w:val="22"/>
                <w:lang w:val="en-GB"/>
              </w:rPr>
            </w:pPr>
            <w:r w:rsidRPr="00E14060">
              <w:rPr>
                <w:sz w:val="22"/>
                <w:szCs w:val="22"/>
                <w:lang w:val="en-GB"/>
              </w:rPr>
              <w:t> </w:t>
            </w:r>
          </w:p>
        </w:tc>
        <w:tc>
          <w:tcPr>
            <w:tcW w:w="850" w:type="dxa"/>
            <w:tcBorders>
              <w:top w:val="nil"/>
              <w:left w:val="nil"/>
              <w:bottom w:val="nil"/>
              <w:right w:val="nil"/>
            </w:tcBorders>
            <w:shd w:val="clear" w:color="000000" w:fill="E6B8B7"/>
            <w:noWrap/>
            <w:vAlign w:val="bottom"/>
            <w:hideMark/>
          </w:tcPr>
          <w:p w14:paraId="5E080728" w14:textId="77777777" w:rsidR="006D3729" w:rsidRPr="00E14060" w:rsidRDefault="006D3729" w:rsidP="006D3729">
            <w:pPr>
              <w:rPr>
                <w:sz w:val="22"/>
                <w:szCs w:val="22"/>
                <w:lang w:val="en-GB"/>
              </w:rPr>
            </w:pPr>
            <w:r w:rsidRPr="00E14060">
              <w:rPr>
                <w:sz w:val="22"/>
                <w:szCs w:val="22"/>
                <w:lang w:val="en-GB"/>
              </w:rPr>
              <w:t> </w:t>
            </w:r>
          </w:p>
        </w:tc>
        <w:tc>
          <w:tcPr>
            <w:tcW w:w="850" w:type="dxa"/>
            <w:tcBorders>
              <w:top w:val="nil"/>
              <w:left w:val="nil"/>
              <w:bottom w:val="nil"/>
              <w:right w:val="nil"/>
            </w:tcBorders>
            <w:shd w:val="clear" w:color="000000" w:fill="E6B8B7"/>
            <w:noWrap/>
            <w:vAlign w:val="bottom"/>
            <w:hideMark/>
          </w:tcPr>
          <w:p w14:paraId="750765C4" w14:textId="77777777" w:rsidR="006D3729" w:rsidRPr="00E14060" w:rsidRDefault="006D3729" w:rsidP="006D3729">
            <w:pPr>
              <w:rPr>
                <w:sz w:val="22"/>
                <w:szCs w:val="22"/>
                <w:lang w:val="en-GB"/>
              </w:rPr>
            </w:pPr>
            <w:r w:rsidRPr="00E14060">
              <w:rPr>
                <w:sz w:val="22"/>
                <w:szCs w:val="22"/>
                <w:lang w:val="en-GB"/>
              </w:rPr>
              <w:t> </w:t>
            </w:r>
          </w:p>
        </w:tc>
      </w:tr>
      <w:tr w:rsidR="006D3729" w:rsidRPr="00E14060" w14:paraId="585F67FF" w14:textId="77777777" w:rsidTr="008C602E">
        <w:trPr>
          <w:trHeight w:val="645"/>
        </w:trPr>
        <w:tc>
          <w:tcPr>
            <w:tcW w:w="601" w:type="dxa"/>
            <w:tcBorders>
              <w:top w:val="nil"/>
              <w:left w:val="nil"/>
              <w:bottom w:val="nil"/>
              <w:right w:val="nil"/>
            </w:tcBorders>
            <w:shd w:val="clear" w:color="000000" w:fill="E6B8B7"/>
            <w:noWrap/>
            <w:hideMark/>
          </w:tcPr>
          <w:p w14:paraId="74ACF21D" w14:textId="77777777" w:rsidR="006D3729" w:rsidRPr="00E14060" w:rsidRDefault="006D3729" w:rsidP="000D7285">
            <w:pPr>
              <w:jc w:val="right"/>
              <w:rPr>
                <w:sz w:val="22"/>
                <w:szCs w:val="22"/>
                <w:lang w:val="en-GB"/>
              </w:rPr>
            </w:pPr>
            <w:r w:rsidRPr="00E14060">
              <w:rPr>
                <w:sz w:val="22"/>
                <w:szCs w:val="22"/>
                <w:lang w:val="en-GB"/>
              </w:rPr>
              <w:t>4</w:t>
            </w:r>
          </w:p>
        </w:tc>
        <w:tc>
          <w:tcPr>
            <w:tcW w:w="8759" w:type="dxa"/>
            <w:gridSpan w:val="12"/>
            <w:tcBorders>
              <w:top w:val="nil"/>
              <w:left w:val="nil"/>
              <w:bottom w:val="nil"/>
              <w:right w:val="nil"/>
            </w:tcBorders>
            <w:shd w:val="clear" w:color="000000" w:fill="E6B8B7"/>
            <w:hideMark/>
          </w:tcPr>
          <w:p w14:paraId="29D12AB0" w14:textId="77777777" w:rsidR="006D3729" w:rsidRPr="00E14060" w:rsidRDefault="006D3729" w:rsidP="006D3729">
            <w:pPr>
              <w:rPr>
                <w:sz w:val="22"/>
                <w:szCs w:val="22"/>
                <w:lang w:val="en-GB"/>
              </w:rPr>
            </w:pPr>
            <w:r w:rsidRPr="00E14060">
              <w:rPr>
                <w:sz w:val="22"/>
                <w:szCs w:val="22"/>
                <w:lang w:val="en-GB"/>
              </w:rPr>
              <w:t>Inappropriate study design: non-randomized studies, open label extensions of randomized controlled trials, systematic reviews, post-hoc analyses, pooled analyses, or meta-analyses</w:t>
            </w:r>
          </w:p>
        </w:tc>
      </w:tr>
      <w:tr w:rsidR="006D3729" w:rsidRPr="00E14060" w14:paraId="1B1068F6" w14:textId="77777777" w:rsidTr="008C602E">
        <w:trPr>
          <w:trHeight w:val="930"/>
        </w:trPr>
        <w:tc>
          <w:tcPr>
            <w:tcW w:w="601" w:type="dxa"/>
            <w:tcBorders>
              <w:top w:val="nil"/>
              <w:left w:val="nil"/>
              <w:bottom w:val="nil"/>
              <w:right w:val="nil"/>
            </w:tcBorders>
            <w:shd w:val="clear" w:color="000000" w:fill="E6B8B7"/>
            <w:noWrap/>
            <w:hideMark/>
          </w:tcPr>
          <w:p w14:paraId="5F25751B" w14:textId="77777777" w:rsidR="006D3729" w:rsidRPr="00E14060" w:rsidRDefault="006D3729" w:rsidP="000D7285">
            <w:pPr>
              <w:jc w:val="right"/>
              <w:rPr>
                <w:sz w:val="22"/>
                <w:szCs w:val="22"/>
                <w:lang w:val="en-GB"/>
              </w:rPr>
            </w:pPr>
            <w:r w:rsidRPr="00E14060">
              <w:rPr>
                <w:sz w:val="22"/>
                <w:szCs w:val="22"/>
                <w:lang w:val="en-GB"/>
              </w:rPr>
              <w:t>5</w:t>
            </w:r>
          </w:p>
        </w:tc>
        <w:tc>
          <w:tcPr>
            <w:tcW w:w="8759" w:type="dxa"/>
            <w:gridSpan w:val="12"/>
            <w:tcBorders>
              <w:top w:val="nil"/>
              <w:left w:val="nil"/>
              <w:bottom w:val="nil"/>
              <w:right w:val="nil"/>
            </w:tcBorders>
            <w:shd w:val="clear" w:color="000000" w:fill="E6B8B7"/>
            <w:hideMark/>
          </w:tcPr>
          <w:p w14:paraId="3B0A73FC" w14:textId="77777777" w:rsidR="006D3729" w:rsidRPr="00E14060" w:rsidRDefault="006D3729" w:rsidP="006D3729">
            <w:pPr>
              <w:rPr>
                <w:sz w:val="22"/>
                <w:szCs w:val="22"/>
                <w:lang w:val="en-GB"/>
              </w:rPr>
            </w:pPr>
            <w:r w:rsidRPr="00E14060">
              <w:rPr>
                <w:sz w:val="22"/>
                <w:szCs w:val="22"/>
                <w:lang w:val="en-GB"/>
              </w:rPr>
              <w:t>Outcomes not of interest (excluded studies that did not report all-cause discontinuation, adverse events discontinuation, or at least one of the following efficacy measures commonly used in adult ADHD: CAARS, ADHD-RS-IV, AISRS, BAARS, BADDS, CGI scales, or GAF)</w:t>
            </w:r>
          </w:p>
        </w:tc>
      </w:tr>
      <w:tr w:rsidR="006D3729" w:rsidRPr="00E14060" w14:paraId="56B4A5E7" w14:textId="77777777" w:rsidTr="008C602E">
        <w:trPr>
          <w:trHeight w:val="615"/>
        </w:trPr>
        <w:tc>
          <w:tcPr>
            <w:tcW w:w="601" w:type="dxa"/>
            <w:tcBorders>
              <w:top w:val="nil"/>
              <w:left w:val="nil"/>
              <w:bottom w:val="nil"/>
              <w:right w:val="nil"/>
            </w:tcBorders>
            <w:shd w:val="clear" w:color="000000" w:fill="E6B8B7"/>
            <w:noWrap/>
            <w:hideMark/>
          </w:tcPr>
          <w:p w14:paraId="5F9753BF" w14:textId="77777777" w:rsidR="006D3729" w:rsidRPr="00E14060" w:rsidRDefault="006D3729" w:rsidP="000D7285">
            <w:pPr>
              <w:jc w:val="right"/>
              <w:rPr>
                <w:sz w:val="22"/>
                <w:szCs w:val="22"/>
                <w:lang w:val="en-GB"/>
              </w:rPr>
            </w:pPr>
            <w:r w:rsidRPr="00E14060">
              <w:rPr>
                <w:sz w:val="22"/>
                <w:szCs w:val="22"/>
                <w:lang w:val="en-GB"/>
              </w:rPr>
              <w:t>6</w:t>
            </w:r>
          </w:p>
        </w:tc>
        <w:tc>
          <w:tcPr>
            <w:tcW w:w="8759" w:type="dxa"/>
            <w:gridSpan w:val="12"/>
            <w:tcBorders>
              <w:top w:val="nil"/>
              <w:left w:val="nil"/>
              <w:bottom w:val="nil"/>
              <w:right w:val="nil"/>
            </w:tcBorders>
            <w:shd w:val="clear" w:color="000000" w:fill="E6B8B7"/>
            <w:hideMark/>
          </w:tcPr>
          <w:p w14:paraId="4B74B0EF" w14:textId="77777777" w:rsidR="006D3729" w:rsidRPr="00E14060" w:rsidRDefault="006D3729" w:rsidP="006D3729">
            <w:pPr>
              <w:rPr>
                <w:sz w:val="22"/>
                <w:szCs w:val="22"/>
                <w:lang w:val="en-GB"/>
              </w:rPr>
            </w:pPr>
            <w:r w:rsidRPr="00E14060">
              <w:rPr>
                <w:sz w:val="22"/>
                <w:szCs w:val="22"/>
                <w:lang w:val="en-GB"/>
              </w:rPr>
              <w:t>Full text for the study unobtainable, and with the abstract and/or abbreviated text reporting incomplete information</w:t>
            </w:r>
          </w:p>
        </w:tc>
      </w:tr>
      <w:tr w:rsidR="006D3729" w:rsidRPr="00E14060" w14:paraId="3FEE3B54" w14:textId="77777777" w:rsidTr="008C602E">
        <w:trPr>
          <w:trHeight w:val="300"/>
        </w:trPr>
        <w:tc>
          <w:tcPr>
            <w:tcW w:w="601" w:type="dxa"/>
            <w:tcBorders>
              <w:top w:val="nil"/>
              <w:left w:val="nil"/>
              <w:bottom w:val="nil"/>
              <w:right w:val="nil"/>
            </w:tcBorders>
            <w:shd w:val="clear" w:color="000000" w:fill="E6B8B7"/>
            <w:noWrap/>
            <w:vAlign w:val="center"/>
            <w:hideMark/>
          </w:tcPr>
          <w:p w14:paraId="6B4D6A07" w14:textId="77777777" w:rsidR="006D3729" w:rsidRPr="00E14060" w:rsidRDefault="006D3729" w:rsidP="000D7285">
            <w:pPr>
              <w:jc w:val="right"/>
              <w:rPr>
                <w:sz w:val="22"/>
                <w:szCs w:val="22"/>
                <w:lang w:val="en-GB"/>
              </w:rPr>
            </w:pPr>
            <w:r w:rsidRPr="00E14060">
              <w:rPr>
                <w:sz w:val="22"/>
                <w:szCs w:val="22"/>
                <w:lang w:val="en-GB"/>
              </w:rPr>
              <w:t>7</w:t>
            </w:r>
          </w:p>
        </w:tc>
        <w:tc>
          <w:tcPr>
            <w:tcW w:w="3104" w:type="dxa"/>
            <w:gridSpan w:val="3"/>
            <w:tcBorders>
              <w:top w:val="nil"/>
              <w:left w:val="nil"/>
              <w:bottom w:val="nil"/>
              <w:right w:val="nil"/>
            </w:tcBorders>
            <w:shd w:val="clear" w:color="000000" w:fill="E6B8B7"/>
            <w:noWrap/>
            <w:vAlign w:val="bottom"/>
            <w:hideMark/>
          </w:tcPr>
          <w:p w14:paraId="13E989F4" w14:textId="77777777" w:rsidR="006D3729" w:rsidRPr="00E14060" w:rsidRDefault="006D3729" w:rsidP="006D3729">
            <w:pPr>
              <w:rPr>
                <w:sz w:val="22"/>
                <w:szCs w:val="22"/>
                <w:lang w:val="en-GB"/>
              </w:rPr>
            </w:pPr>
            <w:r w:rsidRPr="00E14060">
              <w:rPr>
                <w:sz w:val="22"/>
                <w:szCs w:val="22"/>
                <w:lang w:val="en-GB"/>
              </w:rPr>
              <w:t>Full text is not in English</w:t>
            </w:r>
          </w:p>
        </w:tc>
        <w:tc>
          <w:tcPr>
            <w:tcW w:w="1035" w:type="dxa"/>
            <w:gridSpan w:val="4"/>
            <w:tcBorders>
              <w:top w:val="nil"/>
              <w:left w:val="nil"/>
              <w:bottom w:val="nil"/>
              <w:right w:val="nil"/>
            </w:tcBorders>
            <w:shd w:val="clear" w:color="000000" w:fill="E6B8B7"/>
            <w:noWrap/>
            <w:vAlign w:val="bottom"/>
            <w:hideMark/>
          </w:tcPr>
          <w:p w14:paraId="015E0F6A" w14:textId="77777777" w:rsidR="006D3729" w:rsidRPr="00E14060" w:rsidRDefault="006D3729" w:rsidP="006D3729">
            <w:pPr>
              <w:rPr>
                <w:sz w:val="22"/>
                <w:szCs w:val="22"/>
                <w:lang w:val="en-GB"/>
              </w:rPr>
            </w:pPr>
            <w:r w:rsidRPr="00E14060">
              <w:rPr>
                <w:sz w:val="22"/>
                <w:szCs w:val="22"/>
                <w:lang w:val="en-GB"/>
              </w:rPr>
              <w:t> </w:t>
            </w:r>
          </w:p>
        </w:tc>
        <w:tc>
          <w:tcPr>
            <w:tcW w:w="1035" w:type="dxa"/>
            <w:tcBorders>
              <w:top w:val="nil"/>
              <w:left w:val="nil"/>
              <w:bottom w:val="nil"/>
              <w:right w:val="nil"/>
            </w:tcBorders>
            <w:shd w:val="clear" w:color="000000" w:fill="E6B8B7"/>
            <w:noWrap/>
            <w:vAlign w:val="bottom"/>
            <w:hideMark/>
          </w:tcPr>
          <w:p w14:paraId="10820AB6" w14:textId="77777777" w:rsidR="006D3729" w:rsidRPr="00E14060" w:rsidRDefault="006D3729" w:rsidP="006D3729">
            <w:pPr>
              <w:rPr>
                <w:sz w:val="22"/>
                <w:szCs w:val="22"/>
                <w:lang w:val="en-GB"/>
              </w:rPr>
            </w:pPr>
            <w:r w:rsidRPr="00E14060">
              <w:rPr>
                <w:sz w:val="22"/>
                <w:szCs w:val="22"/>
                <w:lang w:val="en-GB"/>
              </w:rPr>
              <w:t> </w:t>
            </w:r>
          </w:p>
        </w:tc>
        <w:tc>
          <w:tcPr>
            <w:tcW w:w="1035" w:type="dxa"/>
            <w:tcBorders>
              <w:top w:val="nil"/>
              <w:left w:val="nil"/>
              <w:bottom w:val="nil"/>
              <w:right w:val="nil"/>
            </w:tcBorders>
            <w:shd w:val="clear" w:color="000000" w:fill="E6B8B7"/>
            <w:noWrap/>
            <w:vAlign w:val="bottom"/>
            <w:hideMark/>
          </w:tcPr>
          <w:p w14:paraId="67E19A3E" w14:textId="77777777" w:rsidR="006D3729" w:rsidRPr="00E14060" w:rsidRDefault="006D3729" w:rsidP="006D3729">
            <w:pPr>
              <w:rPr>
                <w:sz w:val="22"/>
                <w:szCs w:val="22"/>
                <w:lang w:val="en-GB"/>
              </w:rPr>
            </w:pPr>
            <w:r w:rsidRPr="00E14060">
              <w:rPr>
                <w:sz w:val="22"/>
                <w:szCs w:val="22"/>
                <w:lang w:val="en-GB"/>
              </w:rPr>
              <w:t> </w:t>
            </w:r>
          </w:p>
        </w:tc>
        <w:tc>
          <w:tcPr>
            <w:tcW w:w="850" w:type="dxa"/>
            <w:tcBorders>
              <w:top w:val="nil"/>
              <w:left w:val="nil"/>
              <w:bottom w:val="nil"/>
              <w:right w:val="nil"/>
            </w:tcBorders>
            <w:shd w:val="clear" w:color="000000" w:fill="E6B8B7"/>
            <w:noWrap/>
            <w:vAlign w:val="bottom"/>
            <w:hideMark/>
          </w:tcPr>
          <w:p w14:paraId="54E735B8" w14:textId="77777777" w:rsidR="006D3729" w:rsidRPr="00E14060" w:rsidRDefault="006D3729" w:rsidP="006D3729">
            <w:pPr>
              <w:rPr>
                <w:sz w:val="22"/>
                <w:szCs w:val="22"/>
                <w:lang w:val="en-GB"/>
              </w:rPr>
            </w:pPr>
            <w:r w:rsidRPr="00E14060">
              <w:rPr>
                <w:sz w:val="22"/>
                <w:szCs w:val="22"/>
                <w:lang w:val="en-GB"/>
              </w:rPr>
              <w:t> </w:t>
            </w:r>
          </w:p>
        </w:tc>
        <w:tc>
          <w:tcPr>
            <w:tcW w:w="850" w:type="dxa"/>
            <w:tcBorders>
              <w:top w:val="nil"/>
              <w:left w:val="nil"/>
              <w:bottom w:val="nil"/>
              <w:right w:val="nil"/>
            </w:tcBorders>
            <w:shd w:val="clear" w:color="000000" w:fill="E6B8B7"/>
            <w:noWrap/>
            <w:vAlign w:val="bottom"/>
            <w:hideMark/>
          </w:tcPr>
          <w:p w14:paraId="4504B94C" w14:textId="77777777" w:rsidR="006D3729" w:rsidRPr="00E14060" w:rsidRDefault="006D3729" w:rsidP="006D3729">
            <w:pPr>
              <w:rPr>
                <w:sz w:val="22"/>
                <w:szCs w:val="22"/>
                <w:lang w:val="en-GB"/>
              </w:rPr>
            </w:pPr>
            <w:r w:rsidRPr="00E14060">
              <w:rPr>
                <w:sz w:val="22"/>
                <w:szCs w:val="22"/>
                <w:lang w:val="en-GB"/>
              </w:rPr>
              <w:t> </w:t>
            </w:r>
          </w:p>
        </w:tc>
        <w:tc>
          <w:tcPr>
            <w:tcW w:w="850" w:type="dxa"/>
            <w:tcBorders>
              <w:top w:val="nil"/>
              <w:left w:val="nil"/>
              <w:bottom w:val="nil"/>
              <w:right w:val="nil"/>
            </w:tcBorders>
            <w:shd w:val="clear" w:color="000000" w:fill="E6B8B7"/>
            <w:noWrap/>
            <w:vAlign w:val="bottom"/>
            <w:hideMark/>
          </w:tcPr>
          <w:p w14:paraId="61457033" w14:textId="77777777" w:rsidR="006D3729" w:rsidRPr="00E14060" w:rsidRDefault="006D3729" w:rsidP="006D3729">
            <w:pPr>
              <w:rPr>
                <w:sz w:val="22"/>
                <w:szCs w:val="22"/>
                <w:lang w:val="en-GB"/>
              </w:rPr>
            </w:pPr>
            <w:r w:rsidRPr="00E14060">
              <w:rPr>
                <w:sz w:val="22"/>
                <w:szCs w:val="22"/>
                <w:lang w:val="en-GB"/>
              </w:rPr>
              <w:t> </w:t>
            </w:r>
          </w:p>
        </w:tc>
      </w:tr>
      <w:tr w:rsidR="006D3729" w:rsidRPr="00E14060" w14:paraId="42F017BB" w14:textId="77777777" w:rsidTr="006D3729">
        <w:trPr>
          <w:trHeight w:val="195"/>
        </w:trPr>
        <w:tc>
          <w:tcPr>
            <w:tcW w:w="601" w:type="dxa"/>
            <w:tcBorders>
              <w:top w:val="nil"/>
              <w:left w:val="nil"/>
              <w:bottom w:val="single" w:sz="4" w:space="0" w:color="auto"/>
              <w:right w:val="nil"/>
            </w:tcBorders>
            <w:shd w:val="clear" w:color="000000" w:fill="E6B8B7"/>
            <w:noWrap/>
            <w:hideMark/>
          </w:tcPr>
          <w:p w14:paraId="3166E773" w14:textId="77777777" w:rsidR="006D3729" w:rsidRPr="00E14060" w:rsidRDefault="006D3729" w:rsidP="006D3729">
            <w:pPr>
              <w:rPr>
                <w:sz w:val="22"/>
                <w:szCs w:val="22"/>
                <w:lang w:val="en-GB"/>
              </w:rPr>
            </w:pPr>
            <w:r w:rsidRPr="00E14060">
              <w:rPr>
                <w:sz w:val="22"/>
                <w:szCs w:val="22"/>
                <w:lang w:val="en-GB"/>
              </w:rPr>
              <w:t> </w:t>
            </w:r>
          </w:p>
        </w:tc>
        <w:tc>
          <w:tcPr>
            <w:tcW w:w="1608" w:type="dxa"/>
            <w:tcBorders>
              <w:top w:val="nil"/>
              <w:left w:val="nil"/>
              <w:bottom w:val="single" w:sz="4" w:space="0" w:color="auto"/>
              <w:right w:val="nil"/>
            </w:tcBorders>
            <w:shd w:val="clear" w:color="000000" w:fill="E6B8B7"/>
            <w:noWrap/>
            <w:vAlign w:val="bottom"/>
            <w:hideMark/>
          </w:tcPr>
          <w:p w14:paraId="53C9E9C3" w14:textId="77777777" w:rsidR="006D3729" w:rsidRPr="00E14060" w:rsidRDefault="006D3729" w:rsidP="006D3729">
            <w:pPr>
              <w:rPr>
                <w:sz w:val="22"/>
                <w:szCs w:val="22"/>
                <w:lang w:val="en-GB"/>
              </w:rPr>
            </w:pPr>
            <w:r w:rsidRPr="00E14060">
              <w:rPr>
                <w:sz w:val="22"/>
                <w:szCs w:val="22"/>
                <w:lang w:val="en-GB"/>
              </w:rPr>
              <w:t> </w:t>
            </w:r>
          </w:p>
        </w:tc>
        <w:tc>
          <w:tcPr>
            <w:tcW w:w="748" w:type="dxa"/>
            <w:tcBorders>
              <w:top w:val="nil"/>
              <w:left w:val="nil"/>
              <w:bottom w:val="single" w:sz="4" w:space="0" w:color="auto"/>
              <w:right w:val="nil"/>
            </w:tcBorders>
            <w:shd w:val="clear" w:color="000000" w:fill="E6B8B7"/>
            <w:noWrap/>
            <w:vAlign w:val="bottom"/>
            <w:hideMark/>
          </w:tcPr>
          <w:p w14:paraId="0419C685" w14:textId="77777777" w:rsidR="006D3729" w:rsidRPr="00E14060" w:rsidRDefault="006D3729" w:rsidP="006D3729">
            <w:pPr>
              <w:rPr>
                <w:sz w:val="22"/>
                <w:szCs w:val="22"/>
                <w:lang w:val="en-GB"/>
              </w:rPr>
            </w:pPr>
            <w:r w:rsidRPr="00E14060">
              <w:rPr>
                <w:sz w:val="22"/>
                <w:szCs w:val="22"/>
                <w:lang w:val="en-GB"/>
              </w:rPr>
              <w:t> </w:t>
            </w:r>
          </w:p>
        </w:tc>
        <w:tc>
          <w:tcPr>
            <w:tcW w:w="748" w:type="dxa"/>
            <w:tcBorders>
              <w:top w:val="nil"/>
              <w:left w:val="nil"/>
              <w:bottom w:val="single" w:sz="4" w:space="0" w:color="auto"/>
              <w:right w:val="nil"/>
            </w:tcBorders>
            <w:shd w:val="clear" w:color="000000" w:fill="E6B8B7"/>
            <w:noWrap/>
            <w:vAlign w:val="bottom"/>
            <w:hideMark/>
          </w:tcPr>
          <w:p w14:paraId="6BE18646" w14:textId="77777777" w:rsidR="006D3729" w:rsidRPr="00E14060" w:rsidRDefault="006D3729" w:rsidP="006D3729">
            <w:pPr>
              <w:rPr>
                <w:sz w:val="22"/>
                <w:szCs w:val="22"/>
                <w:lang w:val="en-GB"/>
              </w:rPr>
            </w:pPr>
            <w:r w:rsidRPr="00E14060">
              <w:rPr>
                <w:sz w:val="22"/>
                <w:szCs w:val="22"/>
                <w:lang w:val="en-GB"/>
              </w:rPr>
              <w:t> </w:t>
            </w:r>
          </w:p>
        </w:tc>
        <w:tc>
          <w:tcPr>
            <w:tcW w:w="1035" w:type="dxa"/>
            <w:gridSpan w:val="4"/>
            <w:tcBorders>
              <w:top w:val="nil"/>
              <w:left w:val="nil"/>
              <w:bottom w:val="single" w:sz="4" w:space="0" w:color="auto"/>
              <w:right w:val="nil"/>
            </w:tcBorders>
            <w:shd w:val="clear" w:color="000000" w:fill="E6B8B7"/>
            <w:noWrap/>
            <w:vAlign w:val="bottom"/>
            <w:hideMark/>
          </w:tcPr>
          <w:p w14:paraId="45E920D8" w14:textId="77777777" w:rsidR="006D3729" w:rsidRPr="00E14060" w:rsidRDefault="006D3729" w:rsidP="006D3729">
            <w:pPr>
              <w:rPr>
                <w:sz w:val="22"/>
                <w:szCs w:val="22"/>
                <w:lang w:val="en-GB"/>
              </w:rPr>
            </w:pPr>
            <w:r w:rsidRPr="00E14060">
              <w:rPr>
                <w:sz w:val="22"/>
                <w:szCs w:val="22"/>
                <w:lang w:val="en-GB"/>
              </w:rPr>
              <w:t> </w:t>
            </w:r>
          </w:p>
        </w:tc>
        <w:tc>
          <w:tcPr>
            <w:tcW w:w="1035" w:type="dxa"/>
            <w:tcBorders>
              <w:top w:val="nil"/>
              <w:left w:val="nil"/>
              <w:bottom w:val="single" w:sz="4" w:space="0" w:color="auto"/>
              <w:right w:val="nil"/>
            </w:tcBorders>
            <w:shd w:val="clear" w:color="000000" w:fill="E6B8B7"/>
            <w:noWrap/>
            <w:vAlign w:val="bottom"/>
            <w:hideMark/>
          </w:tcPr>
          <w:p w14:paraId="1B9DCA39" w14:textId="77777777" w:rsidR="006D3729" w:rsidRPr="00E14060" w:rsidRDefault="006D3729" w:rsidP="006D3729">
            <w:pPr>
              <w:rPr>
                <w:sz w:val="22"/>
                <w:szCs w:val="22"/>
                <w:lang w:val="en-GB"/>
              </w:rPr>
            </w:pPr>
            <w:r w:rsidRPr="00E14060">
              <w:rPr>
                <w:sz w:val="22"/>
                <w:szCs w:val="22"/>
                <w:lang w:val="en-GB"/>
              </w:rPr>
              <w:t> </w:t>
            </w:r>
          </w:p>
        </w:tc>
        <w:tc>
          <w:tcPr>
            <w:tcW w:w="1035" w:type="dxa"/>
            <w:tcBorders>
              <w:top w:val="nil"/>
              <w:left w:val="nil"/>
              <w:bottom w:val="single" w:sz="4" w:space="0" w:color="auto"/>
              <w:right w:val="nil"/>
            </w:tcBorders>
            <w:shd w:val="clear" w:color="000000" w:fill="E6B8B7"/>
            <w:noWrap/>
            <w:vAlign w:val="bottom"/>
            <w:hideMark/>
          </w:tcPr>
          <w:p w14:paraId="0F63B8B0" w14:textId="77777777" w:rsidR="006D3729" w:rsidRPr="00E14060" w:rsidRDefault="006D3729" w:rsidP="006D3729">
            <w:pPr>
              <w:rPr>
                <w:sz w:val="22"/>
                <w:szCs w:val="22"/>
                <w:lang w:val="en-GB"/>
              </w:rPr>
            </w:pPr>
            <w:r w:rsidRPr="00E14060">
              <w:rPr>
                <w:sz w:val="22"/>
                <w:szCs w:val="22"/>
                <w:lang w:val="en-GB"/>
              </w:rPr>
              <w:t> </w:t>
            </w:r>
          </w:p>
        </w:tc>
        <w:tc>
          <w:tcPr>
            <w:tcW w:w="850" w:type="dxa"/>
            <w:tcBorders>
              <w:top w:val="nil"/>
              <w:left w:val="nil"/>
              <w:bottom w:val="single" w:sz="4" w:space="0" w:color="auto"/>
              <w:right w:val="nil"/>
            </w:tcBorders>
            <w:shd w:val="clear" w:color="000000" w:fill="E6B8B7"/>
            <w:noWrap/>
            <w:vAlign w:val="bottom"/>
            <w:hideMark/>
          </w:tcPr>
          <w:p w14:paraId="7FB0F274" w14:textId="77777777" w:rsidR="006D3729" w:rsidRPr="00E14060" w:rsidRDefault="006D3729" w:rsidP="006D3729">
            <w:pPr>
              <w:rPr>
                <w:sz w:val="22"/>
                <w:szCs w:val="22"/>
                <w:lang w:val="en-GB"/>
              </w:rPr>
            </w:pPr>
            <w:r w:rsidRPr="00E14060">
              <w:rPr>
                <w:sz w:val="22"/>
                <w:szCs w:val="22"/>
                <w:lang w:val="en-GB"/>
              </w:rPr>
              <w:t> </w:t>
            </w:r>
          </w:p>
        </w:tc>
        <w:tc>
          <w:tcPr>
            <w:tcW w:w="850" w:type="dxa"/>
            <w:tcBorders>
              <w:top w:val="nil"/>
              <w:left w:val="nil"/>
              <w:bottom w:val="single" w:sz="4" w:space="0" w:color="auto"/>
              <w:right w:val="nil"/>
            </w:tcBorders>
            <w:shd w:val="clear" w:color="000000" w:fill="E6B8B7"/>
            <w:noWrap/>
            <w:vAlign w:val="bottom"/>
            <w:hideMark/>
          </w:tcPr>
          <w:p w14:paraId="42524706" w14:textId="77777777" w:rsidR="006D3729" w:rsidRPr="00E14060" w:rsidRDefault="006D3729" w:rsidP="006D3729">
            <w:pPr>
              <w:rPr>
                <w:sz w:val="22"/>
                <w:szCs w:val="22"/>
                <w:lang w:val="en-GB"/>
              </w:rPr>
            </w:pPr>
            <w:r w:rsidRPr="00E14060">
              <w:rPr>
                <w:sz w:val="22"/>
                <w:szCs w:val="22"/>
                <w:lang w:val="en-GB"/>
              </w:rPr>
              <w:t> </w:t>
            </w:r>
          </w:p>
        </w:tc>
        <w:tc>
          <w:tcPr>
            <w:tcW w:w="850" w:type="dxa"/>
            <w:tcBorders>
              <w:top w:val="nil"/>
              <w:left w:val="nil"/>
              <w:bottom w:val="single" w:sz="4" w:space="0" w:color="auto"/>
              <w:right w:val="nil"/>
            </w:tcBorders>
            <w:shd w:val="clear" w:color="000000" w:fill="E6B8B7"/>
            <w:noWrap/>
            <w:vAlign w:val="bottom"/>
            <w:hideMark/>
          </w:tcPr>
          <w:p w14:paraId="697B86D2" w14:textId="77777777" w:rsidR="006D3729" w:rsidRPr="00E14060" w:rsidRDefault="006D3729" w:rsidP="006D3729">
            <w:pPr>
              <w:rPr>
                <w:sz w:val="22"/>
                <w:szCs w:val="22"/>
                <w:lang w:val="en-GB"/>
              </w:rPr>
            </w:pPr>
            <w:r w:rsidRPr="00E14060">
              <w:rPr>
                <w:sz w:val="22"/>
                <w:szCs w:val="22"/>
                <w:lang w:val="en-GB"/>
              </w:rPr>
              <w:t> </w:t>
            </w:r>
          </w:p>
        </w:tc>
      </w:tr>
      <w:tr w:rsidR="006D3729" w:rsidRPr="00E14060" w14:paraId="087DC46C" w14:textId="77777777" w:rsidTr="006D3729">
        <w:trPr>
          <w:trHeight w:val="330"/>
        </w:trPr>
        <w:tc>
          <w:tcPr>
            <w:tcW w:w="5775" w:type="dxa"/>
            <w:gridSpan w:val="9"/>
            <w:tcBorders>
              <w:top w:val="single" w:sz="4" w:space="0" w:color="auto"/>
              <w:left w:val="nil"/>
              <w:bottom w:val="single" w:sz="4" w:space="0" w:color="auto"/>
              <w:right w:val="nil"/>
            </w:tcBorders>
            <w:shd w:val="clear" w:color="000000" w:fill="FFFFFF"/>
            <w:noWrap/>
            <w:hideMark/>
          </w:tcPr>
          <w:p w14:paraId="0FCB3AED" w14:textId="77777777" w:rsidR="006D3729" w:rsidRPr="00E14060" w:rsidRDefault="006D3729" w:rsidP="006D3729">
            <w:pPr>
              <w:rPr>
                <w:b/>
                <w:bCs/>
                <w:sz w:val="22"/>
                <w:szCs w:val="22"/>
                <w:lang w:val="en-GB"/>
              </w:rPr>
            </w:pPr>
            <w:r w:rsidRPr="00E14060">
              <w:rPr>
                <w:b/>
                <w:bCs/>
                <w:sz w:val="22"/>
                <w:szCs w:val="22"/>
                <w:lang w:val="en-GB"/>
              </w:rPr>
              <w:t>Reasons for exclusion – Screening of RCTs</w:t>
            </w:r>
            <w:r w:rsidRPr="00E14060">
              <w:rPr>
                <w:b/>
                <w:bCs/>
                <w:sz w:val="22"/>
                <w:szCs w:val="22"/>
                <w:vertAlign w:val="superscript"/>
                <w:lang w:val="en-GB"/>
              </w:rPr>
              <w:t>1</w:t>
            </w:r>
          </w:p>
        </w:tc>
        <w:tc>
          <w:tcPr>
            <w:tcW w:w="1035" w:type="dxa"/>
            <w:tcBorders>
              <w:top w:val="nil"/>
              <w:left w:val="nil"/>
              <w:bottom w:val="single" w:sz="4" w:space="0" w:color="auto"/>
              <w:right w:val="nil"/>
            </w:tcBorders>
            <w:shd w:val="clear" w:color="000000" w:fill="FFFFFF"/>
            <w:noWrap/>
            <w:vAlign w:val="bottom"/>
            <w:hideMark/>
          </w:tcPr>
          <w:p w14:paraId="02A04F59" w14:textId="77777777" w:rsidR="006D3729" w:rsidRPr="00E14060" w:rsidRDefault="006D3729" w:rsidP="006D3729">
            <w:pPr>
              <w:rPr>
                <w:sz w:val="22"/>
                <w:szCs w:val="22"/>
                <w:lang w:val="en-GB"/>
              </w:rPr>
            </w:pPr>
            <w:r w:rsidRPr="00E14060">
              <w:rPr>
                <w:sz w:val="22"/>
                <w:szCs w:val="22"/>
                <w:lang w:val="en-GB"/>
              </w:rPr>
              <w:t> </w:t>
            </w:r>
          </w:p>
        </w:tc>
        <w:tc>
          <w:tcPr>
            <w:tcW w:w="850" w:type="dxa"/>
            <w:tcBorders>
              <w:top w:val="nil"/>
              <w:left w:val="nil"/>
              <w:bottom w:val="single" w:sz="4" w:space="0" w:color="auto"/>
              <w:right w:val="nil"/>
            </w:tcBorders>
            <w:shd w:val="clear" w:color="000000" w:fill="FFFFFF"/>
            <w:noWrap/>
            <w:vAlign w:val="bottom"/>
            <w:hideMark/>
          </w:tcPr>
          <w:p w14:paraId="5B10B41D" w14:textId="77777777" w:rsidR="006D3729" w:rsidRPr="00E14060" w:rsidRDefault="006D3729" w:rsidP="006D3729">
            <w:pPr>
              <w:rPr>
                <w:sz w:val="22"/>
                <w:szCs w:val="22"/>
                <w:lang w:val="en-GB"/>
              </w:rPr>
            </w:pPr>
            <w:r w:rsidRPr="00E14060">
              <w:rPr>
                <w:sz w:val="22"/>
                <w:szCs w:val="22"/>
                <w:lang w:val="en-GB"/>
              </w:rPr>
              <w:t> </w:t>
            </w:r>
          </w:p>
        </w:tc>
        <w:tc>
          <w:tcPr>
            <w:tcW w:w="850" w:type="dxa"/>
            <w:tcBorders>
              <w:top w:val="nil"/>
              <w:left w:val="nil"/>
              <w:bottom w:val="single" w:sz="4" w:space="0" w:color="auto"/>
              <w:right w:val="nil"/>
            </w:tcBorders>
            <w:shd w:val="clear" w:color="000000" w:fill="FFFFFF"/>
            <w:noWrap/>
            <w:vAlign w:val="bottom"/>
            <w:hideMark/>
          </w:tcPr>
          <w:p w14:paraId="2ADAB1E0" w14:textId="77777777" w:rsidR="006D3729" w:rsidRPr="00E14060" w:rsidRDefault="006D3729" w:rsidP="006D3729">
            <w:pPr>
              <w:rPr>
                <w:sz w:val="22"/>
                <w:szCs w:val="22"/>
                <w:lang w:val="en-GB"/>
              </w:rPr>
            </w:pPr>
            <w:r w:rsidRPr="00E14060">
              <w:rPr>
                <w:sz w:val="22"/>
                <w:szCs w:val="22"/>
                <w:lang w:val="en-GB"/>
              </w:rPr>
              <w:t> </w:t>
            </w:r>
          </w:p>
        </w:tc>
        <w:tc>
          <w:tcPr>
            <w:tcW w:w="850" w:type="dxa"/>
            <w:tcBorders>
              <w:top w:val="nil"/>
              <w:left w:val="nil"/>
              <w:bottom w:val="single" w:sz="4" w:space="0" w:color="auto"/>
              <w:right w:val="nil"/>
            </w:tcBorders>
            <w:shd w:val="clear" w:color="000000" w:fill="FFFFFF"/>
            <w:noWrap/>
            <w:vAlign w:val="bottom"/>
            <w:hideMark/>
          </w:tcPr>
          <w:p w14:paraId="22E6BA17" w14:textId="77777777" w:rsidR="006D3729" w:rsidRPr="00E14060" w:rsidRDefault="006D3729" w:rsidP="006D3729">
            <w:pPr>
              <w:rPr>
                <w:sz w:val="22"/>
                <w:szCs w:val="22"/>
                <w:lang w:val="en-GB"/>
              </w:rPr>
            </w:pPr>
            <w:r w:rsidRPr="00E14060">
              <w:rPr>
                <w:sz w:val="22"/>
                <w:szCs w:val="22"/>
                <w:lang w:val="en-GB"/>
              </w:rPr>
              <w:t> </w:t>
            </w:r>
          </w:p>
        </w:tc>
      </w:tr>
      <w:tr w:rsidR="006D3729" w:rsidRPr="00E14060" w14:paraId="2AE60D2B" w14:textId="77777777" w:rsidTr="008C602E">
        <w:trPr>
          <w:trHeight w:val="300"/>
        </w:trPr>
        <w:tc>
          <w:tcPr>
            <w:tcW w:w="601" w:type="dxa"/>
            <w:tcBorders>
              <w:top w:val="nil"/>
              <w:left w:val="nil"/>
              <w:bottom w:val="nil"/>
              <w:right w:val="nil"/>
            </w:tcBorders>
            <w:shd w:val="clear" w:color="000000" w:fill="76933C"/>
            <w:noWrap/>
            <w:vAlign w:val="bottom"/>
            <w:hideMark/>
          </w:tcPr>
          <w:p w14:paraId="5BE52253" w14:textId="77777777" w:rsidR="006D3729" w:rsidRPr="00E14060" w:rsidRDefault="006D3729" w:rsidP="000D7285">
            <w:pPr>
              <w:jc w:val="right"/>
              <w:rPr>
                <w:sz w:val="22"/>
                <w:szCs w:val="22"/>
                <w:lang w:val="en-GB"/>
              </w:rPr>
            </w:pPr>
            <w:r w:rsidRPr="00E14060">
              <w:rPr>
                <w:sz w:val="22"/>
                <w:szCs w:val="22"/>
                <w:lang w:val="en-GB"/>
              </w:rPr>
              <w:t>1</w:t>
            </w:r>
          </w:p>
        </w:tc>
        <w:tc>
          <w:tcPr>
            <w:tcW w:w="6209" w:type="dxa"/>
            <w:gridSpan w:val="9"/>
            <w:tcBorders>
              <w:top w:val="nil"/>
              <w:left w:val="nil"/>
              <w:bottom w:val="nil"/>
              <w:right w:val="nil"/>
            </w:tcBorders>
            <w:shd w:val="clear" w:color="000000" w:fill="76933C"/>
            <w:noWrap/>
            <w:vAlign w:val="bottom"/>
            <w:hideMark/>
          </w:tcPr>
          <w:p w14:paraId="0062A1BF" w14:textId="77777777" w:rsidR="006D3729" w:rsidRPr="00E14060" w:rsidRDefault="006D3729" w:rsidP="006D3729">
            <w:pPr>
              <w:rPr>
                <w:sz w:val="22"/>
                <w:szCs w:val="22"/>
                <w:lang w:val="en-GB"/>
              </w:rPr>
            </w:pPr>
            <w:r w:rsidRPr="00E14060">
              <w:rPr>
                <w:sz w:val="22"/>
                <w:szCs w:val="22"/>
                <w:lang w:val="en-GB"/>
              </w:rPr>
              <w:t>Duplicate publication or non-primary publication for trial</w:t>
            </w:r>
          </w:p>
        </w:tc>
        <w:tc>
          <w:tcPr>
            <w:tcW w:w="850" w:type="dxa"/>
            <w:tcBorders>
              <w:top w:val="nil"/>
              <w:left w:val="nil"/>
              <w:bottom w:val="nil"/>
              <w:right w:val="nil"/>
            </w:tcBorders>
            <w:shd w:val="clear" w:color="000000" w:fill="76933C"/>
            <w:noWrap/>
            <w:vAlign w:val="bottom"/>
            <w:hideMark/>
          </w:tcPr>
          <w:p w14:paraId="62E3DCD3" w14:textId="77777777" w:rsidR="006D3729" w:rsidRPr="00E14060" w:rsidRDefault="006D3729" w:rsidP="006D3729">
            <w:pPr>
              <w:rPr>
                <w:sz w:val="22"/>
                <w:szCs w:val="22"/>
                <w:lang w:val="en-GB"/>
              </w:rPr>
            </w:pPr>
            <w:r w:rsidRPr="00E14060">
              <w:rPr>
                <w:sz w:val="22"/>
                <w:szCs w:val="22"/>
                <w:lang w:val="en-GB"/>
              </w:rPr>
              <w:t> </w:t>
            </w:r>
          </w:p>
        </w:tc>
        <w:tc>
          <w:tcPr>
            <w:tcW w:w="850" w:type="dxa"/>
            <w:tcBorders>
              <w:top w:val="nil"/>
              <w:left w:val="nil"/>
              <w:bottom w:val="nil"/>
              <w:right w:val="nil"/>
            </w:tcBorders>
            <w:shd w:val="clear" w:color="000000" w:fill="76933C"/>
            <w:noWrap/>
            <w:vAlign w:val="bottom"/>
            <w:hideMark/>
          </w:tcPr>
          <w:p w14:paraId="5A9B6C95" w14:textId="77777777" w:rsidR="006D3729" w:rsidRPr="00E14060" w:rsidRDefault="006D3729" w:rsidP="006D3729">
            <w:pPr>
              <w:rPr>
                <w:sz w:val="22"/>
                <w:szCs w:val="22"/>
                <w:lang w:val="en-GB"/>
              </w:rPr>
            </w:pPr>
            <w:r w:rsidRPr="00E14060">
              <w:rPr>
                <w:sz w:val="22"/>
                <w:szCs w:val="22"/>
                <w:lang w:val="en-GB"/>
              </w:rPr>
              <w:t> </w:t>
            </w:r>
          </w:p>
        </w:tc>
        <w:tc>
          <w:tcPr>
            <w:tcW w:w="850" w:type="dxa"/>
            <w:tcBorders>
              <w:top w:val="nil"/>
              <w:left w:val="nil"/>
              <w:bottom w:val="nil"/>
              <w:right w:val="nil"/>
            </w:tcBorders>
            <w:shd w:val="clear" w:color="000000" w:fill="76933C"/>
            <w:noWrap/>
            <w:vAlign w:val="bottom"/>
            <w:hideMark/>
          </w:tcPr>
          <w:p w14:paraId="17A187DE" w14:textId="77777777" w:rsidR="006D3729" w:rsidRPr="00E14060" w:rsidRDefault="006D3729" w:rsidP="006D3729">
            <w:pPr>
              <w:rPr>
                <w:sz w:val="22"/>
                <w:szCs w:val="22"/>
                <w:lang w:val="en-GB"/>
              </w:rPr>
            </w:pPr>
            <w:r w:rsidRPr="00E14060">
              <w:rPr>
                <w:sz w:val="22"/>
                <w:szCs w:val="22"/>
                <w:lang w:val="en-GB"/>
              </w:rPr>
              <w:t> </w:t>
            </w:r>
          </w:p>
        </w:tc>
      </w:tr>
      <w:tr w:rsidR="006D3729" w:rsidRPr="00E14060" w14:paraId="23DF7619" w14:textId="77777777" w:rsidTr="008C602E">
        <w:trPr>
          <w:trHeight w:val="300"/>
        </w:trPr>
        <w:tc>
          <w:tcPr>
            <w:tcW w:w="601" w:type="dxa"/>
            <w:tcBorders>
              <w:top w:val="nil"/>
              <w:left w:val="nil"/>
              <w:bottom w:val="nil"/>
              <w:right w:val="nil"/>
            </w:tcBorders>
            <w:shd w:val="clear" w:color="000000" w:fill="76933C"/>
            <w:noWrap/>
            <w:vAlign w:val="bottom"/>
            <w:hideMark/>
          </w:tcPr>
          <w:p w14:paraId="5693E2F7" w14:textId="77777777" w:rsidR="006D3729" w:rsidRPr="00E14060" w:rsidRDefault="006D3729" w:rsidP="000D7285">
            <w:pPr>
              <w:jc w:val="right"/>
              <w:rPr>
                <w:sz w:val="22"/>
                <w:szCs w:val="22"/>
                <w:lang w:val="en-GB"/>
              </w:rPr>
            </w:pPr>
            <w:r w:rsidRPr="00E14060">
              <w:rPr>
                <w:sz w:val="22"/>
                <w:szCs w:val="22"/>
                <w:lang w:val="en-GB"/>
              </w:rPr>
              <w:t>2</w:t>
            </w:r>
          </w:p>
        </w:tc>
        <w:tc>
          <w:tcPr>
            <w:tcW w:w="7059" w:type="dxa"/>
            <w:gridSpan w:val="10"/>
            <w:tcBorders>
              <w:top w:val="nil"/>
              <w:left w:val="nil"/>
              <w:bottom w:val="nil"/>
              <w:right w:val="nil"/>
            </w:tcBorders>
            <w:shd w:val="clear" w:color="000000" w:fill="76933C"/>
            <w:noWrap/>
            <w:vAlign w:val="bottom"/>
            <w:hideMark/>
          </w:tcPr>
          <w:p w14:paraId="02770E5A" w14:textId="77777777" w:rsidR="006D3729" w:rsidRPr="00E14060" w:rsidRDefault="006D3729" w:rsidP="006D3729">
            <w:pPr>
              <w:rPr>
                <w:sz w:val="22"/>
                <w:szCs w:val="22"/>
                <w:lang w:val="en-GB"/>
              </w:rPr>
            </w:pPr>
            <w:r w:rsidRPr="00E14060">
              <w:rPr>
                <w:sz w:val="22"/>
                <w:szCs w:val="22"/>
                <w:lang w:val="en-GB"/>
              </w:rPr>
              <w:t>Trial population has ADHD + a comorbid condition, e.g., substance abuse</w:t>
            </w:r>
          </w:p>
        </w:tc>
        <w:tc>
          <w:tcPr>
            <w:tcW w:w="850" w:type="dxa"/>
            <w:tcBorders>
              <w:top w:val="nil"/>
              <w:left w:val="nil"/>
              <w:bottom w:val="nil"/>
              <w:right w:val="nil"/>
            </w:tcBorders>
            <w:shd w:val="clear" w:color="000000" w:fill="76933C"/>
            <w:noWrap/>
            <w:vAlign w:val="bottom"/>
            <w:hideMark/>
          </w:tcPr>
          <w:p w14:paraId="2C6E4666" w14:textId="77777777" w:rsidR="006D3729" w:rsidRPr="00E14060" w:rsidRDefault="006D3729" w:rsidP="006D3729">
            <w:pPr>
              <w:rPr>
                <w:sz w:val="22"/>
                <w:szCs w:val="22"/>
                <w:lang w:val="en-GB"/>
              </w:rPr>
            </w:pPr>
            <w:r w:rsidRPr="00E14060">
              <w:rPr>
                <w:sz w:val="22"/>
                <w:szCs w:val="22"/>
                <w:lang w:val="en-GB"/>
              </w:rPr>
              <w:t> </w:t>
            </w:r>
          </w:p>
        </w:tc>
        <w:tc>
          <w:tcPr>
            <w:tcW w:w="850" w:type="dxa"/>
            <w:tcBorders>
              <w:top w:val="nil"/>
              <w:left w:val="nil"/>
              <w:bottom w:val="nil"/>
              <w:right w:val="nil"/>
            </w:tcBorders>
            <w:shd w:val="clear" w:color="000000" w:fill="76933C"/>
            <w:noWrap/>
            <w:vAlign w:val="bottom"/>
            <w:hideMark/>
          </w:tcPr>
          <w:p w14:paraId="1D8F7746" w14:textId="77777777" w:rsidR="006D3729" w:rsidRPr="00E14060" w:rsidRDefault="006D3729" w:rsidP="006D3729">
            <w:pPr>
              <w:rPr>
                <w:sz w:val="22"/>
                <w:szCs w:val="22"/>
                <w:lang w:val="en-GB"/>
              </w:rPr>
            </w:pPr>
            <w:r w:rsidRPr="00E14060">
              <w:rPr>
                <w:sz w:val="22"/>
                <w:szCs w:val="22"/>
                <w:lang w:val="en-GB"/>
              </w:rPr>
              <w:t> </w:t>
            </w:r>
          </w:p>
        </w:tc>
      </w:tr>
      <w:tr w:rsidR="006D3729" w:rsidRPr="00E14060" w14:paraId="39E47CFB" w14:textId="77777777" w:rsidTr="008C602E">
        <w:trPr>
          <w:trHeight w:val="300"/>
        </w:trPr>
        <w:tc>
          <w:tcPr>
            <w:tcW w:w="601" w:type="dxa"/>
            <w:tcBorders>
              <w:top w:val="nil"/>
              <w:left w:val="nil"/>
              <w:bottom w:val="nil"/>
              <w:right w:val="nil"/>
            </w:tcBorders>
            <w:shd w:val="clear" w:color="000000" w:fill="76933C"/>
            <w:noWrap/>
            <w:vAlign w:val="bottom"/>
            <w:hideMark/>
          </w:tcPr>
          <w:p w14:paraId="4EC2635D" w14:textId="77777777" w:rsidR="006D3729" w:rsidRPr="00E14060" w:rsidRDefault="006D3729" w:rsidP="000D7285">
            <w:pPr>
              <w:jc w:val="right"/>
              <w:rPr>
                <w:sz w:val="22"/>
                <w:szCs w:val="22"/>
                <w:lang w:val="en-GB"/>
              </w:rPr>
            </w:pPr>
            <w:r w:rsidRPr="00E14060">
              <w:rPr>
                <w:sz w:val="22"/>
                <w:szCs w:val="22"/>
                <w:lang w:val="en-GB"/>
              </w:rPr>
              <w:t>3</w:t>
            </w:r>
          </w:p>
        </w:tc>
        <w:tc>
          <w:tcPr>
            <w:tcW w:w="5174" w:type="dxa"/>
            <w:gridSpan w:val="8"/>
            <w:tcBorders>
              <w:top w:val="nil"/>
              <w:left w:val="nil"/>
              <w:bottom w:val="nil"/>
              <w:right w:val="nil"/>
            </w:tcBorders>
            <w:shd w:val="clear" w:color="000000" w:fill="76933C"/>
            <w:noWrap/>
            <w:vAlign w:val="bottom"/>
            <w:hideMark/>
          </w:tcPr>
          <w:p w14:paraId="126ACF2A" w14:textId="77777777" w:rsidR="006D3729" w:rsidRPr="00E14060" w:rsidRDefault="006D3729" w:rsidP="006D3729">
            <w:pPr>
              <w:rPr>
                <w:sz w:val="22"/>
                <w:szCs w:val="22"/>
                <w:lang w:val="en-GB"/>
              </w:rPr>
            </w:pPr>
            <w:r w:rsidRPr="00E14060">
              <w:rPr>
                <w:sz w:val="22"/>
                <w:szCs w:val="22"/>
                <w:lang w:val="en-GB"/>
              </w:rPr>
              <w:t xml:space="preserve">Trial study length is </w:t>
            </w:r>
            <w:r w:rsidRPr="00E14060">
              <w:rPr>
                <w:rFonts w:ascii="Calibri" w:hAnsi="Calibri"/>
                <w:sz w:val="22"/>
                <w:szCs w:val="22"/>
                <w:lang w:val="en-GB"/>
              </w:rPr>
              <w:t>≤</w:t>
            </w:r>
            <w:r w:rsidRPr="00E14060">
              <w:rPr>
                <w:sz w:val="22"/>
                <w:szCs w:val="22"/>
                <w:lang w:val="en-GB"/>
              </w:rPr>
              <w:t xml:space="preserve"> 3 weeks or </w:t>
            </w:r>
            <w:r w:rsidRPr="00E14060">
              <w:rPr>
                <w:rFonts w:ascii="Calibri" w:hAnsi="Calibri"/>
                <w:sz w:val="22"/>
                <w:szCs w:val="22"/>
                <w:lang w:val="en-GB"/>
              </w:rPr>
              <w:t>≥</w:t>
            </w:r>
            <w:r w:rsidRPr="00E14060">
              <w:rPr>
                <w:sz w:val="22"/>
                <w:szCs w:val="22"/>
                <w:lang w:val="en-GB"/>
              </w:rPr>
              <w:t xml:space="preserve"> 6 months</w:t>
            </w:r>
          </w:p>
        </w:tc>
        <w:tc>
          <w:tcPr>
            <w:tcW w:w="1035" w:type="dxa"/>
            <w:tcBorders>
              <w:top w:val="nil"/>
              <w:left w:val="nil"/>
              <w:bottom w:val="nil"/>
              <w:right w:val="nil"/>
            </w:tcBorders>
            <w:shd w:val="clear" w:color="000000" w:fill="76933C"/>
            <w:noWrap/>
            <w:vAlign w:val="bottom"/>
            <w:hideMark/>
          </w:tcPr>
          <w:p w14:paraId="269A32B6" w14:textId="77777777" w:rsidR="006D3729" w:rsidRPr="00E14060" w:rsidRDefault="006D3729" w:rsidP="006D3729">
            <w:pPr>
              <w:rPr>
                <w:sz w:val="22"/>
                <w:szCs w:val="22"/>
                <w:lang w:val="en-GB"/>
              </w:rPr>
            </w:pPr>
            <w:r w:rsidRPr="00E14060">
              <w:rPr>
                <w:sz w:val="22"/>
                <w:szCs w:val="22"/>
                <w:lang w:val="en-GB"/>
              </w:rPr>
              <w:t> </w:t>
            </w:r>
          </w:p>
        </w:tc>
        <w:tc>
          <w:tcPr>
            <w:tcW w:w="850" w:type="dxa"/>
            <w:tcBorders>
              <w:top w:val="nil"/>
              <w:left w:val="nil"/>
              <w:bottom w:val="nil"/>
              <w:right w:val="nil"/>
            </w:tcBorders>
            <w:shd w:val="clear" w:color="000000" w:fill="76933C"/>
            <w:noWrap/>
            <w:vAlign w:val="bottom"/>
            <w:hideMark/>
          </w:tcPr>
          <w:p w14:paraId="0498294B" w14:textId="77777777" w:rsidR="006D3729" w:rsidRPr="00E14060" w:rsidRDefault="006D3729" w:rsidP="006D3729">
            <w:pPr>
              <w:rPr>
                <w:sz w:val="22"/>
                <w:szCs w:val="22"/>
                <w:lang w:val="en-GB"/>
              </w:rPr>
            </w:pPr>
            <w:r w:rsidRPr="00E14060">
              <w:rPr>
                <w:sz w:val="22"/>
                <w:szCs w:val="22"/>
                <w:lang w:val="en-GB"/>
              </w:rPr>
              <w:t> </w:t>
            </w:r>
          </w:p>
        </w:tc>
        <w:tc>
          <w:tcPr>
            <w:tcW w:w="850" w:type="dxa"/>
            <w:tcBorders>
              <w:top w:val="nil"/>
              <w:left w:val="nil"/>
              <w:bottom w:val="nil"/>
              <w:right w:val="nil"/>
            </w:tcBorders>
            <w:shd w:val="clear" w:color="000000" w:fill="76933C"/>
            <w:noWrap/>
            <w:vAlign w:val="bottom"/>
            <w:hideMark/>
          </w:tcPr>
          <w:p w14:paraId="5C74C60F" w14:textId="77777777" w:rsidR="006D3729" w:rsidRPr="00E14060" w:rsidRDefault="006D3729" w:rsidP="006D3729">
            <w:pPr>
              <w:rPr>
                <w:sz w:val="22"/>
                <w:szCs w:val="22"/>
                <w:lang w:val="en-GB"/>
              </w:rPr>
            </w:pPr>
            <w:r w:rsidRPr="00E14060">
              <w:rPr>
                <w:sz w:val="22"/>
                <w:szCs w:val="22"/>
                <w:lang w:val="en-GB"/>
              </w:rPr>
              <w:t> </w:t>
            </w:r>
          </w:p>
        </w:tc>
        <w:tc>
          <w:tcPr>
            <w:tcW w:w="850" w:type="dxa"/>
            <w:tcBorders>
              <w:top w:val="nil"/>
              <w:left w:val="nil"/>
              <w:bottom w:val="nil"/>
              <w:right w:val="nil"/>
            </w:tcBorders>
            <w:shd w:val="clear" w:color="000000" w:fill="76933C"/>
            <w:noWrap/>
            <w:vAlign w:val="bottom"/>
            <w:hideMark/>
          </w:tcPr>
          <w:p w14:paraId="06DF26E9" w14:textId="77777777" w:rsidR="006D3729" w:rsidRPr="00E14060" w:rsidRDefault="006D3729" w:rsidP="006D3729">
            <w:pPr>
              <w:rPr>
                <w:sz w:val="22"/>
                <w:szCs w:val="22"/>
                <w:lang w:val="en-GB"/>
              </w:rPr>
            </w:pPr>
            <w:r w:rsidRPr="00E14060">
              <w:rPr>
                <w:sz w:val="22"/>
                <w:szCs w:val="22"/>
                <w:lang w:val="en-GB"/>
              </w:rPr>
              <w:t> </w:t>
            </w:r>
          </w:p>
        </w:tc>
      </w:tr>
      <w:tr w:rsidR="006D3729" w:rsidRPr="00E14060" w14:paraId="63BB0DD4" w14:textId="77777777" w:rsidTr="008C602E">
        <w:trPr>
          <w:trHeight w:val="1017"/>
        </w:trPr>
        <w:tc>
          <w:tcPr>
            <w:tcW w:w="601" w:type="dxa"/>
            <w:tcBorders>
              <w:top w:val="nil"/>
              <w:left w:val="nil"/>
              <w:bottom w:val="nil"/>
              <w:right w:val="nil"/>
            </w:tcBorders>
            <w:shd w:val="clear" w:color="000000" w:fill="76933C"/>
            <w:noWrap/>
            <w:vAlign w:val="bottom"/>
            <w:hideMark/>
          </w:tcPr>
          <w:p w14:paraId="0D9B75D7" w14:textId="77777777" w:rsidR="006D3729" w:rsidRPr="00E14060" w:rsidRDefault="006D3729" w:rsidP="000D7285">
            <w:pPr>
              <w:jc w:val="right"/>
              <w:rPr>
                <w:sz w:val="22"/>
                <w:szCs w:val="22"/>
                <w:lang w:val="en-GB"/>
              </w:rPr>
            </w:pPr>
            <w:r w:rsidRPr="00E14060">
              <w:rPr>
                <w:sz w:val="22"/>
                <w:szCs w:val="22"/>
                <w:lang w:val="en-GB"/>
              </w:rPr>
              <w:t>4</w:t>
            </w:r>
          </w:p>
        </w:tc>
        <w:tc>
          <w:tcPr>
            <w:tcW w:w="8759" w:type="dxa"/>
            <w:gridSpan w:val="12"/>
            <w:tcBorders>
              <w:top w:val="nil"/>
              <w:left w:val="nil"/>
              <w:bottom w:val="nil"/>
              <w:right w:val="nil"/>
            </w:tcBorders>
            <w:shd w:val="clear" w:color="000000" w:fill="76933C"/>
            <w:hideMark/>
          </w:tcPr>
          <w:p w14:paraId="2004659D" w14:textId="77777777" w:rsidR="006D3729" w:rsidRPr="00E14060" w:rsidRDefault="006D3729" w:rsidP="006D3729">
            <w:pPr>
              <w:rPr>
                <w:sz w:val="22"/>
                <w:szCs w:val="22"/>
                <w:lang w:val="en-GB"/>
              </w:rPr>
            </w:pPr>
            <w:r w:rsidRPr="00E14060">
              <w:rPr>
                <w:sz w:val="22"/>
                <w:szCs w:val="22"/>
                <w:lang w:val="en-GB"/>
              </w:rPr>
              <w:t>Study drug is amphetamine (AMPH), dexamphetamine (d-AMPH), or MPH Modified Release Long Acting (MPH-LA), all arms were given the same study drug (e.g., comparison of dosing schedules), or treatments in the RCT were not connected to LDX in a network either directly or indirectly through common comparators</w:t>
            </w:r>
          </w:p>
        </w:tc>
      </w:tr>
      <w:tr w:rsidR="006D3729" w:rsidRPr="00E14060" w14:paraId="2BC4B4D3" w14:textId="77777777" w:rsidTr="008C602E">
        <w:trPr>
          <w:trHeight w:val="300"/>
        </w:trPr>
        <w:tc>
          <w:tcPr>
            <w:tcW w:w="601" w:type="dxa"/>
            <w:tcBorders>
              <w:top w:val="nil"/>
              <w:left w:val="nil"/>
              <w:bottom w:val="nil"/>
              <w:right w:val="nil"/>
            </w:tcBorders>
            <w:shd w:val="clear" w:color="000000" w:fill="76933C"/>
            <w:noWrap/>
            <w:vAlign w:val="bottom"/>
            <w:hideMark/>
          </w:tcPr>
          <w:p w14:paraId="1A0E5708" w14:textId="77777777" w:rsidR="006D3729" w:rsidRPr="00E14060" w:rsidRDefault="006D3729" w:rsidP="000D7285">
            <w:pPr>
              <w:jc w:val="right"/>
              <w:rPr>
                <w:sz w:val="22"/>
                <w:szCs w:val="22"/>
                <w:lang w:val="en-GB"/>
              </w:rPr>
            </w:pPr>
            <w:r w:rsidRPr="00E14060">
              <w:rPr>
                <w:sz w:val="22"/>
                <w:szCs w:val="22"/>
                <w:lang w:val="en-GB"/>
              </w:rPr>
              <w:t>5</w:t>
            </w:r>
          </w:p>
        </w:tc>
        <w:tc>
          <w:tcPr>
            <w:tcW w:w="5174" w:type="dxa"/>
            <w:gridSpan w:val="8"/>
            <w:tcBorders>
              <w:top w:val="nil"/>
              <w:left w:val="nil"/>
              <w:bottom w:val="nil"/>
              <w:right w:val="nil"/>
            </w:tcBorders>
            <w:shd w:val="clear" w:color="000000" w:fill="76933C"/>
            <w:noWrap/>
            <w:vAlign w:val="bottom"/>
            <w:hideMark/>
          </w:tcPr>
          <w:p w14:paraId="332D9FA7" w14:textId="77777777" w:rsidR="006D3729" w:rsidRPr="00E14060" w:rsidRDefault="006D3729" w:rsidP="006D3729">
            <w:pPr>
              <w:rPr>
                <w:sz w:val="22"/>
                <w:szCs w:val="22"/>
                <w:lang w:val="en-GB"/>
              </w:rPr>
            </w:pPr>
            <w:r w:rsidRPr="00E14060">
              <w:rPr>
                <w:sz w:val="22"/>
                <w:szCs w:val="22"/>
                <w:lang w:val="en-GB"/>
              </w:rPr>
              <w:t>Study is a crossover trial without interim results</w:t>
            </w:r>
          </w:p>
        </w:tc>
        <w:tc>
          <w:tcPr>
            <w:tcW w:w="1035" w:type="dxa"/>
            <w:tcBorders>
              <w:top w:val="nil"/>
              <w:left w:val="nil"/>
              <w:bottom w:val="nil"/>
              <w:right w:val="nil"/>
            </w:tcBorders>
            <w:shd w:val="clear" w:color="000000" w:fill="76933C"/>
            <w:noWrap/>
            <w:vAlign w:val="bottom"/>
            <w:hideMark/>
          </w:tcPr>
          <w:p w14:paraId="7852AA06" w14:textId="77777777" w:rsidR="006D3729" w:rsidRPr="00E14060" w:rsidRDefault="006D3729" w:rsidP="006D3729">
            <w:pPr>
              <w:rPr>
                <w:sz w:val="22"/>
                <w:szCs w:val="22"/>
                <w:lang w:val="en-GB"/>
              </w:rPr>
            </w:pPr>
            <w:r w:rsidRPr="00E14060">
              <w:rPr>
                <w:sz w:val="22"/>
                <w:szCs w:val="22"/>
                <w:lang w:val="en-GB"/>
              </w:rPr>
              <w:t> </w:t>
            </w:r>
          </w:p>
        </w:tc>
        <w:tc>
          <w:tcPr>
            <w:tcW w:w="850" w:type="dxa"/>
            <w:tcBorders>
              <w:top w:val="nil"/>
              <w:left w:val="nil"/>
              <w:bottom w:val="nil"/>
              <w:right w:val="nil"/>
            </w:tcBorders>
            <w:shd w:val="clear" w:color="000000" w:fill="76933C"/>
            <w:noWrap/>
            <w:vAlign w:val="bottom"/>
            <w:hideMark/>
          </w:tcPr>
          <w:p w14:paraId="165198A6" w14:textId="77777777" w:rsidR="006D3729" w:rsidRPr="00E14060" w:rsidRDefault="006D3729" w:rsidP="006D3729">
            <w:pPr>
              <w:rPr>
                <w:sz w:val="22"/>
                <w:szCs w:val="22"/>
                <w:lang w:val="en-GB"/>
              </w:rPr>
            </w:pPr>
            <w:r w:rsidRPr="00E14060">
              <w:rPr>
                <w:sz w:val="22"/>
                <w:szCs w:val="22"/>
                <w:lang w:val="en-GB"/>
              </w:rPr>
              <w:t> </w:t>
            </w:r>
          </w:p>
        </w:tc>
        <w:tc>
          <w:tcPr>
            <w:tcW w:w="850" w:type="dxa"/>
            <w:tcBorders>
              <w:top w:val="nil"/>
              <w:left w:val="nil"/>
              <w:bottom w:val="nil"/>
              <w:right w:val="nil"/>
            </w:tcBorders>
            <w:shd w:val="clear" w:color="000000" w:fill="76933C"/>
            <w:noWrap/>
            <w:vAlign w:val="bottom"/>
            <w:hideMark/>
          </w:tcPr>
          <w:p w14:paraId="5359E482" w14:textId="77777777" w:rsidR="006D3729" w:rsidRPr="00E14060" w:rsidRDefault="006D3729" w:rsidP="006D3729">
            <w:pPr>
              <w:rPr>
                <w:sz w:val="22"/>
                <w:szCs w:val="22"/>
                <w:lang w:val="en-GB"/>
              </w:rPr>
            </w:pPr>
            <w:r w:rsidRPr="00E14060">
              <w:rPr>
                <w:sz w:val="22"/>
                <w:szCs w:val="22"/>
                <w:lang w:val="en-GB"/>
              </w:rPr>
              <w:t> </w:t>
            </w:r>
          </w:p>
        </w:tc>
        <w:tc>
          <w:tcPr>
            <w:tcW w:w="850" w:type="dxa"/>
            <w:tcBorders>
              <w:top w:val="nil"/>
              <w:left w:val="nil"/>
              <w:bottom w:val="nil"/>
              <w:right w:val="nil"/>
            </w:tcBorders>
            <w:shd w:val="clear" w:color="000000" w:fill="76933C"/>
            <w:noWrap/>
            <w:vAlign w:val="bottom"/>
            <w:hideMark/>
          </w:tcPr>
          <w:p w14:paraId="3AA01EA7" w14:textId="77777777" w:rsidR="006D3729" w:rsidRPr="00E14060" w:rsidRDefault="006D3729" w:rsidP="006D3729">
            <w:pPr>
              <w:rPr>
                <w:sz w:val="22"/>
                <w:szCs w:val="22"/>
                <w:lang w:val="en-GB"/>
              </w:rPr>
            </w:pPr>
            <w:r w:rsidRPr="00E14060">
              <w:rPr>
                <w:sz w:val="22"/>
                <w:szCs w:val="22"/>
                <w:lang w:val="en-GB"/>
              </w:rPr>
              <w:t> </w:t>
            </w:r>
          </w:p>
        </w:tc>
      </w:tr>
      <w:tr w:rsidR="006D3729" w:rsidRPr="00E14060" w14:paraId="47D773E5" w14:textId="77777777" w:rsidTr="008C602E">
        <w:trPr>
          <w:trHeight w:val="300"/>
        </w:trPr>
        <w:tc>
          <w:tcPr>
            <w:tcW w:w="601" w:type="dxa"/>
            <w:tcBorders>
              <w:top w:val="nil"/>
              <w:left w:val="nil"/>
              <w:bottom w:val="nil"/>
              <w:right w:val="nil"/>
            </w:tcBorders>
            <w:shd w:val="clear" w:color="000000" w:fill="76933C"/>
            <w:noWrap/>
            <w:vAlign w:val="bottom"/>
            <w:hideMark/>
          </w:tcPr>
          <w:p w14:paraId="3459D96C" w14:textId="77777777" w:rsidR="006D3729" w:rsidRPr="00E14060" w:rsidRDefault="006D3729" w:rsidP="000D7285">
            <w:pPr>
              <w:jc w:val="right"/>
              <w:rPr>
                <w:sz w:val="22"/>
                <w:szCs w:val="22"/>
                <w:lang w:val="en-GB"/>
              </w:rPr>
            </w:pPr>
            <w:r w:rsidRPr="00E14060">
              <w:rPr>
                <w:sz w:val="22"/>
                <w:szCs w:val="22"/>
                <w:lang w:val="en-GB"/>
              </w:rPr>
              <w:t>6</w:t>
            </w:r>
          </w:p>
        </w:tc>
        <w:tc>
          <w:tcPr>
            <w:tcW w:w="4139" w:type="dxa"/>
            <w:gridSpan w:val="7"/>
            <w:tcBorders>
              <w:top w:val="nil"/>
              <w:left w:val="nil"/>
              <w:bottom w:val="nil"/>
              <w:right w:val="nil"/>
            </w:tcBorders>
            <w:shd w:val="clear" w:color="000000" w:fill="76933C"/>
            <w:noWrap/>
            <w:vAlign w:val="bottom"/>
            <w:hideMark/>
          </w:tcPr>
          <w:p w14:paraId="75F6C4BF" w14:textId="77777777" w:rsidR="006D3729" w:rsidRPr="00E14060" w:rsidRDefault="006D3729" w:rsidP="006D3729">
            <w:pPr>
              <w:rPr>
                <w:sz w:val="22"/>
                <w:szCs w:val="22"/>
                <w:lang w:val="en-GB"/>
              </w:rPr>
            </w:pPr>
            <w:r w:rsidRPr="00E14060">
              <w:rPr>
                <w:sz w:val="22"/>
                <w:szCs w:val="22"/>
                <w:lang w:val="en-GB"/>
              </w:rPr>
              <w:t>Low sample size (N ≤15 for any arm)</w:t>
            </w:r>
          </w:p>
        </w:tc>
        <w:tc>
          <w:tcPr>
            <w:tcW w:w="1035" w:type="dxa"/>
            <w:tcBorders>
              <w:top w:val="nil"/>
              <w:left w:val="nil"/>
              <w:bottom w:val="nil"/>
              <w:right w:val="nil"/>
            </w:tcBorders>
            <w:shd w:val="clear" w:color="000000" w:fill="76933C"/>
            <w:noWrap/>
            <w:vAlign w:val="bottom"/>
            <w:hideMark/>
          </w:tcPr>
          <w:p w14:paraId="16E6BC4A" w14:textId="77777777" w:rsidR="006D3729" w:rsidRPr="00E14060" w:rsidRDefault="006D3729" w:rsidP="006D3729">
            <w:pPr>
              <w:rPr>
                <w:sz w:val="22"/>
                <w:szCs w:val="22"/>
                <w:lang w:val="en-GB"/>
              </w:rPr>
            </w:pPr>
            <w:r w:rsidRPr="00E14060">
              <w:rPr>
                <w:sz w:val="22"/>
                <w:szCs w:val="22"/>
                <w:lang w:val="en-GB"/>
              </w:rPr>
              <w:t> </w:t>
            </w:r>
          </w:p>
        </w:tc>
        <w:tc>
          <w:tcPr>
            <w:tcW w:w="1035" w:type="dxa"/>
            <w:tcBorders>
              <w:top w:val="nil"/>
              <w:left w:val="nil"/>
              <w:bottom w:val="nil"/>
              <w:right w:val="nil"/>
            </w:tcBorders>
            <w:shd w:val="clear" w:color="000000" w:fill="76933C"/>
            <w:noWrap/>
            <w:vAlign w:val="bottom"/>
            <w:hideMark/>
          </w:tcPr>
          <w:p w14:paraId="2CD221C0" w14:textId="77777777" w:rsidR="006D3729" w:rsidRPr="00E14060" w:rsidRDefault="006D3729" w:rsidP="006D3729">
            <w:pPr>
              <w:rPr>
                <w:sz w:val="22"/>
                <w:szCs w:val="22"/>
                <w:lang w:val="en-GB"/>
              </w:rPr>
            </w:pPr>
            <w:r w:rsidRPr="00E14060">
              <w:rPr>
                <w:sz w:val="22"/>
                <w:szCs w:val="22"/>
                <w:lang w:val="en-GB"/>
              </w:rPr>
              <w:t> </w:t>
            </w:r>
          </w:p>
        </w:tc>
        <w:tc>
          <w:tcPr>
            <w:tcW w:w="850" w:type="dxa"/>
            <w:tcBorders>
              <w:top w:val="nil"/>
              <w:left w:val="nil"/>
              <w:bottom w:val="nil"/>
              <w:right w:val="nil"/>
            </w:tcBorders>
            <w:shd w:val="clear" w:color="000000" w:fill="76933C"/>
            <w:noWrap/>
            <w:vAlign w:val="bottom"/>
            <w:hideMark/>
          </w:tcPr>
          <w:p w14:paraId="14658570" w14:textId="77777777" w:rsidR="006D3729" w:rsidRPr="00E14060" w:rsidRDefault="006D3729" w:rsidP="006D3729">
            <w:pPr>
              <w:rPr>
                <w:sz w:val="22"/>
                <w:szCs w:val="22"/>
                <w:lang w:val="en-GB"/>
              </w:rPr>
            </w:pPr>
            <w:r w:rsidRPr="00E14060">
              <w:rPr>
                <w:sz w:val="22"/>
                <w:szCs w:val="22"/>
                <w:lang w:val="en-GB"/>
              </w:rPr>
              <w:t> </w:t>
            </w:r>
          </w:p>
        </w:tc>
        <w:tc>
          <w:tcPr>
            <w:tcW w:w="850" w:type="dxa"/>
            <w:tcBorders>
              <w:top w:val="nil"/>
              <w:left w:val="nil"/>
              <w:bottom w:val="nil"/>
              <w:right w:val="nil"/>
            </w:tcBorders>
            <w:shd w:val="clear" w:color="000000" w:fill="76933C"/>
            <w:noWrap/>
            <w:vAlign w:val="bottom"/>
            <w:hideMark/>
          </w:tcPr>
          <w:p w14:paraId="15BCE67E" w14:textId="77777777" w:rsidR="006D3729" w:rsidRPr="00E14060" w:rsidRDefault="006D3729" w:rsidP="006D3729">
            <w:pPr>
              <w:rPr>
                <w:sz w:val="22"/>
                <w:szCs w:val="22"/>
                <w:lang w:val="en-GB"/>
              </w:rPr>
            </w:pPr>
            <w:r w:rsidRPr="00E14060">
              <w:rPr>
                <w:sz w:val="22"/>
                <w:szCs w:val="22"/>
                <w:lang w:val="en-GB"/>
              </w:rPr>
              <w:t> </w:t>
            </w:r>
          </w:p>
        </w:tc>
        <w:tc>
          <w:tcPr>
            <w:tcW w:w="850" w:type="dxa"/>
            <w:tcBorders>
              <w:top w:val="nil"/>
              <w:left w:val="nil"/>
              <w:bottom w:val="nil"/>
              <w:right w:val="nil"/>
            </w:tcBorders>
            <w:shd w:val="clear" w:color="000000" w:fill="76933C"/>
            <w:noWrap/>
            <w:vAlign w:val="bottom"/>
            <w:hideMark/>
          </w:tcPr>
          <w:p w14:paraId="0AE32A39" w14:textId="77777777" w:rsidR="006D3729" w:rsidRPr="00E14060" w:rsidRDefault="006D3729" w:rsidP="006D3729">
            <w:pPr>
              <w:rPr>
                <w:sz w:val="22"/>
                <w:szCs w:val="22"/>
                <w:lang w:val="en-GB"/>
              </w:rPr>
            </w:pPr>
            <w:r w:rsidRPr="00E14060">
              <w:rPr>
                <w:sz w:val="22"/>
                <w:szCs w:val="22"/>
                <w:lang w:val="en-GB"/>
              </w:rPr>
              <w:t> </w:t>
            </w:r>
          </w:p>
        </w:tc>
      </w:tr>
      <w:tr w:rsidR="006D3729" w:rsidRPr="00E14060" w14:paraId="44DDCF1D" w14:textId="77777777" w:rsidTr="006D3729">
        <w:trPr>
          <w:trHeight w:val="105"/>
        </w:trPr>
        <w:tc>
          <w:tcPr>
            <w:tcW w:w="601" w:type="dxa"/>
            <w:tcBorders>
              <w:top w:val="nil"/>
              <w:left w:val="nil"/>
              <w:bottom w:val="single" w:sz="4" w:space="0" w:color="auto"/>
              <w:right w:val="nil"/>
            </w:tcBorders>
            <w:shd w:val="clear" w:color="000000" w:fill="76933C"/>
            <w:noWrap/>
            <w:vAlign w:val="bottom"/>
            <w:hideMark/>
          </w:tcPr>
          <w:p w14:paraId="2F85F1F5" w14:textId="77777777" w:rsidR="006D3729" w:rsidRPr="00E14060" w:rsidRDefault="006D3729" w:rsidP="006D3729">
            <w:pPr>
              <w:rPr>
                <w:rFonts w:ascii="Calibri" w:hAnsi="Calibri"/>
                <w:sz w:val="22"/>
                <w:szCs w:val="22"/>
                <w:lang w:val="en-GB"/>
              </w:rPr>
            </w:pPr>
            <w:r w:rsidRPr="00E14060">
              <w:rPr>
                <w:rFonts w:ascii="Calibri" w:hAnsi="Calibri"/>
                <w:sz w:val="22"/>
                <w:szCs w:val="22"/>
                <w:lang w:val="en-GB"/>
              </w:rPr>
              <w:t> </w:t>
            </w:r>
          </w:p>
        </w:tc>
        <w:tc>
          <w:tcPr>
            <w:tcW w:w="1608" w:type="dxa"/>
            <w:tcBorders>
              <w:top w:val="nil"/>
              <w:left w:val="nil"/>
              <w:bottom w:val="single" w:sz="4" w:space="0" w:color="auto"/>
              <w:right w:val="nil"/>
            </w:tcBorders>
            <w:shd w:val="clear" w:color="000000" w:fill="76933C"/>
            <w:noWrap/>
            <w:vAlign w:val="bottom"/>
            <w:hideMark/>
          </w:tcPr>
          <w:p w14:paraId="40A00EB5" w14:textId="77777777" w:rsidR="006D3729" w:rsidRPr="00E14060" w:rsidRDefault="006D3729" w:rsidP="006D3729">
            <w:pPr>
              <w:rPr>
                <w:rFonts w:ascii="Calibri" w:hAnsi="Calibri"/>
                <w:sz w:val="22"/>
                <w:szCs w:val="22"/>
                <w:lang w:val="en-GB"/>
              </w:rPr>
            </w:pPr>
            <w:r w:rsidRPr="00E14060">
              <w:rPr>
                <w:rFonts w:ascii="Calibri" w:hAnsi="Calibri"/>
                <w:sz w:val="22"/>
                <w:szCs w:val="22"/>
                <w:lang w:val="en-GB"/>
              </w:rPr>
              <w:t> </w:t>
            </w:r>
          </w:p>
        </w:tc>
        <w:tc>
          <w:tcPr>
            <w:tcW w:w="748" w:type="dxa"/>
            <w:tcBorders>
              <w:top w:val="nil"/>
              <w:left w:val="nil"/>
              <w:bottom w:val="single" w:sz="4" w:space="0" w:color="auto"/>
              <w:right w:val="nil"/>
            </w:tcBorders>
            <w:shd w:val="clear" w:color="000000" w:fill="76933C"/>
            <w:noWrap/>
            <w:vAlign w:val="bottom"/>
            <w:hideMark/>
          </w:tcPr>
          <w:p w14:paraId="57611343" w14:textId="77777777" w:rsidR="006D3729" w:rsidRPr="00E14060" w:rsidRDefault="006D3729" w:rsidP="006D3729">
            <w:pPr>
              <w:rPr>
                <w:rFonts w:ascii="Calibri" w:hAnsi="Calibri"/>
                <w:sz w:val="22"/>
                <w:szCs w:val="22"/>
                <w:lang w:val="en-GB"/>
              </w:rPr>
            </w:pPr>
            <w:r w:rsidRPr="00E14060">
              <w:rPr>
                <w:rFonts w:ascii="Calibri" w:hAnsi="Calibri"/>
                <w:sz w:val="22"/>
                <w:szCs w:val="22"/>
                <w:lang w:val="en-GB"/>
              </w:rPr>
              <w:t> </w:t>
            </w:r>
          </w:p>
        </w:tc>
        <w:tc>
          <w:tcPr>
            <w:tcW w:w="748" w:type="dxa"/>
            <w:tcBorders>
              <w:top w:val="nil"/>
              <w:left w:val="nil"/>
              <w:bottom w:val="single" w:sz="4" w:space="0" w:color="auto"/>
              <w:right w:val="nil"/>
            </w:tcBorders>
            <w:shd w:val="clear" w:color="000000" w:fill="76933C"/>
            <w:noWrap/>
            <w:vAlign w:val="bottom"/>
            <w:hideMark/>
          </w:tcPr>
          <w:p w14:paraId="422CE58E" w14:textId="77777777" w:rsidR="006D3729" w:rsidRPr="00E14060" w:rsidRDefault="006D3729" w:rsidP="006D3729">
            <w:pPr>
              <w:rPr>
                <w:rFonts w:ascii="Calibri" w:hAnsi="Calibri"/>
                <w:sz w:val="22"/>
                <w:szCs w:val="22"/>
                <w:lang w:val="en-GB"/>
              </w:rPr>
            </w:pPr>
            <w:r w:rsidRPr="00E14060">
              <w:rPr>
                <w:rFonts w:ascii="Calibri" w:hAnsi="Calibri"/>
                <w:sz w:val="22"/>
                <w:szCs w:val="22"/>
                <w:lang w:val="en-GB"/>
              </w:rPr>
              <w:t> </w:t>
            </w:r>
          </w:p>
        </w:tc>
        <w:tc>
          <w:tcPr>
            <w:tcW w:w="1035" w:type="dxa"/>
            <w:gridSpan w:val="4"/>
            <w:tcBorders>
              <w:top w:val="nil"/>
              <w:left w:val="nil"/>
              <w:bottom w:val="single" w:sz="4" w:space="0" w:color="auto"/>
              <w:right w:val="nil"/>
            </w:tcBorders>
            <w:shd w:val="clear" w:color="000000" w:fill="76933C"/>
            <w:noWrap/>
            <w:vAlign w:val="bottom"/>
            <w:hideMark/>
          </w:tcPr>
          <w:p w14:paraId="4F6F47DC" w14:textId="77777777" w:rsidR="006D3729" w:rsidRPr="00E14060" w:rsidRDefault="006D3729" w:rsidP="006D3729">
            <w:pPr>
              <w:rPr>
                <w:rFonts w:ascii="Calibri" w:hAnsi="Calibri"/>
                <w:sz w:val="22"/>
                <w:szCs w:val="22"/>
                <w:lang w:val="en-GB"/>
              </w:rPr>
            </w:pPr>
            <w:r w:rsidRPr="00E14060">
              <w:rPr>
                <w:rFonts w:ascii="Calibri" w:hAnsi="Calibri"/>
                <w:sz w:val="22"/>
                <w:szCs w:val="22"/>
                <w:lang w:val="en-GB"/>
              </w:rPr>
              <w:t> </w:t>
            </w:r>
          </w:p>
        </w:tc>
        <w:tc>
          <w:tcPr>
            <w:tcW w:w="1035" w:type="dxa"/>
            <w:tcBorders>
              <w:top w:val="nil"/>
              <w:left w:val="nil"/>
              <w:bottom w:val="single" w:sz="4" w:space="0" w:color="auto"/>
              <w:right w:val="nil"/>
            </w:tcBorders>
            <w:shd w:val="clear" w:color="000000" w:fill="76933C"/>
            <w:noWrap/>
            <w:vAlign w:val="bottom"/>
            <w:hideMark/>
          </w:tcPr>
          <w:p w14:paraId="7B24A380" w14:textId="77777777" w:rsidR="006D3729" w:rsidRPr="00E14060" w:rsidRDefault="006D3729" w:rsidP="006D3729">
            <w:pPr>
              <w:rPr>
                <w:rFonts w:ascii="Calibri" w:hAnsi="Calibri"/>
                <w:sz w:val="22"/>
                <w:szCs w:val="22"/>
                <w:lang w:val="en-GB"/>
              </w:rPr>
            </w:pPr>
            <w:r w:rsidRPr="00E14060">
              <w:rPr>
                <w:rFonts w:ascii="Calibri" w:hAnsi="Calibri"/>
                <w:sz w:val="22"/>
                <w:szCs w:val="22"/>
                <w:lang w:val="en-GB"/>
              </w:rPr>
              <w:t> </w:t>
            </w:r>
          </w:p>
        </w:tc>
        <w:tc>
          <w:tcPr>
            <w:tcW w:w="1035" w:type="dxa"/>
            <w:tcBorders>
              <w:top w:val="nil"/>
              <w:left w:val="nil"/>
              <w:bottom w:val="single" w:sz="4" w:space="0" w:color="auto"/>
              <w:right w:val="nil"/>
            </w:tcBorders>
            <w:shd w:val="clear" w:color="000000" w:fill="76933C"/>
            <w:noWrap/>
            <w:vAlign w:val="bottom"/>
            <w:hideMark/>
          </w:tcPr>
          <w:p w14:paraId="47A16ADF" w14:textId="77777777" w:rsidR="006D3729" w:rsidRPr="00E14060" w:rsidRDefault="006D3729" w:rsidP="006D3729">
            <w:pPr>
              <w:rPr>
                <w:rFonts w:ascii="Calibri" w:hAnsi="Calibri"/>
                <w:sz w:val="22"/>
                <w:szCs w:val="22"/>
                <w:lang w:val="en-GB"/>
              </w:rPr>
            </w:pPr>
            <w:r w:rsidRPr="00E14060">
              <w:rPr>
                <w:rFonts w:ascii="Calibri" w:hAnsi="Calibri"/>
                <w:sz w:val="22"/>
                <w:szCs w:val="22"/>
                <w:lang w:val="en-GB"/>
              </w:rPr>
              <w:t> </w:t>
            </w:r>
          </w:p>
        </w:tc>
        <w:tc>
          <w:tcPr>
            <w:tcW w:w="850" w:type="dxa"/>
            <w:tcBorders>
              <w:top w:val="nil"/>
              <w:left w:val="nil"/>
              <w:bottom w:val="single" w:sz="4" w:space="0" w:color="auto"/>
              <w:right w:val="nil"/>
            </w:tcBorders>
            <w:shd w:val="clear" w:color="000000" w:fill="76933C"/>
            <w:noWrap/>
            <w:vAlign w:val="bottom"/>
            <w:hideMark/>
          </w:tcPr>
          <w:p w14:paraId="168DD324" w14:textId="77777777" w:rsidR="006D3729" w:rsidRPr="00E14060" w:rsidRDefault="006D3729" w:rsidP="006D3729">
            <w:pPr>
              <w:rPr>
                <w:rFonts w:ascii="Calibri" w:hAnsi="Calibri"/>
                <w:sz w:val="22"/>
                <w:szCs w:val="22"/>
                <w:lang w:val="en-GB"/>
              </w:rPr>
            </w:pPr>
            <w:r w:rsidRPr="00E14060">
              <w:rPr>
                <w:rFonts w:ascii="Calibri" w:hAnsi="Calibri"/>
                <w:sz w:val="22"/>
                <w:szCs w:val="22"/>
                <w:lang w:val="en-GB"/>
              </w:rPr>
              <w:t> </w:t>
            </w:r>
          </w:p>
        </w:tc>
        <w:tc>
          <w:tcPr>
            <w:tcW w:w="850" w:type="dxa"/>
            <w:tcBorders>
              <w:top w:val="nil"/>
              <w:left w:val="nil"/>
              <w:bottom w:val="single" w:sz="4" w:space="0" w:color="auto"/>
              <w:right w:val="nil"/>
            </w:tcBorders>
            <w:shd w:val="clear" w:color="000000" w:fill="76933C"/>
            <w:noWrap/>
            <w:vAlign w:val="bottom"/>
            <w:hideMark/>
          </w:tcPr>
          <w:p w14:paraId="59E9D5A8" w14:textId="77777777" w:rsidR="006D3729" w:rsidRPr="00E14060" w:rsidRDefault="006D3729" w:rsidP="006D3729">
            <w:pPr>
              <w:rPr>
                <w:rFonts w:ascii="Calibri" w:hAnsi="Calibri"/>
                <w:sz w:val="22"/>
                <w:szCs w:val="22"/>
                <w:lang w:val="en-GB"/>
              </w:rPr>
            </w:pPr>
            <w:r w:rsidRPr="00E14060">
              <w:rPr>
                <w:rFonts w:ascii="Calibri" w:hAnsi="Calibri"/>
                <w:sz w:val="22"/>
                <w:szCs w:val="22"/>
                <w:lang w:val="en-GB"/>
              </w:rPr>
              <w:t> </w:t>
            </w:r>
          </w:p>
        </w:tc>
        <w:tc>
          <w:tcPr>
            <w:tcW w:w="850" w:type="dxa"/>
            <w:tcBorders>
              <w:top w:val="nil"/>
              <w:left w:val="nil"/>
              <w:bottom w:val="single" w:sz="4" w:space="0" w:color="auto"/>
              <w:right w:val="nil"/>
            </w:tcBorders>
            <w:shd w:val="clear" w:color="000000" w:fill="76933C"/>
            <w:noWrap/>
            <w:vAlign w:val="bottom"/>
            <w:hideMark/>
          </w:tcPr>
          <w:p w14:paraId="7AB6761A" w14:textId="77777777" w:rsidR="006D3729" w:rsidRPr="00E14060" w:rsidRDefault="006D3729" w:rsidP="006D3729">
            <w:pPr>
              <w:rPr>
                <w:rFonts w:ascii="Calibri" w:hAnsi="Calibri"/>
                <w:sz w:val="22"/>
                <w:szCs w:val="22"/>
                <w:lang w:val="en-GB"/>
              </w:rPr>
            </w:pPr>
            <w:r w:rsidRPr="00E14060">
              <w:rPr>
                <w:rFonts w:ascii="Calibri" w:hAnsi="Calibri"/>
                <w:sz w:val="22"/>
                <w:szCs w:val="22"/>
                <w:lang w:val="en-GB"/>
              </w:rPr>
              <w:t> </w:t>
            </w:r>
          </w:p>
        </w:tc>
      </w:tr>
      <w:tr w:rsidR="006D3729" w:rsidRPr="00E14060" w14:paraId="3AAAE5E3" w14:textId="77777777" w:rsidTr="006D3729">
        <w:trPr>
          <w:trHeight w:val="150"/>
        </w:trPr>
        <w:tc>
          <w:tcPr>
            <w:tcW w:w="601" w:type="dxa"/>
            <w:tcBorders>
              <w:top w:val="nil"/>
              <w:left w:val="nil"/>
              <w:bottom w:val="nil"/>
              <w:right w:val="nil"/>
            </w:tcBorders>
            <w:shd w:val="clear" w:color="000000" w:fill="FFFFFF"/>
            <w:noWrap/>
            <w:vAlign w:val="bottom"/>
            <w:hideMark/>
          </w:tcPr>
          <w:p w14:paraId="0C5F5531" w14:textId="77777777" w:rsidR="006D3729" w:rsidRPr="00E14060" w:rsidRDefault="006D3729" w:rsidP="006D3729">
            <w:pPr>
              <w:rPr>
                <w:sz w:val="22"/>
                <w:szCs w:val="22"/>
                <w:lang w:val="en-GB"/>
              </w:rPr>
            </w:pPr>
            <w:r w:rsidRPr="00E14060">
              <w:rPr>
                <w:sz w:val="22"/>
                <w:szCs w:val="22"/>
                <w:lang w:val="en-GB"/>
              </w:rPr>
              <w:t> </w:t>
            </w:r>
          </w:p>
        </w:tc>
        <w:tc>
          <w:tcPr>
            <w:tcW w:w="1608" w:type="dxa"/>
            <w:tcBorders>
              <w:top w:val="nil"/>
              <w:left w:val="nil"/>
              <w:bottom w:val="nil"/>
              <w:right w:val="nil"/>
            </w:tcBorders>
            <w:shd w:val="clear" w:color="000000" w:fill="FFFFFF"/>
            <w:noWrap/>
            <w:vAlign w:val="bottom"/>
            <w:hideMark/>
          </w:tcPr>
          <w:p w14:paraId="4054017B" w14:textId="77777777" w:rsidR="006D3729" w:rsidRPr="00E14060" w:rsidRDefault="006D3729" w:rsidP="006D3729">
            <w:pPr>
              <w:rPr>
                <w:sz w:val="22"/>
                <w:szCs w:val="22"/>
                <w:lang w:val="en-GB"/>
              </w:rPr>
            </w:pPr>
            <w:r w:rsidRPr="00E14060">
              <w:rPr>
                <w:sz w:val="22"/>
                <w:szCs w:val="22"/>
                <w:lang w:val="en-GB"/>
              </w:rPr>
              <w:t> </w:t>
            </w:r>
          </w:p>
        </w:tc>
        <w:tc>
          <w:tcPr>
            <w:tcW w:w="748" w:type="dxa"/>
            <w:tcBorders>
              <w:top w:val="nil"/>
              <w:left w:val="nil"/>
              <w:bottom w:val="nil"/>
              <w:right w:val="nil"/>
            </w:tcBorders>
            <w:shd w:val="clear" w:color="000000" w:fill="FFFFFF"/>
            <w:noWrap/>
            <w:vAlign w:val="bottom"/>
            <w:hideMark/>
          </w:tcPr>
          <w:p w14:paraId="71C9ACDD" w14:textId="77777777" w:rsidR="006D3729" w:rsidRPr="00E14060" w:rsidRDefault="006D3729" w:rsidP="006D3729">
            <w:pPr>
              <w:rPr>
                <w:sz w:val="22"/>
                <w:szCs w:val="22"/>
                <w:lang w:val="en-GB"/>
              </w:rPr>
            </w:pPr>
            <w:r w:rsidRPr="00E14060">
              <w:rPr>
                <w:sz w:val="22"/>
                <w:szCs w:val="22"/>
                <w:lang w:val="en-GB"/>
              </w:rPr>
              <w:t> </w:t>
            </w:r>
          </w:p>
        </w:tc>
        <w:tc>
          <w:tcPr>
            <w:tcW w:w="748" w:type="dxa"/>
            <w:tcBorders>
              <w:top w:val="nil"/>
              <w:left w:val="nil"/>
              <w:bottom w:val="nil"/>
              <w:right w:val="nil"/>
            </w:tcBorders>
            <w:shd w:val="clear" w:color="000000" w:fill="FFFFFF"/>
            <w:noWrap/>
            <w:vAlign w:val="bottom"/>
            <w:hideMark/>
          </w:tcPr>
          <w:p w14:paraId="60F98AAD" w14:textId="77777777" w:rsidR="006D3729" w:rsidRPr="00E14060" w:rsidRDefault="006D3729" w:rsidP="006D3729">
            <w:pPr>
              <w:rPr>
                <w:sz w:val="22"/>
                <w:szCs w:val="22"/>
                <w:lang w:val="en-GB"/>
              </w:rPr>
            </w:pPr>
            <w:r w:rsidRPr="00E14060">
              <w:rPr>
                <w:sz w:val="22"/>
                <w:szCs w:val="22"/>
                <w:lang w:val="en-GB"/>
              </w:rPr>
              <w:t> </w:t>
            </w:r>
          </w:p>
        </w:tc>
        <w:tc>
          <w:tcPr>
            <w:tcW w:w="1035" w:type="dxa"/>
            <w:gridSpan w:val="4"/>
            <w:tcBorders>
              <w:top w:val="nil"/>
              <w:left w:val="nil"/>
              <w:bottom w:val="nil"/>
              <w:right w:val="nil"/>
            </w:tcBorders>
            <w:shd w:val="clear" w:color="000000" w:fill="FFFFFF"/>
            <w:noWrap/>
            <w:vAlign w:val="bottom"/>
            <w:hideMark/>
          </w:tcPr>
          <w:p w14:paraId="6049FA5E" w14:textId="77777777" w:rsidR="006D3729" w:rsidRPr="00E14060" w:rsidRDefault="006D3729" w:rsidP="006D3729">
            <w:pPr>
              <w:rPr>
                <w:sz w:val="22"/>
                <w:szCs w:val="22"/>
                <w:lang w:val="en-GB"/>
              </w:rPr>
            </w:pPr>
            <w:r w:rsidRPr="00E14060">
              <w:rPr>
                <w:sz w:val="22"/>
                <w:szCs w:val="22"/>
                <w:lang w:val="en-GB"/>
              </w:rPr>
              <w:t> </w:t>
            </w:r>
          </w:p>
        </w:tc>
        <w:tc>
          <w:tcPr>
            <w:tcW w:w="1035" w:type="dxa"/>
            <w:tcBorders>
              <w:top w:val="nil"/>
              <w:left w:val="nil"/>
              <w:bottom w:val="nil"/>
              <w:right w:val="nil"/>
            </w:tcBorders>
            <w:shd w:val="clear" w:color="000000" w:fill="FFFFFF"/>
            <w:noWrap/>
            <w:vAlign w:val="bottom"/>
            <w:hideMark/>
          </w:tcPr>
          <w:p w14:paraId="1116DB17" w14:textId="77777777" w:rsidR="006D3729" w:rsidRPr="00E14060" w:rsidRDefault="006D3729" w:rsidP="006D3729">
            <w:pPr>
              <w:rPr>
                <w:sz w:val="22"/>
                <w:szCs w:val="22"/>
                <w:lang w:val="en-GB"/>
              </w:rPr>
            </w:pPr>
            <w:r w:rsidRPr="00E14060">
              <w:rPr>
                <w:sz w:val="22"/>
                <w:szCs w:val="22"/>
                <w:lang w:val="en-GB"/>
              </w:rPr>
              <w:t> </w:t>
            </w:r>
          </w:p>
        </w:tc>
        <w:tc>
          <w:tcPr>
            <w:tcW w:w="1035" w:type="dxa"/>
            <w:tcBorders>
              <w:top w:val="nil"/>
              <w:left w:val="nil"/>
              <w:bottom w:val="nil"/>
              <w:right w:val="nil"/>
            </w:tcBorders>
            <w:shd w:val="clear" w:color="000000" w:fill="FFFFFF"/>
            <w:noWrap/>
            <w:vAlign w:val="bottom"/>
            <w:hideMark/>
          </w:tcPr>
          <w:p w14:paraId="34DFCD42" w14:textId="77777777" w:rsidR="006D3729" w:rsidRPr="00E14060" w:rsidRDefault="006D3729" w:rsidP="006D3729">
            <w:pPr>
              <w:rPr>
                <w:sz w:val="22"/>
                <w:szCs w:val="22"/>
                <w:lang w:val="en-GB"/>
              </w:rPr>
            </w:pPr>
            <w:r w:rsidRPr="00E14060">
              <w:rPr>
                <w:sz w:val="22"/>
                <w:szCs w:val="22"/>
                <w:lang w:val="en-GB"/>
              </w:rPr>
              <w:t> </w:t>
            </w:r>
          </w:p>
        </w:tc>
        <w:tc>
          <w:tcPr>
            <w:tcW w:w="850" w:type="dxa"/>
            <w:tcBorders>
              <w:top w:val="nil"/>
              <w:left w:val="nil"/>
              <w:bottom w:val="nil"/>
              <w:right w:val="nil"/>
            </w:tcBorders>
            <w:shd w:val="clear" w:color="000000" w:fill="FFFFFF"/>
            <w:noWrap/>
            <w:vAlign w:val="bottom"/>
            <w:hideMark/>
          </w:tcPr>
          <w:p w14:paraId="08D236E5" w14:textId="77777777" w:rsidR="006D3729" w:rsidRPr="00E14060" w:rsidRDefault="006D3729" w:rsidP="006D3729">
            <w:pPr>
              <w:rPr>
                <w:sz w:val="22"/>
                <w:szCs w:val="22"/>
                <w:lang w:val="en-GB"/>
              </w:rPr>
            </w:pPr>
            <w:r w:rsidRPr="00E14060">
              <w:rPr>
                <w:sz w:val="22"/>
                <w:szCs w:val="22"/>
                <w:lang w:val="en-GB"/>
              </w:rPr>
              <w:t> </w:t>
            </w:r>
          </w:p>
        </w:tc>
        <w:tc>
          <w:tcPr>
            <w:tcW w:w="850" w:type="dxa"/>
            <w:tcBorders>
              <w:top w:val="nil"/>
              <w:left w:val="nil"/>
              <w:bottom w:val="nil"/>
              <w:right w:val="nil"/>
            </w:tcBorders>
            <w:shd w:val="clear" w:color="000000" w:fill="FFFFFF"/>
            <w:noWrap/>
            <w:vAlign w:val="bottom"/>
            <w:hideMark/>
          </w:tcPr>
          <w:p w14:paraId="0390A179" w14:textId="77777777" w:rsidR="006D3729" w:rsidRPr="00E14060" w:rsidRDefault="006D3729" w:rsidP="006D3729">
            <w:pPr>
              <w:rPr>
                <w:sz w:val="22"/>
                <w:szCs w:val="22"/>
                <w:lang w:val="en-GB"/>
              </w:rPr>
            </w:pPr>
            <w:r w:rsidRPr="00E14060">
              <w:rPr>
                <w:sz w:val="22"/>
                <w:szCs w:val="22"/>
                <w:lang w:val="en-GB"/>
              </w:rPr>
              <w:t> </w:t>
            </w:r>
          </w:p>
        </w:tc>
        <w:tc>
          <w:tcPr>
            <w:tcW w:w="850" w:type="dxa"/>
            <w:tcBorders>
              <w:top w:val="nil"/>
              <w:left w:val="nil"/>
              <w:bottom w:val="nil"/>
              <w:right w:val="nil"/>
            </w:tcBorders>
            <w:shd w:val="clear" w:color="000000" w:fill="FFFFFF"/>
            <w:noWrap/>
            <w:vAlign w:val="bottom"/>
            <w:hideMark/>
          </w:tcPr>
          <w:p w14:paraId="5E8F4DDC" w14:textId="77777777" w:rsidR="006D3729" w:rsidRPr="00E14060" w:rsidRDefault="006D3729" w:rsidP="006D3729">
            <w:pPr>
              <w:rPr>
                <w:sz w:val="22"/>
                <w:szCs w:val="22"/>
                <w:lang w:val="en-GB"/>
              </w:rPr>
            </w:pPr>
            <w:r w:rsidRPr="00E14060">
              <w:rPr>
                <w:sz w:val="22"/>
                <w:szCs w:val="22"/>
                <w:lang w:val="en-GB"/>
              </w:rPr>
              <w:t> </w:t>
            </w:r>
          </w:p>
        </w:tc>
      </w:tr>
      <w:tr w:rsidR="006D3729" w:rsidRPr="00E14060" w14:paraId="1F183DF9" w14:textId="77777777" w:rsidTr="006D3729">
        <w:trPr>
          <w:trHeight w:val="300"/>
        </w:trPr>
        <w:tc>
          <w:tcPr>
            <w:tcW w:w="2209" w:type="dxa"/>
            <w:gridSpan w:val="2"/>
            <w:tcBorders>
              <w:top w:val="nil"/>
              <w:left w:val="nil"/>
              <w:bottom w:val="nil"/>
              <w:right w:val="nil"/>
            </w:tcBorders>
            <w:shd w:val="clear" w:color="000000" w:fill="FFFFFF"/>
            <w:noWrap/>
            <w:vAlign w:val="bottom"/>
            <w:hideMark/>
          </w:tcPr>
          <w:p w14:paraId="4941FDB2" w14:textId="77777777" w:rsidR="006D3729" w:rsidRPr="00E14060" w:rsidRDefault="006D3729" w:rsidP="006D3729">
            <w:pPr>
              <w:rPr>
                <w:b/>
                <w:bCs/>
                <w:sz w:val="22"/>
                <w:szCs w:val="22"/>
                <w:lang w:val="en-GB"/>
              </w:rPr>
            </w:pPr>
            <w:r w:rsidRPr="00E14060">
              <w:rPr>
                <w:b/>
                <w:bCs/>
                <w:sz w:val="22"/>
                <w:szCs w:val="22"/>
                <w:lang w:val="en-GB"/>
              </w:rPr>
              <w:t>Note:</w:t>
            </w:r>
          </w:p>
        </w:tc>
        <w:tc>
          <w:tcPr>
            <w:tcW w:w="748" w:type="dxa"/>
            <w:tcBorders>
              <w:top w:val="nil"/>
              <w:left w:val="nil"/>
              <w:bottom w:val="nil"/>
              <w:right w:val="nil"/>
            </w:tcBorders>
            <w:shd w:val="clear" w:color="000000" w:fill="FFFFFF"/>
            <w:noWrap/>
            <w:vAlign w:val="bottom"/>
            <w:hideMark/>
          </w:tcPr>
          <w:p w14:paraId="03AE7367" w14:textId="77777777" w:rsidR="006D3729" w:rsidRPr="00E14060" w:rsidRDefault="006D3729" w:rsidP="006D3729">
            <w:pPr>
              <w:rPr>
                <w:rFonts w:ascii="Calibri" w:hAnsi="Calibri"/>
                <w:sz w:val="22"/>
                <w:szCs w:val="22"/>
                <w:lang w:val="en-GB"/>
              </w:rPr>
            </w:pPr>
            <w:r w:rsidRPr="00E14060">
              <w:rPr>
                <w:rFonts w:ascii="Calibri" w:hAnsi="Calibri"/>
                <w:sz w:val="22"/>
                <w:szCs w:val="22"/>
                <w:lang w:val="en-GB"/>
              </w:rPr>
              <w:t> </w:t>
            </w:r>
          </w:p>
        </w:tc>
        <w:tc>
          <w:tcPr>
            <w:tcW w:w="748" w:type="dxa"/>
            <w:tcBorders>
              <w:top w:val="nil"/>
              <w:left w:val="nil"/>
              <w:bottom w:val="nil"/>
              <w:right w:val="nil"/>
            </w:tcBorders>
            <w:shd w:val="clear" w:color="000000" w:fill="FFFFFF"/>
            <w:noWrap/>
            <w:vAlign w:val="bottom"/>
            <w:hideMark/>
          </w:tcPr>
          <w:p w14:paraId="568DF2CF" w14:textId="77777777" w:rsidR="006D3729" w:rsidRPr="00E14060" w:rsidRDefault="006D3729" w:rsidP="006D3729">
            <w:pPr>
              <w:rPr>
                <w:rFonts w:ascii="Calibri" w:hAnsi="Calibri"/>
                <w:sz w:val="22"/>
                <w:szCs w:val="22"/>
                <w:lang w:val="en-GB"/>
              </w:rPr>
            </w:pPr>
            <w:r w:rsidRPr="00E14060">
              <w:rPr>
                <w:rFonts w:ascii="Calibri" w:hAnsi="Calibri"/>
                <w:sz w:val="22"/>
                <w:szCs w:val="22"/>
                <w:lang w:val="en-GB"/>
              </w:rPr>
              <w:t> </w:t>
            </w:r>
          </w:p>
        </w:tc>
        <w:tc>
          <w:tcPr>
            <w:tcW w:w="1035" w:type="dxa"/>
            <w:gridSpan w:val="4"/>
            <w:tcBorders>
              <w:top w:val="nil"/>
              <w:left w:val="nil"/>
              <w:bottom w:val="nil"/>
              <w:right w:val="nil"/>
            </w:tcBorders>
            <w:shd w:val="clear" w:color="000000" w:fill="FFFFFF"/>
            <w:noWrap/>
            <w:vAlign w:val="bottom"/>
            <w:hideMark/>
          </w:tcPr>
          <w:p w14:paraId="1EA8D87A" w14:textId="77777777" w:rsidR="006D3729" w:rsidRPr="00E14060" w:rsidRDefault="006D3729" w:rsidP="006D3729">
            <w:pPr>
              <w:rPr>
                <w:rFonts w:ascii="Calibri" w:hAnsi="Calibri"/>
                <w:sz w:val="22"/>
                <w:szCs w:val="22"/>
                <w:lang w:val="en-GB"/>
              </w:rPr>
            </w:pPr>
            <w:r w:rsidRPr="00E14060">
              <w:rPr>
                <w:rFonts w:ascii="Calibri" w:hAnsi="Calibri"/>
                <w:sz w:val="22"/>
                <w:szCs w:val="22"/>
                <w:lang w:val="en-GB"/>
              </w:rPr>
              <w:t> </w:t>
            </w:r>
          </w:p>
        </w:tc>
        <w:tc>
          <w:tcPr>
            <w:tcW w:w="1035" w:type="dxa"/>
            <w:tcBorders>
              <w:top w:val="nil"/>
              <w:left w:val="nil"/>
              <w:bottom w:val="nil"/>
              <w:right w:val="nil"/>
            </w:tcBorders>
            <w:shd w:val="clear" w:color="000000" w:fill="FFFFFF"/>
            <w:noWrap/>
            <w:vAlign w:val="bottom"/>
            <w:hideMark/>
          </w:tcPr>
          <w:p w14:paraId="4E857BAA" w14:textId="77777777" w:rsidR="006D3729" w:rsidRPr="00E14060" w:rsidRDefault="006D3729" w:rsidP="006D3729">
            <w:pPr>
              <w:rPr>
                <w:rFonts w:ascii="Calibri" w:hAnsi="Calibri"/>
                <w:sz w:val="22"/>
                <w:szCs w:val="22"/>
                <w:lang w:val="en-GB"/>
              </w:rPr>
            </w:pPr>
            <w:r w:rsidRPr="00E14060">
              <w:rPr>
                <w:rFonts w:ascii="Calibri" w:hAnsi="Calibri"/>
                <w:sz w:val="22"/>
                <w:szCs w:val="22"/>
                <w:lang w:val="en-GB"/>
              </w:rPr>
              <w:t> </w:t>
            </w:r>
          </w:p>
        </w:tc>
        <w:tc>
          <w:tcPr>
            <w:tcW w:w="1035" w:type="dxa"/>
            <w:tcBorders>
              <w:top w:val="nil"/>
              <w:left w:val="nil"/>
              <w:bottom w:val="nil"/>
              <w:right w:val="nil"/>
            </w:tcBorders>
            <w:shd w:val="clear" w:color="000000" w:fill="FFFFFF"/>
            <w:noWrap/>
            <w:vAlign w:val="bottom"/>
            <w:hideMark/>
          </w:tcPr>
          <w:p w14:paraId="71E5FD33" w14:textId="77777777" w:rsidR="006D3729" w:rsidRPr="00E14060" w:rsidRDefault="006D3729" w:rsidP="006D3729">
            <w:pPr>
              <w:rPr>
                <w:rFonts w:ascii="Calibri" w:hAnsi="Calibri"/>
                <w:sz w:val="22"/>
                <w:szCs w:val="22"/>
                <w:lang w:val="en-GB"/>
              </w:rPr>
            </w:pPr>
            <w:r w:rsidRPr="00E14060">
              <w:rPr>
                <w:rFonts w:ascii="Calibri" w:hAnsi="Calibri"/>
                <w:sz w:val="22"/>
                <w:szCs w:val="22"/>
                <w:lang w:val="en-GB"/>
              </w:rPr>
              <w:t> </w:t>
            </w:r>
          </w:p>
        </w:tc>
        <w:tc>
          <w:tcPr>
            <w:tcW w:w="850" w:type="dxa"/>
            <w:tcBorders>
              <w:top w:val="nil"/>
              <w:left w:val="nil"/>
              <w:bottom w:val="nil"/>
              <w:right w:val="nil"/>
            </w:tcBorders>
            <w:shd w:val="clear" w:color="000000" w:fill="FFFFFF"/>
            <w:noWrap/>
            <w:vAlign w:val="bottom"/>
            <w:hideMark/>
          </w:tcPr>
          <w:p w14:paraId="1F2F8291" w14:textId="77777777" w:rsidR="006D3729" w:rsidRPr="00E14060" w:rsidRDefault="006D3729" w:rsidP="006D3729">
            <w:pPr>
              <w:rPr>
                <w:rFonts w:ascii="Calibri" w:hAnsi="Calibri"/>
                <w:sz w:val="22"/>
                <w:szCs w:val="22"/>
                <w:lang w:val="en-GB"/>
              </w:rPr>
            </w:pPr>
            <w:r w:rsidRPr="00E14060">
              <w:rPr>
                <w:rFonts w:ascii="Calibri" w:hAnsi="Calibri"/>
                <w:sz w:val="22"/>
                <w:szCs w:val="22"/>
                <w:lang w:val="en-GB"/>
              </w:rPr>
              <w:t> </w:t>
            </w:r>
          </w:p>
        </w:tc>
        <w:tc>
          <w:tcPr>
            <w:tcW w:w="850" w:type="dxa"/>
            <w:tcBorders>
              <w:top w:val="nil"/>
              <w:left w:val="nil"/>
              <w:bottom w:val="nil"/>
              <w:right w:val="nil"/>
            </w:tcBorders>
            <w:shd w:val="clear" w:color="000000" w:fill="FFFFFF"/>
            <w:noWrap/>
            <w:vAlign w:val="bottom"/>
            <w:hideMark/>
          </w:tcPr>
          <w:p w14:paraId="7CB0C405" w14:textId="77777777" w:rsidR="006D3729" w:rsidRPr="00E14060" w:rsidRDefault="006D3729" w:rsidP="006D3729">
            <w:pPr>
              <w:rPr>
                <w:rFonts w:ascii="Calibri" w:hAnsi="Calibri"/>
                <w:sz w:val="22"/>
                <w:szCs w:val="22"/>
                <w:lang w:val="en-GB"/>
              </w:rPr>
            </w:pPr>
            <w:r w:rsidRPr="00E14060">
              <w:rPr>
                <w:rFonts w:ascii="Calibri" w:hAnsi="Calibri"/>
                <w:sz w:val="22"/>
                <w:szCs w:val="22"/>
                <w:lang w:val="en-GB"/>
              </w:rPr>
              <w:t> </w:t>
            </w:r>
          </w:p>
        </w:tc>
        <w:tc>
          <w:tcPr>
            <w:tcW w:w="850" w:type="dxa"/>
            <w:tcBorders>
              <w:top w:val="nil"/>
              <w:left w:val="nil"/>
              <w:bottom w:val="nil"/>
              <w:right w:val="nil"/>
            </w:tcBorders>
            <w:shd w:val="clear" w:color="000000" w:fill="FFFFFF"/>
            <w:noWrap/>
            <w:vAlign w:val="bottom"/>
            <w:hideMark/>
          </w:tcPr>
          <w:p w14:paraId="245D01BC" w14:textId="77777777" w:rsidR="006D3729" w:rsidRPr="00E14060" w:rsidRDefault="006D3729" w:rsidP="006D3729">
            <w:pPr>
              <w:rPr>
                <w:rFonts w:ascii="Calibri" w:hAnsi="Calibri"/>
                <w:sz w:val="22"/>
                <w:szCs w:val="22"/>
                <w:lang w:val="en-GB"/>
              </w:rPr>
            </w:pPr>
            <w:r w:rsidRPr="00E14060">
              <w:rPr>
                <w:rFonts w:ascii="Calibri" w:hAnsi="Calibri"/>
                <w:sz w:val="22"/>
                <w:szCs w:val="22"/>
                <w:lang w:val="en-GB"/>
              </w:rPr>
              <w:t> </w:t>
            </w:r>
          </w:p>
        </w:tc>
      </w:tr>
      <w:tr w:rsidR="006D3729" w:rsidRPr="00E14060" w14:paraId="72308136" w14:textId="77777777" w:rsidTr="006D3729">
        <w:trPr>
          <w:trHeight w:val="300"/>
        </w:trPr>
        <w:tc>
          <w:tcPr>
            <w:tcW w:w="601" w:type="dxa"/>
            <w:tcBorders>
              <w:top w:val="nil"/>
              <w:left w:val="nil"/>
              <w:bottom w:val="nil"/>
              <w:right w:val="nil"/>
            </w:tcBorders>
            <w:shd w:val="clear" w:color="000000" w:fill="FFFFFF"/>
            <w:noWrap/>
            <w:hideMark/>
          </w:tcPr>
          <w:p w14:paraId="000E4789" w14:textId="77777777" w:rsidR="006D3729" w:rsidRPr="00E14060" w:rsidRDefault="006D3729" w:rsidP="006D3729">
            <w:pPr>
              <w:jc w:val="right"/>
              <w:rPr>
                <w:sz w:val="22"/>
                <w:szCs w:val="22"/>
                <w:lang w:val="en-GB"/>
              </w:rPr>
            </w:pPr>
            <w:r w:rsidRPr="00E14060">
              <w:rPr>
                <w:sz w:val="22"/>
                <w:szCs w:val="22"/>
                <w:lang w:val="en-GB"/>
              </w:rPr>
              <w:t>[1]</w:t>
            </w:r>
          </w:p>
        </w:tc>
        <w:tc>
          <w:tcPr>
            <w:tcW w:w="5174" w:type="dxa"/>
            <w:gridSpan w:val="8"/>
            <w:tcBorders>
              <w:top w:val="nil"/>
              <w:left w:val="nil"/>
              <w:bottom w:val="nil"/>
              <w:right w:val="nil"/>
            </w:tcBorders>
            <w:shd w:val="clear" w:color="000000" w:fill="FFFFFF"/>
            <w:noWrap/>
            <w:vAlign w:val="bottom"/>
            <w:hideMark/>
          </w:tcPr>
          <w:p w14:paraId="3EDB1096" w14:textId="77777777" w:rsidR="006D3729" w:rsidRPr="00E14060" w:rsidRDefault="006D3729" w:rsidP="006D3729">
            <w:pPr>
              <w:rPr>
                <w:sz w:val="22"/>
                <w:szCs w:val="22"/>
                <w:lang w:val="en-GB"/>
              </w:rPr>
            </w:pPr>
            <w:r w:rsidRPr="00E14060">
              <w:rPr>
                <w:sz w:val="22"/>
                <w:szCs w:val="22"/>
                <w:lang w:val="en-GB"/>
              </w:rPr>
              <w:t xml:space="preserve">Screening criteria for core analyses are shown. </w:t>
            </w:r>
          </w:p>
        </w:tc>
        <w:tc>
          <w:tcPr>
            <w:tcW w:w="1035" w:type="dxa"/>
            <w:tcBorders>
              <w:top w:val="nil"/>
              <w:left w:val="nil"/>
              <w:bottom w:val="nil"/>
              <w:right w:val="nil"/>
            </w:tcBorders>
            <w:shd w:val="clear" w:color="000000" w:fill="FFFFFF"/>
            <w:noWrap/>
            <w:vAlign w:val="bottom"/>
            <w:hideMark/>
          </w:tcPr>
          <w:p w14:paraId="75181EB6" w14:textId="77777777" w:rsidR="006D3729" w:rsidRPr="00E14060" w:rsidRDefault="006D3729" w:rsidP="006D3729">
            <w:pPr>
              <w:rPr>
                <w:rFonts w:ascii="Calibri" w:hAnsi="Calibri"/>
                <w:sz w:val="22"/>
                <w:szCs w:val="22"/>
                <w:lang w:val="en-GB"/>
              </w:rPr>
            </w:pPr>
            <w:r w:rsidRPr="00E14060">
              <w:rPr>
                <w:rFonts w:ascii="Calibri" w:hAnsi="Calibri"/>
                <w:sz w:val="22"/>
                <w:szCs w:val="22"/>
                <w:lang w:val="en-GB"/>
              </w:rPr>
              <w:t> </w:t>
            </w:r>
          </w:p>
        </w:tc>
        <w:tc>
          <w:tcPr>
            <w:tcW w:w="850" w:type="dxa"/>
            <w:tcBorders>
              <w:top w:val="nil"/>
              <w:left w:val="nil"/>
              <w:bottom w:val="nil"/>
              <w:right w:val="nil"/>
            </w:tcBorders>
            <w:shd w:val="clear" w:color="000000" w:fill="FFFFFF"/>
            <w:noWrap/>
            <w:vAlign w:val="bottom"/>
            <w:hideMark/>
          </w:tcPr>
          <w:p w14:paraId="395F19E3" w14:textId="77777777" w:rsidR="006D3729" w:rsidRPr="00E14060" w:rsidRDefault="006D3729" w:rsidP="006D3729">
            <w:pPr>
              <w:rPr>
                <w:rFonts w:ascii="Calibri" w:hAnsi="Calibri"/>
                <w:sz w:val="22"/>
                <w:szCs w:val="22"/>
                <w:lang w:val="en-GB"/>
              </w:rPr>
            </w:pPr>
            <w:r w:rsidRPr="00E14060">
              <w:rPr>
                <w:rFonts w:ascii="Calibri" w:hAnsi="Calibri"/>
                <w:sz w:val="22"/>
                <w:szCs w:val="22"/>
                <w:lang w:val="en-GB"/>
              </w:rPr>
              <w:t> </w:t>
            </w:r>
          </w:p>
        </w:tc>
        <w:tc>
          <w:tcPr>
            <w:tcW w:w="850" w:type="dxa"/>
            <w:tcBorders>
              <w:top w:val="nil"/>
              <w:left w:val="nil"/>
              <w:bottom w:val="nil"/>
              <w:right w:val="nil"/>
            </w:tcBorders>
            <w:shd w:val="clear" w:color="000000" w:fill="FFFFFF"/>
            <w:noWrap/>
            <w:vAlign w:val="bottom"/>
            <w:hideMark/>
          </w:tcPr>
          <w:p w14:paraId="1070F75A" w14:textId="77777777" w:rsidR="006D3729" w:rsidRPr="00E14060" w:rsidRDefault="006D3729" w:rsidP="006D3729">
            <w:pPr>
              <w:rPr>
                <w:rFonts w:ascii="Calibri" w:hAnsi="Calibri"/>
                <w:sz w:val="22"/>
                <w:szCs w:val="22"/>
                <w:lang w:val="en-GB"/>
              </w:rPr>
            </w:pPr>
            <w:r w:rsidRPr="00E14060">
              <w:rPr>
                <w:rFonts w:ascii="Calibri" w:hAnsi="Calibri"/>
                <w:sz w:val="22"/>
                <w:szCs w:val="22"/>
                <w:lang w:val="en-GB"/>
              </w:rPr>
              <w:t> </w:t>
            </w:r>
          </w:p>
        </w:tc>
        <w:tc>
          <w:tcPr>
            <w:tcW w:w="850" w:type="dxa"/>
            <w:tcBorders>
              <w:top w:val="nil"/>
              <w:left w:val="nil"/>
              <w:bottom w:val="nil"/>
              <w:right w:val="nil"/>
            </w:tcBorders>
            <w:shd w:val="clear" w:color="000000" w:fill="FFFFFF"/>
            <w:noWrap/>
            <w:vAlign w:val="bottom"/>
            <w:hideMark/>
          </w:tcPr>
          <w:p w14:paraId="58CE0206" w14:textId="77777777" w:rsidR="006D3729" w:rsidRPr="00E14060" w:rsidRDefault="006D3729" w:rsidP="006D3729">
            <w:pPr>
              <w:rPr>
                <w:rFonts w:ascii="Calibri" w:hAnsi="Calibri"/>
                <w:sz w:val="22"/>
                <w:szCs w:val="22"/>
                <w:lang w:val="en-GB"/>
              </w:rPr>
            </w:pPr>
            <w:r w:rsidRPr="00E14060">
              <w:rPr>
                <w:rFonts w:ascii="Calibri" w:hAnsi="Calibri"/>
                <w:sz w:val="22"/>
                <w:szCs w:val="22"/>
                <w:lang w:val="en-GB"/>
              </w:rPr>
              <w:t> </w:t>
            </w:r>
          </w:p>
        </w:tc>
      </w:tr>
    </w:tbl>
    <w:p w14:paraId="49D9D713" w14:textId="77777777" w:rsidR="00EA1130" w:rsidRPr="00E14060" w:rsidRDefault="00EA1130">
      <w:pPr>
        <w:rPr>
          <w:b/>
          <w:sz w:val="24"/>
          <w:lang w:val="en-GB"/>
        </w:rPr>
      </w:pPr>
    </w:p>
    <w:p w14:paraId="451CC174" w14:textId="77777777" w:rsidR="00DF2ABB" w:rsidRPr="00E14060" w:rsidRDefault="00385B75" w:rsidP="00AD0074">
      <w:pPr>
        <w:pStyle w:val="Heading2"/>
        <w:tabs>
          <w:tab w:val="clear" w:pos="936"/>
          <w:tab w:val="clear" w:pos="1152"/>
          <w:tab w:val="left" w:pos="0"/>
        </w:tabs>
        <w:ind w:left="0" w:firstLine="0"/>
        <w:rPr>
          <w:color w:val="auto"/>
          <w:lang w:val="en-GB"/>
        </w:rPr>
      </w:pPr>
      <w:bookmarkStart w:id="143" w:name="_Toc395213841"/>
      <w:bookmarkStart w:id="144" w:name="_Toc395214013"/>
      <w:bookmarkStart w:id="145" w:name="_Toc395214977"/>
      <w:bookmarkStart w:id="146" w:name="_Toc395213921"/>
      <w:bookmarkStart w:id="147" w:name="_Toc395214093"/>
      <w:bookmarkStart w:id="148" w:name="_Toc395215057"/>
      <w:bookmarkStart w:id="149" w:name="_Toc391892781"/>
      <w:bookmarkStart w:id="150" w:name="_Toc391913126"/>
      <w:bookmarkStart w:id="151" w:name="_Toc391913671"/>
      <w:bookmarkStart w:id="152" w:name="_Toc391914767"/>
      <w:bookmarkStart w:id="153" w:name="_Toc391915311"/>
      <w:bookmarkStart w:id="154" w:name="_Toc391915855"/>
      <w:bookmarkStart w:id="155" w:name="_Toc391918219"/>
      <w:bookmarkStart w:id="156" w:name="_Toc391920003"/>
      <w:bookmarkStart w:id="157" w:name="_Toc391892800"/>
      <w:bookmarkStart w:id="158" w:name="_Toc391913145"/>
      <w:bookmarkStart w:id="159" w:name="_Toc391913690"/>
      <w:bookmarkStart w:id="160" w:name="_Toc391914786"/>
      <w:bookmarkStart w:id="161" w:name="_Toc391915330"/>
      <w:bookmarkStart w:id="162" w:name="_Toc391915874"/>
      <w:bookmarkStart w:id="163" w:name="_Toc391918238"/>
      <w:bookmarkStart w:id="164" w:name="_Toc391920022"/>
      <w:bookmarkStart w:id="165" w:name="_Toc391892814"/>
      <w:bookmarkStart w:id="166" w:name="_Toc391913159"/>
      <w:bookmarkStart w:id="167" w:name="_Toc391913704"/>
      <w:bookmarkStart w:id="168" w:name="_Toc391914800"/>
      <w:bookmarkStart w:id="169" w:name="_Toc391915344"/>
      <w:bookmarkStart w:id="170" w:name="_Toc391915888"/>
      <w:bookmarkStart w:id="171" w:name="_Toc391918252"/>
      <w:bookmarkStart w:id="172" w:name="_Toc391920036"/>
      <w:bookmarkStart w:id="173" w:name="_Figure_1._PRISMA"/>
      <w:bookmarkStart w:id="174" w:name="_Toc391892861"/>
      <w:bookmarkStart w:id="175" w:name="_Toc391913206"/>
      <w:bookmarkStart w:id="176" w:name="_Toc391913751"/>
      <w:bookmarkStart w:id="177" w:name="_Toc391914847"/>
      <w:bookmarkStart w:id="178" w:name="_Toc391915391"/>
      <w:bookmarkStart w:id="179" w:name="_Toc391915935"/>
      <w:bookmarkStart w:id="180" w:name="_Toc391918299"/>
      <w:bookmarkStart w:id="181" w:name="_Toc391920083"/>
      <w:bookmarkStart w:id="182" w:name="_Toc384682990"/>
      <w:bookmarkStart w:id="183" w:name="_Toc391913752"/>
      <w:bookmarkStart w:id="184" w:name="_Toc402543818"/>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r w:rsidRPr="00E14060">
        <w:rPr>
          <w:color w:val="auto"/>
          <w:lang w:val="en-GB"/>
        </w:rPr>
        <w:lastRenderedPageBreak/>
        <w:t>Data Extraction</w:t>
      </w:r>
      <w:bookmarkEnd w:id="182"/>
      <w:bookmarkEnd w:id="183"/>
      <w:bookmarkEnd w:id="184"/>
    </w:p>
    <w:p w14:paraId="7B3658E7" w14:textId="77777777" w:rsidR="002F347E" w:rsidRPr="00E14060" w:rsidRDefault="00DF2ABB" w:rsidP="00447896">
      <w:pPr>
        <w:spacing w:before="240" w:after="240" w:line="360" w:lineRule="auto"/>
        <w:rPr>
          <w:sz w:val="24"/>
          <w:lang w:val="en-GB"/>
        </w:rPr>
      </w:pPr>
      <w:r w:rsidRPr="00E14060">
        <w:rPr>
          <w:sz w:val="24"/>
          <w:lang w:val="en-GB"/>
        </w:rPr>
        <w:t xml:space="preserve">After the articles were selected, </w:t>
      </w:r>
      <w:r w:rsidR="002F347E" w:rsidRPr="00E14060">
        <w:rPr>
          <w:sz w:val="24"/>
          <w:lang w:val="en-GB"/>
        </w:rPr>
        <w:t xml:space="preserve">two reviewers independently extracted and tabulated the information using </w:t>
      </w:r>
      <w:r w:rsidR="00AA207A" w:rsidRPr="00E14060">
        <w:rPr>
          <w:sz w:val="24"/>
          <w:lang w:val="en-GB"/>
        </w:rPr>
        <w:t xml:space="preserve">templates designed </w:t>
      </w:r>
      <w:r w:rsidR="00AA207A" w:rsidRPr="00E14060">
        <w:rPr>
          <w:i/>
          <w:sz w:val="24"/>
          <w:lang w:val="en-GB"/>
        </w:rPr>
        <w:t>a priori</w:t>
      </w:r>
      <w:r w:rsidR="002F347E" w:rsidRPr="00E14060">
        <w:rPr>
          <w:sz w:val="24"/>
          <w:lang w:val="en-GB"/>
        </w:rPr>
        <w:t xml:space="preserve">. </w:t>
      </w:r>
      <w:r w:rsidR="00D56607" w:rsidRPr="00E14060">
        <w:rPr>
          <w:sz w:val="24"/>
          <w:lang w:val="en-GB"/>
        </w:rPr>
        <w:t xml:space="preserve">Any </w:t>
      </w:r>
      <w:r w:rsidR="002F347E" w:rsidRPr="00E14060">
        <w:rPr>
          <w:sz w:val="24"/>
          <w:lang w:val="en-GB"/>
        </w:rPr>
        <w:t xml:space="preserve">discrepancies </w:t>
      </w:r>
      <w:r w:rsidR="00D56607" w:rsidRPr="00E14060">
        <w:rPr>
          <w:sz w:val="24"/>
          <w:lang w:val="en-GB"/>
        </w:rPr>
        <w:t xml:space="preserve">in data extracted </w:t>
      </w:r>
      <w:r w:rsidR="002F347E" w:rsidRPr="00E14060">
        <w:rPr>
          <w:sz w:val="24"/>
          <w:lang w:val="en-GB"/>
        </w:rPr>
        <w:t xml:space="preserve">between reviewers were discussed or consulted with a third reviewer to reach </w:t>
      </w:r>
      <w:r w:rsidR="00C44427" w:rsidRPr="00E14060">
        <w:rPr>
          <w:sz w:val="24"/>
          <w:szCs w:val="24"/>
          <w:lang w:val="en-GB"/>
        </w:rPr>
        <w:t>consensus</w:t>
      </w:r>
      <w:r w:rsidR="002F347E" w:rsidRPr="00E14060">
        <w:rPr>
          <w:sz w:val="24"/>
          <w:lang w:val="en-GB"/>
        </w:rPr>
        <w:t xml:space="preserve">. </w:t>
      </w:r>
      <w:r w:rsidR="00AA207A" w:rsidRPr="00E14060">
        <w:rPr>
          <w:sz w:val="24"/>
          <w:lang w:val="en-GB"/>
        </w:rPr>
        <w:t>The following information was extracted from each selected article:</w:t>
      </w:r>
    </w:p>
    <w:p w14:paraId="6EFD86FB" w14:textId="77777777" w:rsidR="00AA207A" w:rsidRPr="00E14060" w:rsidRDefault="00AA207A" w:rsidP="00571887">
      <w:pPr>
        <w:numPr>
          <w:ilvl w:val="0"/>
          <w:numId w:val="24"/>
        </w:numPr>
        <w:spacing w:before="240" w:after="240" w:line="360" w:lineRule="auto"/>
        <w:rPr>
          <w:sz w:val="24"/>
          <w:lang w:val="en-GB"/>
        </w:rPr>
      </w:pPr>
      <w:r w:rsidRPr="00E14060">
        <w:rPr>
          <w:sz w:val="24"/>
          <w:lang w:val="en-GB"/>
        </w:rPr>
        <w:t>Bibliographic information: author name, year published, sponsor, title, objective and primary study citation</w:t>
      </w:r>
    </w:p>
    <w:p w14:paraId="0F304F23" w14:textId="77777777" w:rsidR="00AA207A" w:rsidRPr="00E14060" w:rsidRDefault="00AA207A" w:rsidP="00571887">
      <w:pPr>
        <w:numPr>
          <w:ilvl w:val="0"/>
          <w:numId w:val="24"/>
        </w:numPr>
        <w:spacing w:before="240" w:after="240" w:line="360" w:lineRule="auto"/>
        <w:rPr>
          <w:sz w:val="24"/>
          <w:lang w:val="en-GB"/>
        </w:rPr>
      </w:pPr>
      <w:r w:rsidRPr="00E14060">
        <w:rPr>
          <w:sz w:val="24"/>
          <w:lang w:val="en-GB"/>
        </w:rPr>
        <w:t>Characteristics of selected trial: study design, interventions and comparators, study drug dosage, timing of endpoints, primary and secondary outcomes</w:t>
      </w:r>
    </w:p>
    <w:p w14:paraId="4B58A03F" w14:textId="77777777" w:rsidR="00AA207A" w:rsidRPr="00E14060" w:rsidRDefault="00AA207A" w:rsidP="00571887">
      <w:pPr>
        <w:numPr>
          <w:ilvl w:val="0"/>
          <w:numId w:val="24"/>
        </w:numPr>
        <w:spacing w:before="240" w:after="240" w:line="360" w:lineRule="auto"/>
        <w:rPr>
          <w:sz w:val="24"/>
          <w:lang w:val="en-GB"/>
        </w:rPr>
      </w:pPr>
      <w:r w:rsidRPr="00E14060">
        <w:rPr>
          <w:sz w:val="24"/>
          <w:lang w:val="en-GB"/>
        </w:rPr>
        <w:t>Inclusion and exclusion criteria</w:t>
      </w:r>
    </w:p>
    <w:p w14:paraId="22086303" w14:textId="77777777" w:rsidR="00AA207A" w:rsidRPr="00E14060" w:rsidRDefault="00AA207A" w:rsidP="00571887">
      <w:pPr>
        <w:numPr>
          <w:ilvl w:val="0"/>
          <w:numId w:val="24"/>
        </w:numPr>
        <w:spacing w:before="240" w:after="240" w:line="360" w:lineRule="auto"/>
        <w:rPr>
          <w:sz w:val="24"/>
          <w:lang w:val="en-GB"/>
        </w:rPr>
      </w:pPr>
      <w:r w:rsidRPr="00E14060">
        <w:rPr>
          <w:sz w:val="24"/>
          <w:lang w:val="en-GB"/>
        </w:rPr>
        <w:t>Patient baseline demographics and characteristics</w:t>
      </w:r>
      <w:r w:rsidR="004B4D43" w:rsidRPr="00E14060">
        <w:rPr>
          <w:sz w:val="24"/>
          <w:lang w:val="en-GB"/>
        </w:rPr>
        <w:t xml:space="preserve"> by randomized dosing arms and/or for all patients</w:t>
      </w:r>
      <w:r w:rsidRPr="00E14060">
        <w:rPr>
          <w:sz w:val="24"/>
          <w:lang w:val="en-GB"/>
        </w:rPr>
        <w:t>: sample size, age, gender, race, baseline ADHD-RS-IV total scores, and comorbidities</w:t>
      </w:r>
    </w:p>
    <w:p w14:paraId="36CB2090" w14:textId="1E9B6616" w:rsidR="00AA207A" w:rsidRPr="00E14060" w:rsidRDefault="00AA207A" w:rsidP="00571887">
      <w:pPr>
        <w:numPr>
          <w:ilvl w:val="0"/>
          <w:numId w:val="24"/>
        </w:numPr>
        <w:spacing w:before="240" w:after="240" w:line="360" w:lineRule="auto"/>
        <w:rPr>
          <w:sz w:val="24"/>
          <w:lang w:val="en-GB"/>
        </w:rPr>
      </w:pPr>
      <w:r w:rsidRPr="00E14060">
        <w:rPr>
          <w:sz w:val="24"/>
          <w:lang w:val="en-GB"/>
        </w:rPr>
        <w:t>Reported outcomes</w:t>
      </w:r>
      <w:r w:rsidR="00E52722" w:rsidRPr="00E14060">
        <w:rPr>
          <w:sz w:val="24"/>
          <w:lang w:val="en-GB"/>
        </w:rPr>
        <w:t xml:space="preserve"> of interest</w:t>
      </w:r>
      <w:r w:rsidR="00D42E85" w:rsidRPr="00E14060">
        <w:rPr>
          <w:sz w:val="24"/>
          <w:lang w:val="en-GB"/>
        </w:rPr>
        <w:t xml:space="preserve">, as listed in </w:t>
      </w:r>
      <w:r w:rsidR="00EB6503" w:rsidRPr="00E14060">
        <w:rPr>
          <w:b/>
          <w:sz w:val="24"/>
          <w:lang w:val="en-GB"/>
        </w:rPr>
        <w:t>Table 1</w:t>
      </w:r>
    </w:p>
    <w:p w14:paraId="29AD102D" w14:textId="77777777" w:rsidR="005864B8" w:rsidRPr="00E14060" w:rsidRDefault="0094203A" w:rsidP="009375DF">
      <w:pPr>
        <w:spacing w:line="360" w:lineRule="auto"/>
        <w:rPr>
          <w:rFonts w:eastAsia="SimSun"/>
          <w:iCs/>
          <w:sz w:val="24"/>
          <w:szCs w:val="24"/>
          <w:lang w:val="en-GB" w:eastAsia="zh-CN"/>
        </w:rPr>
      </w:pPr>
      <w:r w:rsidRPr="00E14060">
        <w:rPr>
          <w:sz w:val="24"/>
          <w:szCs w:val="24"/>
          <w:lang w:val="en-GB"/>
        </w:rPr>
        <w:t>The extracted information was primarily based on the published article</w:t>
      </w:r>
      <w:r w:rsidR="000261D0" w:rsidRPr="00E14060">
        <w:rPr>
          <w:sz w:val="24"/>
          <w:szCs w:val="24"/>
          <w:lang w:val="en-GB"/>
        </w:rPr>
        <w:t xml:space="preserve"> or, in the absence of a published article, a</w:t>
      </w:r>
      <w:r w:rsidR="000F4338" w:rsidRPr="00E14060">
        <w:rPr>
          <w:sz w:val="24"/>
          <w:szCs w:val="24"/>
          <w:lang w:val="en-GB"/>
        </w:rPr>
        <w:t xml:space="preserve"> peer-reviewed </w:t>
      </w:r>
      <w:r w:rsidR="000261D0" w:rsidRPr="00E14060">
        <w:rPr>
          <w:sz w:val="24"/>
          <w:szCs w:val="24"/>
          <w:lang w:val="en-GB"/>
        </w:rPr>
        <w:t xml:space="preserve">abstract, poster, or other record </w:t>
      </w:r>
      <w:r w:rsidR="008A5F07" w:rsidRPr="00E14060">
        <w:rPr>
          <w:sz w:val="24"/>
          <w:szCs w:val="24"/>
          <w:lang w:val="en-GB"/>
        </w:rPr>
        <w:t>containing</w:t>
      </w:r>
      <w:r w:rsidR="000261D0" w:rsidRPr="00E14060">
        <w:rPr>
          <w:sz w:val="24"/>
          <w:szCs w:val="24"/>
          <w:lang w:val="en-GB"/>
        </w:rPr>
        <w:t xml:space="preserve"> complete and adequate information.</w:t>
      </w:r>
    </w:p>
    <w:p w14:paraId="6F525C58" w14:textId="77777777" w:rsidR="00DD43E0" w:rsidRPr="00E14060" w:rsidRDefault="00DD43E0" w:rsidP="009375DF">
      <w:pPr>
        <w:rPr>
          <w:lang w:val="en-GB"/>
        </w:rPr>
      </w:pPr>
    </w:p>
    <w:p w14:paraId="45AD9F8B" w14:textId="77777777" w:rsidR="007274ED" w:rsidRPr="00E14060" w:rsidRDefault="007274ED" w:rsidP="009375DF">
      <w:pPr>
        <w:pStyle w:val="Heading2"/>
        <w:tabs>
          <w:tab w:val="clear" w:pos="936"/>
          <w:tab w:val="clear" w:pos="1152"/>
          <w:tab w:val="left" w:pos="0"/>
        </w:tabs>
        <w:ind w:left="0" w:firstLine="0"/>
        <w:rPr>
          <w:color w:val="auto"/>
          <w:lang w:val="en-GB"/>
        </w:rPr>
      </w:pPr>
      <w:bookmarkStart w:id="185" w:name="_Toc384682991"/>
      <w:bookmarkStart w:id="186" w:name="_Toc391913753"/>
      <w:bookmarkStart w:id="187" w:name="_Toc402543819"/>
      <w:r w:rsidRPr="00E14060">
        <w:rPr>
          <w:color w:val="auto"/>
          <w:lang w:val="en-GB"/>
        </w:rPr>
        <w:t>Identification of interventions and outcomes to be included in the MTC</w:t>
      </w:r>
      <w:bookmarkEnd w:id="185"/>
      <w:bookmarkEnd w:id="186"/>
      <w:bookmarkEnd w:id="187"/>
    </w:p>
    <w:p w14:paraId="30CE6FD6" w14:textId="77777777" w:rsidR="00DD43E0" w:rsidRPr="00E14060" w:rsidRDefault="00DD43E0" w:rsidP="009375DF">
      <w:pPr>
        <w:pStyle w:val="Heading3"/>
        <w:rPr>
          <w:color w:val="auto"/>
          <w:lang w:val="en-GB"/>
        </w:rPr>
      </w:pPr>
      <w:bookmarkStart w:id="188" w:name="_Toc384682992"/>
      <w:bookmarkStart w:id="189" w:name="_Toc391913754"/>
      <w:bookmarkStart w:id="190" w:name="_Toc402543820"/>
      <w:r w:rsidRPr="00E14060">
        <w:rPr>
          <w:color w:val="auto"/>
          <w:lang w:val="en-GB"/>
        </w:rPr>
        <w:t>Selection of final set of interventions for meta-analysis</w:t>
      </w:r>
      <w:bookmarkEnd w:id="188"/>
      <w:bookmarkEnd w:id="189"/>
      <w:bookmarkEnd w:id="190"/>
    </w:p>
    <w:p w14:paraId="7AA5447F" w14:textId="77777777" w:rsidR="006F6803" w:rsidRPr="00E14060" w:rsidRDefault="006F6803" w:rsidP="0091037F">
      <w:pPr>
        <w:spacing w:line="360" w:lineRule="auto"/>
        <w:rPr>
          <w:sz w:val="24"/>
          <w:szCs w:val="24"/>
          <w:lang w:val="en-GB"/>
        </w:rPr>
      </w:pPr>
      <w:r w:rsidRPr="00E14060">
        <w:rPr>
          <w:sz w:val="24"/>
          <w:szCs w:val="24"/>
          <w:lang w:val="en-GB"/>
        </w:rPr>
        <w:t xml:space="preserve">The </w:t>
      </w:r>
      <w:r w:rsidR="003F6865" w:rsidRPr="00E14060">
        <w:rPr>
          <w:sz w:val="24"/>
          <w:szCs w:val="24"/>
          <w:lang w:val="en-GB"/>
        </w:rPr>
        <w:t>interventions</w:t>
      </w:r>
      <w:r w:rsidRPr="00E14060">
        <w:rPr>
          <w:sz w:val="24"/>
          <w:szCs w:val="24"/>
          <w:lang w:val="en-GB"/>
        </w:rPr>
        <w:t xml:space="preserve"> determined to be feasible and most pertinent for the meta-analysis were LDX, ATX, MPH-IR, and MPH-ER/OROS. The following treatments were excluded from the final analysis for the reasons listed below:</w:t>
      </w:r>
    </w:p>
    <w:p w14:paraId="3141C196" w14:textId="77777777" w:rsidR="006F6803" w:rsidRPr="00E14060" w:rsidRDefault="006F6803" w:rsidP="0091037F">
      <w:pPr>
        <w:pStyle w:val="ListParagraph"/>
        <w:numPr>
          <w:ilvl w:val="0"/>
          <w:numId w:val="64"/>
        </w:numPr>
        <w:spacing w:after="0" w:line="360" w:lineRule="auto"/>
        <w:rPr>
          <w:rFonts w:ascii="Times New Roman" w:hAnsi="Times New Roman"/>
          <w:sz w:val="24"/>
          <w:lang w:val="en-GB"/>
        </w:rPr>
      </w:pPr>
      <w:r w:rsidRPr="00E14060">
        <w:rPr>
          <w:rFonts w:ascii="Times New Roman" w:eastAsia="Times New Roman" w:hAnsi="Times New Roman"/>
          <w:i w:val="0"/>
          <w:iCs w:val="0"/>
          <w:sz w:val="24"/>
          <w:lang w:val="en-GB" w:eastAsia="en-US"/>
        </w:rPr>
        <w:t>Amphetamine:</w:t>
      </w:r>
      <w:r w:rsidR="00D56607" w:rsidRPr="00E14060">
        <w:rPr>
          <w:rFonts w:ascii="Times New Roman" w:eastAsia="Times New Roman" w:hAnsi="Times New Roman"/>
          <w:i w:val="0"/>
          <w:iCs w:val="0"/>
          <w:sz w:val="24"/>
          <w:lang w:val="en-GB" w:eastAsia="en-US"/>
        </w:rPr>
        <w:t xml:space="preserve"> not approved in the UK for the treatment of ADHD in adults</w:t>
      </w:r>
    </w:p>
    <w:p w14:paraId="42AC5E4D" w14:textId="77777777" w:rsidR="006F6803" w:rsidRPr="00E14060" w:rsidRDefault="006F6803" w:rsidP="0091037F">
      <w:pPr>
        <w:pStyle w:val="ListParagraph"/>
        <w:numPr>
          <w:ilvl w:val="0"/>
          <w:numId w:val="64"/>
        </w:numPr>
        <w:spacing w:after="0" w:line="360" w:lineRule="auto"/>
        <w:rPr>
          <w:rFonts w:ascii="Times New Roman" w:hAnsi="Times New Roman"/>
          <w:sz w:val="24"/>
          <w:lang w:val="en-GB"/>
        </w:rPr>
      </w:pPr>
      <w:r w:rsidRPr="00E14060">
        <w:rPr>
          <w:rFonts w:ascii="Times New Roman" w:eastAsia="Times New Roman" w:hAnsi="Times New Roman"/>
          <w:i w:val="0"/>
          <w:iCs w:val="0"/>
          <w:sz w:val="24"/>
          <w:lang w:val="en-GB" w:eastAsia="en-US"/>
        </w:rPr>
        <w:lastRenderedPageBreak/>
        <w:t>Dexamphetamine:</w:t>
      </w:r>
      <w:r w:rsidR="00D56607" w:rsidRPr="00E14060">
        <w:rPr>
          <w:rFonts w:ascii="Times New Roman" w:hAnsi="Times New Roman"/>
          <w:lang w:val="en-GB"/>
        </w:rPr>
        <w:t xml:space="preserve"> </w:t>
      </w:r>
      <w:r w:rsidR="00D56607" w:rsidRPr="00E14060">
        <w:rPr>
          <w:rFonts w:ascii="Times New Roman" w:eastAsia="Times New Roman" w:hAnsi="Times New Roman"/>
          <w:i w:val="0"/>
          <w:iCs w:val="0"/>
          <w:sz w:val="24"/>
          <w:lang w:val="en-GB" w:eastAsia="en-US"/>
        </w:rPr>
        <w:t>not approved in the UK for the treatment of ADHD in adults</w:t>
      </w:r>
    </w:p>
    <w:p w14:paraId="69AA7C66" w14:textId="77777777" w:rsidR="00DD43E0" w:rsidRPr="00E14060" w:rsidRDefault="006F6803" w:rsidP="0091037F">
      <w:pPr>
        <w:pStyle w:val="ListParagraph"/>
        <w:numPr>
          <w:ilvl w:val="0"/>
          <w:numId w:val="64"/>
        </w:numPr>
        <w:spacing w:after="0" w:line="360" w:lineRule="auto"/>
        <w:rPr>
          <w:rFonts w:ascii="Times New Roman" w:hAnsi="Times New Roman"/>
          <w:sz w:val="24"/>
          <w:lang w:val="en-GB"/>
        </w:rPr>
      </w:pPr>
      <w:r w:rsidRPr="00E14060">
        <w:rPr>
          <w:rFonts w:ascii="Times New Roman" w:eastAsia="Times New Roman" w:hAnsi="Times New Roman"/>
          <w:i w:val="0"/>
          <w:iCs w:val="0"/>
          <w:sz w:val="24"/>
          <w:lang w:val="en-GB" w:eastAsia="en-US"/>
        </w:rPr>
        <w:t>MPH-LA:</w:t>
      </w:r>
      <w:r w:rsidR="00DF1778" w:rsidRPr="00E14060">
        <w:rPr>
          <w:rFonts w:ascii="Times New Roman" w:eastAsia="Times New Roman" w:hAnsi="Times New Roman"/>
          <w:i w:val="0"/>
          <w:iCs w:val="0"/>
          <w:sz w:val="24"/>
          <w:lang w:val="en-GB" w:eastAsia="en-US"/>
        </w:rPr>
        <w:t xml:space="preserve"> classified as neither MPH-ER nor MPH-IR</w:t>
      </w:r>
    </w:p>
    <w:p w14:paraId="4C733962" w14:textId="48B87E0F" w:rsidR="003F6865" w:rsidRPr="00E14060" w:rsidRDefault="003F6865" w:rsidP="00992316">
      <w:pPr>
        <w:spacing w:before="240" w:after="240" w:line="360" w:lineRule="auto"/>
        <w:rPr>
          <w:sz w:val="24"/>
          <w:szCs w:val="24"/>
          <w:lang w:val="en-GB"/>
        </w:rPr>
      </w:pPr>
      <w:r w:rsidRPr="00E14060">
        <w:rPr>
          <w:sz w:val="24"/>
          <w:szCs w:val="24"/>
          <w:lang w:val="en-GB"/>
        </w:rPr>
        <w:t>In many cases, studies did not specify the form of MPH (IR or ER) administered.</w:t>
      </w:r>
      <w:r w:rsidR="00241DBD" w:rsidRPr="00E14060">
        <w:rPr>
          <w:sz w:val="24"/>
          <w:szCs w:val="24"/>
          <w:lang w:val="en-GB"/>
        </w:rPr>
        <w:t xml:space="preserve"> </w:t>
      </w:r>
      <w:r w:rsidRPr="00E14060">
        <w:rPr>
          <w:sz w:val="24"/>
          <w:szCs w:val="24"/>
          <w:lang w:val="en-GB"/>
        </w:rPr>
        <w:t xml:space="preserve">As a proxy for the definitions of intermediate/extended release and immediate release MPH, MPH treatment was classified as MPH-IR during the screening if the drug was administered greater than two times a day; otherwise, the treatment was classified as MPH-ER. All osmotic release oral system MPH (MPH-OROS) studies were classified as MPH-ER. </w:t>
      </w:r>
    </w:p>
    <w:p w14:paraId="7B6D46C1" w14:textId="77777777" w:rsidR="005864B8" w:rsidRPr="00E14060" w:rsidRDefault="005864B8" w:rsidP="005864B8">
      <w:pPr>
        <w:pStyle w:val="Heading3"/>
        <w:rPr>
          <w:color w:val="auto"/>
          <w:lang w:val="en-GB"/>
        </w:rPr>
      </w:pPr>
      <w:bookmarkStart w:id="191" w:name="_Toc384075876"/>
      <w:bookmarkStart w:id="192" w:name="_Toc384682993"/>
      <w:bookmarkStart w:id="193" w:name="_Toc391913755"/>
      <w:bookmarkStart w:id="194" w:name="_Toc402543821"/>
      <w:r w:rsidRPr="00E14060">
        <w:rPr>
          <w:color w:val="auto"/>
          <w:lang w:val="en-GB"/>
        </w:rPr>
        <w:t>Selection of end-points for meta-analysis</w:t>
      </w:r>
      <w:bookmarkEnd w:id="191"/>
      <w:bookmarkEnd w:id="192"/>
      <w:bookmarkEnd w:id="193"/>
      <w:bookmarkEnd w:id="194"/>
    </w:p>
    <w:p w14:paraId="2A40585E" w14:textId="503E1BAA" w:rsidR="00D1733E" w:rsidRPr="00E14060" w:rsidRDefault="000E1697" w:rsidP="00D1733E">
      <w:pPr>
        <w:spacing w:before="240" w:after="240" w:line="360" w:lineRule="auto"/>
        <w:rPr>
          <w:sz w:val="24"/>
          <w:szCs w:val="24"/>
          <w:lang w:val="en-GB"/>
        </w:rPr>
      </w:pPr>
      <w:r w:rsidRPr="00E14060">
        <w:rPr>
          <w:sz w:val="24"/>
          <w:szCs w:val="24"/>
          <w:lang w:val="en-GB"/>
        </w:rPr>
        <w:t xml:space="preserve">The outcomes chosen were those for which </w:t>
      </w:r>
      <w:r w:rsidR="00D1733E" w:rsidRPr="00E14060">
        <w:rPr>
          <w:sz w:val="24"/>
          <w:szCs w:val="24"/>
          <w:lang w:val="en-GB"/>
        </w:rPr>
        <w:t xml:space="preserve">treatments could be compared against LDX in a </w:t>
      </w:r>
      <w:r w:rsidRPr="00E14060">
        <w:rPr>
          <w:sz w:val="24"/>
          <w:szCs w:val="24"/>
          <w:lang w:val="en-GB"/>
        </w:rPr>
        <w:t>MTC</w:t>
      </w:r>
      <w:r w:rsidR="00D1733E" w:rsidRPr="00E14060">
        <w:rPr>
          <w:sz w:val="24"/>
          <w:szCs w:val="24"/>
          <w:lang w:val="en-GB"/>
        </w:rPr>
        <w:t>.</w:t>
      </w:r>
      <w:r w:rsidR="00241DBD" w:rsidRPr="00E14060">
        <w:rPr>
          <w:sz w:val="24"/>
          <w:szCs w:val="24"/>
          <w:lang w:val="en-GB"/>
        </w:rPr>
        <w:t xml:space="preserve"> </w:t>
      </w:r>
      <w:r w:rsidRPr="00E14060">
        <w:rPr>
          <w:sz w:val="24"/>
          <w:szCs w:val="24"/>
          <w:lang w:val="en-GB"/>
        </w:rPr>
        <w:t xml:space="preserve">To be included, an outcome had to be reported in an LDX trial, and had to be available in trials of other drugs that formed a connected network with LDX via </w:t>
      </w:r>
      <w:r w:rsidR="00984D0E" w:rsidRPr="00E14060">
        <w:rPr>
          <w:sz w:val="24"/>
          <w:szCs w:val="24"/>
          <w:lang w:val="en-GB"/>
        </w:rPr>
        <w:t xml:space="preserve">any </w:t>
      </w:r>
      <w:r w:rsidRPr="00E14060">
        <w:rPr>
          <w:sz w:val="24"/>
          <w:szCs w:val="24"/>
          <w:lang w:val="en-GB"/>
        </w:rPr>
        <w:t xml:space="preserve">common comparators </w:t>
      </w:r>
      <w:r w:rsidR="00984D0E" w:rsidRPr="00E14060">
        <w:rPr>
          <w:sz w:val="24"/>
          <w:szCs w:val="24"/>
          <w:lang w:val="en-GB"/>
        </w:rPr>
        <w:t>(</w:t>
      </w:r>
      <w:r w:rsidR="00694C1C" w:rsidRPr="00E14060">
        <w:rPr>
          <w:sz w:val="24"/>
          <w:szCs w:val="24"/>
          <w:lang w:val="en-GB"/>
        </w:rPr>
        <w:t>i.e.</w:t>
      </w:r>
      <w:r w:rsidR="00AA2756" w:rsidRPr="00E14060">
        <w:rPr>
          <w:sz w:val="24"/>
          <w:szCs w:val="24"/>
          <w:lang w:val="en-GB"/>
        </w:rPr>
        <w:t>,</w:t>
      </w:r>
      <w:r w:rsidR="00984D0E" w:rsidRPr="00E14060">
        <w:rPr>
          <w:sz w:val="24"/>
          <w:szCs w:val="24"/>
          <w:lang w:val="en-GB"/>
        </w:rPr>
        <w:t xml:space="preserve"> active or </w:t>
      </w:r>
      <w:r w:rsidRPr="00E14060">
        <w:rPr>
          <w:sz w:val="24"/>
          <w:szCs w:val="24"/>
          <w:lang w:val="en-GB"/>
        </w:rPr>
        <w:t>placebo</w:t>
      </w:r>
      <w:r w:rsidR="00984D0E" w:rsidRPr="00E14060">
        <w:rPr>
          <w:sz w:val="24"/>
          <w:szCs w:val="24"/>
          <w:lang w:val="en-GB"/>
        </w:rPr>
        <w:t>)</w:t>
      </w:r>
      <w:r w:rsidRPr="00E14060">
        <w:rPr>
          <w:sz w:val="24"/>
          <w:szCs w:val="24"/>
          <w:lang w:val="en-GB"/>
        </w:rPr>
        <w:t>.</w:t>
      </w:r>
      <w:r w:rsidR="00241DBD" w:rsidRPr="00E14060">
        <w:rPr>
          <w:sz w:val="24"/>
          <w:szCs w:val="24"/>
          <w:lang w:val="en-GB"/>
        </w:rPr>
        <w:t xml:space="preserve"> </w:t>
      </w:r>
      <w:r w:rsidRPr="00E14060">
        <w:rPr>
          <w:sz w:val="24"/>
          <w:szCs w:val="24"/>
          <w:lang w:val="en-GB"/>
        </w:rPr>
        <w:t xml:space="preserve">In addition, the outcome had to be </w:t>
      </w:r>
      <w:r w:rsidR="00D1733E" w:rsidRPr="00E14060">
        <w:rPr>
          <w:sz w:val="24"/>
          <w:szCs w:val="24"/>
          <w:lang w:val="en-GB"/>
        </w:rPr>
        <w:t>report</w:t>
      </w:r>
      <w:r w:rsidRPr="00E14060">
        <w:rPr>
          <w:sz w:val="24"/>
          <w:szCs w:val="24"/>
          <w:lang w:val="en-GB"/>
        </w:rPr>
        <w:t>ed</w:t>
      </w:r>
      <w:r w:rsidR="00D1733E" w:rsidRPr="00E14060">
        <w:rPr>
          <w:sz w:val="24"/>
          <w:szCs w:val="24"/>
          <w:lang w:val="en-GB"/>
        </w:rPr>
        <w:t xml:space="preserve"> in</w:t>
      </w:r>
      <w:r w:rsidRPr="00E14060">
        <w:rPr>
          <w:sz w:val="24"/>
          <w:szCs w:val="24"/>
          <w:lang w:val="en-GB"/>
        </w:rPr>
        <w:t xml:space="preserve"> a</w:t>
      </w:r>
      <w:r w:rsidR="00D1733E" w:rsidRPr="00E14060">
        <w:rPr>
          <w:sz w:val="24"/>
          <w:szCs w:val="24"/>
          <w:lang w:val="en-GB"/>
        </w:rPr>
        <w:t xml:space="preserve"> form that w</w:t>
      </w:r>
      <w:r w:rsidRPr="00E14060">
        <w:rPr>
          <w:sz w:val="24"/>
          <w:szCs w:val="24"/>
          <w:lang w:val="en-GB"/>
        </w:rPr>
        <w:t>as</w:t>
      </w:r>
      <w:r w:rsidR="00D1733E" w:rsidRPr="00E14060">
        <w:rPr>
          <w:sz w:val="24"/>
          <w:szCs w:val="24"/>
          <w:lang w:val="en-GB"/>
        </w:rPr>
        <w:t xml:space="preserve"> usable in the analysis and comparable across trials.</w:t>
      </w:r>
      <w:r w:rsidR="00241DBD" w:rsidRPr="00E14060">
        <w:rPr>
          <w:sz w:val="24"/>
          <w:szCs w:val="24"/>
          <w:lang w:val="en-GB"/>
        </w:rPr>
        <w:t xml:space="preserve"> </w:t>
      </w:r>
      <w:r w:rsidR="00D1733E" w:rsidRPr="00E14060">
        <w:rPr>
          <w:sz w:val="24"/>
          <w:szCs w:val="24"/>
          <w:lang w:val="en-GB"/>
        </w:rPr>
        <w:t>In the case of continuous outcomes, availability of standard errors (SEs)</w:t>
      </w:r>
      <w:r w:rsidR="009A1CBE" w:rsidRPr="00E14060">
        <w:rPr>
          <w:sz w:val="24"/>
          <w:szCs w:val="24"/>
          <w:lang w:val="en-GB"/>
        </w:rPr>
        <w:t>, either directly or through calculations</w:t>
      </w:r>
      <w:r w:rsidR="00485162" w:rsidRPr="00E14060">
        <w:rPr>
          <w:sz w:val="24"/>
          <w:szCs w:val="24"/>
          <w:lang w:val="en-GB"/>
        </w:rPr>
        <w:t xml:space="preserve"> using 95% confidence intervals, p-values, or standard deviations reported in the publication</w:t>
      </w:r>
      <w:r w:rsidR="009A1CBE" w:rsidRPr="00E14060">
        <w:rPr>
          <w:sz w:val="24"/>
          <w:szCs w:val="24"/>
          <w:lang w:val="en-GB"/>
        </w:rPr>
        <w:t>,</w:t>
      </w:r>
      <w:r w:rsidR="00D1733E" w:rsidRPr="00E14060">
        <w:rPr>
          <w:sz w:val="24"/>
          <w:szCs w:val="24"/>
          <w:lang w:val="en-GB"/>
        </w:rPr>
        <w:t xml:space="preserve"> was required in each arm. For dichotomous outcomes, the number of patients achieving the outcome, as well as the total sample size, was required in each arm.</w:t>
      </w:r>
    </w:p>
    <w:p w14:paraId="018AEA8A" w14:textId="77777777" w:rsidR="00D1733E" w:rsidRPr="00E14060" w:rsidRDefault="000D7285" w:rsidP="00D1733E">
      <w:pPr>
        <w:spacing w:before="240" w:after="240" w:line="360" w:lineRule="auto"/>
        <w:rPr>
          <w:rFonts w:eastAsia="SimSun"/>
          <w:sz w:val="24"/>
          <w:szCs w:val="24"/>
          <w:lang w:val="en-GB" w:eastAsia="zh-CN"/>
        </w:rPr>
      </w:pPr>
      <w:r w:rsidRPr="00E14060">
        <w:rPr>
          <w:b/>
          <w:sz w:val="24"/>
          <w:szCs w:val="24"/>
          <w:lang w:val="en-GB"/>
        </w:rPr>
        <w:t xml:space="preserve">Included </w:t>
      </w:r>
      <w:r w:rsidR="00D1733E" w:rsidRPr="00E14060">
        <w:rPr>
          <w:b/>
          <w:sz w:val="24"/>
          <w:szCs w:val="24"/>
          <w:lang w:val="en-GB"/>
        </w:rPr>
        <w:t>outcomes</w:t>
      </w:r>
      <w:r w:rsidR="00D1733E" w:rsidRPr="00E14060">
        <w:rPr>
          <w:rFonts w:eastAsia="SimSun"/>
          <w:sz w:val="24"/>
          <w:szCs w:val="24"/>
          <w:lang w:val="en-GB" w:eastAsia="zh-CN"/>
        </w:rPr>
        <w:t>:</w:t>
      </w:r>
    </w:p>
    <w:p w14:paraId="4954622F" w14:textId="77777777" w:rsidR="00D1733E" w:rsidRPr="00E14060" w:rsidRDefault="00D1733E" w:rsidP="00D1733E">
      <w:pPr>
        <w:pStyle w:val="ListParagraph"/>
        <w:numPr>
          <w:ilvl w:val="0"/>
          <w:numId w:val="48"/>
        </w:numPr>
        <w:spacing w:before="240" w:after="240" w:line="360" w:lineRule="auto"/>
        <w:rPr>
          <w:rFonts w:ascii="Times New Roman" w:hAnsi="Times New Roman"/>
          <w:i w:val="0"/>
          <w:sz w:val="24"/>
          <w:szCs w:val="24"/>
          <w:lang w:val="en-GB"/>
        </w:rPr>
      </w:pPr>
      <w:r w:rsidRPr="00E14060">
        <w:rPr>
          <w:rFonts w:ascii="Times New Roman" w:hAnsi="Times New Roman"/>
          <w:i w:val="0"/>
          <w:sz w:val="24"/>
          <w:szCs w:val="24"/>
          <w:lang w:val="en-GB"/>
        </w:rPr>
        <w:t>Attention Deficit Hyperactivity Disorder Rating Scale, Version IV (ADHD-RS-IV): Continuous efficacy assessed as the raw change in ADHD-RS-IV score from baseline to endpoint</w:t>
      </w:r>
    </w:p>
    <w:p w14:paraId="45478BCD" w14:textId="77777777" w:rsidR="005C0B49" w:rsidRPr="00E14060" w:rsidRDefault="005C0B49" w:rsidP="00D1733E">
      <w:pPr>
        <w:pStyle w:val="ListParagraph"/>
        <w:numPr>
          <w:ilvl w:val="0"/>
          <w:numId w:val="48"/>
        </w:numPr>
        <w:spacing w:before="240" w:after="240" w:line="360" w:lineRule="auto"/>
        <w:rPr>
          <w:rFonts w:ascii="Times New Roman" w:hAnsi="Times New Roman"/>
          <w:i w:val="0"/>
          <w:sz w:val="24"/>
          <w:szCs w:val="24"/>
          <w:lang w:val="en-GB"/>
        </w:rPr>
      </w:pPr>
      <w:r w:rsidRPr="00E14060">
        <w:rPr>
          <w:rFonts w:ascii="Times New Roman" w:hAnsi="Times New Roman"/>
          <w:i w:val="0"/>
          <w:sz w:val="24"/>
          <w:szCs w:val="24"/>
          <w:lang w:val="en-GB"/>
        </w:rPr>
        <w:t>Adult Attention-Deficit/Hyperactivity Disorder Investigator Symptom Rating Scale (AISRS): Continuous efficacy assessed as the raw change in AISRS score from baseline to endpoint</w:t>
      </w:r>
    </w:p>
    <w:p w14:paraId="64CB1DE6" w14:textId="77777777" w:rsidR="00D1733E" w:rsidRPr="00E14060" w:rsidRDefault="00D1733E" w:rsidP="00D1733E">
      <w:pPr>
        <w:pStyle w:val="ListParagraph"/>
        <w:numPr>
          <w:ilvl w:val="0"/>
          <w:numId w:val="48"/>
        </w:numPr>
        <w:spacing w:before="240" w:after="240" w:line="360" w:lineRule="auto"/>
        <w:rPr>
          <w:rFonts w:ascii="Times New Roman" w:hAnsi="Times New Roman"/>
          <w:i w:val="0"/>
          <w:sz w:val="24"/>
          <w:szCs w:val="24"/>
          <w:lang w:val="en-GB"/>
        </w:rPr>
      </w:pPr>
      <w:r w:rsidRPr="00E14060">
        <w:rPr>
          <w:rFonts w:ascii="Times New Roman" w:hAnsi="Times New Roman"/>
          <w:i w:val="0"/>
          <w:sz w:val="24"/>
          <w:szCs w:val="24"/>
          <w:lang w:val="en-GB"/>
        </w:rPr>
        <w:lastRenderedPageBreak/>
        <w:t xml:space="preserve">Clinical Global Impressions scales for improvement (CGI-I): Dichotomous efficacy measure defined by a </w:t>
      </w:r>
      <w:r w:rsidR="000E1697" w:rsidRPr="00E14060">
        <w:rPr>
          <w:rFonts w:ascii="Times New Roman" w:hAnsi="Times New Roman"/>
          <w:i w:val="0"/>
          <w:sz w:val="24"/>
          <w:szCs w:val="24"/>
          <w:lang w:val="en-GB"/>
        </w:rPr>
        <w:t xml:space="preserve">CGI-I </w:t>
      </w:r>
      <w:r w:rsidRPr="00E14060">
        <w:rPr>
          <w:rFonts w:ascii="Times New Roman" w:hAnsi="Times New Roman"/>
          <w:i w:val="0"/>
          <w:sz w:val="24"/>
          <w:szCs w:val="24"/>
          <w:lang w:val="en-GB"/>
        </w:rPr>
        <w:t xml:space="preserve">score of 1 or 2 </w:t>
      </w:r>
    </w:p>
    <w:p w14:paraId="5F46E602" w14:textId="77777777" w:rsidR="00D1733E" w:rsidRPr="00E14060" w:rsidRDefault="00D1733E" w:rsidP="00D1733E">
      <w:pPr>
        <w:pStyle w:val="ListParagraph"/>
        <w:numPr>
          <w:ilvl w:val="0"/>
          <w:numId w:val="48"/>
        </w:numPr>
        <w:spacing w:before="240" w:after="240" w:line="360" w:lineRule="auto"/>
        <w:rPr>
          <w:rFonts w:ascii="Times New Roman" w:hAnsi="Times New Roman"/>
          <w:i w:val="0"/>
          <w:sz w:val="24"/>
          <w:szCs w:val="24"/>
          <w:lang w:val="en-GB"/>
        </w:rPr>
      </w:pPr>
      <w:r w:rsidRPr="00E14060">
        <w:rPr>
          <w:rFonts w:ascii="Times New Roman" w:hAnsi="Times New Roman"/>
          <w:i w:val="0"/>
          <w:sz w:val="24"/>
          <w:szCs w:val="24"/>
          <w:lang w:val="en-GB"/>
        </w:rPr>
        <w:t>Safety outcomes:</w:t>
      </w:r>
    </w:p>
    <w:p w14:paraId="3DF2B251" w14:textId="77777777" w:rsidR="00D1733E" w:rsidRPr="00E14060" w:rsidRDefault="00D1733E" w:rsidP="00D1733E">
      <w:pPr>
        <w:pStyle w:val="ListParagraph"/>
        <w:numPr>
          <w:ilvl w:val="1"/>
          <w:numId w:val="48"/>
        </w:numPr>
        <w:spacing w:before="240" w:after="240" w:line="360" w:lineRule="auto"/>
        <w:rPr>
          <w:rFonts w:ascii="Times New Roman" w:hAnsi="Times New Roman"/>
          <w:i w:val="0"/>
          <w:sz w:val="24"/>
          <w:szCs w:val="24"/>
          <w:lang w:val="en-GB"/>
        </w:rPr>
      </w:pPr>
      <w:r w:rsidRPr="00E14060">
        <w:rPr>
          <w:rFonts w:ascii="Times New Roman" w:hAnsi="Times New Roman"/>
          <w:i w:val="0"/>
          <w:sz w:val="24"/>
          <w:szCs w:val="24"/>
          <w:lang w:val="en-GB"/>
        </w:rPr>
        <w:t>All-cause discontinuation</w:t>
      </w:r>
    </w:p>
    <w:p w14:paraId="22AFB43B" w14:textId="77777777" w:rsidR="00D1733E" w:rsidRPr="00E14060" w:rsidRDefault="00D1733E" w:rsidP="00D1733E">
      <w:pPr>
        <w:pStyle w:val="ListParagraph"/>
        <w:numPr>
          <w:ilvl w:val="1"/>
          <w:numId w:val="48"/>
        </w:numPr>
        <w:spacing w:before="240" w:after="240" w:line="360" w:lineRule="auto"/>
        <w:rPr>
          <w:rFonts w:ascii="Times New Roman" w:hAnsi="Times New Roman"/>
          <w:i w:val="0"/>
          <w:sz w:val="24"/>
          <w:szCs w:val="24"/>
          <w:lang w:val="en-GB"/>
        </w:rPr>
      </w:pPr>
      <w:r w:rsidRPr="00E14060">
        <w:rPr>
          <w:rFonts w:ascii="Times New Roman" w:hAnsi="Times New Roman"/>
          <w:i w:val="0"/>
          <w:sz w:val="24"/>
          <w:szCs w:val="24"/>
          <w:lang w:val="en-GB"/>
        </w:rPr>
        <w:t>Discontinuation due to adverse events (AEs)</w:t>
      </w:r>
    </w:p>
    <w:p w14:paraId="49A1F700" w14:textId="77777777" w:rsidR="005864B8" w:rsidRPr="00E14060" w:rsidRDefault="005864B8" w:rsidP="005864B8">
      <w:pPr>
        <w:pStyle w:val="Heading3"/>
        <w:rPr>
          <w:color w:val="auto"/>
          <w:lang w:val="en-GB"/>
        </w:rPr>
      </w:pPr>
      <w:bookmarkStart w:id="195" w:name="_Toc384075877"/>
      <w:bookmarkStart w:id="196" w:name="_Toc384682994"/>
      <w:bookmarkStart w:id="197" w:name="_Toc391913756"/>
      <w:bookmarkStart w:id="198" w:name="_Toc402543822"/>
      <w:r w:rsidRPr="00E14060">
        <w:rPr>
          <w:color w:val="auto"/>
          <w:lang w:val="en-GB"/>
        </w:rPr>
        <w:t>ADHD-RS-IV</w:t>
      </w:r>
      <w:bookmarkEnd w:id="195"/>
      <w:bookmarkEnd w:id="196"/>
      <w:bookmarkEnd w:id="197"/>
      <w:bookmarkEnd w:id="198"/>
    </w:p>
    <w:p w14:paraId="658DA459" w14:textId="2BDFAD8B" w:rsidR="005864B8" w:rsidRPr="00E14060" w:rsidRDefault="005864B8" w:rsidP="005864B8">
      <w:pPr>
        <w:pStyle w:val="BMSBodyText"/>
        <w:rPr>
          <w:color w:val="auto"/>
          <w:lang w:val="en-GB"/>
        </w:rPr>
      </w:pPr>
      <w:r w:rsidRPr="00E14060">
        <w:rPr>
          <w:color w:val="auto"/>
          <w:lang w:val="en-GB"/>
        </w:rPr>
        <w:t>Attention Deficit Hyperactivity Disorder Rating Scale, Version IV (ADHD-RS-IV</w:t>
      </w:r>
      <w:r w:rsidR="006F069C" w:rsidRPr="00E14060">
        <w:rPr>
          <w:color w:val="auto"/>
          <w:lang w:val="en-GB"/>
        </w:rPr>
        <w:t>; Brent et al., 2003</w:t>
      </w:r>
      <w:r w:rsidRPr="00E14060">
        <w:rPr>
          <w:color w:val="auto"/>
          <w:lang w:val="en-GB"/>
        </w:rPr>
        <w:t>) is a questionnaire used for diagnosing ADHD and assessing treatment response. The questionnaire consists of 18 questions, each having four possible responses</w:t>
      </w:r>
      <w:r w:rsidR="001C45DC" w:rsidRPr="00E14060">
        <w:rPr>
          <w:color w:val="auto"/>
          <w:lang w:val="en-GB"/>
        </w:rPr>
        <w:t xml:space="preserve"> on severity scale</w:t>
      </w:r>
      <w:r w:rsidR="00ED6E17" w:rsidRPr="00E14060">
        <w:rPr>
          <w:color w:val="auto"/>
          <w:lang w:val="en-GB"/>
        </w:rPr>
        <w:t>, from none (0) to severe (3)</w:t>
      </w:r>
      <w:r w:rsidRPr="00E14060">
        <w:rPr>
          <w:color w:val="auto"/>
          <w:lang w:val="en-GB"/>
        </w:rPr>
        <w:t>. The ADHD-RS-IV score is the sum of the responses and ranges from 0 to 54, where a higher score indicates more severe ADHD.</w:t>
      </w:r>
      <w:r w:rsidR="00241DBD" w:rsidRPr="00E14060">
        <w:rPr>
          <w:color w:val="auto"/>
          <w:lang w:val="en-GB"/>
        </w:rPr>
        <w:t xml:space="preserve"> </w:t>
      </w:r>
      <w:r w:rsidR="000E1697" w:rsidRPr="00E14060">
        <w:rPr>
          <w:color w:val="auto"/>
          <w:lang w:val="en-GB"/>
        </w:rPr>
        <w:t>The outcome included in this study was the change in ADHD-RS-IV total score from baseline to trial endpoint.</w:t>
      </w:r>
    </w:p>
    <w:p w14:paraId="05E6D303" w14:textId="77777777" w:rsidR="00E43B7E" w:rsidRPr="00E14060" w:rsidRDefault="00E43B7E" w:rsidP="00E43B7E">
      <w:pPr>
        <w:pStyle w:val="Heading3"/>
        <w:rPr>
          <w:color w:val="auto"/>
          <w:lang w:val="en-GB"/>
        </w:rPr>
      </w:pPr>
      <w:bookmarkStart w:id="199" w:name="_Toc402543823"/>
      <w:r w:rsidRPr="00E14060">
        <w:rPr>
          <w:color w:val="auto"/>
          <w:lang w:val="en-GB"/>
        </w:rPr>
        <w:t>AISRS</w:t>
      </w:r>
      <w:bookmarkEnd w:id="199"/>
    </w:p>
    <w:p w14:paraId="0339C40E" w14:textId="77777777" w:rsidR="00E43B7E" w:rsidRPr="00E14060" w:rsidRDefault="00E43B7E" w:rsidP="00E43B7E">
      <w:pPr>
        <w:pStyle w:val="BMSBodyText"/>
        <w:rPr>
          <w:color w:val="auto"/>
          <w:lang w:val="en-GB"/>
        </w:rPr>
      </w:pPr>
      <w:r w:rsidRPr="00E14060">
        <w:rPr>
          <w:color w:val="auto"/>
          <w:lang w:val="en-GB"/>
        </w:rPr>
        <w:t>Adult Attention-Deficit/Hyperactivity Disorder Investigator Symptom Rating Scale (AISRS)</w:t>
      </w:r>
      <w:r w:rsidR="00244F3A" w:rsidRPr="00E14060">
        <w:rPr>
          <w:color w:val="auto"/>
          <w:lang w:val="en-GB"/>
        </w:rPr>
        <w:t xml:space="preserve"> </w:t>
      </w:r>
      <w:r w:rsidRPr="00E14060">
        <w:rPr>
          <w:color w:val="auto"/>
          <w:lang w:val="en-GB"/>
        </w:rPr>
        <w:t xml:space="preserve">measures ADHD symptoms in adults (Goodman, 2009; Spencer et al., 2009). Similar to ADHD-RS (with adult prompts), </w:t>
      </w:r>
      <w:r w:rsidR="005F19DD" w:rsidRPr="00E14060">
        <w:rPr>
          <w:color w:val="auto"/>
          <w:lang w:val="en-GB"/>
        </w:rPr>
        <w:t xml:space="preserve">the </w:t>
      </w:r>
      <w:r w:rsidRPr="00E14060">
        <w:rPr>
          <w:color w:val="auto"/>
          <w:lang w:val="en-GB"/>
        </w:rPr>
        <w:t xml:space="preserve">AISRS questionnaire consists of 18 questions based on DSM-IV diagnostic criteria. Each symptom is rated using four possible </w:t>
      </w:r>
      <w:r w:rsidR="005F19DD" w:rsidRPr="00E14060">
        <w:rPr>
          <w:color w:val="auto"/>
          <w:lang w:val="en-GB"/>
        </w:rPr>
        <w:t xml:space="preserve">severity scale </w:t>
      </w:r>
      <w:r w:rsidRPr="00E14060">
        <w:rPr>
          <w:color w:val="auto"/>
          <w:lang w:val="en-GB"/>
        </w:rPr>
        <w:t xml:space="preserve">responses, from none (0) to severe (3). “The AISRS also improves on certain aspects of the ADHD-RS, such as providing a context basis to questions about symptoms and replacing questions that assess two symptom domains with questions that assess only one domain” (Goodman, 2009). </w:t>
      </w:r>
      <w:r w:rsidR="00AD11C1" w:rsidRPr="00E14060">
        <w:rPr>
          <w:color w:val="auto"/>
          <w:lang w:val="en-GB"/>
        </w:rPr>
        <w:t>AISRS was not used as a separate outcome in this study, but was used in place of ADHD-RS-IV for studies in which the ADHD-RS-IV total score was not reported in one of the analyses</w:t>
      </w:r>
      <w:r w:rsidRPr="00E14060">
        <w:rPr>
          <w:color w:val="auto"/>
          <w:lang w:val="en-GB"/>
        </w:rPr>
        <w:t>.</w:t>
      </w:r>
    </w:p>
    <w:p w14:paraId="5A22F5C5" w14:textId="77777777" w:rsidR="009C60D3" w:rsidRPr="00E14060" w:rsidRDefault="009C60D3" w:rsidP="009C60D3">
      <w:pPr>
        <w:spacing w:before="240" w:after="240" w:line="360" w:lineRule="auto"/>
        <w:rPr>
          <w:sz w:val="24"/>
          <w:szCs w:val="24"/>
          <w:lang w:val="en-GB"/>
        </w:rPr>
      </w:pPr>
      <w:r w:rsidRPr="00E14060">
        <w:rPr>
          <w:sz w:val="24"/>
          <w:szCs w:val="24"/>
          <w:lang w:val="en-GB"/>
        </w:rPr>
        <w:t>Note that no studies with an MPH-IR arm reported ADHD-RS-IV or AISRS change</w:t>
      </w:r>
      <w:r w:rsidR="004E7B70" w:rsidRPr="00E14060">
        <w:rPr>
          <w:sz w:val="24"/>
          <w:szCs w:val="24"/>
          <w:lang w:val="en-GB"/>
        </w:rPr>
        <w:t xml:space="preserve"> so MPH-IR was not included in the ADHD-RS-IV and ADHD-RS-IV/AISRS networks</w:t>
      </w:r>
      <w:r w:rsidRPr="00E14060">
        <w:rPr>
          <w:sz w:val="24"/>
          <w:szCs w:val="24"/>
          <w:lang w:val="en-GB"/>
        </w:rPr>
        <w:t>.</w:t>
      </w:r>
    </w:p>
    <w:p w14:paraId="0A3B789D" w14:textId="77777777" w:rsidR="005864B8" w:rsidRPr="00E14060" w:rsidRDefault="005864B8" w:rsidP="005864B8">
      <w:pPr>
        <w:pStyle w:val="Heading3"/>
        <w:rPr>
          <w:color w:val="auto"/>
          <w:lang w:val="en-GB"/>
        </w:rPr>
      </w:pPr>
      <w:bookmarkStart w:id="200" w:name="_Toc384075878"/>
      <w:bookmarkStart w:id="201" w:name="_Toc384682995"/>
      <w:bookmarkStart w:id="202" w:name="_Toc391913757"/>
      <w:bookmarkStart w:id="203" w:name="_Toc402543824"/>
      <w:r w:rsidRPr="00E14060">
        <w:rPr>
          <w:color w:val="auto"/>
          <w:lang w:val="en-GB"/>
        </w:rPr>
        <w:lastRenderedPageBreak/>
        <w:t>CGI-I</w:t>
      </w:r>
      <w:bookmarkEnd w:id="200"/>
      <w:bookmarkEnd w:id="201"/>
      <w:bookmarkEnd w:id="202"/>
      <w:bookmarkEnd w:id="203"/>
    </w:p>
    <w:p w14:paraId="268ED4B0" w14:textId="1CAA5520" w:rsidR="005864B8" w:rsidRPr="00E14060" w:rsidRDefault="005864B8" w:rsidP="005864B8">
      <w:pPr>
        <w:pStyle w:val="BMSBodyText"/>
        <w:rPr>
          <w:color w:val="auto"/>
          <w:lang w:val="en-GB"/>
        </w:rPr>
      </w:pPr>
      <w:r w:rsidRPr="00E14060">
        <w:rPr>
          <w:color w:val="auto"/>
          <w:lang w:val="en-GB"/>
        </w:rPr>
        <w:t>The Clinical Global Impressions scales for improvement (CGI-I) is a 7-point scale used to assess how much the patient’s condition has improved or worsened relative to the patient’s baseline state. The possible ratings are very much improved (1), much improved (2), minimally improved (3), no change (4), minimally worse (5), much worse (6), and very much worse (7).</w:t>
      </w:r>
      <w:r w:rsidR="00241DBD" w:rsidRPr="00E14060">
        <w:rPr>
          <w:color w:val="auto"/>
          <w:lang w:val="en-GB"/>
        </w:rPr>
        <w:t xml:space="preserve"> </w:t>
      </w:r>
      <w:r w:rsidR="000E1697" w:rsidRPr="00E14060">
        <w:rPr>
          <w:color w:val="auto"/>
          <w:lang w:val="en-GB"/>
        </w:rPr>
        <w:t>The dichotomous outcome</w:t>
      </w:r>
      <w:r w:rsidR="00A66043" w:rsidRPr="00E14060">
        <w:rPr>
          <w:color w:val="auto"/>
          <w:lang w:val="en-GB"/>
        </w:rPr>
        <w:t>, CGI response,</w:t>
      </w:r>
      <w:r w:rsidR="000E1697" w:rsidRPr="00E14060">
        <w:rPr>
          <w:color w:val="auto"/>
          <w:lang w:val="en-GB"/>
        </w:rPr>
        <w:t xml:space="preserve"> was defined as achievement of a CGI-I score of 1 (very much improved) or 2 (much improved).</w:t>
      </w:r>
    </w:p>
    <w:p w14:paraId="50821983" w14:textId="77777777" w:rsidR="005864B8" w:rsidRPr="00E14060" w:rsidRDefault="005864B8" w:rsidP="005864B8">
      <w:pPr>
        <w:pStyle w:val="Heading3"/>
        <w:rPr>
          <w:color w:val="auto"/>
          <w:lang w:val="en-GB"/>
        </w:rPr>
      </w:pPr>
      <w:bookmarkStart w:id="204" w:name="_Toc384075879"/>
      <w:bookmarkStart w:id="205" w:name="_Toc384682996"/>
      <w:bookmarkStart w:id="206" w:name="_Toc391913758"/>
      <w:bookmarkStart w:id="207" w:name="_Toc402543825"/>
      <w:r w:rsidRPr="00E14060">
        <w:rPr>
          <w:color w:val="auto"/>
          <w:lang w:val="en-GB"/>
        </w:rPr>
        <w:t>All-cause discontinuation</w:t>
      </w:r>
      <w:bookmarkEnd w:id="204"/>
      <w:bookmarkEnd w:id="205"/>
      <w:bookmarkEnd w:id="206"/>
      <w:bookmarkEnd w:id="207"/>
    </w:p>
    <w:p w14:paraId="2A198B8F" w14:textId="77777777" w:rsidR="005864B8" w:rsidRPr="00E14060" w:rsidRDefault="005864B8" w:rsidP="005864B8">
      <w:pPr>
        <w:pStyle w:val="BMSBodyText"/>
        <w:rPr>
          <w:color w:val="auto"/>
          <w:lang w:val="en-GB"/>
        </w:rPr>
      </w:pPr>
      <w:r w:rsidRPr="00E14060">
        <w:rPr>
          <w:color w:val="auto"/>
          <w:lang w:val="en-GB"/>
        </w:rPr>
        <w:t xml:space="preserve">All-cause discontinuation encompassed patients withdrawing from the study for any reason. Common reasons include adverse events and lack of efficacy. </w:t>
      </w:r>
    </w:p>
    <w:p w14:paraId="310BC60A" w14:textId="77777777" w:rsidR="005864B8" w:rsidRPr="00E14060" w:rsidRDefault="005864B8" w:rsidP="005864B8">
      <w:pPr>
        <w:pStyle w:val="Heading3"/>
        <w:rPr>
          <w:color w:val="auto"/>
          <w:lang w:val="en-GB"/>
        </w:rPr>
      </w:pPr>
      <w:bookmarkStart w:id="208" w:name="_Toc384075880"/>
      <w:bookmarkStart w:id="209" w:name="_Toc384682997"/>
      <w:bookmarkStart w:id="210" w:name="_Toc391913759"/>
      <w:bookmarkStart w:id="211" w:name="_Toc402543826"/>
      <w:r w:rsidRPr="00E14060">
        <w:rPr>
          <w:color w:val="auto"/>
          <w:lang w:val="en-GB"/>
        </w:rPr>
        <w:t>Discontinuation due to adverse events</w:t>
      </w:r>
      <w:bookmarkEnd w:id="208"/>
      <w:bookmarkEnd w:id="209"/>
      <w:bookmarkEnd w:id="210"/>
      <w:bookmarkEnd w:id="211"/>
    </w:p>
    <w:p w14:paraId="2AD043B9" w14:textId="77777777" w:rsidR="00241DBD" w:rsidRPr="00E14060" w:rsidRDefault="005864B8" w:rsidP="00EA5C77">
      <w:pPr>
        <w:pStyle w:val="BMSBodyText"/>
        <w:rPr>
          <w:color w:val="auto"/>
          <w:lang w:val="en-GB"/>
        </w:rPr>
      </w:pPr>
      <w:r w:rsidRPr="00E14060">
        <w:rPr>
          <w:color w:val="auto"/>
          <w:lang w:val="en-GB"/>
        </w:rPr>
        <w:t>The number of patients discontinuing due to adverse events</w:t>
      </w:r>
      <w:r w:rsidR="00A83985" w:rsidRPr="00E14060">
        <w:rPr>
          <w:color w:val="auto"/>
          <w:lang w:val="en-GB"/>
        </w:rPr>
        <w:t xml:space="preserve"> as determined by the study investigators was also included, and</w:t>
      </w:r>
      <w:r w:rsidRPr="00E14060">
        <w:rPr>
          <w:color w:val="auto"/>
          <w:lang w:val="en-GB"/>
        </w:rPr>
        <w:t xml:space="preserve"> reflects the tolerability of the treatment.</w:t>
      </w:r>
      <w:r w:rsidR="00241DBD" w:rsidRPr="00E14060">
        <w:rPr>
          <w:color w:val="auto"/>
          <w:lang w:val="en-GB"/>
        </w:rPr>
        <w:t xml:space="preserve"> </w:t>
      </w:r>
      <w:r w:rsidR="006C49EA" w:rsidRPr="00E14060">
        <w:rPr>
          <w:color w:val="auto"/>
          <w:lang w:val="en-GB"/>
        </w:rPr>
        <w:t xml:space="preserve">Adverse events causing discontinuation in studies used in the MTC included headache, </w:t>
      </w:r>
      <w:r w:rsidR="009E20E8" w:rsidRPr="00E14060">
        <w:rPr>
          <w:color w:val="auto"/>
          <w:lang w:val="en-GB"/>
        </w:rPr>
        <w:t>insomnia</w:t>
      </w:r>
      <w:r w:rsidR="006C49EA" w:rsidRPr="00E14060">
        <w:rPr>
          <w:color w:val="auto"/>
          <w:lang w:val="en-GB"/>
        </w:rPr>
        <w:t xml:space="preserve">, </w:t>
      </w:r>
      <w:r w:rsidR="009E20E8" w:rsidRPr="00E14060">
        <w:rPr>
          <w:color w:val="auto"/>
          <w:lang w:val="en-GB"/>
        </w:rPr>
        <w:t>anxiety</w:t>
      </w:r>
      <w:r w:rsidR="006C49EA" w:rsidRPr="00E14060">
        <w:rPr>
          <w:color w:val="auto"/>
          <w:lang w:val="en-GB"/>
        </w:rPr>
        <w:t xml:space="preserve">, </w:t>
      </w:r>
      <w:r w:rsidR="009E20E8" w:rsidRPr="00E14060">
        <w:rPr>
          <w:color w:val="auto"/>
          <w:lang w:val="en-GB"/>
        </w:rPr>
        <w:t xml:space="preserve">irritability, </w:t>
      </w:r>
      <w:r w:rsidR="006C49EA" w:rsidRPr="00E14060">
        <w:rPr>
          <w:color w:val="auto"/>
          <w:lang w:val="en-GB"/>
        </w:rPr>
        <w:t xml:space="preserve">and </w:t>
      </w:r>
      <w:r w:rsidR="009E20E8" w:rsidRPr="00E14060">
        <w:rPr>
          <w:color w:val="auto"/>
          <w:lang w:val="en-GB"/>
        </w:rPr>
        <w:t>fatigue</w:t>
      </w:r>
      <w:r w:rsidR="006C49EA" w:rsidRPr="00E14060">
        <w:rPr>
          <w:color w:val="auto"/>
          <w:lang w:val="en-GB"/>
        </w:rPr>
        <w:t>.</w:t>
      </w:r>
      <w:bookmarkStart w:id="212" w:name="_Toc384075881"/>
    </w:p>
    <w:p w14:paraId="73406F56" w14:textId="77777777" w:rsidR="00F553CC" w:rsidRPr="00E14060" w:rsidRDefault="00F553CC" w:rsidP="00F553CC">
      <w:pPr>
        <w:pStyle w:val="Heading2"/>
        <w:tabs>
          <w:tab w:val="clear" w:pos="936"/>
          <w:tab w:val="clear" w:pos="1152"/>
          <w:tab w:val="left" w:pos="0"/>
        </w:tabs>
        <w:ind w:left="0" w:firstLine="0"/>
        <w:rPr>
          <w:color w:val="auto"/>
          <w:lang w:val="en-GB"/>
        </w:rPr>
      </w:pPr>
      <w:r w:rsidRPr="00E14060">
        <w:rPr>
          <w:color w:val="auto"/>
          <w:lang w:val="en-GB"/>
        </w:rPr>
        <w:t>Identification of interventions and outcomes to be included in the MTC</w:t>
      </w:r>
    </w:p>
    <w:p w14:paraId="2BB94659" w14:textId="4D01034D" w:rsidR="005864B8" w:rsidRPr="00E14060" w:rsidRDefault="00F553CC" w:rsidP="00EA5C77">
      <w:pPr>
        <w:pStyle w:val="BMSBodyText"/>
        <w:rPr>
          <w:rFonts w:eastAsia="SimSun"/>
          <w:b/>
          <w:caps/>
          <w:color w:val="auto"/>
          <w:sz w:val="28"/>
          <w:lang w:val="en-GB" w:eastAsia="zh-CN"/>
        </w:rPr>
      </w:pPr>
      <w:r>
        <w:rPr>
          <w:rFonts w:eastAsia="SimSun"/>
          <w:color w:val="auto"/>
          <w:lang w:val="en-GB" w:eastAsia="zh-CN"/>
        </w:rPr>
        <w:t xml:space="preserve">Studies </w:t>
      </w:r>
      <w:r w:rsidRPr="00F553CC">
        <w:rPr>
          <w:rFonts w:eastAsia="SimSun"/>
          <w:color w:val="auto"/>
          <w:lang w:val="en-GB" w:eastAsia="zh-CN"/>
        </w:rPr>
        <w:t xml:space="preserve">included in </w:t>
      </w:r>
      <w:r>
        <w:rPr>
          <w:rFonts w:eastAsia="SimSun"/>
          <w:color w:val="auto"/>
          <w:lang w:val="en-GB" w:eastAsia="zh-CN"/>
        </w:rPr>
        <w:t xml:space="preserve">the </w:t>
      </w:r>
      <w:r w:rsidRPr="00F553CC">
        <w:rPr>
          <w:rFonts w:eastAsia="SimSun"/>
          <w:color w:val="auto"/>
          <w:lang w:val="en-GB" w:eastAsia="zh-CN"/>
        </w:rPr>
        <w:t xml:space="preserve">network meta-analysis </w:t>
      </w:r>
      <w:r>
        <w:rPr>
          <w:rFonts w:eastAsia="SimSun"/>
          <w:color w:val="auto"/>
          <w:lang w:val="en-GB" w:eastAsia="zh-CN"/>
        </w:rPr>
        <w:t>are listed in Appendix A.</w:t>
      </w:r>
      <w:r w:rsidR="006C5478">
        <w:rPr>
          <w:rFonts w:eastAsia="SimSun"/>
          <w:color w:val="auto"/>
          <w:lang w:val="en-GB" w:eastAsia="zh-CN"/>
        </w:rPr>
        <w:t xml:space="preserve"> Appendix A also includes evidence table presenting rates of discontinuation due to adverse events reported in the identified trials.</w:t>
      </w:r>
      <w:r w:rsidR="005864B8" w:rsidRPr="00E14060">
        <w:rPr>
          <w:rFonts w:eastAsia="SimSun"/>
          <w:color w:val="auto"/>
          <w:lang w:val="en-GB" w:eastAsia="zh-CN"/>
        </w:rPr>
        <w:br w:type="page"/>
      </w:r>
    </w:p>
    <w:p w14:paraId="7DCCA091" w14:textId="77777777" w:rsidR="005864B8" w:rsidRPr="00E14060" w:rsidRDefault="002056E3" w:rsidP="009375DF">
      <w:pPr>
        <w:pStyle w:val="Heading1"/>
        <w:rPr>
          <w:color w:val="auto"/>
          <w:lang w:val="en-GB"/>
        </w:rPr>
      </w:pPr>
      <w:bookmarkStart w:id="213" w:name="_Toc384682998"/>
      <w:bookmarkStart w:id="214" w:name="_Toc391913760"/>
      <w:bookmarkStart w:id="215" w:name="_Toc402543827"/>
      <w:bookmarkEnd w:id="212"/>
      <w:r w:rsidRPr="00E14060">
        <w:rPr>
          <w:rFonts w:eastAsia="SimSun"/>
          <w:color w:val="auto"/>
          <w:lang w:val="en-GB" w:eastAsia="zh-CN"/>
        </w:rPr>
        <w:lastRenderedPageBreak/>
        <w:t>Mixed Treatment Comparison Methodology</w:t>
      </w:r>
      <w:bookmarkEnd w:id="213"/>
      <w:bookmarkEnd w:id="214"/>
      <w:bookmarkEnd w:id="215"/>
    </w:p>
    <w:p w14:paraId="2E38CB85" w14:textId="77777777" w:rsidR="00566C42" w:rsidRPr="00E14060" w:rsidRDefault="00566C42" w:rsidP="00566C42">
      <w:pPr>
        <w:pStyle w:val="BMSBodyText"/>
        <w:rPr>
          <w:color w:val="auto"/>
          <w:lang w:val="en-GB"/>
        </w:rPr>
      </w:pPr>
      <w:r w:rsidRPr="00E14060">
        <w:rPr>
          <w:color w:val="auto"/>
          <w:lang w:val="en-GB"/>
        </w:rPr>
        <w:t xml:space="preserve">For each outcome identified, a network diagram </w:t>
      </w:r>
      <w:r w:rsidRPr="00E14060">
        <w:rPr>
          <w:rFonts w:eastAsia="SimSun"/>
          <w:color w:val="auto"/>
          <w:lang w:val="en-GB" w:eastAsia="zh-CN"/>
        </w:rPr>
        <w:t>was</w:t>
      </w:r>
      <w:r w:rsidRPr="00E14060">
        <w:rPr>
          <w:color w:val="auto"/>
          <w:lang w:val="en-GB"/>
        </w:rPr>
        <w:t xml:space="preserve"> created, showing the sources of evidence available for the analysis. An MTC model </w:t>
      </w:r>
      <w:r w:rsidRPr="00E14060">
        <w:rPr>
          <w:rFonts w:eastAsia="SimSun"/>
          <w:color w:val="auto"/>
          <w:lang w:val="en-GB" w:eastAsia="zh-CN"/>
        </w:rPr>
        <w:t>was</w:t>
      </w:r>
      <w:r w:rsidRPr="00E14060">
        <w:rPr>
          <w:color w:val="auto"/>
          <w:lang w:val="en-GB"/>
        </w:rPr>
        <w:t xml:space="preserve"> fitted for each feasible efficacy outcome measure. Trials reporting the specific outcomes with either direct or indirect links to LDX were included in the respective analyses.</w:t>
      </w:r>
    </w:p>
    <w:p w14:paraId="53E47612" w14:textId="77777777" w:rsidR="004D6B46" w:rsidRPr="00E14060" w:rsidRDefault="004D6B46" w:rsidP="009375DF">
      <w:pPr>
        <w:pStyle w:val="Heading2"/>
        <w:rPr>
          <w:color w:val="auto"/>
          <w:lang w:val="en-GB"/>
        </w:rPr>
      </w:pPr>
      <w:bookmarkStart w:id="216" w:name="_Toc384682999"/>
      <w:bookmarkStart w:id="217" w:name="_Toc391913761"/>
      <w:bookmarkStart w:id="218" w:name="_Toc402543828"/>
      <w:r w:rsidRPr="00E14060">
        <w:rPr>
          <w:color w:val="auto"/>
          <w:lang w:val="en-GB"/>
        </w:rPr>
        <w:t>Bayesian Approach</w:t>
      </w:r>
      <w:bookmarkEnd w:id="216"/>
      <w:bookmarkEnd w:id="217"/>
      <w:bookmarkEnd w:id="218"/>
    </w:p>
    <w:p w14:paraId="7E9278B0" w14:textId="10EA8AF8" w:rsidR="00566C42" w:rsidRPr="00E14060" w:rsidRDefault="00566C42" w:rsidP="00566C42">
      <w:pPr>
        <w:pStyle w:val="BMSBodyText"/>
        <w:rPr>
          <w:color w:val="auto"/>
          <w:lang w:val="en-GB"/>
        </w:rPr>
      </w:pPr>
      <w:r w:rsidRPr="00E14060">
        <w:rPr>
          <w:color w:val="auto"/>
          <w:lang w:val="en-GB"/>
        </w:rPr>
        <w:t xml:space="preserve">In accordance with the most recent guidance from the NICE Decision Support Unit (DSU) and </w:t>
      </w:r>
      <w:r w:rsidR="00987778" w:rsidRPr="00E14060">
        <w:rPr>
          <w:color w:val="auto"/>
          <w:lang w:val="en-GB"/>
        </w:rPr>
        <w:t>International Society for Pharmacoeconomics and Outcomes Research (</w:t>
      </w:r>
      <w:r w:rsidRPr="00E14060">
        <w:rPr>
          <w:color w:val="auto"/>
          <w:lang w:val="en-GB"/>
        </w:rPr>
        <w:t>ISPOR</w:t>
      </w:r>
      <w:r w:rsidR="00987778" w:rsidRPr="00E14060">
        <w:rPr>
          <w:color w:val="auto"/>
          <w:lang w:val="en-GB"/>
        </w:rPr>
        <w:t>)</w:t>
      </w:r>
      <w:r w:rsidRPr="00E14060">
        <w:rPr>
          <w:color w:val="auto"/>
          <w:lang w:val="en-GB"/>
        </w:rPr>
        <w:t xml:space="preserve"> good practices for indirect comparison, the Bayesian approach to MTC was used</w:t>
      </w:r>
      <w:r w:rsidR="002E7696" w:rsidRPr="00E14060">
        <w:rPr>
          <w:color w:val="auto"/>
          <w:lang w:val="en-GB"/>
        </w:rPr>
        <w:t xml:space="preserve"> (NICE, 2014; Jansen et al.</w:t>
      </w:r>
      <w:r w:rsidR="00051B3B" w:rsidRPr="00E14060">
        <w:rPr>
          <w:color w:val="auto"/>
          <w:lang w:val="en-GB"/>
        </w:rPr>
        <w:t>,</w:t>
      </w:r>
      <w:r w:rsidR="002E7696" w:rsidRPr="00E14060">
        <w:rPr>
          <w:color w:val="auto"/>
          <w:lang w:val="en-GB"/>
        </w:rPr>
        <w:t xml:space="preserve"> 2011)</w:t>
      </w:r>
      <w:r w:rsidRPr="00E14060">
        <w:rPr>
          <w:color w:val="auto"/>
          <w:lang w:val="en-GB"/>
        </w:rPr>
        <w:t>.</w:t>
      </w:r>
      <w:r w:rsidR="00241DBD" w:rsidRPr="00E14060">
        <w:rPr>
          <w:color w:val="auto"/>
          <w:lang w:val="en-GB"/>
        </w:rPr>
        <w:t xml:space="preserve"> </w:t>
      </w:r>
      <w:r w:rsidRPr="00E14060">
        <w:rPr>
          <w:color w:val="auto"/>
          <w:lang w:val="en-GB"/>
        </w:rPr>
        <w:t>Both fixed and random effects models were fitted</w:t>
      </w:r>
      <w:r w:rsidR="00463863" w:rsidRPr="00E14060">
        <w:rPr>
          <w:color w:val="auto"/>
          <w:lang w:val="en-GB"/>
        </w:rPr>
        <w:t xml:space="preserve"> in order to take into account different assumptions regarding heterogeneity of treatment effects across studies</w:t>
      </w:r>
      <w:r w:rsidR="000F4338" w:rsidRPr="00E14060">
        <w:rPr>
          <w:color w:val="auto"/>
          <w:lang w:val="en-GB"/>
        </w:rPr>
        <w:t xml:space="preserve"> (fixed effects models assume a common treatment effect for a given treatment across studies; random effects models assume that the treatment effects are </w:t>
      </w:r>
      <w:r w:rsidR="002A4B7B" w:rsidRPr="00E14060">
        <w:rPr>
          <w:color w:val="auto"/>
          <w:lang w:val="en-GB"/>
        </w:rPr>
        <w:t xml:space="preserve">not necessarily the same but are </w:t>
      </w:r>
      <w:r w:rsidR="000F4338" w:rsidRPr="00E14060">
        <w:rPr>
          <w:color w:val="auto"/>
          <w:lang w:val="en-GB"/>
        </w:rPr>
        <w:t>exchang</w:t>
      </w:r>
      <w:r w:rsidR="002A4B7B" w:rsidRPr="00E14060">
        <w:rPr>
          <w:color w:val="auto"/>
          <w:lang w:val="en-GB"/>
        </w:rPr>
        <w:t>eable in the sense that, while the actual treatment effect may vary across trials, there are no structural differences between the trials)</w:t>
      </w:r>
      <w:r w:rsidR="00463863" w:rsidRPr="00E14060">
        <w:rPr>
          <w:color w:val="auto"/>
          <w:lang w:val="en-GB"/>
        </w:rPr>
        <w:t>.</w:t>
      </w:r>
      <w:r w:rsidRPr="00E14060">
        <w:rPr>
          <w:color w:val="auto"/>
          <w:lang w:val="en-GB"/>
        </w:rPr>
        <w:t xml:space="preserve"> All of the analyses </w:t>
      </w:r>
      <w:r w:rsidRPr="00E14060">
        <w:rPr>
          <w:rFonts w:eastAsia="SimSun"/>
          <w:color w:val="auto"/>
          <w:lang w:val="en-GB" w:eastAsia="zh-CN"/>
        </w:rPr>
        <w:t>were</w:t>
      </w:r>
      <w:r w:rsidRPr="00E14060">
        <w:rPr>
          <w:color w:val="auto"/>
          <w:lang w:val="en-GB"/>
        </w:rPr>
        <w:t xml:space="preserve"> implemented using the statistical software R and </w:t>
      </w:r>
      <w:r w:rsidR="00D164BF" w:rsidRPr="00E14060">
        <w:rPr>
          <w:color w:val="auto"/>
          <w:lang w:val="en-GB"/>
        </w:rPr>
        <w:t>Open</w:t>
      </w:r>
      <w:r w:rsidRPr="00E14060">
        <w:rPr>
          <w:color w:val="auto"/>
          <w:lang w:val="en-GB"/>
        </w:rPr>
        <w:t xml:space="preserve">BUGS and JAGS (software packages for implementing Markov Chain Monte Carlo (MCMC) techniques). Non-informative prior distributions were used as parameters in the MTC. </w:t>
      </w:r>
    </w:p>
    <w:p w14:paraId="542CE435" w14:textId="1EBD7D07" w:rsidR="00566C42" w:rsidRPr="00E14060" w:rsidRDefault="00566C42" w:rsidP="00566C42">
      <w:pPr>
        <w:pStyle w:val="BMSBodyText"/>
        <w:rPr>
          <w:color w:val="auto"/>
          <w:lang w:val="en-GB"/>
        </w:rPr>
      </w:pPr>
      <w:r w:rsidRPr="00E14060">
        <w:rPr>
          <w:color w:val="auto"/>
          <w:lang w:val="en-GB"/>
        </w:rPr>
        <w:t xml:space="preserve">An estimate of treatment effect comparing each treatment to a common comparator, in this case placebo, </w:t>
      </w:r>
      <w:r w:rsidRPr="00E14060">
        <w:rPr>
          <w:rFonts w:eastAsia="SimSun"/>
          <w:color w:val="auto"/>
          <w:lang w:val="en-GB" w:eastAsia="zh-CN"/>
        </w:rPr>
        <w:t>was</w:t>
      </w:r>
      <w:r w:rsidRPr="00E14060">
        <w:rPr>
          <w:color w:val="auto"/>
          <w:lang w:val="en-GB"/>
        </w:rPr>
        <w:t xml:space="preserve"> generated using the MTC. For continuous outcomes, a normal likelihood model with linear link was employed, and the difference from placebo in mean baseline-to-endpoint change in score was reported. For categorical outcomes, a binomial model likelihood model with logit link was employed, and the odds ratio and relative risk were reported. The placebo risk was computed by pooling </w:t>
      </w:r>
      <w:r w:rsidR="002A4B7B" w:rsidRPr="00E14060">
        <w:rPr>
          <w:color w:val="auto"/>
          <w:lang w:val="en-GB"/>
        </w:rPr>
        <w:t xml:space="preserve">the counts in </w:t>
      </w:r>
      <w:r w:rsidRPr="00E14060">
        <w:rPr>
          <w:color w:val="auto"/>
          <w:lang w:val="en-GB"/>
        </w:rPr>
        <w:t>all the placebo arms in the data.</w:t>
      </w:r>
      <w:r w:rsidR="00241DBD" w:rsidRPr="00E14060">
        <w:rPr>
          <w:color w:val="auto"/>
          <w:lang w:val="en-GB"/>
        </w:rPr>
        <w:t xml:space="preserve"> </w:t>
      </w:r>
      <w:r w:rsidR="00987778" w:rsidRPr="00E14060">
        <w:rPr>
          <w:color w:val="auto"/>
          <w:lang w:val="en-GB"/>
        </w:rPr>
        <w:t xml:space="preserve">The placebo risk uncertainty was measured </w:t>
      </w:r>
      <w:r w:rsidR="002A4B7B" w:rsidRPr="00E14060">
        <w:rPr>
          <w:color w:val="auto"/>
          <w:lang w:val="en-GB"/>
        </w:rPr>
        <w:t>using</w:t>
      </w:r>
      <w:r w:rsidR="00987778" w:rsidRPr="00E14060">
        <w:rPr>
          <w:color w:val="auto"/>
          <w:lang w:val="en-GB"/>
        </w:rPr>
        <w:t xml:space="preserve"> the 95% confidence interval around this pooled placebo risk. </w:t>
      </w:r>
      <w:r w:rsidRPr="00E14060">
        <w:rPr>
          <w:color w:val="auto"/>
          <w:lang w:val="en-GB"/>
        </w:rPr>
        <w:t xml:space="preserve">The odds ratio was converted to relative risk scale using the pooled placebo rate. Fifty </w:t>
      </w:r>
      <w:r w:rsidRPr="00E14060">
        <w:rPr>
          <w:color w:val="auto"/>
          <w:lang w:val="en-GB"/>
        </w:rPr>
        <w:lastRenderedPageBreak/>
        <w:t>thousand iterations were run in the Bayesian MTC to generate the posterior distributions for the treatment effects for each outcome. The uncertainty of the estimates of treatment effect was summarized using 95% Bayesian credible intervals (CrI) based on these posterior distributions. The endpoints of the 95% CrI correspond with the 2.5 and 97.5 percentiles of the posterior distribution of the treatment effect</w:t>
      </w:r>
      <w:r w:rsidR="00A83985" w:rsidRPr="00E14060">
        <w:rPr>
          <w:color w:val="auto"/>
          <w:lang w:val="en-GB"/>
        </w:rPr>
        <w:t>, and correspond to a region which can be claimed to include the treatment effect with a high confidence</w:t>
      </w:r>
      <w:r w:rsidRPr="00E14060">
        <w:rPr>
          <w:color w:val="auto"/>
          <w:lang w:val="en-GB"/>
        </w:rPr>
        <w:t>. In addition, the probability that each drug had the highest efficacy among all treatments was estimated based on the posterior distributions. LDX was also compared individually to each of the other drugs, and the probability that LDX had higher efficacy or lower discontinuation rate in comparison to each of the other drugs was reported.</w:t>
      </w:r>
      <w:r w:rsidR="00241DBD" w:rsidRPr="00E14060">
        <w:rPr>
          <w:color w:val="auto"/>
          <w:lang w:val="en-GB"/>
        </w:rPr>
        <w:t xml:space="preserve"> </w:t>
      </w:r>
    </w:p>
    <w:p w14:paraId="593BB139" w14:textId="4532DDC4" w:rsidR="00CD2729" w:rsidRPr="00E14060" w:rsidRDefault="00CD2729" w:rsidP="00566C42">
      <w:pPr>
        <w:pStyle w:val="BMSBodyText"/>
        <w:rPr>
          <w:color w:val="auto"/>
          <w:lang w:val="en-GB"/>
        </w:rPr>
      </w:pPr>
      <w:r w:rsidRPr="00E14060">
        <w:rPr>
          <w:color w:val="auto"/>
          <w:lang w:val="en-GB"/>
        </w:rPr>
        <w:t xml:space="preserve">OpenBUGS and JAGS code from the NICE DSU was used to perform the Bayesian analysis. </w:t>
      </w:r>
      <w:r w:rsidR="00361218" w:rsidRPr="00E14060">
        <w:rPr>
          <w:color w:val="auto"/>
          <w:lang w:val="en-GB"/>
        </w:rPr>
        <w:t>T</w:t>
      </w:r>
      <w:r w:rsidRPr="00E14060">
        <w:rPr>
          <w:color w:val="auto"/>
          <w:lang w:val="en-GB"/>
        </w:rPr>
        <w:t>he code used</w:t>
      </w:r>
      <w:r w:rsidR="00361218" w:rsidRPr="00E14060">
        <w:rPr>
          <w:color w:val="auto"/>
          <w:lang w:val="en-GB"/>
        </w:rPr>
        <w:t xml:space="preserve"> can be provided on request</w:t>
      </w:r>
      <w:r w:rsidRPr="00E14060">
        <w:rPr>
          <w:color w:val="auto"/>
          <w:lang w:val="en-GB"/>
        </w:rPr>
        <w:t>.</w:t>
      </w:r>
    </w:p>
    <w:p w14:paraId="620ACE18" w14:textId="77777777" w:rsidR="00CD2729" w:rsidRPr="00E14060" w:rsidRDefault="00CD2729" w:rsidP="009375DF">
      <w:pPr>
        <w:pStyle w:val="Heading2"/>
        <w:rPr>
          <w:color w:val="auto"/>
          <w:lang w:val="en-GB"/>
        </w:rPr>
      </w:pPr>
      <w:bookmarkStart w:id="219" w:name="_Toc384683000"/>
      <w:bookmarkStart w:id="220" w:name="_Toc391913762"/>
      <w:bookmarkStart w:id="221" w:name="_Toc402543829"/>
      <w:r w:rsidRPr="00E14060">
        <w:rPr>
          <w:color w:val="auto"/>
          <w:lang w:val="en-GB"/>
        </w:rPr>
        <w:t>Frequentist Approach</w:t>
      </w:r>
      <w:bookmarkEnd w:id="219"/>
      <w:bookmarkEnd w:id="220"/>
      <w:bookmarkEnd w:id="221"/>
    </w:p>
    <w:p w14:paraId="53914842" w14:textId="77777777" w:rsidR="00CD2729" w:rsidRPr="00E14060" w:rsidRDefault="00F13600" w:rsidP="00566C42">
      <w:pPr>
        <w:pStyle w:val="BMSBodyText"/>
        <w:rPr>
          <w:color w:val="auto"/>
          <w:lang w:val="en-GB"/>
        </w:rPr>
      </w:pPr>
      <w:r w:rsidRPr="00E14060">
        <w:rPr>
          <w:color w:val="auto"/>
          <w:lang w:val="en-GB"/>
        </w:rPr>
        <w:t xml:space="preserve">While “vague priors” or non-informative priors were used in the Bayesian analysis, these selection of the parameters of such priors is not data driven. </w:t>
      </w:r>
      <w:r w:rsidR="001E753F" w:rsidRPr="00E14060">
        <w:rPr>
          <w:color w:val="auto"/>
          <w:lang w:val="en-GB"/>
        </w:rPr>
        <w:t xml:space="preserve">As a sensitivity analysis, </w:t>
      </w:r>
      <w:r w:rsidR="00CD2729" w:rsidRPr="00E14060">
        <w:rPr>
          <w:color w:val="auto"/>
          <w:lang w:val="en-GB"/>
        </w:rPr>
        <w:t xml:space="preserve">frequentist </w:t>
      </w:r>
      <w:r w:rsidR="000C3FB4" w:rsidRPr="00E14060">
        <w:rPr>
          <w:color w:val="auto"/>
          <w:lang w:val="en-GB"/>
        </w:rPr>
        <w:t>MTCs were conducted to compare the same set of efficacy and safety outcomes as in the Bayesian MTC</w:t>
      </w:r>
      <w:r w:rsidR="00CD2729" w:rsidRPr="00E14060">
        <w:rPr>
          <w:color w:val="auto"/>
          <w:lang w:val="en-GB"/>
        </w:rPr>
        <w:t>.</w:t>
      </w:r>
      <w:r w:rsidR="00230BA2" w:rsidRPr="00E14060">
        <w:rPr>
          <w:color w:val="auto"/>
          <w:lang w:val="en-GB"/>
        </w:rPr>
        <w:t xml:space="preserve"> For continuous outcomes, a normal likelihood model with linear link was employed, and the difference from placebo in mean baseline-to-endpoint change in score </w:t>
      </w:r>
      <w:r w:rsidR="0078407E" w:rsidRPr="00E14060">
        <w:rPr>
          <w:color w:val="auto"/>
          <w:lang w:val="en-GB"/>
        </w:rPr>
        <w:t xml:space="preserve">with confidence interval (CI) </w:t>
      </w:r>
      <w:r w:rsidR="00230BA2" w:rsidRPr="00E14060">
        <w:rPr>
          <w:color w:val="auto"/>
          <w:lang w:val="en-GB"/>
        </w:rPr>
        <w:t xml:space="preserve">was reported. For categorical outcomes, a binomial model likelihood model with </w:t>
      </w:r>
      <w:r w:rsidR="000C3FB4" w:rsidRPr="00E14060">
        <w:rPr>
          <w:color w:val="auto"/>
          <w:lang w:val="en-GB"/>
        </w:rPr>
        <w:t xml:space="preserve">log </w:t>
      </w:r>
      <w:r w:rsidR="00230BA2" w:rsidRPr="00E14060">
        <w:rPr>
          <w:color w:val="auto"/>
          <w:lang w:val="en-GB"/>
        </w:rPr>
        <w:t xml:space="preserve">link was employed, and the </w:t>
      </w:r>
      <w:r w:rsidR="000C3FB4" w:rsidRPr="00E14060">
        <w:rPr>
          <w:color w:val="auto"/>
          <w:lang w:val="en-GB"/>
        </w:rPr>
        <w:t>relative risk</w:t>
      </w:r>
      <w:r w:rsidR="00230BA2" w:rsidRPr="00E14060">
        <w:rPr>
          <w:color w:val="auto"/>
          <w:lang w:val="en-GB"/>
        </w:rPr>
        <w:t xml:space="preserve"> </w:t>
      </w:r>
      <w:r w:rsidR="0078407E" w:rsidRPr="00E14060">
        <w:rPr>
          <w:color w:val="auto"/>
          <w:lang w:val="en-GB"/>
        </w:rPr>
        <w:t xml:space="preserve">with confidence interval </w:t>
      </w:r>
      <w:r w:rsidR="00230BA2" w:rsidRPr="00E14060">
        <w:rPr>
          <w:color w:val="auto"/>
          <w:lang w:val="en-GB"/>
        </w:rPr>
        <w:t xml:space="preserve">was reported. Both fixed and random effects models were fitted. </w:t>
      </w:r>
    </w:p>
    <w:p w14:paraId="078DE824" w14:textId="5B2FFC90" w:rsidR="00CD2729" w:rsidRPr="00E14060" w:rsidRDefault="00CD2729" w:rsidP="00566C42">
      <w:pPr>
        <w:pStyle w:val="BMSBodyText"/>
        <w:rPr>
          <w:color w:val="auto"/>
          <w:lang w:val="en-GB"/>
        </w:rPr>
      </w:pPr>
      <w:r w:rsidRPr="00E14060">
        <w:rPr>
          <w:color w:val="auto"/>
          <w:lang w:val="en-GB"/>
        </w:rPr>
        <w:t xml:space="preserve">The frequentist analyses were performed in SAS. </w:t>
      </w:r>
      <w:r w:rsidR="00361218" w:rsidRPr="00E14060">
        <w:rPr>
          <w:color w:val="auto"/>
          <w:lang w:val="en-GB"/>
        </w:rPr>
        <w:t>T</w:t>
      </w:r>
      <w:r w:rsidRPr="00E14060">
        <w:rPr>
          <w:color w:val="auto"/>
          <w:lang w:val="en-GB"/>
        </w:rPr>
        <w:t>he code used to implement the frequentist analysis</w:t>
      </w:r>
      <w:r w:rsidR="00361218" w:rsidRPr="00E14060">
        <w:rPr>
          <w:color w:val="auto"/>
          <w:lang w:val="en-GB"/>
        </w:rPr>
        <w:t xml:space="preserve"> can be provided on request</w:t>
      </w:r>
      <w:r w:rsidRPr="00E14060">
        <w:rPr>
          <w:color w:val="auto"/>
          <w:lang w:val="en-GB"/>
        </w:rPr>
        <w:t>.</w:t>
      </w:r>
    </w:p>
    <w:p w14:paraId="6A0F7096" w14:textId="77777777" w:rsidR="003F2C2D" w:rsidRPr="00E14060" w:rsidRDefault="003F2C2D" w:rsidP="003F2C2D">
      <w:pPr>
        <w:pStyle w:val="Heading2"/>
        <w:rPr>
          <w:color w:val="auto"/>
          <w:lang w:val="en-GB"/>
        </w:rPr>
      </w:pPr>
      <w:bookmarkStart w:id="222" w:name="_Toc402543830"/>
      <w:r w:rsidRPr="00E14060">
        <w:rPr>
          <w:color w:val="auto"/>
          <w:lang w:val="en-GB"/>
        </w:rPr>
        <w:lastRenderedPageBreak/>
        <w:t xml:space="preserve">Heterogeneity </w:t>
      </w:r>
      <w:r w:rsidR="00F33757" w:rsidRPr="00E14060">
        <w:rPr>
          <w:color w:val="auto"/>
          <w:lang w:val="en-GB"/>
        </w:rPr>
        <w:t xml:space="preserve">and Inconsistency </w:t>
      </w:r>
      <w:r w:rsidRPr="00E14060">
        <w:rPr>
          <w:color w:val="auto"/>
          <w:lang w:val="en-GB"/>
        </w:rPr>
        <w:t>Assessment</w:t>
      </w:r>
      <w:r w:rsidR="006A6FF6" w:rsidRPr="00E14060">
        <w:rPr>
          <w:color w:val="auto"/>
          <w:lang w:val="en-GB"/>
        </w:rPr>
        <w:t>s</w:t>
      </w:r>
      <w:bookmarkEnd w:id="222"/>
    </w:p>
    <w:p w14:paraId="6D5F1D94" w14:textId="6242B1C0" w:rsidR="00531F3E" w:rsidRPr="00E14060" w:rsidRDefault="003F2C2D" w:rsidP="003F2C2D">
      <w:pPr>
        <w:pStyle w:val="BMSBodyText"/>
        <w:rPr>
          <w:color w:val="auto"/>
          <w:lang w:val="en-GB"/>
        </w:rPr>
      </w:pPr>
      <w:r w:rsidRPr="00E14060">
        <w:rPr>
          <w:color w:val="auto"/>
          <w:lang w:val="en-GB"/>
        </w:rPr>
        <w:t>Heterogeneity in the evidence network for the efficacy analyses was assessed using methods suggested in the NICE guidelines on evidence synthesis.</w:t>
      </w:r>
      <w:r w:rsidR="00241DBD" w:rsidRPr="00E14060">
        <w:rPr>
          <w:color w:val="auto"/>
          <w:lang w:val="en-GB"/>
        </w:rPr>
        <w:t xml:space="preserve"> </w:t>
      </w:r>
      <w:r w:rsidRPr="00E14060">
        <w:rPr>
          <w:color w:val="auto"/>
          <w:lang w:val="en-GB"/>
        </w:rPr>
        <w:t xml:space="preserve">The heterogeneity of </w:t>
      </w:r>
      <w:r w:rsidR="009034E6" w:rsidRPr="00E14060">
        <w:rPr>
          <w:color w:val="auto"/>
          <w:lang w:val="en-GB"/>
        </w:rPr>
        <w:t>outcomes in studies of LDX</w:t>
      </w:r>
      <w:r w:rsidRPr="00E14060">
        <w:rPr>
          <w:color w:val="auto"/>
          <w:lang w:val="en-GB"/>
        </w:rPr>
        <w:t xml:space="preserve"> vs. placebo that were included in the core efficacy analyses was assessed using the I2 and Cochran’s Q statistics.</w:t>
      </w:r>
      <w:r w:rsidR="00241DBD" w:rsidRPr="00E14060">
        <w:rPr>
          <w:color w:val="auto"/>
          <w:lang w:val="en-GB"/>
        </w:rPr>
        <w:t xml:space="preserve"> </w:t>
      </w:r>
      <w:r w:rsidRPr="00E14060">
        <w:rPr>
          <w:color w:val="auto"/>
          <w:lang w:val="en-GB"/>
        </w:rPr>
        <w:t>The heteroge</w:t>
      </w:r>
      <w:r w:rsidR="007926F0" w:rsidRPr="00E14060">
        <w:rPr>
          <w:color w:val="auto"/>
          <w:lang w:val="en-GB"/>
        </w:rPr>
        <w:t>neity across the entire network</w:t>
      </w:r>
      <w:r w:rsidRPr="00E14060">
        <w:rPr>
          <w:color w:val="auto"/>
          <w:lang w:val="en-GB"/>
        </w:rPr>
        <w:t xml:space="preserve"> was also assessed by comparing the Deviance Information Criterion (DIC) for the fixed and random effects models.</w:t>
      </w:r>
      <w:r w:rsidR="00241DBD" w:rsidRPr="00E14060">
        <w:rPr>
          <w:color w:val="auto"/>
          <w:lang w:val="en-GB"/>
        </w:rPr>
        <w:t xml:space="preserve"> </w:t>
      </w:r>
    </w:p>
    <w:p w14:paraId="74FEB6F7" w14:textId="77777777" w:rsidR="003F2C2D" w:rsidRPr="00E14060" w:rsidRDefault="003F2C2D" w:rsidP="003F2C2D">
      <w:pPr>
        <w:pStyle w:val="BMSBodyText"/>
        <w:rPr>
          <w:color w:val="auto"/>
          <w:lang w:val="en-GB"/>
        </w:rPr>
      </w:pPr>
      <w:r w:rsidRPr="00E14060">
        <w:rPr>
          <w:color w:val="auto"/>
          <w:lang w:val="en-GB"/>
        </w:rPr>
        <w:t>The Q statistic tests for the presence of heterogeneity</w:t>
      </w:r>
      <w:r w:rsidR="00531F3E" w:rsidRPr="00E14060">
        <w:rPr>
          <w:color w:val="auto"/>
          <w:lang w:val="en-GB"/>
        </w:rPr>
        <w:t>, while</w:t>
      </w:r>
      <w:r w:rsidRPr="00E14060">
        <w:rPr>
          <w:color w:val="auto"/>
          <w:lang w:val="en-GB"/>
        </w:rPr>
        <w:t xml:space="preserve"> I</w:t>
      </w:r>
      <w:r w:rsidRPr="00E14060">
        <w:rPr>
          <w:color w:val="auto"/>
          <w:vertAlign w:val="superscript"/>
          <w:lang w:val="en-GB"/>
        </w:rPr>
        <w:t>2</w:t>
      </w:r>
      <w:r w:rsidRPr="00E14060">
        <w:rPr>
          <w:color w:val="auto"/>
          <w:lang w:val="en-GB"/>
        </w:rPr>
        <w:t xml:space="preserve"> measur</w:t>
      </w:r>
      <w:r w:rsidR="001F202C" w:rsidRPr="00E14060">
        <w:rPr>
          <w:color w:val="auto"/>
          <w:lang w:val="en-GB"/>
        </w:rPr>
        <w:t>es the</w:t>
      </w:r>
      <w:r w:rsidRPr="00E14060">
        <w:rPr>
          <w:color w:val="auto"/>
          <w:lang w:val="en-GB"/>
        </w:rPr>
        <w:t xml:space="preserve"> degree of heterogeneity and represents the proportion of total variability among the effect sizes from different trials that is not explained by sampling error. For example, I</w:t>
      </w:r>
      <w:r w:rsidRPr="00E14060">
        <w:rPr>
          <w:color w:val="auto"/>
          <w:vertAlign w:val="superscript"/>
          <w:lang w:val="en-GB"/>
        </w:rPr>
        <w:t>2</w:t>
      </w:r>
      <w:r w:rsidRPr="00E14060">
        <w:rPr>
          <w:color w:val="auto"/>
          <w:lang w:val="en-GB"/>
        </w:rPr>
        <w:t xml:space="preserve"> = 0 implies that all variability in effect size estimates is entirely due to sampling error within studies. I</w:t>
      </w:r>
      <w:r w:rsidRPr="00E14060">
        <w:rPr>
          <w:color w:val="auto"/>
          <w:vertAlign w:val="superscript"/>
          <w:lang w:val="en-GB"/>
        </w:rPr>
        <w:t>2</w:t>
      </w:r>
      <w:r w:rsidRPr="00E14060">
        <w:rPr>
          <w:color w:val="auto"/>
          <w:lang w:val="en-GB"/>
        </w:rPr>
        <w:t xml:space="preserve"> = 50 means that half of the total variability among effect sizes is caused not by sampling error, but by true heterogeneity between studies. In addition, a better fit (lower DIC) for the fixed effects model would indicate that between-study heterogeneity in the effect size is low across the entire network.</w:t>
      </w:r>
    </w:p>
    <w:p w14:paraId="6ABE19D7" w14:textId="3C7F0F16" w:rsidR="00EB0DC7" w:rsidRPr="00E14060" w:rsidRDefault="00EB0DC7" w:rsidP="003F2C2D">
      <w:pPr>
        <w:pStyle w:val="BMSBodyText"/>
        <w:rPr>
          <w:color w:val="auto"/>
          <w:lang w:val="en-GB"/>
        </w:rPr>
      </w:pPr>
      <w:r w:rsidRPr="00E14060">
        <w:rPr>
          <w:color w:val="auto"/>
          <w:szCs w:val="24"/>
          <w:lang w:val="en-GB"/>
        </w:rPr>
        <w:t xml:space="preserve">Inconsistency, characterized as </w:t>
      </w:r>
      <w:r w:rsidR="00475369" w:rsidRPr="00E14060">
        <w:rPr>
          <w:color w:val="auto"/>
          <w:szCs w:val="24"/>
          <w:lang w:val="en-GB"/>
        </w:rPr>
        <w:t xml:space="preserve">differences between direct and indirect estimates of </w:t>
      </w:r>
      <w:r w:rsidRPr="00E14060">
        <w:rPr>
          <w:color w:val="auto"/>
          <w:szCs w:val="24"/>
          <w:lang w:val="en-GB"/>
        </w:rPr>
        <w:t xml:space="preserve">treatment contrasts in a network meta-analysis, can be detected by a conflict between “direct” evidence on a comparison between treatments </w:t>
      </w:r>
      <w:r w:rsidR="00475369" w:rsidRPr="00E14060">
        <w:rPr>
          <w:color w:val="auto"/>
          <w:szCs w:val="24"/>
          <w:lang w:val="en-GB"/>
        </w:rPr>
        <w:t>(i</w:t>
      </w:r>
      <w:r w:rsidR="00E14060">
        <w:rPr>
          <w:color w:val="auto"/>
          <w:szCs w:val="24"/>
          <w:lang w:val="en-GB"/>
        </w:rPr>
        <w:t>.</w:t>
      </w:r>
      <w:r w:rsidR="00475369" w:rsidRPr="00E14060">
        <w:rPr>
          <w:color w:val="auto"/>
          <w:szCs w:val="24"/>
          <w:lang w:val="en-GB"/>
        </w:rPr>
        <w:t>e., evidence from a single randomized study)</w:t>
      </w:r>
      <w:r w:rsidRPr="00E14060">
        <w:rPr>
          <w:color w:val="auto"/>
          <w:szCs w:val="24"/>
          <w:lang w:val="en-GB"/>
        </w:rPr>
        <w:t xml:space="preserve">, and “indirect” evidence </w:t>
      </w:r>
      <w:r w:rsidR="00475369" w:rsidRPr="00E14060">
        <w:rPr>
          <w:color w:val="auto"/>
          <w:szCs w:val="24"/>
          <w:lang w:val="en-GB"/>
        </w:rPr>
        <w:t>(i</w:t>
      </w:r>
      <w:r w:rsidR="00E14060">
        <w:rPr>
          <w:color w:val="auto"/>
          <w:szCs w:val="24"/>
          <w:lang w:val="en-GB"/>
        </w:rPr>
        <w:t>.</w:t>
      </w:r>
      <w:r w:rsidR="00475369" w:rsidRPr="00E14060">
        <w:rPr>
          <w:color w:val="auto"/>
          <w:szCs w:val="24"/>
          <w:lang w:val="en-GB"/>
        </w:rPr>
        <w:t>e., evidence which synthesizes the results of more than one trial)</w:t>
      </w:r>
      <w:r w:rsidRPr="00E14060">
        <w:rPr>
          <w:color w:val="auto"/>
          <w:szCs w:val="24"/>
          <w:lang w:val="en-GB"/>
        </w:rPr>
        <w:t xml:space="preserve">. </w:t>
      </w:r>
      <w:r w:rsidR="00475369" w:rsidRPr="00E14060">
        <w:rPr>
          <w:color w:val="auto"/>
          <w:szCs w:val="24"/>
          <w:lang w:val="en-GB"/>
        </w:rPr>
        <w:t>Inconsistency was assessed by comparing such direct and indirect estimates.</w:t>
      </w:r>
    </w:p>
    <w:p w14:paraId="19F22D8A" w14:textId="77777777" w:rsidR="00566C42" w:rsidRPr="00E14060" w:rsidRDefault="00566C42" w:rsidP="009375DF">
      <w:pPr>
        <w:pStyle w:val="Heading2"/>
        <w:rPr>
          <w:color w:val="auto"/>
          <w:lang w:val="en-GB"/>
        </w:rPr>
      </w:pPr>
      <w:bookmarkStart w:id="223" w:name="_Toc397082737"/>
      <w:bookmarkStart w:id="224" w:name="_Toc384075887"/>
      <w:bookmarkStart w:id="225" w:name="_Toc384683001"/>
      <w:bookmarkStart w:id="226" w:name="_Toc391913763"/>
      <w:bookmarkStart w:id="227" w:name="_Toc402543831"/>
      <w:bookmarkEnd w:id="223"/>
      <w:r w:rsidRPr="00E14060">
        <w:rPr>
          <w:color w:val="auto"/>
          <w:lang w:val="en-GB"/>
        </w:rPr>
        <w:t>Core Analyses and Sensitivity Analyses</w:t>
      </w:r>
      <w:bookmarkEnd w:id="224"/>
      <w:bookmarkEnd w:id="225"/>
      <w:bookmarkEnd w:id="226"/>
      <w:bookmarkEnd w:id="227"/>
    </w:p>
    <w:p w14:paraId="7AC9D834" w14:textId="77777777" w:rsidR="00566C42" w:rsidRPr="00E14060" w:rsidRDefault="00566C42" w:rsidP="00566C42">
      <w:pPr>
        <w:shd w:val="clear" w:color="auto" w:fill="FFFFFF"/>
        <w:spacing w:before="240" w:after="240" w:line="360" w:lineRule="auto"/>
        <w:contextualSpacing/>
        <w:rPr>
          <w:sz w:val="24"/>
          <w:szCs w:val="24"/>
          <w:lang w:val="en-GB" w:eastAsia="zh-CN"/>
        </w:rPr>
      </w:pPr>
      <w:r w:rsidRPr="00E14060">
        <w:rPr>
          <w:sz w:val="24"/>
          <w:szCs w:val="24"/>
          <w:lang w:val="en-GB" w:eastAsia="zh-CN"/>
        </w:rPr>
        <w:t>The core Bayesian analysis for all four outcomes had the following characteristics</w:t>
      </w:r>
      <w:r w:rsidR="00B34D34" w:rsidRPr="00E14060">
        <w:rPr>
          <w:sz w:val="24"/>
          <w:szCs w:val="24"/>
          <w:lang w:val="en-GB" w:eastAsia="zh-CN"/>
        </w:rPr>
        <w:t xml:space="preserve"> for ADHD-RS-IV score change</w:t>
      </w:r>
      <w:r w:rsidRPr="00E14060">
        <w:rPr>
          <w:sz w:val="24"/>
          <w:szCs w:val="24"/>
          <w:lang w:val="en-GB" w:eastAsia="zh-CN"/>
        </w:rPr>
        <w:t>:</w:t>
      </w:r>
    </w:p>
    <w:p w14:paraId="2C783143" w14:textId="77777777" w:rsidR="00566C42" w:rsidRPr="00E14060" w:rsidRDefault="00566C42" w:rsidP="009375DF">
      <w:pPr>
        <w:pStyle w:val="ListParagraph"/>
        <w:numPr>
          <w:ilvl w:val="0"/>
          <w:numId w:val="51"/>
        </w:numPr>
        <w:shd w:val="clear" w:color="auto" w:fill="FFFFFF"/>
        <w:spacing w:before="240" w:after="240" w:line="360" w:lineRule="auto"/>
        <w:rPr>
          <w:rFonts w:ascii="Times New Roman" w:hAnsi="Times New Roman"/>
          <w:sz w:val="24"/>
          <w:szCs w:val="24"/>
          <w:lang w:val="en-GB"/>
        </w:rPr>
      </w:pPr>
      <w:r w:rsidRPr="00E14060">
        <w:rPr>
          <w:rFonts w:ascii="Times New Roman" w:eastAsia="Times New Roman" w:hAnsi="Times New Roman"/>
          <w:i w:val="0"/>
          <w:iCs w:val="0"/>
          <w:sz w:val="24"/>
          <w:szCs w:val="24"/>
          <w:lang w:val="en-GB"/>
        </w:rPr>
        <w:t>Random effects model</w:t>
      </w:r>
    </w:p>
    <w:p w14:paraId="1A06A03F" w14:textId="77777777" w:rsidR="00566C42" w:rsidRPr="00E14060" w:rsidRDefault="00566C42" w:rsidP="009375DF">
      <w:pPr>
        <w:pStyle w:val="ListParagraph"/>
        <w:numPr>
          <w:ilvl w:val="0"/>
          <w:numId w:val="51"/>
        </w:numPr>
        <w:shd w:val="clear" w:color="auto" w:fill="FFFFFF"/>
        <w:spacing w:before="240" w:after="240" w:line="360" w:lineRule="auto"/>
        <w:rPr>
          <w:rFonts w:ascii="Times New Roman" w:hAnsi="Times New Roman"/>
          <w:sz w:val="24"/>
          <w:szCs w:val="24"/>
          <w:lang w:val="en-GB"/>
        </w:rPr>
      </w:pPr>
      <w:r w:rsidRPr="00E14060">
        <w:rPr>
          <w:rFonts w:ascii="Times New Roman" w:eastAsia="Times New Roman" w:hAnsi="Times New Roman"/>
          <w:i w:val="0"/>
          <w:iCs w:val="0"/>
          <w:sz w:val="24"/>
          <w:szCs w:val="24"/>
          <w:lang w:val="en-GB"/>
        </w:rPr>
        <w:t>One treatment arm per drug (combined doses)</w:t>
      </w:r>
    </w:p>
    <w:p w14:paraId="0B3E609D" w14:textId="77777777" w:rsidR="00566C42" w:rsidRPr="00E14060" w:rsidRDefault="00566C42" w:rsidP="00566C42">
      <w:pPr>
        <w:shd w:val="clear" w:color="auto" w:fill="FFFFFF"/>
        <w:spacing w:before="240" w:after="240" w:line="360" w:lineRule="auto"/>
        <w:contextualSpacing/>
        <w:rPr>
          <w:sz w:val="24"/>
          <w:szCs w:val="24"/>
          <w:lang w:val="en-GB" w:eastAsia="zh-CN"/>
        </w:rPr>
      </w:pPr>
      <w:r w:rsidRPr="00E14060">
        <w:rPr>
          <w:sz w:val="24"/>
          <w:szCs w:val="24"/>
          <w:lang w:val="en-GB" w:eastAsia="zh-CN"/>
        </w:rPr>
        <w:lastRenderedPageBreak/>
        <w:t>Five sensitivity analyses were done for ADHD-RS-IV</w:t>
      </w:r>
      <w:r w:rsidR="00B34D34" w:rsidRPr="00E14060">
        <w:rPr>
          <w:sz w:val="24"/>
          <w:szCs w:val="24"/>
          <w:lang w:val="en-GB" w:eastAsia="zh-CN"/>
        </w:rPr>
        <w:t xml:space="preserve"> score</w:t>
      </w:r>
      <w:r w:rsidRPr="00E14060">
        <w:rPr>
          <w:sz w:val="24"/>
          <w:szCs w:val="24"/>
          <w:lang w:val="en-GB" w:eastAsia="zh-CN"/>
        </w:rPr>
        <w:t xml:space="preserve"> change. </w:t>
      </w:r>
      <w:r w:rsidR="00C923B0" w:rsidRPr="00E14060">
        <w:rPr>
          <w:sz w:val="24"/>
          <w:szCs w:val="24"/>
          <w:lang w:val="en-GB" w:eastAsia="zh-CN"/>
        </w:rPr>
        <w:t xml:space="preserve">Sensitivity analyses were performed to assess different methods of accounting for heterogeneity. The fixed effects model assumes no heterogeneity in outcomes (while the random effects model used in the core analyses assumes the presence of heterogeneity), and thus was chosen to be a part of the sensitivity analyses. Sensitivity analyses were also performed using different ways of identifying treatment (separating by dose), and including or excluding studies that appeared to introduce heterogeneity in the study population. </w:t>
      </w:r>
      <w:r w:rsidRPr="00E14060">
        <w:rPr>
          <w:sz w:val="24"/>
          <w:szCs w:val="24"/>
          <w:lang w:val="en-GB" w:eastAsia="zh-CN"/>
        </w:rPr>
        <w:t>The following highlights the difference between each sensitivity analysis compared to the core analysis:</w:t>
      </w:r>
    </w:p>
    <w:p w14:paraId="730D24B3" w14:textId="77777777" w:rsidR="007A00A0" w:rsidRPr="00E14060" w:rsidRDefault="00566C42" w:rsidP="00F028DC">
      <w:pPr>
        <w:pStyle w:val="ListParagraph"/>
        <w:numPr>
          <w:ilvl w:val="0"/>
          <w:numId w:val="51"/>
        </w:numPr>
        <w:shd w:val="clear" w:color="auto" w:fill="FFFFFF"/>
        <w:spacing w:after="0" w:line="360" w:lineRule="auto"/>
        <w:rPr>
          <w:rFonts w:ascii="Times New Roman" w:hAnsi="Times New Roman"/>
          <w:sz w:val="24"/>
          <w:szCs w:val="24"/>
          <w:lang w:val="en-GB"/>
        </w:rPr>
      </w:pPr>
      <w:r w:rsidRPr="00E14060">
        <w:rPr>
          <w:rFonts w:ascii="Times New Roman" w:eastAsia="Times New Roman" w:hAnsi="Times New Roman"/>
          <w:i w:val="0"/>
          <w:sz w:val="24"/>
          <w:szCs w:val="24"/>
          <w:lang w:val="en-GB"/>
        </w:rPr>
        <w:t>Sensitivity 1: Fixed effects model</w:t>
      </w:r>
      <w:r w:rsidR="003C155B" w:rsidRPr="00E14060">
        <w:rPr>
          <w:rFonts w:ascii="Times New Roman" w:eastAsia="Times New Roman" w:hAnsi="Times New Roman"/>
          <w:i w:val="0"/>
          <w:sz w:val="24"/>
          <w:szCs w:val="24"/>
          <w:lang w:val="en-GB"/>
        </w:rPr>
        <w:t>, combined doses</w:t>
      </w:r>
    </w:p>
    <w:p w14:paraId="5A45D3AC" w14:textId="77777777" w:rsidR="00566C42" w:rsidRPr="00E14060" w:rsidRDefault="00566C42" w:rsidP="00F028DC">
      <w:pPr>
        <w:pStyle w:val="ListParagraph"/>
        <w:numPr>
          <w:ilvl w:val="0"/>
          <w:numId w:val="51"/>
        </w:numPr>
        <w:shd w:val="clear" w:color="auto" w:fill="FFFFFF"/>
        <w:spacing w:after="0" w:line="360" w:lineRule="auto"/>
        <w:rPr>
          <w:rFonts w:ascii="Times New Roman" w:hAnsi="Times New Roman"/>
          <w:sz w:val="24"/>
          <w:szCs w:val="24"/>
          <w:lang w:val="en-GB"/>
        </w:rPr>
      </w:pPr>
      <w:r w:rsidRPr="00E14060">
        <w:rPr>
          <w:rFonts w:ascii="Times New Roman" w:eastAsia="Times New Roman" w:hAnsi="Times New Roman"/>
          <w:i w:val="0"/>
          <w:iCs w:val="0"/>
          <w:sz w:val="24"/>
          <w:szCs w:val="24"/>
          <w:lang w:val="en-GB"/>
        </w:rPr>
        <w:t xml:space="preserve">Sensitivity </w:t>
      </w:r>
      <w:r w:rsidR="00FB2D89" w:rsidRPr="00E14060">
        <w:rPr>
          <w:rFonts w:ascii="Times New Roman" w:eastAsia="Times New Roman" w:hAnsi="Times New Roman"/>
          <w:i w:val="0"/>
          <w:iCs w:val="0"/>
          <w:sz w:val="24"/>
          <w:szCs w:val="24"/>
          <w:lang w:val="en-GB"/>
        </w:rPr>
        <w:t>2</w:t>
      </w:r>
      <w:r w:rsidRPr="00E14060">
        <w:rPr>
          <w:rFonts w:ascii="Times New Roman" w:eastAsia="Times New Roman" w:hAnsi="Times New Roman"/>
          <w:i w:val="0"/>
          <w:iCs w:val="0"/>
          <w:sz w:val="24"/>
          <w:szCs w:val="24"/>
          <w:lang w:val="en-GB"/>
        </w:rPr>
        <w:t>:</w:t>
      </w:r>
      <w:r w:rsidR="002056E3" w:rsidRPr="00E14060">
        <w:rPr>
          <w:rFonts w:ascii="Times New Roman" w:eastAsia="Times New Roman" w:hAnsi="Times New Roman"/>
          <w:i w:val="0"/>
          <w:iCs w:val="0"/>
          <w:sz w:val="24"/>
          <w:szCs w:val="24"/>
          <w:lang w:val="en-GB"/>
        </w:rPr>
        <w:t xml:space="preserve"> </w:t>
      </w:r>
      <w:r w:rsidR="00B3411C" w:rsidRPr="00E14060">
        <w:rPr>
          <w:rFonts w:ascii="Times New Roman" w:eastAsia="Times New Roman" w:hAnsi="Times New Roman"/>
          <w:i w:val="0"/>
          <w:iCs w:val="0"/>
          <w:sz w:val="24"/>
          <w:szCs w:val="24"/>
          <w:lang w:val="en-GB"/>
        </w:rPr>
        <w:t xml:space="preserve">Random effects model, </w:t>
      </w:r>
      <w:r w:rsidR="003C155B" w:rsidRPr="00E14060">
        <w:rPr>
          <w:rFonts w:ascii="Times New Roman" w:eastAsia="Times New Roman" w:hAnsi="Times New Roman"/>
          <w:i w:val="0"/>
          <w:iCs w:val="0"/>
          <w:sz w:val="24"/>
          <w:szCs w:val="24"/>
          <w:lang w:val="en-GB"/>
        </w:rPr>
        <w:t>combined doses, a</w:t>
      </w:r>
      <w:r w:rsidR="002056E3" w:rsidRPr="00E14060">
        <w:rPr>
          <w:rFonts w:ascii="Times New Roman" w:eastAsia="Times New Roman" w:hAnsi="Times New Roman"/>
          <w:i w:val="0"/>
          <w:iCs w:val="0"/>
          <w:sz w:val="24"/>
          <w:szCs w:val="24"/>
          <w:lang w:val="en-GB"/>
        </w:rPr>
        <w:t>dd</w:t>
      </w:r>
      <w:r w:rsidR="003C155B" w:rsidRPr="00E14060">
        <w:rPr>
          <w:rFonts w:ascii="Times New Roman" w:eastAsia="Times New Roman" w:hAnsi="Times New Roman"/>
          <w:i w:val="0"/>
          <w:iCs w:val="0"/>
          <w:sz w:val="24"/>
          <w:szCs w:val="24"/>
          <w:lang w:val="en-GB"/>
        </w:rPr>
        <w:t>ing</w:t>
      </w:r>
      <w:r w:rsidR="002056E3" w:rsidRPr="00E14060">
        <w:rPr>
          <w:rFonts w:ascii="Times New Roman" w:eastAsia="Times New Roman" w:hAnsi="Times New Roman"/>
          <w:i w:val="0"/>
          <w:iCs w:val="0"/>
          <w:sz w:val="24"/>
          <w:szCs w:val="24"/>
          <w:lang w:val="en-GB"/>
        </w:rPr>
        <w:t xml:space="preserve"> in </w:t>
      </w:r>
      <w:r w:rsidR="00331477" w:rsidRPr="00E14060">
        <w:rPr>
          <w:rFonts w:ascii="Times New Roman" w:eastAsia="Times New Roman" w:hAnsi="Times New Roman"/>
          <w:i w:val="0"/>
          <w:iCs w:val="0"/>
          <w:sz w:val="24"/>
          <w:szCs w:val="24"/>
          <w:lang w:val="en-GB"/>
        </w:rPr>
        <w:t xml:space="preserve">the data from the publication from </w:t>
      </w:r>
      <w:r w:rsidR="002056E3" w:rsidRPr="00E14060">
        <w:rPr>
          <w:rFonts w:ascii="Times New Roman" w:eastAsia="Times New Roman" w:hAnsi="Times New Roman"/>
          <w:i w:val="0"/>
          <w:iCs w:val="0"/>
          <w:sz w:val="24"/>
          <w:szCs w:val="24"/>
          <w:lang w:val="en-GB"/>
        </w:rPr>
        <w:t>Spencer (1998) for ATX. Spencer (1998) was excluded from the primary analysis due to being a cross-over study in which it was not clear whether the reported results were from before cross-over.</w:t>
      </w:r>
    </w:p>
    <w:p w14:paraId="43D65602" w14:textId="77777777" w:rsidR="00FB2D89" w:rsidRPr="00E14060" w:rsidRDefault="00FB2D89" w:rsidP="00F028DC">
      <w:pPr>
        <w:pStyle w:val="ListParagraph"/>
        <w:numPr>
          <w:ilvl w:val="0"/>
          <w:numId w:val="51"/>
        </w:numPr>
        <w:shd w:val="clear" w:color="auto" w:fill="FFFFFF"/>
        <w:spacing w:after="0" w:line="360" w:lineRule="auto"/>
        <w:rPr>
          <w:rFonts w:ascii="Times New Roman" w:hAnsi="Times New Roman"/>
          <w:sz w:val="24"/>
          <w:szCs w:val="24"/>
          <w:lang w:val="en-GB"/>
        </w:rPr>
      </w:pPr>
      <w:r w:rsidRPr="00E14060">
        <w:rPr>
          <w:rFonts w:ascii="Times New Roman" w:eastAsia="Times New Roman" w:hAnsi="Times New Roman"/>
          <w:i w:val="0"/>
          <w:iCs w:val="0"/>
          <w:sz w:val="24"/>
          <w:szCs w:val="24"/>
          <w:lang w:val="en-GB"/>
        </w:rPr>
        <w:t xml:space="preserve">Sensitivity 3: </w:t>
      </w:r>
      <w:r w:rsidR="00C62C41" w:rsidRPr="00E14060">
        <w:rPr>
          <w:rFonts w:ascii="Times New Roman" w:eastAsia="Times New Roman" w:hAnsi="Times New Roman"/>
          <w:i w:val="0"/>
          <w:iCs w:val="0"/>
          <w:sz w:val="24"/>
          <w:szCs w:val="24"/>
          <w:lang w:val="en-GB"/>
        </w:rPr>
        <w:t>Random effects model, t</w:t>
      </w:r>
      <w:r w:rsidRPr="00E14060">
        <w:rPr>
          <w:rFonts w:ascii="Times New Roman" w:eastAsia="Times New Roman" w:hAnsi="Times New Roman"/>
          <w:i w:val="0"/>
          <w:iCs w:val="0"/>
          <w:sz w:val="24"/>
          <w:szCs w:val="24"/>
          <w:lang w:val="en-GB"/>
        </w:rPr>
        <w:t>reatment arms separated by dose</w:t>
      </w:r>
    </w:p>
    <w:p w14:paraId="10AE737B" w14:textId="77777777" w:rsidR="00566C42" w:rsidRPr="00E14060" w:rsidRDefault="00566C42" w:rsidP="00F028DC">
      <w:pPr>
        <w:pStyle w:val="ListParagraph"/>
        <w:numPr>
          <w:ilvl w:val="0"/>
          <w:numId w:val="51"/>
        </w:numPr>
        <w:shd w:val="clear" w:color="auto" w:fill="FFFFFF"/>
        <w:spacing w:after="0" w:line="360" w:lineRule="auto"/>
        <w:rPr>
          <w:rFonts w:ascii="Times New Roman" w:eastAsia="Times New Roman" w:hAnsi="Times New Roman"/>
          <w:i w:val="0"/>
          <w:iCs w:val="0"/>
          <w:sz w:val="24"/>
          <w:szCs w:val="24"/>
          <w:lang w:val="en-GB"/>
        </w:rPr>
      </w:pPr>
      <w:r w:rsidRPr="00E14060">
        <w:rPr>
          <w:rFonts w:ascii="Times New Roman" w:eastAsia="Times New Roman" w:hAnsi="Times New Roman"/>
          <w:i w:val="0"/>
          <w:iCs w:val="0"/>
          <w:sz w:val="24"/>
          <w:szCs w:val="24"/>
          <w:lang w:val="en-GB"/>
        </w:rPr>
        <w:t>Sensitivity 4:</w:t>
      </w:r>
      <w:r w:rsidR="002056E3" w:rsidRPr="00E14060">
        <w:rPr>
          <w:rFonts w:ascii="Times New Roman" w:eastAsia="Times New Roman" w:hAnsi="Times New Roman"/>
          <w:i w:val="0"/>
          <w:iCs w:val="0"/>
          <w:sz w:val="24"/>
          <w:szCs w:val="24"/>
          <w:lang w:val="en-GB"/>
        </w:rPr>
        <w:t xml:space="preserve"> </w:t>
      </w:r>
      <w:r w:rsidR="00386333" w:rsidRPr="00E14060">
        <w:rPr>
          <w:rFonts w:ascii="Times New Roman" w:eastAsia="Times New Roman" w:hAnsi="Times New Roman"/>
          <w:i w:val="0"/>
          <w:iCs w:val="0"/>
          <w:sz w:val="24"/>
          <w:szCs w:val="24"/>
          <w:lang w:val="en-GB"/>
        </w:rPr>
        <w:t>Random effects model, combined doses, e</w:t>
      </w:r>
      <w:r w:rsidR="002056E3" w:rsidRPr="00E14060">
        <w:rPr>
          <w:rFonts w:ascii="Times New Roman" w:eastAsia="Times New Roman" w:hAnsi="Times New Roman"/>
          <w:i w:val="0"/>
          <w:iCs w:val="0"/>
          <w:sz w:val="24"/>
          <w:szCs w:val="24"/>
          <w:lang w:val="en-GB"/>
        </w:rPr>
        <w:t>xclud</w:t>
      </w:r>
      <w:r w:rsidR="00386333" w:rsidRPr="00E14060">
        <w:rPr>
          <w:rFonts w:ascii="Times New Roman" w:eastAsia="Times New Roman" w:hAnsi="Times New Roman"/>
          <w:i w:val="0"/>
          <w:iCs w:val="0"/>
          <w:sz w:val="24"/>
          <w:szCs w:val="24"/>
          <w:lang w:val="en-GB"/>
        </w:rPr>
        <w:t>ing</w:t>
      </w:r>
      <w:r w:rsidR="002056E3" w:rsidRPr="00E14060">
        <w:rPr>
          <w:rFonts w:ascii="Times New Roman" w:eastAsia="Times New Roman" w:hAnsi="Times New Roman"/>
          <w:i w:val="0"/>
          <w:iCs w:val="0"/>
          <w:sz w:val="24"/>
          <w:szCs w:val="24"/>
          <w:lang w:val="en-GB"/>
        </w:rPr>
        <w:t xml:space="preserve"> NCT00937040 for MPH-ER NCT00937040 was inconsistent with other studies in that ADHD-RS-IV was rated by significant others.</w:t>
      </w:r>
    </w:p>
    <w:p w14:paraId="0F90E69D" w14:textId="77777777" w:rsidR="00566C42" w:rsidRPr="00E14060" w:rsidRDefault="00566C42" w:rsidP="00F028DC">
      <w:pPr>
        <w:pStyle w:val="ListParagraph"/>
        <w:numPr>
          <w:ilvl w:val="0"/>
          <w:numId w:val="51"/>
        </w:numPr>
        <w:shd w:val="clear" w:color="auto" w:fill="FFFFFF"/>
        <w:spacing w:after="0" w:line="360" w:lineRule="auto"/>
        <w:rPr>
          <w:rFonts w:ascii="Times New Roman" w:hAnsi="Times New Roman"/>
          <w:sz w:val="24"/>
          <w:szCs w:val="24"/>
          <w:lang w:val="en-GB"/>
        </w:rPr>
      </w:pPr>
      <w:r w:rsidRPr="00E14060">
        <w:rPr>
          <w:rFonts w:ascii="Times New Roman" w:eastAsia="Times New Roman" w:hAnsi="Times New Roman"/>
          <w:i w:val="0"/>
          <w:iCs w:val="0"/>
          <w:sz w:val="24"/>
          <w:szCs w:val="24"/>
          <w:lang w:val="en-GB"/>
        </w:rPr>
        <w:t>Sensitivity 5:</w:t>
      </w:r>
      <w:r w:rsidR="002056E3" w:rsidRPr="00E14060">
        <w:rPr>
          <w:rFonts w:ascii="Times New Roman" w:eastAsia="Times New Roman" w:hAnsi="Times New Roman"/>
          <w:i w:val="0"/>
          <w:iCs w:val="0"/>
          <w:sz w:val="24"/>
          <w:szCs w:val="24"/>
          <w:lang w:val="en-GB"/>
        </w:rPr>
        <w:t xml:space="preserve"> </w:t>
      </w:r>
      <w:r w:rsidR="00FE7D2D" w:rsidRPr="00E14060">
        <w:rPr>
          <w:rFonts w:ascii="Times New Roman" w:eastAsia="Times New Roman" w:hAnsi="Times New Roman"/>
          <w:i w:val="0"/>
          <w:iCs w:val="0"/>
          <w:sz w:val="24"/>
          <w:szCs w:val="24"/>
          <w:lang w:val="en-GB"/>
        </w:rPr>
        <w:t>Random effects model, combined doses, e</w:t>
      </w:r>
      <w:r w:rsidR="002056E3" w:rsidRPr="00E14060">
        <w:rPr>
          <w:rFonts w:ascii="Times New Roman" w:eastAsia="Times New Roman" w:hAnsi="Times New Roman"/>
          <w:i w:val="0"/>
          <w:iCs w:val="0"/>
          <w:sz w:val="24"/>
          <w:szCs w:val="24"/>
          <w:lang w:val="en-GB"/>
        </w:rPr>
        <w:t>xclud</w:t>
      </w:r>
      <w:r w:rsidR="00FE7D2D" w:rsidRPr="00E14060">
        <w:rPr>
          <w:rFonts w:ascii="Times New Roman" w:eastAsia="Times New Roman" w:hAnsi="Times New Roman"/>
          <w:i w:val="0"/>
          <w:iCs w:val="0"/>
          <w:sz w:val="24"/>
          <w:szCs w:val="24"/>
          <w:lang w:val="en-GB"/>
        </w:rPr>
        <w:t>ing</w:t>
      </w:r>
      <w:r w:rsidR="002056E3" w:rsidRPr="00E14060">
        <w:rPr>
          <w:rFonts w:ascii="Times New Roman" w:eastAsia="Times New Roman" w:hAnsi="Times New Roman"/>
          <w:i w:val="0"/>
          <w:iCs w:val="0"/>
          <w:sz w:val="24"/>
          <w:szCs w:val="24"/>
          <w:lang w:val="en-GB"/>
        </w:rPr>
        <w:t xml:space="preserve"> </w:t>
      </w:r>
      <w:r w:rsidR="00331477" w:rsidRPr="00E14060">
        <w:rPr>
          <w:rFonts w:ascii="Times New Roman" w:eastAsia="Times New Roman" w:hAnsi="Times New Roman"/>
          <w:i w:val="0"/>
          <w:iCs w:val="0"/>
          <w:sz w:val="24"/>
          <w:szCs w:val="24"/>
          <w:lang w:val="en-GB"/>
        </w:rPr>
        <w:t xml:space="preserve">the data from the publication from </w:t>
      </w:r>
      <w:r w:rsidR="002056E3" w:rsidRPr="00E14060">
        <w:rPr>
          <w:rFonts w:ascii="Times New Roman" w:eastAsia="Times New Roman" w:hAnsi="Times New Roman"/>
          <w:i w:val="0"/>
          <w:iCs w:val="0"/>
          <w:sz w:val="24"/>
          <w:szCs w:val="24"/>
          <w:lang w:val="en-GB"/>
        </w:rPr>
        <w:t>Biederman (2012) for LDX. Biederman (2012) was the only study in the ADHD-RS-IV change network consisting of only young adults (all participants ≤ 30 years old).</w:t>
      </w:r>
    </w:p>
    <w:p w14:paraId="44EBDFF7" w14:textId="77777777" w:rsidR="00E43B7E" w:rsidRPr="00E14060" w:rsidRDefault="00E43B7E" w:rsidP="00E43B7E">
      <w:pPr>
        <w:pStyle w:val="AGbodytext0"/>
        <w:rPr>
          <w:sz w:val="24"/>
          <w:szCs w:val="24"/>
        </w:rPr>
      </w:pPr>
      <w:r w:rsidRPr="00E14060">
        <w:rPr>
          <w:sz w:val="24"/>
          <w:szCs w:val="24"/>
        </w:rPr>
        <w:t>The following sensitivity analysis was conducted for ADHD-RS-IV</w:t>
      </w:r>
      <w:r w:rsidR="001571FF" w:rsidRPr="00E14060">
        <w:rPr>
          <w:sz w:val="24"/>
          <w:szCs w:val="24"/>
        </w:rPr>
        <w:t>/</w:t>
      </w:r>
      <w:r w:rsidRPr="00E14060">
        <w:rPr>
          <w:sz w:val="24"/>
          <w:szCs w:val="24"/>
        </w:rPr>
        <w:t>AISRS change:</w:t>
      </w:r>
    </w:p>
    <w:p w14:paraId="27FBD2C9" w14:textId="77777777" w:rsidR="00E43B7E" w:rsidRPr="00E14060" w:rsidRDefault="00204C8C" w:rsidP="00E43B7E">
      <w:pPr>
        <w:pStyle w:val="AGbodytext0"/>
        <w:numPr>
          <w:ilvl w:val="0"/>
          <w:numId w:val="95"/>
        </w:numPr>
        <w:rPr>
          <w:sz w:val="24"/>
          <w:szCs w:val="24"/>
        </w:rPr>
      </w:pPr>
      <w:r w:rsidRPr="00E14060">
        <w:rPr>
          <w:sz w:val="24"/>
          <w:szCs w:val="24"/>
        </w:rPr>
        <w:t xml:space="preserve">Sensitivity 1: </w:t>
      </w:r>
      <w:r w:rsidR="00E43B7E" w:rsidRPr="00E14060">
        <w:rPr>
          <w:sz w:val="24"/>
          <w:szCs w:val="24"/>
        </w:rPr>
        <w:t>Fixed effects model, combined doses</w:t>
      </w:r>
      <w:r w:rsidR="00E43B7E" w:rsidRPr="00E14060">
        <w:rPr>
          <w:i/>
          <w:sz w:val="24"/>
          <w:szCs w:val="24"/>
        </w:rPr>
        <w:t>.</w:t>
      </w:r>
    </w:p>
    <w:p w14:paraId="02D22A83" w14:textId="77777777" w:rsidR="00566C42" w:rsidRPr="00E14060" w:rsidRDefault="002056E3" w:rsidP="00566C42">
      <w:pPr>
        <w:shd w:val="clear" w:color="auto" w:fill="FFFFFF"/>
        <w:spacing w:before="240" w:after="240" w:line="360" w:lineRule="auto"/>
        <w:rPr>
          <w:sz w:val="24"/>
          <w:szCs w:val="24"/>
          <w:lang w:val="en-GB" w:eastAsia="zh-CN"/>
        </w:rPr>
      </w:pPr>
      <w:r w:rsidRPr="00E14060">
        <w:rPr>
          <w:sz w:val="24"/>
          <w:szCs w:val="24"/>
          <w:lang w:val="en-GB" w:eastAsia="zh-CN"/>
        </w:rPr>
        <w:t>One</w:t>
      </w:r>
      <w:r w:rsidR="00566C42" w:rsidRPr="00E14060">
        <w:rPr>
          <w:sz w:val="24"/>
          <w:szCs w:val="24"/>
          <w:lang w:val="en-GB" w:eastAsia="zh-CN"/>
        </w:rPr>
        <w:t xml:space="preserve"> sensitivity </w:t>
      </w:r>
      <w:r w:rsidRPr="00E14060">
        <w:rPr>
          <w:sz w:val="24"/>
          <w:szCs w:val="24"/>
          <w:lang w:val="en-GB" w:eastAsia="zh-CN"/>
        </w:rPr>
        <w:t>analysis</w:t>
      </w:r>
      <w:r w:rsidR="00566C42" w:rsidRPr="00E14060">
        <w:rPr>
          <w:sz w:val="24"/>
          <w:szCs w:val="24"/>
          <w:lang w:val="en-GB" w:eastAsia="zh-CN"/>
        </w:rPr>
        <w:t xml:space="preserve"> </w:t>
      </w:r>
      <w:r w:rsidRPr="00E14060">
        <w:rPr>
          <w:sz w:val="24"/>
          <w:szCs w:val="24"/>
          <w:lang w:val="en-GB" w:eastAsia="zh-CN"/>
        </w:rPr>
        <w:t>was</w:t>
      </w:r>
      <w:r w:rsidR="00566C42" w:rsidRPr="00E14060">
        <w:rPr>
          <w:sz w:val="24"/>
          <w:szCs w:val="24"/>
          <w:lang w:val="en-GB" w:eastAsia="zh-CN"/>
        </w:rPr>
        <w:t xml:space="preserve"> done for CGI-I response. </w:t>
      </w:r>
      <w:r w:rsidRPr="00E14060">
        <w:rPr>
          <w:sz w:val="24"/>
          <w:szCs w:val="24"/>
          <w:lang w:val="en-GB" w:eastAsia="zh-CN"/>
        </w:rPr>
        <w:t>Compared to the core analysis, a fixed effects model was used instead of random effects.</w:t>
      </w:r>
    </w:p>
    <w:p w14:paraId="53B58DA0" w14:textId="77777777" w:rsidR="002056E3" w:rsidRPr="00E14060" w:rsidRDefault="002056E3" w:rsidP="009375DF">
      <w:pPr>
        <w:pStyle w:val="ListParagraph"/>
        <w:numPr>
          <w:ilvl w:val="0"/>
          <w:numId w:val="53"/>
        </w:numPr>
        <w:shd w:val="clear" w:color="auto" w:fill="FFFFFF"/>
        <w:spacing w:before="240" w:after="240" w:line="360" w:lineRule="auto"/>
        <w:rPr>
          <w:rFonts w:ascii="Times New Roman" w:hAnsi="Times New Roman"/>
          <w:sz w:val="24"/>
          <w:szCs w:val="24"/>
          <w:lang w:val="en-GB"/>
        </w:rPr>
      </w:pPr>
      <w:r w:rsidRPr="00E14060">
        <w:rPr>
          <w:rFonts w:ascii="Times New Roman" w:eastAsia="Times New Roman" w:hAnsi="Times New Roman"/>
          <w:i w:val="0"/>
          <w:iCs w:val="0"/>
          <w:sz w:val="24"/>
          <w:szCs w:val="24"/>
          <w:lang w:val="en-GB"/>
        </w:rPr>
        <w:t xml:space="preserve">Sensitivity </w:t>
      </w:r>
      <w:r w:rsidR="0086055B" w:rsidRPr="00E14060">
        <w:rPr>
          <w:rFonts w:ascii="Times New Roman" w:eastAsia="Times New Roman" w:hAnsi="Times New Roman"/>
          <w:i w:val="0"/>
          <w:iCs w:val="0"/>
          <w:sz w:val="24"/>
          <w:szCs w:val="24"/>
          <w:lang w:val="en-GB"/>
        </w:rPr>
        <w:t>1</w:t>
      </w:r>
      <w:r w:rsidRPr="00E14060">
        <w:rPr>
          <w:rFonts w:ascii="Times New Roman" w:eastAsia="Times New Roman" w:hAnsi="Times New Roman"/>
          <w:i w:val="0"/>
          <w:iCs w:val="0"/>
          <w:sz w:val="24"/>
          <w:szCs w:val="24"/>
          <w:lang w:val="en-GB"/>
        </w:rPr>
        <w:t>: Fixed effects model</w:t>
      </w:r>
      <w:r w:rsidR="0086055B" w:rsidRPr="00E14060">
        <w:rPr>
          <w:rFonts w:ascii="Times New Roman" w:eastAsia="Times New Roman" w:hAnsi="Times New Roman"/>
          <w:i w:val="0"/>
          <w:iCs w:val="0"/>
          <w:sz w:val="24"/>
          <w:szCs w:val="24"/>
          <w:lang w:val="en-GB"/>
        </w:rPr>
        <w:t>, combined doses</w:t>
      </w:r>
    </w:p>
    <w:p w14:paraId="77070924" w14:textId="77777777" w:rsidR="00566C42" w:rsidRPr="00E14060" w:rsidRDefault="002056E3" w:rsidP="00566C42">
      <w:pPr>
        <w:shd w:val="clear" w:color="auto" w:fill="FFFFFF"/>
        <w:spacing w:before="240" w:after="240" w:line="360" w:lineRule="auto"/>
        <w:rPr>
          <w:sz w:val="24"/>
          <w:szCs w:val="24"/>
          <w:lang w:val="en-GB" w:eastAsia="zh-CN"/>
        </w:rPr>
      </w:pPr>
      <w:r w:rsidRPr="00E14060">
        <w:rPr>
          <w:sz w:val="24"/>
          <w:szCs w:val="24"/>
          <w:lang w:val="en-GB" w:eastAsia="zh-CN"/>
        </w:rPr>
        <w:lastRenderedPageBreak/>
        <w:t>Two</w:t>
      </w:r>
      <w:r w:rsidR="00566C42" w:rsidRPr="00E14060">
        <w:rPr>
          <w:sz w:val="24"/>
          <w:szCs w:val="24"/>
          <w:lang w:val="en-GB" w:eastAsia="zh-CN"/>
        </w:rPr>
        <w:t xml:space="preserve"> sensitivity analyses each were done for all-cause discontinuation and discontinuation due to adverse events. The following highlights the difference between each sensitivity analysis compared to the core analysis:</w:t>
      </w:r>
    </w:p>
    <w:p w14:paraId="63F6AF00" w14:textId="77777777" w:rsidR="002056E3" w:rsidRPr="00E14060" w:rsidRDefault="002056E3" w:rsidP="002056E3">
      <w:pPr>
        <w:pStyle w:val="ListParagraph"/>
        <w:numPr>
          <w:ilvl w:val="0"/>
          <w:numId w:val="51"/>
        </w:numPr>
        <w:shd w:val="clear" w:color="auto" w:fill="FFFFFF"/>
        <w:spacing w:before="240" w:after="240" w:line="360" w:lineRule="auto"/>
        <w:rPr>
          <w:rFonts w:ascii="Times New Roman" w:hAnsi="Times New Roman"/>
          <w:sz w:val="24"/>
          <w:szCs w:val="24"/>
          <w:lang w:val="en-GB"/>
        </w:rPr>
      </w:pPr>
      <w:r w:rsidRPr="00E14060">
        <w:rPr>
          <w:rFonts w:ascii="Times New Roman" w:eastAsia="Times New Roman" w:hAnsi="Times New Roman"/>
          <w:i w:val="0"/>
          <w:iCs w:val="0"/>
          <w:sz w:val="24"/>
          <w:szCs w:val="24"/>
          <w:lang w:val="en-GB"/>
        </w:rPr>
        <w:t xml:space="preserve">Sensitivity </w:t>
      </w:r>
      <w:r w:rsidR="0086055B" w:rsidRPr="00E14060">
        <w:rPr>
          <w:rFonts w:ascii="Times New Roman" w:eastAsia="Times New Roman" w:hAnsi="Times New Roman"/>
          <w:i w:val="0"/>
          <w:iCs w:val="0"/>
          <w:sz w:val="24"/>
          <w:szCs w:val="24"/>
          <w:lang w:val="en-GB"/>
        </w:rPr>
        <w:t>1</w:t>
      </w:r>
      <w:r w:rsidRPr="00E14060">
        <w:rPr>
          <w:rFonts w:ascii="Times New Roman" w:eastAsia="Times New Roman" w:hAnsi="Times New Roman"/>
          <w:i w:val="0"/>
          <w:iCs w:val="0"/>
          <w:sz w:val="24"/>
          <w:szCs w:val="24"/>
          <w:lang w:val="en-GB"/>
        </w:rPr>
        <w:t>: Fixed effects model</w:t>
      </w:r>
      <w:r w:rsidR="0086055B" w:rsidRPr="00E14060">
        <w:rPr>
          <w:rFonts w:ascii="Times New Roman" w:eastAsia="Times New Roman" w:hAnsi="Times New Roman"/>
          <w:i w:val="0"/>
          <w:iCs w:val="0"/>
          <w:sz w:val="24"/>
          <w:szCs w:val="24"/>
          <w:lang w:val="en-GB"/>
        </w:rPr>
        <w:t>, combined doses</w:t>
      </w:r>
    </w:p>
    <w:p w14:paraId="09A475D6" w14:textId="77777777" w:rsidR="002056E3" w:rsidRPr="00E14060" w:rsidRDefault="002056E3" w:rsidP="009375DF">
      <w:pPr>
        <w:pStyle w:val="ListParagraph"/>
        <w:numPr>
          <w:ilvl w:val="0"/>
          <w:numId w:val="51"/>
        </w:numPr>
        <w:shd w:val="clear" w:color="auto" w:fill="FFFFFF"/>
        <w:spacing w:before="240" w:after="240" w:line="360" w:lineRule="auto"/>
        <w:rPr>
          <w:rFonts w:ascii="Times New Roman" w:hAnsi="Times New Roman"/>
          <w:i w:val="0"/>
          <w:iCs w:val="0"/>
          <w:sz w:val="24"/>
          <w:szCs w:val="24"/>
          <w:lang w:val="en-GB"/>
        </w:rPr>
      </w:pPr>
      <w:r w:rsidRPr="00E14060">
        <w:rPr>
          <w:rFonts w:ascii="Times New Roman" w:eastAsia="Times New Roman" w:hAnsi="Times New Roman"/>
          <w:i w:val="0"/>
          <w:iCs w:val="0"/>
          <w:sz w:val="24"/>
          <w:szCs w:val="24"/>
          <w:lang w:val="en-GB"/>
        </w:rPr>
        <w:t xml:space="preserve">Sensitivity </w:t>
      </w:r>
      <w:r w:rsidR="00F874B6" w:rsidRPr="00E14060">
        <w:rPr>
          <w:rFonts w:ascii="Times New Roman" w:eastAsia="Times New Roman" w:hAnsi="Times New Roman"/>
          <w:i w:val="0"/>
          <w:iCs w:val="0"/>
          <w:sz w:val="24"/>
          <w:szCs w:val="24"/>
          <w:lang w:val="en-GB"/>
        </w:rPr>
        <w:t>2</w:t>
      </w:r>
      <w:r w:rsidRPr="00E14060">
        <w:rPr>
          <w:rFonts w:ascii="Times New Roman" w:eastAsia="Times New Roman" w:hAnsi="Times New Roman"/>
          <w:i w:val="0"/>
          <w:iCs w:val="0"/>
          <w:sz w:val="24"/>
          <w:szCs w:val="24"/>
          <w:lang w:val="en-GB"/>
        </w:rPr>
        <w:t xml:space="preserve">: </w:t>
      </w:r>
      <w:r w:rsidR="0086055B" w:rsidRPr="00E14060">
        <w:rPr>
          <w:rFonts w:ascii="Times New Roman" w:eastAsia="Times New Roman" w:hAnsi="Times New Roman"/>
          <w:i w:val="0"/>
          <w:iCs w:val="0"/>
          <w:sz w:val="24"/>
          <w:szCs w:val="24"/>
          <w:lang w:val="en-GB"/>
        </w:rPr>
        <w:t>Random effects model, combined doses, e</w:t>
      </w:r>
      <w:r w:rsidRPr="00E14060">
        <w:rPr>
          <w:rFonts w:ascii="Times New Roman" w:eastAsia="Times New Roman" w:hAnsi="Times New Roman"/>
          <w:i w:val="0"/>
          <w:iCs w:val="0"/>
          <w:sz w:val="24"/>
          <w:szCs w:val="24"/>
          <w:lang w:val="en-GB"/>
        </w:rPr>
        <w:t>xclud</w:t>
      </w:r>
      <w:r w:rsidR="0086055B" w:rsidRPr="00E14060">
        <w:rPr>
          <w:rFonts w:ascii="Times New Roman" w:eastAsia="Times New Roman" w:hAnsi="Times New Roman"/>
          <w:i w:val="0"/>
          <w:iCs w:val="0"/>
          <w:sz w:val="24"/>
          <w:szCs w:val="24"/>
          <w:lang w:val="en-GB"/>
        </w:rPr>
        <w:t>ing</w:t>
      </w:r>
      <w:r w:rsidRPr="00E14060">
        <w:rPr>
          <w:rFonts w:ascii="Times New Roman" w:eastAsia="Times New Roman" w:hAnsi="Times New Roman"/>
          <w:i w:val="0"/>
          <w:iCs w:val="0"/>
          <w:sz w:val="24"/>
          <w:szCs w:val="24"/>
          <w:lang w:val="en-GB"/>
        </w:rPr>
        <w:t xml:space="preserve"> </w:t>
      </w:r>
      <w:r w:rsidR="00113EFB" w:rsidRPr="00E14060">
        <w:rPr>
          <w:rFonts w:ascii="Times New Roman" w:eastAsia="Times New Roman" w:hAnsi="Times New Roman"/>
          <w:i w:val="0"/>
          <w:iCs w:val="0"/>
          <w:sz w:val="24"/>
          <w:szCs w:val="24"/>
          <w:lang w:val="en-GB"/>
        </w:rPr>
        <w:t xml:space="preserve">the data from the publication from </w:t>
      </w:r>
      <w:r w:rsidRPr="00E14060">
        <w:rPr>
          <w:rFonts w:ascii="Times New Roman" w:eastAsia="Times New Roman" w:hAnsi="Times New Roman"/>
          <w:i w:val="0"/>
          <w:iCs w:val="0"/>
          <w:sz w:val="24"/>
          <w:szCs w:val="24"/>
          <w:lang w:val="en-GB"/>
        </w:rPr>
        <w:t>Biederman (2012) for LDX and Durell (2013) for ATX. These were the only two studies in the discontinuation networks consisting of only young adults (all participants ≤ 30 years old).</w:t>
      </w:r>
    </w:p>
    <w:p w14:paraId="5065EC21" w14:textId="77777777" w:rsidR="005864B8" w:rsidRPr="00E14060" w:rsidRDefault="00C923B0" w:rsidP="009375DF">
      <w:pPr>
        <w:pStyle w:val="Heading1"/>
        <w:rPr>
          <w:color w:val="auto"/>
          <w:lang w:val="en-GB"/>
        </w:rPr>
      </w:pPr>
      <w:bookmarkStart w:id="228" w:name="_Toc384683002"/>
      <w:bookmarkStart w:id="229" w:name="_Toc391913764"/>
      <w:bookmarkStart w:id="230" w:name="_Toc402543832"/>
      <w:r w:rsidRPr="00E14060">
        <w:rPr>
          <w:color w:val="auto"/>
          <w:lang w:val="en-GB"/>
        </w:rPr>
        <w:t>Imputation</w:t>
      </w:r>
      <w:r w:rsidR="00AC36C8" w:rsidRPr="00E14060">
        <w:rPr>
          <w:color w:val="auto"/>
          <w:lang w:val="en-GB"/>
        </w:rPr>
        <w:t xml:space="preserve"> Analysis</w:t>
      </w:r>
      <w:r w:rsidR="002056E3" w:rsidRPr="00E14060">
        <w:rPr>
          <w:color w:val="auto"/>
          <w:lang w:val="en-GB"/>
        </w:rPr>
        <w:t xml:space="preserve"> Methodology</w:t>
      </w:r>
      <w:bookmarkEnd w:id="228"/>
      <w:bookmarkEnd w:id="229"/>
      <w:bookmarkEnd w:id="230"/>
    </w:p>
    <w:p w14:paraId="71209F81" w14:textId="77777777" w:rsidR="00DB29E1" w:rsidRPr="00E14060" w:rsidRDefault="00DB29E1" w:rsidP="009375DF">
      <w:pPr>
        <w:pStyle w:val="Heading2"/>
        <w:rPr>
          <w:color w:val="auto"/>
          <w:lang w:val="en-GB"/>
        </w:rPr>
      </w:pPr>
      <w:bookmarkStart w:id="231" w:name="_Toc384683003"/>
      <w:bookmarkStart w:id="232" w:name="_Toc391913765"/>
      <w:bookmarkStart w:id="233" w:name="_Toc402543833"/>
      <w:r w:rsidRPr="00E14060">
        <w:rPr>
          <w:color w:val="auto"/>
          <w:lang w:val="en-GB"/>
        </w:rPr>
        <w:t xml:space="preserve">Motivation for </w:t>
      </w:r>
      <w:r w:rsidR="00C923B0" w:rsidRPr="00E14060">
        <w:rPr>
          <w:color w:val="auto"/>
          <w:lang w:val="en-GB"/>
        </w:rPr>
        <w:t>Imputation</w:t>
      </w:r>
      <w:r w:rsidRPr="00E14060">
        <w:rPr>
          <w:color w:val="auto"/>
          <w:lang w:val="en-GB"/>
        </w:rPr>
        <w:t xml:space="preserve"> Analysis</w:t>
      </w:r>
      <w:bookmarkEnd w:id="231"/>
      <w:bookmarkEnd w:id="232"/>
      <w:bookmarkEnd w:id="233"/>
    </w:p>
    <w:p w14:paraId="0B93F8D3" w14:textId="5F528EB7" w:rsidR="00AC36C8" w:rsidRPr="00E14060" w:rsidRDefault="00732FE9" w:rsidP="00AC36C8">
      <w:pPr>
        <w:pStyle w:val="BMSBodyText"/>
        <w:rPr>
          <w:color w:val="auto"/>
          <w:lang w:val="en-GB"/>
        </w:rPr>
      </w:pPr>
      <w:r w:rsidRPr="00E14060">
        <w:rPr>
          <w:color w:val="auto"/>
          <w:lang w:val="en-GB"/>
        </w:rPr>
        <w:t>In regulatory submissions, it is necessary to submit a cost-effectiveness analysis which is based in part on relative effectiveness measures. This led to a need for a relative effectiveness measure based on a dichotomous outcome.</w:t>
      </w:r>
      <w:r w:rsidR="00241DBD" w:rsidRPr="00E14060">
        <w:rPr>
          <w:color w:val="auto"/>
          <w:lang w:val="en-GB"/>
        </w:rPr>
        <w:t xml:space="preserve"> </w:t>
      </w:r>
      <w:r w:rsidRPr="00E14060">
        <w:rPr>
          <w:color w:val="auto"/>
          <w:lang w:val="en-GB"/>
        </w:rPr>
        <w:t>In the current setting, no dichotomous outcomes were directly comparable between LDX and ATX.</w:t>
      </w:r>
      <w:r w:rsidR="00241DBD" w:rsidRPr="00E14060">
        <w:rPr>
          <w:color w:val="auto"/>
          <w:lang w:val="en-GB"/>
        </w:rPr>
        <w:t xml:space="preserve"> </w:t>
      </w:r>
      <w:r w:rsidRPr="00E14060">
        <w:rPr>
          <w:color w:val="auto"/>
          <w:lang w:val="en-GB"/>
        </w:rPr>
        <w:t>Of the dichotomous outcomes that were reported in some of the trials identified in the systematic literature review, CGI-I was the best populated, although</w:t>
      </w:r>
      <w:r w:rsidR="00AC36C8" w:rsidRPr="00E14060">
        <w:rPr>
          <w:color w:val="auto"/>
          <w:lang w:val="en-GB"/>
        </w:rPr>
        <w:t xml:space="preserve"> no article was found that </w:t>
      </w:r>
      <w:r w:rsidRPr="00E14060">
        <w:rPr>
          <w:color w:val="auto"/>
          <w:lang w:val="en-GB"/>
        </w:rPr>
        <w:t xml:space="preserve">met the selection criteria and </w:t>
      </w:r>
      <w:r w:rsidR="00AC36C8" w:rsidRPr="00E14060">
        <w:rPr>
          <w:color w:val="auto"/>
          <w:lang w:val="en-GB"/>
        </w:rPr>
        <w:t>reported CGI-I response for ATX.</w:t>
      </w:r>
      <w:r w:rsidRPr="00E14060">
        <w:rPr>
          <w:color w:val="auto"/>
          <w:lang w:val="en-GB"/>
        </w:rPr>
        <w:t xml:space="preserve"> Therefore, in order to be able to perform a comparison of CGI-I between ATX and LDX,</w:t>
      </w:r>
      <w:r w:rsidR="00AC36C8" w:rsidRPr="00E14060">
        <w:rPr>
          <w:color w:val="auto"/>
          <w:lang w:val="en-GB"/>
        </w:rPr>
        <w:t xml:space="preserve"> a</w:t>
      </w:r>
      <w:r w:rsidR="00A66043" w:rsidRPr="00E14060">
        <w:rPr>
          <w:color w:val="auto"/>
          <w:lang w:val="en-GB"/>
        </w:rPr>
        <w:t>n</w:t>
      </w:r>
      <w:r w:rsidR="00AC36C8" w:rsidRPr="00E14060">
        <w:rPr>
          <w:color w:val="auto"/>
          <w:lang w:val="en-GB"/>
        </w:rPr>
        <w:t xml:space="preserve"> analysis was conducted to </w:t>
      </w:r>
      <w:r w:rsidR="00A66043" w:rsidRPr="00E14060">
        <w:rPr>
          <w:color w:val="auto"/>
          <w:lang w:val="en-GB"/>
        </w:rPr>
        <w:t>link</w:t>
      </w:r>
      <w:r w:rsidR="00AC36C8" w:rsidRPr="00E14060">
        <w:rPr>
          <w:color w:val="auto"/>
          <w:lang w:val="en-GB"/>
        </w:rPr>
        <w:t xml:space="preserve"> CGI-I response </w:t>
      </w:r>
      <w:r w:rsidR="00A66043" w:rsidRPr="00E14060">
        <w:rPr>
          <w:color w:val="auto"/>
          <w:lang w:val="en-GB"/>
        </w:rPr>
        <w:t>with ADHD-RS-IV change from baseline.</w:t>
      </w:r>
      <w:r w:rsidR="00241DBD" w:rsidRPr="00E14060">
        <w:rPr>
          <w:color w:val="auto"/>
          <w:lang w:val="en-GB"/>
        </w:rPr>
        <w:t xml:space="preserve"> </w:t>
      </w:r>
      <w:r w:rsidR="00A66043" w:rsidRPr="00E14060">
        <w:rPr>
          <w:color w:val="auto"/>
          <w:lang w:val="en-GB"/>
        </w:rPr>
        <w:t xml:space="preserve">This link was then used to impute the percent CGI-I response </w:t>
      </w:r>
      <w:r w:rsidR="00AC36C8" w:rsidRPr="00E14060">
        <w:rPr>
          <w:color w:val="auto"/>
          <w:lang w:val="en-GB"/>
        </w:rPr>
        <w:t xml:space="preserve">from the reported ADHD-RS-IV change in </w:t>
      </w:r>
      <w:r w:rsidR="00A66043" w:rsidRPr="00E14060">
        <w:rPr>
          <w:color w:val="auto"/>
          <w:lang w:val="en-GB"/>
        </w:rPr>
        <w:t xml:space="preserve">each arm of </w:t>
      </w:r>
      <w:r w:rsidR="00AC36C8" w:rsidRPr="00E14060">
        <w:rPr>
          <w:color w:val="auto"/>
          <w:lang w:val="en-GB"/>
        </w:rPr>
        <w:t>Weisler (2012), the only study with ADHD-RS-IV change for ATX which could be used in MTC.</w:t>
      </w:r>
    </w:p>
    <w:p w14:paraId="46BD6BED" w14:textId="77777777" w:rsidR="00DB29E1" w:rsidRPr="00E14060" w:rsidRDefault="00DB29E1" w:rsidP="009375DF">
      <w:pPr>
        <w:pStyle w:val="Heading2"/>
        <w:rPr>
          <w:color w:val="auto"/>
          <w:lang w:val="en-GB"/>
        </w:rPr>
      </w:pPr>
      <w:bookmarkStart w:id="234" w:name="_Toc384683004"/>
      <w:bookmarkStart w:id="235" w:name="_Toc391913766"/>
      <w:bookmarkStart w:id="236" w:name="_Toc402543834"/>
      <w:r w:rsidRPr="00E14060">
        <w:rPr>
          <w:color w:val="auto"/>
          <w:lang w:val="en-GB"/>
        </w:rPr>
        <w:t>Extrapolation using Goodman and direct methods</w:t>
      </w:r>
      <w:bookmarkEnd w:id="234"/>
      <w:bookmarkEnd w:id="235"/>
      <w:bookmarkEnd w:id="236"/>
    </w:p>
    <w:p w14:paraId="6BE2428E" w14:textId="33D698A5" w:rsidR="00D413CD" w:rsidRPr="00E14060" w:rsidRDefault="00AC36C8" w:rsidP="00AC36C8">
      <w:pPr>
        <w:pStyle w:val="BMSBodyText"/>
        <w:rPr>
          <w:color w:val="auto"/>
          <w:lang w:val="en-GB"/>
        </w:rPr>
      </w:pPr>
      <w:r w:rsidRPr="00E14060">
        <w:rPr>
          <w:color w:val="auto"/>
          <w:lang w:val="en-GB"/>
        </w:rPr>
        <w:t xml:space="preserve">The </w:t>
      </w:r>
      <w:r w:rsidR="00C923B0" w:rsidRPr="00E14060">
        <w:rPr>
          <w:color w:val="auto"/>
          <w:lang w:val="en-GB"/>
        </w:rPr>
        <w:t>imputation</w:t>
      </w:r>
      <w:r w:rsidRPr="00E14060">
        <w:rPr>
          <w:color w:val="auto"/>
          <w:lang w:val="en-GB"/>
        </w:rPr>
        <w:t xml:space="preserve"> analysis was done using two methods: the Goodman method </w:t>
      </w:r>
      <w:r w:rsidR="00406CD6" w:rsidRPr="00E14060">
        <w:rPr>
          <w:color w:val="auto"/>
          <w:lang w:val="en-GB"/>
        </w:rPr>
        <w:t>(Goodman</w:t>
      </w:r>
      <w:r w:rsidR="00117286" w:rsidRPr="00E14060">
        <w:rPr>
          <w:color w:val="auto"/>
          <w:lang w:val="en-GB"/>
        </w:rPr>
        <w:t xml:space="preserve">, </w:t>
      </w:r>
      <w:r w:rsidR="00406CD6" w:rsidRPr="00E14060">
        <w:rPr>
          <w:color w:val="auto"/>
          <w:lang w:val="en-GB"/>
        </w:rPr>
        <w:t xml:space="preserve">2010) </w:t>
      </w:r>
      <w:r w:rsidRPr="00E14060">
        <w:rPr>
          <w:color w:val="auto"/>
          <w:lang w:val="en-GB"/>
        </w:rPr>
        <w:t xml:space="preserve">using </w:t>
      </w:r>
      <w:r w:rsidR="00E83109" w:rsidRPr="00E14060">
        <w:rPr>
          <w:color w:val="auto"/>
          <w:lang w:val="en-GB"/>
        </w:rPr>
        <w:t xml:space="preserve">linear or </w:t>
      </w:r>
      <w:r w:rsidRPr="00E14060">
        <w:rPr>
          <w:color w:val="auto"/>
          <w:lang w:val="en-GB"/>
        </w:rPr>
        <w:t>quadratic regression, and a direct estimation method. Both methods involved the identification of an ADHD-RS-IV change cutoff corresponding to CGI-I response</w:t>
      </w:r>
      <w:r w:rsidR="00491BE9" w:rsidRPr="00E14060">
        <w:rPr>
          <w:color w:val="auto"/>
          <w:lang w:val="en-GB"/>
        </w:rPr>
        <w:t xml:space="preserve">, using the observation that a decrease in </w:t>
      </w:r>
      <w:r w:rsidR="00491BE9" w:rsidRPr="00E14060">
        <w:rPr>
          <w:color w:val="auto"/>
          <w:lang w:val="en-GB"/>
        </w:rPr>
        <w:lastRenderedPageBreak/>
        <w:t>ADHD-RS-IV score generally corresponds to an improvement in CGI-I</w:t>
      </w:r>
      <w:r w:rsidR="00167007" w:rsidRPr="00E14060">
        <w:rPr>
          <w:color w:val="auto"/>
          <w:lang w:val="en-GB"/>
        </w:rPr>
        <w:t>, and are described in detail below</w:t>
      </w:r>
      <w:r w:rsidR="00491BE9" w:rsidRPr="00E14060">
        <w:rPr>
          <w:color w:val="auto"/>
          <w:lang w:val="en-GB"/>
        </w:rPr>
        <w:t xml:space="preserve">. </w:t>
      </w:r>
      <w:r w:rsidR="00230BA2" w:rsidRPr="00E14060">
        <w:rPr>
          <w:color w:val="auto"/>
          <w:lang w:val="en-GB"/>
        </w:rPr>
        <w:t>All arms of t</w:t>
      </w:r>
      <w:r w:rsidRPr="00E14060">
        <w:rPr>
          <w:color w:val="auto"/>
          <w:lang w:val="en-GB"/>
        </w:rPr>
        <w:t>he individual patient data from the SPD489-303 trial (corresponding to the Adler (2008) paper)</w:t>
      </w:r>
      <w:r w:rsidR="009B1C3E" w:rsidRPr="00E14060">
        <w:rPr>
          <w:color w:val="auto"/>
          <w:lang w:val="en-GB"/>
        </w:rPr>
        <w:t>, which reported both ADHD-RS-IV change from baseline and CGI-I,</w:t>
      </w:r>
      <w:r w:rsidRPr="00E14060">
        <w:rPr>
          <w:color w:val="auto"/>
          <w:lang w:val="en-GB"/>
        </w:rPr>
        <w:t xml:space="preserve"> </w:t>
      </w:r>
      <w:r w:rsidR="007831CA" w:rsidRPr="00E14060">
        <w:rPr>
          <w:color w:val="auto"/>
          <w:lang w:val="en-GB"/>
        </w:rPr>
        <w:t xml:space="preserve">were </w:t>
      </w:r>
      <w:r w:rsidRPr="00E14060">
        <w:rPr>
          <w:color w:val="auto"/>
          <w:lang w:val="en-GB"/>
        </w:rPr>
        <w:t xml:space="preserve">used to derive the cutoff. </w:t>
      </w:r>
      <w:r w:rsidR="00BD0AD9" w:rsidRPr="00E14060">
        <w:rPr>
          <w:color w:val="auto"/>
          <w:lang w:val="en-GB"/>
        </w:rPr>
        <w:t xml:space="preserve">The cutoff for ADHD-RS-IV change was chosen such that ADHD-RS-IV changes larger than the cutoff corresponded to CGI-I response. </w:t>
      </w:r>
      <w:r w:rsidR="00D439F9" w:rsidRPr="00E14060">
        <w:rPr>
          <w:color w:val="auto"/>
          <w:lang w:val="en-GB"/>
        </w:rPr>
        <w:t xml:space="preserve">All arms were </w:t>
      </w:r>
      <w:r w:rsidR="00A66043" w:rsidRPr="00E14060">
        <w:rPr>
          <w:color w:val="auto"/>
          <w:lang w:val="en-GB"/>
        </w:rPr>
        <w:t>pooled</w:t>
      </w:r>
      <w:r w:rsidR="00D439F9" w:rsidRPr="00E14060">
        <w:rPr>
          <w:color w:val="auto"/>
          <w:lang w:val="en-GB"/>
        </w:rPr>
        <w:t xml:space="preserve"> </w:t>
      </w:r>
      <w:r w:rsidR="00A66043" w:rsidRPr="00E14060">
        <w:rPr>
          <w:color w:val="auto"/>
          <w:lang w:val="en-GB"/>
        </w:rPr>
        <w:t xml:space="preserve">under the assumptions that </w:t>
      </w:r>
      <w:r w:rsidR="00D439F9" w:rsidRPr="00E14060">
        <w:rPr>
          <w:color w:val="auto"/>
          <w:lang w:val="en-GB"/>
        </w:rPr>
        <w:t>the ADHD-RS-IV cutoff corresponding to CGI-I response should be uniform regardless of treatment</w:t>
      </w:r>
      <w:r w:rsidR="00A66043" w:rsidRPr="00E14060">
        <w:rPr>
          <w:color w:val="auto"/>
          <w:lang w:val="en-GB"/>
        </w:rPr>
        <w:t>, and that the pooled ADHD-RS-IV score changes are normally distributed.</w:t>
      </w:r>
      <w:r w:rsidR="00241DBD" w:rsidRPr="00E14060">
        <w:rPr>
          <w:color w:val="auto"/>
          <w:lang w:val="en-GB"/>
        </w:rPr>
        <w:t xml:space="preserve"> </w:t>
      </w:r>
      <w:r w:rsidR="00BD0AD9" w:rsidRPr="00E14060">
        <w:rPr>
          <w:color w:val="auto"/>
          <w:lang w:val="en-GB"/>
        </w:rPr>
        <w:t>The distribution of the ADHD-RS-IV change in Weisler (2012) was identified using the mean and standard deviation under the assumption of normality. The cutoff was then applied to this distribution to identify the proportion with CGI-I response.</w:t>
      </w:r>
    </w:p>
    <w:p w14:paraId="62202B28" w14:textId="15EE029B" w:rsidR="00491BE9" w:rsidRPr="00E14060" w:rsidRDefault="00D413CD" w:rsidP="00AC36C8">
      <w:pPr>
        <w:pStyle w:val="BMSBodyText"/>
        <w:rPr>
          <w:color w:val="auto"/>
          <w:lang w:val="en-GB"/>
        </w:rPr>
      </w:pPr>
      <w:r w:rsidRPr="00E14060">
        <w:rPr>
          <w:color w:val="auto"/>
          <w:lang w:val="en-GB"/>
        </w:rPr>
        <w:t>The normality of the ADHD-RS-IV score changes in the pooled arms from the SPD489-303 trial was verified visually using a histogram and a Q-Q plot.</w:t>
      </w:r>
      <w:r w:rsidR="00241DBD" w:rsidRPr="00E14060">
        <w:rPr>
          <w:color w:val="auto"/>
          <w:lang w:val="en-GB"/>
        </w:rPr>
        <w:t xml:space="preserve"> </w:t>
      </w:r>
      <w:r w:rsidRPr="00E14060">
        <w:rPr>
          <w:color w:val="auto"/>
          <w:lang w:val="en-GB"/>
        </w:rPr>
        <w:t>In addition, normality was numerically assessed by comparing the cumulative distribution function (CDF) of the pooled data was compared to the CDF of a normal distribution with the same mean and standard deviation as the pooled data.</w:t>
      </w:r>
    </w:p>
    <w:p w14:paraId="07249B31" w14:textId="77777777" w:rsidR="00491BE9" w:rsidRPr="00E14060" w:rsidRDefault="00AC36C8" w:rsidP="00AC36C8">
      <w:pPr>
        <w:pStyle w:val="BMSBodyText"/>
        <w:rPr>
          <w:color w:val="auto"/>
          <w:lang w:val="en-GB"/>
        </w:rPr>
      </w:pPr>
      <w:r w:rsidRPr="00E14060">
        <w:rPr>
          <w:color w:val="auto"/>
          <w:lang w:val="en-GB"/>
        </w:rPr>
        <w:t xml:space="preserve">In the Goodman method, </w:t>
      </w:r>
      <w:r w:rsidR="00E83109" w:rsidRPr="00E14060">
        <w:rPr>
          <w:color w:val="auto"/>
          <w:lang w:val="en-GB"/>
        </w:rPr>
        <w:t xml:space="preserve">linear and </w:t>
      </w:r>
      <w:r w:rsidRPr="00E14060">
        <w:rPr>
          <w:color w:val="auto"/>
          <w:lang w:val="en-GB"/>
        </w:rPr>
        <w:t xml:space="preserve">quadratic regression </w:t>
      </w:r>
      <w:r w:rsidR="00E83109" w:rsidRPr="00E14060">
        <w:rPr>
          <w:color w:val="auto"/>
          <w:lang w:val="en-GB"/>
        </w:rPr>
        <w:t xml:space="preserve">models </w:t>
      </w:r>
      <w:r w:rsidR="003B036C" w:rsidRPr="00E14060">
        <w:rPr>
          <w:color w:val="auto"/>
          <w:lang w:val="en-GB"/>
        </w:rPr>
        <w:t>w</w:t>
      </w:r>
      <w:r w:rsidR="00E83109" w:rsidRPr="00E14060">
        <w:rPr>
          <w:color w:val="auto"/>
          <w:lang w:val="en-GB"/>
        </w:rPr>
        <w:t>ere</w:t>
      </w:r>
      <w:r w:rsidR="003B036C" w:rsidRPr="00E14060">
        <w:rPr>
          <w:color w:val="auto"/>
          <w:lang w:val="en-GB"/>
        </w:rPr>
        <w:t xml:space="preserve"> fit with </w:t>
      </w:r>
      <w:r w:rsidRPr="00E14060">
        <w:rPr>
          <w:color w:val="auto"/>
          <w:lang w:val="en-GB"/>
        </w:rPr>
        <w:t xml:space="preserve">CGI-I </w:t>
      </w:r>
      <w:r w:rsidR="003B036C" w:rsidRPr="00E14060">
        <w:rPr>
          <w:color w:val="auto"/>
          <w:lang w:val="en-GB"/>
        </w:rPr>
        <w:t xml:space="preserve">as the outcome </w:t>
      </w:r>
      <w:r w:rsidRPr="00E14060">
        <w:rPr>
          <w:color w:val="auto"/>
          <w:lang w:val="en-GB"/>
        </w:rPr>
        <w:t>and ADHD-RS-IV change</w:t>
      </w:r>
      <w:r w:rsidR="003B036C" w:rsidRPr="00E14060">
        <w:rPr>
          <w:color w:val="auto"/>
          <w:lang w:val="en-GB"/>
        </w:rPr>
        <w:t xml:space="preserve"> from baseline as the explanatory variable</w:t>
      </w:r>
      <w:r w:rsidR="00BE7E89" w:rsidRPr="00E14060">
        <w:rPr>
          <w:color w:val="auto"/>
          <w:lang w:val="en-GB"/>
        </w:rPr>
        <w:t xml:space="preserve"> (similar in principle to analyses reported in Goodman</w:t>
      </w:r>
      <w:r w:rsidR="00117286" w:rsidRPr="00E14060">
        <w:rPr>
          <w:color w:val="auto"/>
          <w:lang w:val="en-GB"/>
        </w:rPr>
        <w:t xml:space="preserve">, </w:t>
      </w:r>
      <w:r w:rsidR="00BE7E89" w:rsidRPr="00E14060">
        <w:rPr>
          <w:color w:val="auto"/>
          <w:lang w:val="en-GB"/>
        </w:rPr>
        <w:t>2010)</w:t>
      </w:r>
      <w:r w:rsidRPr="00E14060">
        <w:rPr>
          <w:color w:val="auto"/>
          <w:lang w:val="en-GB"/>
        </w:rPr>
        <w:t xml:space="preserve">, and a cutoff of CGI-I ≤ 2.5 was used to find the corresponding cut-off of ADHD-RS-IV change on the regression curve. </w:t>
      </w:r>
      <w:r w:rsidR="00BE7E89" w:rsidRPr="00E14060">
        <w:rPr>
          <w:color w:val="auto"/>
          <w:lang w:val="en-GB"/>
        </w:rPr>
        <w:t>The choice between linear and quadratic models was driven by model fit</w:t>
      </w:r>
      <w:r w:rsidR="00FC7B87" w:rsidRPr="00E14060">
        <w:rPr>
          <w:color w:val="auto"/>
          <w:lang w:val="en-GB"/>
        </w:rPr>
        <w:t xml:space="preserve"> (visually as well as using the R</w:t>
      </w:r>
      <w:r w:rsidR="00FC7B87" w:rsidRPr="00E14060">
        <w:rPr>
          <w:color w:val="auto"/>
          <w:vertAlign w:val="superscript"/>
          <w:lang w:val="en-GB"/>
        </w:rPr>
        <w:t>2</w:t>
      </w:r>
      <w:r w:rsidR="00FC7B87" w:rsidRPr="00E14060">
        <w:rPr>
          <w:color w:val="auto"/>
          <w:lang w:val="en-GB"/>
        </w:rPr>
        <w:t xml:space="preserve"> statistic)</w:t>
      </w:r>
      <w:r w:rsidR="00BE7E89" w:rsidRPr="00E14060">
        <w:rPr>
          <w:color w:val="auto"/>
          <w:lang w:val="en-GB"/>
        </w:rPr>
        <w:t xml:space="preserve"> and the intention to prefer the model that overestimated the proportion with CGI-I response, as this provides a conservative estimate of this proportion in the ATX trial </w:t>
      </w:r>
      <w:r w:rsidR="007E522D" w:rsidRPr="00E14060">
        <w:rPr>
          <w:color w:val="auto"/>
          <w:lang w:val="en-GB"/>
        </w:rPr>
        <w:t xml:space="preserve">of </w:t>
      </w:r>
      <w:r w:rsidR="00BE7E89" w:rsidRPr="00E14060">
        <w:rPr>
          <w:color w:val="auto"/>
          <w:lang w:val="en-GB"/>
        </w:rPr>
        <w:t>Weisler (2012).</w:t>
      </w:r>
      <w:r w:rsidR="00C55B10" w:rsidRPr="00E14060">
        <w:rPr>
          <w:color w:val="auto"/>
          <w:lang w:val="en-GB"/>
        </w:rPr>
        <w:t xml:space="preserve"> </w:t>
      </w:r>
    </w:p>
    <w:p w14:paraId="22624B5E" w14:textId="77777777" w:rsidR="00AC36C8" w:rsidRPr="00E14060" w:rsidRDefault="00AC36C8" w:rsidP="00AC36C8">
      <w:pPr>
        <w:pStyle w:val="BMSBodyText"/>
        <w:rPr>
          <w:color w:val="auto"/>
          <w:lang w:val="en-GB"/>
        </w:rPr>
      </w:pPr>
      <w:r w:rsidRPr="00E14060">
        <w:rPr>
          <w:color w:val="auto"/>
          <w:lang w:val="en-GB"/>
        </w:rPr>
        <w:t xml:space="preserve">In the direct estimation method, the cutoff of ADHD-RS-IV change was assigned to be the value that gave the percentage of CGI-I response corresponding to what was actually observed in the SPD489-303 trial. In both methods, a normal distribution was used to approximate the true distributions of ADHD-RS-IV change. To </w:t>
      </w:r>
      <w:r w:rsidRPr="00E14060">
        <w:rPr>
          <w:color w:val="auto"/>
          <w:lang w:val="en-GB"/>
        </w:rPr>
        <w:lastRenderedPageBreak/>
        <w:t>impute CGI-I response, the proportion of the approximating normal curve below the ADHD-RS-IV change cutoff was then used as the imputed CGI-I response.</w:t>
      </w:r>
    </w:p>
    <w:p w14:paraId="2FF22134" w14:textId="3C0FC10D" w:rsidR="003B036C" w:rsidRPr="00E14060" w:rsidRDefault="003B036C" w:rsidP="00AC36C8">
      <w:pPr>
        <w:pStyle w:val="BMSBodyText"/>
        <w:rPr>
          <w:color w:val="auto"/>
          <w:lang w:val="en-GB"/>
        </w:rPr>
      </w:pPr>
      <w:r w:rsidRPr="00E14060">
        <w:rPr>
          <w:color w:val="auto"/>
          <w:lang w:val="en-GB"/>
        </w:rPr>
        <w:t xml:space="preserve">Each cut-off was used to extrapolate the proportion of patients achieving CGI-I of 1 or 2 from the mean and standard deviation </w:t>
      </w:r>
      <w:r w:rsidR="00E83109" w:rsidRPr="00E14060">
        <w:rPr>
          <w:color w:val="auto"/>
          <w:lang w:val="en-GB"/>
        </w:rPr>
        <w:t xml:space="preserve">(SD) </w:t>
      </w:r>
      <w:r w:rsidRPr="00E14060">
        <w:rPr>
          <w:color w:val="auto"/>
          <w:lang w:val="en-GB"/>
        </w:rPr>
        <w:t xml:space="preserve">of the ADHD-RS-IV change from baseline. The </w:t>
      </w:r>
      <w:r w:rsidR="00E83109" w:rsidRPr="00E14060">
        <w:rPr>
          <w:color w:val="auto"/>
          <w:lang w:val="en-GB"/>
        </w:rPr>
        <w:t>distribution of ADHD-RS-IV change from baseline was assumed to be normally distributed with the corresponding mean and SD.</w:t>
      </w:r>
      <w:r w:rsidR="00241DBD" w:rsidRPr="00E14060">
        <w:rPr>
          <w:color w:val="auto"/>
          <w:lang w:val="en-GB"/>
        </w:rPr>
        <w:t xml:space="preserve"> </w:t>
      </w:r>
      <w:r w:rsidR="00E83109" w:rsidRPr="00E14060">
        <w:rPr>
          <w:color w:val="auto"/>
          <w:lang w:val="en-GB"/>
        </w:rPr>
        <w:t xml:space="preserve">The </w:t>
      </w:r>
      <w:r w:rsidRPr="00E14060">
        <w:rPr>
          <w:color w:val="auto"/>
          <w:lang w:val="en-GB"/>
        </w:rPr>
        <w:t>extrapola</w:t>
      </w:r>
      <w:r w:rsidR="00E83109" w:rsidRPr="00E14060">
        <w:rPr>
          <w:color w:val="auto"/>
          <w:lang w:val="en-GB"/>
        </w:rPr>
        <w:t>ted proportion equaled</w:t>
      </w:r>
      <w:r w:rsidRPr="00E14060">
        <w:rPr>
          <w:color w:val="auto"/>
          <w:lang w:val="en-GB"/>
        </w:rPr>
        <w:t xml:space="preserve"> the probability of having an ADHD-RS-IV decrease from baseline greater than the </w:t>
      </w:r>
      <w:r w:rsidR="00E83109" w:rsidRPr="00E14060">
        <w:rPr>
          <w:color w:val="auto"/>
          <w:lang w:val="en-GB"/>
        </w:rPr>
        <w:t>cutoff under this distribution.</w:t>
      </w:r>
    </w:p>
    <w:p w14:paraId="76F08960" w14:textId="74C01E0D" w:rsidR="00D413CD" w:rsidRPr="00E14060" w:rsidRDefault="00D413CD" w:rsidP="00AC36C8">
      <w:pPr>
        <w:pStyle w:val="BMSBodyText"/>
        <w:rPr>
          <w:color w:val="auto"/>
          <w:lang w:val="en-GB"/>
        </w:rPr>
      </w:pPr>
      <w:r w:rsidRPr="00E14060">
        <w:rPr>
          <w:color w:val="auto"/>
          <w:lang w:val="en-GB"/>
        </w:rPr>
        <w:t>For each cut-off identified, the sensitivity and specificity of the prediction in the pooled data was calculated.</w:t>
      </w:r>
      <w:r w:rsidR="00241DBD" w:rsidRPr="00E14060">
        <w:rPr>
          <w:color w:val="auto"/>
          <w:lang w:val="en-GB"/>
        </w:rPr>
        <w:t xml:space="preserve"> </w:t>
      </w:r>
      <w:r w:rsidRPr="00E14060">
        <w:rPr>
          <w:color w:val="auto"/>
          <w:lang w:val="en-GB"/>
        </w:rPr>
        <w:t xml:space="preserve">Sensitivity was defined as the proportion </w:t>
      </w:r>
      <w:r w:rsidR="003B036C" w:rsidRPr="00E14060">
        <w:rPr>
          <w:color w:val="auto"/>
          <w:lang w:val="en-GB"/>
        </w:rPr>
        <w:t xml:space="preserve">of patients who in fact achieved CGI-I response who were correctly classified by the </w:t>
      </w:r>
      <w:r w:rsidR="00C923B0" w:rsidRPr="00E14060">
        <w:rPr>
          <w:color w:val="auto"/>
          <w:lang w:val="en-GB"/>
        </w:rPr>
        <w:t>imputation</w:t>
      </w:r>
      <w:r w:rsidR="003B036C" w:rsidRPr="00E14060">
        <w:rPr>
          <w:color w:val="auto"/>
          <w:lang w:val="en-GB"/>
        </w:rPr>
        <w:t xml:space="preserve"> analysis prediction.</w:t>
      </w:r>
      <w:r w:rsidR="00241DBD" w:rsidRPr="00E14060">
        <w:rPr>
          <w:color w:val="auto"/>
          <w:lang w:val="en-GB"/>
        </w:rPr>
        <w:t xml:space="preserve"> </w:t>
      </w:r>
      <w:r w:rsidR="003B036C" w:rsidRPr="00E14060">
        <w:rPr>
          <w:color w:val="auto"/>
          <w:lang w:val="en-GB"/>
        </w:rPr>
        <w:t xml:space="preserve">Specificity was defined as the proportion of patients who did not in fact achieve CGI-I response who were correctly classified by the </w:t>
      </w:r>
      <w:r w:rsidR="00C923B0" w:rsidRPr="00E14060">
        <w:rPr>
          <w:color w:val="auto"/>
          <w:lang w:val="en-GB"/>
        </w:rPr>
        <w:t>imputation</w:t>
      </w:r>
      <w:r w:rsidR="003B036C" w:rsidRPr="00E14060">
        <w:rPr>
          <w:color w:val="auto"/>
          <w:lang w:val="en-GB"/>
        </w:rPr>
        <w:t xml:space="preserve"> analysis prediction.</w:t>
      </w:r>
      <w:r w:rsidR="00241DBD" w:rsidRPr="00E14060">
        <w:rPr>
          <w:color w:val="auto"/>
          <w:lang w:val="en-GB"/>
        </w:rPr>
        <w:t xml:space="preserve"> </w:t>
      </w:r>
    </w:p>
    <w:p w14:paraId="04D31EA4" w14:textId="77777777" w:rsidR="00DB29E1" w:rsidRPr="00E14060" w:rsidRDefault="00DB29E1" w:rsidP="009375DF">
      <w:pPr>
        <w:pStyle w:val="Heading2"/>
        <w:rPr>
          <w:color w:val="auto"/>
          <w:lang w:val="en-GB"/>
        </w:rPr>
      </w:pPr>
      <w:bookmarkStart w:id="237" w:name="_Toc384683005"/>
      <w:bookmarkStart w:id="238" w:name="_Toc391913767"/>
      <w:bookmarkStart w:id="239" w:name="_Toc402543835"/>
      <w:r w:rsidRPr="00E14060">
        <w:rPr>
          <w:color w:val="auto"/>
          <w:lang w:val="en-GB"/>
        </w:rPr>
        <w:t>Validation of Extrapolation</w:t>
      </w:r>
      <w:bookmarkEnd w:id="237"/>
      <w:bookmarkEnd w:id="238"/>
      <w:bookmarkEnd w:id="239"/>
    </w:p>
    <w:p w14:paraId="324B294F" w14:textId="77777777" w:rsidR="00E83109" w:rsidRPr="00E14060" w:rsidRDefault="00AC36C8" w:rsidP="00AC36C8">
      <w:pPr>
        <w:pStyle w:val="BMSBodyText"/>
        <w:rPr>
          <w:color w:val="auto"/>
          <w:lang w:val="en-GB"/>
        </w:rPr>
      </w:pPr>
      <w:r w:rsidRPr="00E14060">
        <w:rPr>
          <w:color w:val="auto"/>
          <w:lang w:val="en-GB"/>
        </w:rPr>
        <w:t>The</w:t>
      </w:r>
      <w:r w:rsidR="00E83109" w:rsidRPr="00E14060">
        <w:rPr>
          <w:color w:val="auto"/>
          <w:lang w:val="en-GB"/>
        </w:rPr>
        <w:t xml:space="preserve"> extrapolation </w:t>
      </w:r>
      <w:r w:rsidRPr="00E14060">
        <w:rPr>
          <w:color w:val="auto"/>
          <w:lang w:val="en-GB"/>
        </w:rPr>
        <w:t>method</w:t>
      </w:r>
      <w:r w:rsidR="00E83109" w:rsidRPr="00E14060">
        <w:rPr>
          <w:color w:val="auto"/>
          <w:lang w:val="en-GB"/>
        </w:rPr>
        <w:t>s</w:t>
      </w:r>
      <w:r w:rsidRPr="00E14060">
        <w:rPr>
          <w:color w:val="auto"/>
          <w:lang w:val="en-GB"/>
        </w:rPr>
        <w:t xml:space="preserve"> were validated using available trials (IPD or publication) reporting both ADHD-RS-IV change and CGI-I response by comparing the reported CGI-I response with the imputed CGI-I response. </w:t>
      </w:r>
    </w:p>
    <w:p w14:paraId="087C8A3A" w14:textId="77777777" w:rsidR="00AC36C8" w:rsidRPr="00E14060" w:rsidRDefault="00E83109" w:rsidP="00AC36C8">
      <w:pPr>
        <w:pStyle w:val="BMSBodyText"/>
        <w:rPr>
          <w:color w:val="auto"/>
          <w:lang w:val="en-GB"/>
        </w:rPr>
      </w:pPr>
      <w:r w:rsidRPr="00E14060">
        <w:rPr>
          <w:color w:val="auto"/>
          <w:lang w:val="en-GB"/>
        </w:rPr>
        <w:t>In the first validation exercise, t</w:t>
      </w:r>
      <w:r w:rsidR="00CD2729" w:rsidRPr="00E14060">
        <w:rPr>
          <w:color w:val="auto"/>
          <w:lang w:val="en-GB"/>
        </w:rPr>
        <w:t xml:space="preserve">he cutoffs described above were calculated using </w:t>
      </w:r>
      <w:r w:rsidR="00230BA2" w:rsidRPr="00E14060">
        <w:rPr>
          <w:color w:val="auto"/>
          <w:lang w:val="en-GB"/>
        </w:rPr>
        <w:t>a random training sample equal to 2/3 of the SPD489-303 trial data. Validation was th</w:t>
      </w:r>
      <w:r w:rsidRPr="00E14060">
        <w:rPr>
          <w:color w:val="auto"/>
          <w:lang w:val="en-GB"/>
        </w:rPr>
        <w:t>en</w:t>
      </w:r>
      <w:r w:rsidR="00230BA2" w:rsidRPr="00E14060">
        <w:rPr>
          <w:color w:val="auto"/>
          <w:lang w:val="en-GB"/>
        </w:rPr>
        <w:t xml:space="preserve"> performed on the 1/3 of the SPD489-303 trial data reserved to be the validation set. </w:t>
      </w:r>
      <w:r w:rsidR="00C55B10" w:rsidRPr="00E14060">
        <w:rPr>
          <w:color w:val="auto"/>
          <w:lang w:val="en-GB"/>
        </w:rPr>
        <w:t xml:space="preserve">In the second validation exercise, </w:t>
      </w:r>
      <w:r w:rsidR="009B77E2" w:rsidRPr="00E14060">
        <w:rPr>
          <w:color w:val="auto"/>
          <w:lang w:val="en-GB"/>
        </w:rPr>
        <w:t xml:space="preserve">extrapolated CGI-I response rates were compared to the actual rates in </w:t>
      </w:r>
      <w:r w:rsidR="009B77E2" w:rsidRPr="00E14060">
        <w:rPr>
          <w:color w:val="auto"/>
          <w:szCs w:val="24"/>
          <w:lang w:val="en-GB"/>
        </w:rPr>
        <w:t>trials reporting both CGI-I and ADHD-RS-IV.</w:t>
      </w:r>
      <w:r w:rsidR="009B77E2" w:rsidRPr="00E14060" w:rsidDel="00E83109">
        <w:rPr>
          <w:color w:val="auto"/>
          <w:lang w:val="en-GB"/>
        </w:rPr>
        <w:t xml:space="preserve"> </w:t>
      </w:r>
    </w:p>
    <w:p w14:paraId="2CCF9456" w14:textId="77777777" w:rsidR="00DB29E1" w:rsidRPr="00E14060" w:rsidRDefault="00DB29E1" w:rsidP="009375DF">
      <w:pPr>
        <w:pStyle w:val="Heading2"/>
        <w:rPr>
          <w:color w:val="auto"/>
          <w:lang w:val="en-GB"/>
        </w:rPr>
      </w:pPr>
      <w:bookmarkStart w:id="240" w:name="_Toc384683006"/>
      <w:bookmarkStart w:id="241" w:name="_Toc391913768"/>
      <w:bookmarkStart w:id="242" w:name="_Toc402543836"/>
      <w:r w:rsidRPr="00E14060">
        <w:rPr>
          <w:color w:val="auto"/>
          <w:lang w:val="en-GB"/>
        </w:rPr>
        <w:lastRenderedPageBreak/>
        <w:t>Incorporation into Bayesian</w:t>
      </w:r>
      <w:r w:rsidR="00C54A7C" w:rsidRPr="00E14060">
        <w:rPr>
          <w:color w:val="auto"/>
          <w:lang w:val="en-GB"/>
        </w:rPr>
        <w:t xml:space="preserve"> and frequentist</w:t>
      </w:r>
      <w:r w:rsidRPr="00E14060">
        <w:rPr>
          <w:color w:val="auto"/>
          <w:lang w:val="en-GB"/>
        </w:rPr>
        <w:t xml:space="preserve"> network</w:t>
      </w:r>
      <w:bookmarkEnd w:id="240"/>
      <w:bookmarkEnd w:id="241"/>
      <w:r w:rsidR="005832E6" w:rsidRPr="00E14060">
        <w:rPr>
          <w:color w:val="auto"/>
          <w:lang w:val="en-GB"/>
        </w:rPr>
        <w:t>s</w:t>
      </w:r>
      <w:bookmarkEnd w:id="242"/>
    </w:p>
    <w:p w14:paraId="327A62BD" w14:textId="77777777" w:rsidR="00B532E8" w:rsidRPr="00E14060" w:rsidRDefault="00AC36C8" w:rsidP="003D7166">
      <w:pPr>
        <w:pStyle w:val="BMSBodyText"/>
        <w:rPr>
          <w:b/>
          <w:color w:val="auto"/>
          <w:lang w:val="en-GB"/>
        </w:rPr>
      </w:pPr>
      <w:r w:rsidRPr="00E14060">
        <w:rPr>
          <w:color w:val="auto"/>
          <w:lang w:val="en-GB"/>
        </w:rPr>
        <w:t>After obtaining the imputed CGI-I response for ATX, the Bayesian</w:t>
      </w:r>
      <w:r w:rsidR="00C54A7C" w:rsidRPr="00E14060">
        <w:rPr>
          <w:color w:val="auto"/>
          <w:lang w:val="en-GB"/>
        </w:rPr>
        <w:t xml:space="preserve"> and frequentist</w:t>
      </w:r>
      <w:r w:rsidRPr="00E14060">
        <w:rPr>
          <w:color w:val="auto"/>
          <w:lang w:val="en-GB"/>
        </w:rPr>
        <w:t xml:space="preserve"> MTC</w:t>
      </w:r>
      <w:r w:rsidR="00C54A7C" w:rsidRPr="00E14060">
        <w:rPr>
          <w:color w:val="auto"/>
          <w:lang w:val="en-GB"/>
        </w:rPr>
        <w:t>s</w:t>
      </w:r>
      <w:r w:rsidRPr="00E14060">
        <w:rPr>
          <w:color w:val="auto"/>
          <w:lang w:val="en-GB"/>
        </w:rPr>
        <w:t xml:space="preserve"> of CGI-I response </w:t>
      </w:r>
      <w:r w:rsidR="00C54A7C" w:rsidRPr="00E14060">
        <w:rPr>
          <w:color w:val="auto"/>
          <w:lang w:val="en-GB"/>
        </w:rPr>
        <w:t xml:space="preserve">were </w:t>
      </w:r>
      <w:r w:rsidRPr="00E14060">
        <w:rPr>
          <w:color w:val="auto"/>
          <w:lang w:val="en-GB"/>
        </w:rPr>
        <w:t xml:space="preserve">updated to incorporate ATX. </w:t>
      </w:r>
      <w:r w:rsidR="00F53632" w:rsidRPr="00E14060">
        <w:rPr>
          <w:color w:val="auto"/>
          <w:lang w:val="en-GB"/>
        </w:rPr>
        <w:t>Specifically, the percent CGI-I response was imputed for the ATX and placebo arms of Weisler (2012) and added to the network. Note that the MPH arm of Weisler (2012) was not used.</w:t>
      </w:r>
      <w:bookmarkStart w:id="243" w:name="_Toc376521162"/>
      <w:bookmarkEnd w:id="243"/>
      <w:r w:rsidR="00B532E8" w:rsidRPr="00E14060" w:rsidDel="00B532E8">
        <w:rPr>
          <w:color w:val="auto"/>
          <w:lang w:val="en-GB"/>
        </w:rPr>
        <w:t xml:space="preserve"> </w:t>
      </w:r>
    </w:p>
    <w:p w14:paraId="1C2AA8AE" w14:textId="77777777" w:rsidR="00B532E8" w:rsidRPr="00E14060" w:rsidRDefault="00B532E8" w:rsidP="003D7166">
      <w:pPr>
        <w:pStyle w:val="Heading2"/>
        <w:rPr>
          <w:color w:val="auto"/>
          <w:lang w:val="en-GB"/>
        </w:rPr>
      </w:pPr>
      <w:bookmarkStart w:id="244" w:name="_Toc402543837"/>
      <w:bookmarkStart w:id="245" w:name="_Toc384683007"/>
      <w:bookmarkStart w:id="246" w:name="_Toc391913769"/>
      <w:r w:rsidRPr="00E14060">
        <w:rPr>
          <w:color w:val="auto"/>
          <w:lang w:val="en-GB"/>
        </w:rPr>
        <w:t xml:space="preserve">Extrapolation </w:t>
      </w:r>
      <w:r w:rsidR="008774DF" w:rsidRPr="00E14060">
        <w:rPr>
          <w:color w:val="auto"/>
          <w:lang w:val="en-GB"/>
        </w:rPr>
        <w:t xml:space="preserve">from AISRS </w:t>
      </w:r>
      <w:r w:rsidRPr="00E14060">
        <w:rPr>
          <w:color w:val="auto"/>
          <w:lang w:val="en-GB"/>
        </w:rPr>
        <w:t xml:space="preserve">using </w:t>
      </w:r>
      <w:r w:rsidR="008774DF" w:rsidRPr="00E14060">
        <w:rPr>
          <w:color w:val="auto"/>
          <w:lang w:val="en-GB"/>
        </w:rPr>
        <w:t xml:space="preserve">the </w:t>
      </w:r>
      <w:r w:rsidRPr="00E14060">
        <w:rPr>
          <w:color w:val="auto"/>
          <w:lang w:val="en-GB"/>
        </w:rPr>
        <w:t>Goodman and direct methods</w:t>
      </w:r>
      <w:bookmarkEnd w:id="244"/>
    </w:p>
    <w:p w14:paraId="2B95E1A5" w14:textId="77777777" w:rsidR="00B532E8" w:rsidRPr="00E14060" w:rsidRDefault="00B532E8" w:rsidP="003D7166">
      <w:pPr>
        <w:spacing w:line="360" w:lineRule="auto"/>
        <w:rPr>
          <w:sz w:val="24"/>
          <w:lang w:val="en-GB"/>
        </w:rPr>
      </w:pPr>
      <w:r w:rsidRPr="00E14060">
        <w:rPr>
          <w:sz w:val="24"/>
          <w:lang w:val="en-GB"/>
        </w:rPr>
        <w:t xml:space="preserve">Using the same cutoffs evaluated in using the SPD489-303 trial, CGI-I was extrapolated using the Goodman method with quadratic regression and direct method in three ATX studies reporting AISRS: Adler (2009a), Sutherland (2012), and Young (2011). </w:t>
      </w:r>
      <w:r w:rsidR="0059671B" w:rsidRPr="00E14060">
        <w:rPr>
          <w:sz w:val="24"/>
          <w:lang w:val="en-GB"/>
        </w:rPr>
        <w:t>The cutoffs were validated in Biederman 2006, the one included study reporting both AISRS and CGI-I.</w:t>
      </w:r>
      <w:r w:rsidR="00012822" w:rsidRPr="00E14060">
        <w:rPr>
          <w:sz w:val="24"/>
          <w:lang w:val="en-GB"/>
        </w:rPr>
        <w:t xml:space="preserve"> These extrapolations were then used in addition to the prior extrapolation based on ADHD-RS-IV (Weisler (2012)) in the</w:t>
      </w:r>
      <w:r w:rsidR="009C6744" w:rsidRPr="00E14060">
        <w:rPr>
          <w:sz w:val="24"/>
          <w:lang w:val="en-GB"/>
        </w:rPr>
        <w:t xml:space="preserve"> MTC</w:t>
      </w:r>
      <w:r w:rsidR="00012822" w:rsidRPr="00E14060">
        <w:rPr>
          <w:sz w:val="24"/>
          <w:lang w:val="en-GB"/>
        </w:rPr>
        <w:t xml:space="preserve">. </w:t>
      </w:r>
    </w:p>
    <w:p w14:paraId="2FFE46E4" w14:textId="77777777" w:rsidR="00B532E8" w:rsidRPr="00E14060" w:rsidRDefault="00B532E8" w:rsidP="003D7166">
      <w:pPr>
        <w:rPr>
          <w:sz w:val="24"/>
          <w:lang w:val="en-GB"/>
        </w:rPr>
      </w:pPr>
    </w:p>
    <w:p w14:paraId="48F26B66" w14:textId="77777777" w:rsidR="00B532E8" w:rsidRPr="00E14060" w:rsidRDefault="00B532E8" w:rsidP="003D7166">
      <w:pPr>
        <w:rPr>
          <w:sz w:val="24"/>
          <w:lang w:val="en-GB"/>
        </w:rPr>
      </w:pPr>
    </w:p>
    <w:p w14:paraId="65FD0334" w14:textId="77777777" w:rsidR="00241DBD" w:rsidRPr="00E14060" w:rsidRDefault="00241DBD">
      <w:pPr>
        <w:rPr>
          <w:b/>
          <w:caps/>
          <w:sz w:val="28"/>
          <w:lang w:val="en-GB"/>
        </w:rPr>
      </w:pPr>
      <w:bookmarkStart w:id="247" w:name="_Toc402543838"/>
      <w:r w:rsidRPr="00E14060">
        <w:rPr>
          <w:lang w:val="en-GB"/>
        </w:rPr>
        <w:br w:type="page"/>
      </w:r>
    </w:p>
    <w:p w14:paraId="170F0857" w14:textId="20CFFBD6" w:rsidR="00C06F2F" w:rsidRPr="00E14060" w:rsidRDefault="00C06F2F" w:rsidP="00AD0074">
      <w:pPr>
        <w:pStyle w:val="Heading1"/>
        <w:rPr>
          <w:color w:val="auto"/>
          <w:lang w:val="en-GB"/>
        </w:rPr>
      </w:pPr>
      <w:r w:rsidRPr="00E14060">
        <w:rPr>
          <w:color w:val="auto"/>
          <w:lang w:val="en-GB"/>
        </w:rPr>
        <w:lastRenderedPageBreak/>
        <w:t>Results</w:t>
      </w:r>
      <w:bookmarkEnd w:id="245"/>
      <w:bookmarkEnd w:id="246"/>
      <w:bookmarkEnd w:id="247"/>
    </w:p>
    <w:p w14:paraId="36BFB4BE" w14:textId="77777777" w:rsidR="00C06F2F" w:rsidRPr="00E14060" w:rsidRDefault="004423C0" w:rsidP="00AD0074">
      <w:pPr>
        <w:pStyle w:val="Heading2"/>
        <w:tabs>
          <w:tab w:val="clear" w:pos="936"/>
          <w:tab w:val="clear" w:pos="1152"/>
          <w:tab w:val="num" w:pos="0"/>
          <w:tab w:val="left" w:pos="90"/>
        </w:tabs>
        <w:ind w:left="0" w:firstLine="0"/>
        <w:rPr>
          <w:color w:val="auto"/>
          <w:lang w:val="en-GB"/>
        </w:rPr>
      </w:pPr>
      <w:bookmarkStart w:id="248" w:name="_Toc384683008"/>
      <w:bookmarkStart w:id="249" w:name="_Toc391913770"/>
      <w:bookmarkStart w:id="250" w:name="_Toc402543839"/>
      <w:r w:rsidRPr="00E14060">
        <w:rPr>
          <w:color w:val="auto"/>
          <w:lang w:val="en-GB"/>
        </w:rPr>
        <w:t>Selection of studies</w:t>
      </w:r>
      <w:bookmarkEnd w:id="248"/>
      <w:bookmarkEnd w:id="249"/>
      <w:bookmarkEnd w:id="250"/>
    </w:p>
    <w:p w14:paraId="7385AD45" w14:textId="77777777" w:rsidR="00701FF0" w:rsidRPr="00E14060" w:rsidRDefault="00701FF0" w:rsidP="00447896">
      <w:pPr>
        <w:spacing w:before="240" w:after="240" w:line="360" w:lineRule="auto"/>
        <w:rPr>
          <w:sz w:val="24"/>
          <w:szCs w:val="24"/>
          <w:lang w:val="en-GB"/>
        </w:rPr>
      </w:pPr>
      <w:r w:rsidRPr="00E14060">
        <w:rPr>
          <w:sz w:val="24"/>
          <w:szCs w:val="24"/>
          <w:lang w:val="en-GB"/>
        </w:rPr>
        <w:t>Th</w:t>
      </w:r>
      <w:r w:rsidR="00245ADC" w:rsidRPr="00E14060">
        <w:rPr>
          <w:sz w:val="24"/>
          <w:szCs w:val="24"/>
          <w:lang w:val="en-GB"/>
        </w:rPr>
        <w:t xml:space="preserve">e </w:t>
      </w:r>
      <w:r w:rsidR="0007733E" w:rsidRPr="00E14060">
        <w:rPr>
          <w:sz w:val="24"/>
          <w:szCs w:val="24"/>
          <w:lang w:val="en-GB"/>
        </w:rPr>
        <w:t xml:space="preserve">PRISMA </w:t>
      </w:r>
      <w:r w:rsidR="000261D0" w:rsidRPr="00E14060">
        <w:rPr>
          <w:sz w:val="24"/>
          <w:szCs w:val="24"/>
          <w:lang w:val="en-GB"/>
        </w:rPr>
        <w:t xml:space="preserve">flowchart in </w:t>
      </w:r>
      <w:hyperlink w:anchor="fig01" w:history="1">
        <w:r w:rsidR="000261D0" w:rsidRPr="00E14060">
          <w:rPr>
            <w:b/>
            <w:sz w:val="24"/>
            <w:szCs w:val="24"/>
            <w:lang w:val="en-GB"/>
          </w:rPr>
          <w:t>Figure 1</w:t>
        </w:r>
      </w:hyperlink>
      <w:r w:rsidR="000261D0" w:rsidRPr="00E14060">
        <w:rPr>
          <w:sz w:val="24"/>
          <w:szCs w:val="24"/>
          <w:lang w:val="en-GB"/>
        </w:rPr>
        <w:t xml:space="preserve"> </w:t>
      </w:r>
      <w:r w:rsidR="004423C0" w:rsidRPr="00E14060">
        <w:rPr>
          <w:sz w:val="24"/>
          <w:szCs w:val="24"/>
          <w:lang w:val="en-GB"/>
        </w:rPr>
        <w:t>illustrate</w:t>
      </w:r>
      <w:r w:rsidR="000261D0" w:rsidRPr="00E14060">
        <w:rPr>
          <w:sz w:val="24"/>
          <w:szCs w:val="24"/>
          <w:lang w:val="en-GB"/>
        </w:rPr>
        <w:t>s</w:t>
      </w:r>
      <w:r w:rsidRPr="00E14060">
        <w:rPr>
          <w:sz w:val="24"/>
          <w:szCs w:val="24"/>
          <w:lang w:val="en-GB"/>
        </w:rPr>
        <w:t xml:space="preserve"> the trial selection process</w:t>
      </w:r>
      <w:r w:rsidR="00C44427" w:rsidRPr="00E14060">
        <w:rPr>
          <w:sz w:val="24"/>
          <w:szCs w:val="24"/>
          <w:lang w:val="en-GB"/>
        </w:rPr>
        <w:t xml:space="preserve"> for the</w:t>
      </w:r>
      <w:r w:rsidR="004423C0" w:rsidRPr="00E14060">
        <w:rPr>
          <w:sz w:val="24"/>
          <w:szCs w:val="24"/>
          <w:lang w:val="en-GB"/>
        </w:rPr>
        <w:t xml:space="preserve"> core </w:t>
      </w:r>
      <w:r w:rsidR="000261D0" w:rsidRPr="00E14060">
        <w:rPr>
          <w:sz w:val="24"/>
          <w:szCs w:val="24"/>
          <w:lang w:val="en-GB"/>
        </w:rPr>
        <w:t>efficacy and safety</w:t>
      </w:r>
      <w:r w:rsidR="004423C0" w:rsidRPr="00E14060">
        <w:rPr>
          <w:sz w:val="24"/>
          <w:szCs w:val="24"/>
          <w:lang w:val="en-GB"/>
        </w:rPr>
        <w:t xml:space="preserve"> analys</w:t>
      </w:r>
      <w:r w:rsidR="00C44427" w:rsidRPr="00E14060">
        <w:rPr>
          <w:sz w:val="24"/>
          <w:szCs w:val="24"/>
          <w:lang w:val="en-GB"/>
        </w:rPr>
        <w:t>e</w:t>
      </w:r>
      <w:r w:rsidR="004423C0" w:rsidRPr="00E14060">
        <w:rPr>
          <w:sz w:val="24"/>
          <w:szCs w:val="24"/>
          <w:lang w:val="en-GB"/>
        </w:rPr>
        <w:t>s</w:t>
      </w:r>
      <w:r w:rsidR="000261D0" w:rsidRPr="00E14060">
        <w:rPr>
          <w:sz w:val="24"/>
          <w:szCs w:val="24"/>
          <w:lang w:val="en-GB"/>
        </w:rPr>
        <w:t>.</w:t>
      </w:r>
    </w:p>
    <w:p w14:paraId="6A551E82" w14:textId="089F3AC3" w:rsidR="00296831" w:rsidRPr="00E14060" w:rsidRDefault="00701FF0" w:rsidP="003D7166">
      <w:pPr>
        <w:spacing w:before="240" w:after="240" w:line="360" w:lineRule="auto"/>
        <w:rPr>
          <w:sz w:val="24"/>
          <w:szCs w:val="24"/>
          <w:lang w:val="en-GB"/>
        </w:rPr>
      </w:pPr>
      <w:r w:rsidRPr="00E14060">
        <w:rPr>
          <w:sz w:val="24"/>
          <w:szCs w:val="24"/>
          <w:lang w:val="en-GB"/>
        </w:rPr>
        <w:t xml:space="preserve">A total of </w:t>
      </w:r>
      <w:r w:rsidR="000261D0" w:rsidRPr="00E14060">
        <w:rPr>
          <w:sz w:val="24"/>
          <w:szCs w:val="24"/>
          <w:lang w:val="en-GB"/>
        </w:rPr>
        <w:t xml:space="preserve">5,358 records were retrieved from searching bibliographic databases and clinical trial registries, and an additional </w:t>
      </w:r>
      <w:r w:rsidR="000E35D7" w:rsidRPr="00E14060">
        <w:rPr>
          <w:sz w:val="24"/>
          <w:szCs w:val="24"/>
          <w:lang w:val="en-GB"/>
        </w:rPr>
        <w:t xml:space="preserve">725 </w:t>
      </w:r>
      <w:r w:rsidR="000261D0" w:rsidRPr="00E14060">
        <w:rPr>
          <w:sz w:val="24"/>
          <w:szCs w:val="24"/>
          <w:lang w:val="en-GB"/>
        </w:rPr>
        <w:t xml:space="preserve">records were retrieved from APA conference proceedings, </w:t>
      </w:r>
      <w:r w:rsidR="000E35D7" w:rsidRPr="00E14060">
        <w:rPr>
          <w:sz w:val="24"/>
          <w:szCs w:val="24"/>
          <w:lang w:val="en-GB"/>
        </w:rPr>
        <w:t xml:space="preserve">and </w:t>
      </w:r>
      <w:r w:rsidR="000261D0" w:rsidRPr="00E14060">
        <w:rPr>
          <w:sz w:val="24"/>
          <w:szCs w:val="24"/>
          <w:lang w:val="en-GB"/>
        </w:rPr>
        <w:t>the NICE registry</w:t>
      </w:r>
      <w:r w:rsidRPr="00E14060">
        <w:rPr>
          <w:sz w:val="24"/>
          <w:szCs w:val="24"/>
          <w:lang w:val="en-GB"/>
        </w:rPr>
        <w:t xml:space="preserve">. </w:t>
      </w:r>
      <w:r w:rsidR="00020341" w:rsidRPr="00E14060">
        <w:rPr>
          <w:sz w:val="24"/>
          <w:szCs w:val="24"/>
          <w:lang w:val="en-GB"/>
        </w:rPr>
        <w:t xml:space="preserve">After removal of duplicates, a total of </w:t>
      </w:r>
      <w:r w:rsidR="000261D0" w:rsidRPr="00E14060">
        <w:rPr>
          <w:sz w:val="24"/>
          <w:szCs w:val="24"/>
          <w:lang w:val="en-GB"/>
        </w:rPr>
        <w:t xml:space="preserve">4,672 </w:t>
      </w:r>
      <w:r w:rsidR="00B5370A" w:rsidRPr="00E14060">
        <w:rPr>
          <w:sz w:val="24"/>
          <w:szCs w:val="24"/>
          <w:lang w:val="en-GB"/>
        </w:rPr>
        <w:t>records</w:t>
      </w:r>
      <w:r w:rsidR="00020341" w:rsidRPr="00E14060">
        <w:rPr>
          <w:sz w:val="24"/>
          <w:szCs w:val="24"/>
          <w:lang w:val="en-GB"/>
        </w:rPr>
        <w:t xml:space="preserve"> were identified in the literature search. Of these, </w:t>
      </w:r>
      <w:r w:rsidR="000261D0" w:rsidRPr="00E14060">
        <w:rPr>
          <w:sz w:val="24"/>
          <w:szCs w:val="24"/>
          <w:lang w:val="en-GB"/>
        </w:rPr>
        <w:t xml:space="preserve">4,099 </w:t>
      </w:r>
      <w:r w:rsidR="009A5B54" w:rsidRPr="00E14060">
        <w:rPr>
          <w:sz w:val="24"/>
          <w:szCs w:val="24"/>
          <w:lang w:val="en-GB"/>
        </w:rPr>
        <w:t>records</w:t>
      </w:r>
      <w:r w:rsidR="00020341" w:rsidRPr="00E14060">
        <w:rPr>
          <w:sz w:val="24"/>
          <w:szCs w:val="24"/>
          <w:lang w:val="en-GB"/>
        </w:rPr>
        <w:t xml:space="preserve"> were excluded based on</w:t>
      </w:r>
      <w:r w:rsidR="009A2432" w:rsidRPr="00E14060">
        <w:rPr>
          <w:sz w:val="24"/>
          <w:szCs w:val="24"/>
          <w:lang w:val="en-GB"/>
        </w:rPr>
        <w:t xml:space="preserve"> the</w:t>
      </w:r>
      <w:r w:rsidR="00020341" w:rsidRPr="00E14060">
        <w:rPr>
          <w:sz w:val="24"/>
          <w:szCs w:val="24"/>
          <w:lang w:val="en-GB"/>
        </w:rPr>
        <w:t xml:space="preserve"> title</w:t>
      </w:r>
      <w:r w:rsidR="000261D0" w:rsidRPr="00E14060">
        <w:rPr>
          <w:sz w:val="24"/>
          <w:szCs w:val="24"/>
          <w:lang w:val="en-GB"/>
        </w:rPr>
        <w:t xml:space="preserve"> and/or abstract, most commonly due to the </w:t>
      </w:r>
      <w:r w:rsidR="009A2432" w:rsidRPr="00E14060">
        <w:rPr>
          <w:sz w:val="24"/>
          <w:szCs w:val="24"/>
          <w:lang w:val="en-GB"/>
        </w:rPr>
        <w:t>study pertaining to an</w:t>
      </w:r>
      <w:r w:rsidR="000261D0" w:rsidRPr="00E14060">
        <w:rPr>
          <w:sz w:val="24"/>
          <w:szCs w:val="24"/>
          <w:lang w:val="en-GB"/>
        </w:rPr>
        <w:t xml:space="preserve"> irrelevant population, such as </w:t>
      </w:r>
      <w:r w:rsidR="009A2432" w:rsidRPr="00E14060">
        <w:rPr>
          <w:sz w:val="24"/>
          <w:szCs w:val="24"/>
          <w:lang w:val="en-GB"/>
        </w:rPr>
        <w:t xml:space="preserve">children with </w:t>
      </w:r>
      <w:r w:rsidR="000261D0" w:rsidRPr="00E14060">
        <w:rPr>
          <w:sz w:val="24"/>
          <w:szCs w:val="24"/>
          <w:lang w:val="en-GB"/>
        </w:rPr>
        <w:t>ADHD, or populations with</w:t>
      </w:r>
      <w:r w:rsidR="009A2432" w:rsidRPr="00E14060">
        <w:rPr>
          <w:sz w:val="24"/>
          <w:szCs w:val="24"/>
          <w:lang w:val="en-GB"/>
        </w:rPr>
        <w:t xml:space="preserve"> a disease other than </w:t>
      </w:r>
      <w:r w:rsidR="000261D0" w:rsidRPr="00E14060">
        <w:rPr>
          <w:sz w:val="24"/>
          <w:szCs w:val="24"/>
          <w:lang w:val="en-GB"/>
        </w:rPr>
        <w:t>ADHD</w:t>
      </w:r>
      <w:r w:rsidR="00020341" w:rsidRPr="00E14060">
        <w:rPr>
          <w:sz w:val="24"/>
          <w:szCs w:val="24"/>
          <w:lang w:val="en-GB"/>
        </w:rPr>
        <w:t xml:space="preserve">. </w:t>
      </w:r>
      <w:r w:rsidR="000261D0" w:rsidRPr="00E14060">
        <w:rPr>
          <w:sz w:val="24"/>
          <w:szCs w:val="24"/>
          <w:lang w:val="en-GB"/>
        </w:rPr>
        <w:t xml:space="preserve">Other studies </w:t>
      </w:r>
      <w:r w:rsidR="009A2432" w:rsidRPr="00E14060">
        <w:rPr>
          <w:sz w:val="24"/>
          <w:szCs w:val="24"/>
          <w:lang w:val="en-GB"/>
        </w:rPr>
        <w:t xml:space="preserve">excluded </w:t>
      </w:r>
      <w:r w:rsidR="000261D0" w:rsidRPr="00E14060">
        <w:rPr>
          <w:sz w:val="24"/>
          <w:szCs w:val="24"/>
          <w:lang w:val="en-GB"/>
        </w:rPr>
        <w:t>at this stage included records not pertaining to relev</w:t>
      </w:r>
      <w:r w:rsidR="009A2432" w:rsidRPr="00E14060">
        <w:rPr>
          <w:sz w:val="24"/>
          <w:szCs w:val="24"/>
          <w:lang w:val="en-GB"/>
        </w:rPr>
        <w:t>a</w:t>
      </w:r>
      <w:r w:rsidR="000261D0" w:rsidRPr="00E14060">
        <w:rPr>
          <w:sz w:val="24"/>
          <w:szCs w:val="24"/>
          <w:lang w:val="en-GB"/>
        </w:rPr>
        <w:t>nt pharmacological intervention</w:t>
      </w:r>
      <w:r w:rsidR="000E35D7" w:rsidRPr="00E14060">
        <w:rPr>
          <w:sz w:val="24"/>
          <w:szCs w:val="24"/>
          <w:lang w:val="en-GB"/>
        </w:rPr>
        <w:t>s</w:t>
      </w:r>
      <w:r w:rsidR="000261D0" w:rsidRPr="00E14060">
        <w:rPr>
          <w:sz w:val="24"/>
          <w:szCs w:val="24"/>
          <w:lang w:val="en-GB"/>
        </w:rPr>
        <w:t xml:space="preserve">, </w:t>
      </w:r>
      <w:r w:rsidR="009A2432" w:rsidRPr="00E14060">
        <w:rPr>
          <w:sz w:val="24"/>
          <w:szCs w:val="24"/>
          <w:lang w:val="en-GB"/>
        </w:rPr>
        <w:t>preclinical, phase I</w:t>
      </w:r>
      <w:r w:rsidR="000261D0" w:rsidRPr="00E14060">
        <w:rPr>
          <w:sz w:val="24"/>
          <w:szCs w:val="24"/>
          <w:lang w:val="en-GB"/>
        </w:rPr>
        <w:t>, prognostic, or retrospective studies, nonsystematic reviews, and other irrelevant publication types</w:t>
      </w:r>
      <w:r w:rsidR="009A2432" w:rsidRPr="00E14060">
        <w:rPr>
          <w:sz w:val="24"/>
          <w:szCs w:val="24"/>
          <w:lang w:val="en-GB"/>
        </w:rPr>
        <w:t>, such as commentaries and letters</w:t>
      </w:r>
      <w:r w:rsidR="000261D0" w:rsidRPr="00E14060">
        <w:rPr>
          <w:sz w:val="24"/>
          <w:szCs w:val="24"/>
          <w:lang w:val="en-GB"/>
        </w:rPr>
        <w:t xml:space="preserve">. </w:t>
      </w:r>
      <w:r w:rsidR="005E3035" w:rsidRPr="00E14060">
        <w:rPr>
          <w:sz w:val="24"/>
          <w:szCs w:val="24"/>
          <w:lang w:val="en-GB"/>
        </w:rPr>
        <w:t xml:space="preserve">Full-text articles of the remaining </w:t>
      </w:r>
      <w:r w:rsidR="000261D0" w:rsidRPr="00E14060">
        <w:rPr>
          <w:sz w:val="24"/>
          <w:szCs w:val="24"/>
          <w:lang w:val="en-GB"/>
        </w:rPr>
        <w:t>573</w:t>
      </w:r>
      <w:r w:rsidR="005E3035" w:rsidRPr="00E14060">
        <w:rPr>
          <w:sz w:val="24"/>
          <w:szCs w:val="24"/>
          <w:lang w:val="en-GB"/>
        </w:rPr>
        <w:t xml:space="preserve"> </w:t>
      </w:r>
      <w:r w:rsidR="005E51FA" w:rsidRPr="00E14060">
        <w:rPr>
          <w:sz w:val="24"/>
          <w:szCs w:val="24"/>
          <w:lang w:val="en-GB"/>
        </w:rPr>
        <w:t>record</w:t>
      </w:r>
      <w:r w:rsidR="005E3035" w:rsidRPr="00E14060">
        <w:rPr>
          <w:sz w:val="24"/>
          <w:szCs w:val="24"/>
          <w:lang w:val="en-GB"/>
        </w:rPr>
        <w:t>s were assessed</w:t>
      </w:r>
      <w:r w:rsidR="000E35D7" w:rsidRPr="00E14060">
        <w:rPr>
          <w:sz w:val="24"/>
          <w:szCs w:val="24"/>
          <w:lang w:val="en-GB"/>
        </w:rPr>
        <w:t xml:space="preserve">. In addition, 1 </w:t>
      </w:r>
      <w:r w:rsidR="001C752F" w:rsidRPr="00E14060">
        <w:rPr>
          <w:sz w:val="24"/>
          <w:szCs w:val="24"/>
          <w:lang w:val="en-GB"/>
        </w:rPr>
        <w:t>article</w:t>
      </w:r>
      <w:r w:rsidR="000E35D7" w:rsidRPr="00E14060">
        <w:rPr>
          <w:sz w:val="24"/>
          <w:szCs w:val="24"/>
          <w:lang w:val="en-GB"/>
        </w:rPr>
        <w:t xml:space="preserve"> was identified through hand-search and included during the full-text screening stage. After initial full-text screening,</w:t>
      </w:r>
      <w:r w:rsidR="005E3035" w:rsidRPr="00E14060">
        <w:rPr>
          <w:sz w:val="24"/>
          <w:szCs w:val="24"/>
          <w:lang w:val="en-GB"/>
        </w:rPr>
        <w:t xml:space="preserve"> </w:t>
      </w:r>
      <w:r w:rsidR="000261D0" w:rsidRPr="00E14060">
        <w:rPr>
          <w:sz w:val="24"/>
          <w:szCs w:val="24"/>
          <w:lang w:val="en-GB"/>
        </w:rPr>
        <w:t>15</w:t>
      </w:r>
      <w:r w:rsidR="00CB2C3E" w:rsidRPr="00E14060">
        <w:rPr>
          <w:sz w:val="24"/>
          <w:szCs w:val="24"/>
          <w:lang w:val="en-GB"/>
        </w:rPr>
        <w:t>7</w:t>
      </w:r>
      <w:r w:rsidRPr="00E14060">
        <w:rPr>
          <w:sz w:val="24"/>
          <w:szCs w:val="24"/>
          <w:lang w:val="en-GB"/>
        </w:rPr>
        <w:t xml:space="preserve"> articles</w:t>
      </w:r>
      <w:r w:rsidR="000261D0" w:rsidRPr="00E14060">
        <w:rPr>
          <w:sz w:val="24"/>
          <w:szCs w:val="24"/>
          <w:vertAlign w:val="superscript"/>
          <w:lang w:val="en-GB"/>
        </w:rPr>
        <w:t xml:space="preserve"> </w:t>
      </w:r>
      <w:r w:rsidRPr="00E14060">
        <w:rPr>
          <w:sz w:val="24"/>
          <w:szCs w:val="24"/>
          <w:lang w:val="en-GB"/>
        </w:rPr>
        <w:t>were selected</w:t>
      </w:r>
      <w:r w:rsidR="000261D0" w:rsidRPr="00E14060">
        <w:rPr>
          <w:sz w:val="24"/>
          <w:szCs w:val="24"/>
          <w:lang w:val="en-GB"/>
        </w:rPr>
        <w:t xml:space="preserve"> for further consideration</w:t>
      </w:r>
      <w:r w:rsidR="005E3035" w:rsidRPr="00E14060">
        <w:rPr>
          <w:sz w:val="24"/>
          <w:szCs w:val="24"/>
          <w:lang w:val="en-GB"/>
        </w:rPr>
        <w:t xml:space="preserve">. A total of </w:t>
      </w:r>
      <w:r w:rsidR="000E35D7" w:rsidRPr="00E14060">
        <w:rPr>
          <w:sz w:val="24"/>
          <w:szCs w:val="24"/>
          <w:lang w:val="en-GB"/>
        </w:rPr>
        <w:t>2</w:t>
      </w:r>
      <w:r w:rsidR="00411855" w:rsidRPr="00E14060">
        <w:rPr>
          <w:sz w:val="24"/>
          <w:szCs w:val="24"/>
          <w:lang w:val="en-GB"/>
        </w:rPr>
        <w:t>1</w:t>
      </w:r>
      <w:r w:rsidR="000E35D7" w:rsidRPr="00E14060">
        <w:rPr>
          <w:sz w:val="24"/>
          <w:szCs w:val="24"/>
          <w:lang w:val="en-GB"/>
        </w:rPr>
        <w:t xml:space="preserve"> </w:t>
      </w:r>
      <w:r w:rsidR="005E3035" w:rsidRPr="00E14060">
        <w:rPr>
          <w:sz w:val="24"/>
          <w:szCs w:val="24"/>
          <w:lang w:val="en-GB"/>
        </w:rPr>
        <w:t>articles</w:t>
      </w:r>
      <w:r w:rsidR="000261D0" w:rsidRPr="00E14060">
        <w:rPr>
          <w:sz w:val="24"/>
          <w:szCs w:val="24"/>
          <w:vertAlign w:val="superscript"/>
          <w:lang w:val="en-GB"/>
        </w:rPr>
        <w:t xml:space="preserve"> </w:t>
      </w:r>
      <w:r w:rsidR="000857F5" w:rsidRPr="00E14060">
        <w:rPr>
          <w:sz w:val="24"/>
          <w:szCs w:val="24"/>
          <w:lang w:val="en-GB"/>
        </w:rPr>
        <w:t xml:space="preserve">reporting clinical evidence for </w:t>
      </w:r>
      <w:r w:rsidR="000261D0" w:rsidRPr="00E14060">
        <w:rPr>
          <w:sz w:val="24"/>
          <w:szCs w:val="24"/>
          <w:lang w:val="en-GB"/>
        </w:rPr>
        <w:t xml:space="preserve">LDX, ATX, or MPH-OROS/ER </w:t>
      </w:r>
      <w:r w:rsidR="005E3035" w:rsidRPr="00E14060">
        <w:rPr>
          <w:sz w:val="24"/>
          <w:szCs w:val="24"/>
          <w:lang w:val="en-GB"/>
        </w:rPr>
        <w:t xml:space="preserve">were selected for </w:t>
      </w:r>
      <w:r w:rsidR="000261D0" w:rsidRPr="00E14060">
        <w:rPr>
          <w:sz w:val="24"/>
          <w:szCs w:val="24"/>
          <w:lang w:val="en-GB"/>
        </w:rPr>
        <w:t>the efficacy</w:t>
      </w:r>
      <w:r w:rsidR="000E35D7" w:rsidRPr="00E14060">
        <w:rPr>
          <w:sz w:val="24"/>
          <w:szCs w:val="24"/>
          <w:lang w:val="en-GB"/>
        </w:rPr>
        <w:t xml:space="preserve"> </w:t>
      </w:r>
      <w:r w:rsidR="00CD54DC" w:rsidRPr="00E14060">
        <w:rPr>
          <w:sz w:val="24"/>
          <w:szCs w:val="24"/>
          <w:lang w:val="en-GB"/>
        </w:rPr>
        <w:t>and/or</w:t>
      </w:r>
      <w:r w:rsidR="000261D0" w:rsidRPr="00E14060">
        <w:rPr>
          <w:sz w:val="24"/>
          <w:szCs w:val="24"/>
          <w:lang w:val="en-GB"/>
        </w:rPr>
        <w:t xml:space="preserve"> safety</w:t>
      </w:r>
      <w:r w:rsidR="005E3035" w:rsidRPr="00E14060">
        <w:rPr>
          <w:sz w:val="24"/>
          <w:szCs w:val="24"/>
          <w:lang w:val="en-GB"/>
        </w:rPr>
        <w:t xml:space="preserve"> </w:t>
      </w:r>
      <w:r w:rsidR="00CD54DC" w:rsidRPr="00E14060">
        <w:rPr>
          <w:sz w:val="24"/>
          <w:szCs w:val="24"/>
          <w:lang w:val="en-GB"/>
        </w:rPr>
        <w:t>(core and sensitivity) analyses</w:t>
      </w:r>
      <w:r w:rsidR="000261D0" w:rsidRPr="00E14060">
        <w:rPr>
          <w:sz w:val="24"/>
          <w:szCs w:val="24"/>
          <w:lang w:val="en-GB"/>
        </w:rPr>
        <w:t>.</w:t>
      </w:r>
      <w:r w:rsidR="001C752F" w:rsidRPr="00E14060">
        <w:rPr>
          <w:sz w:val="24"/>
          <w:szCs w:val="24"/>
          <w:lang w:val="en-GB"/>
        </w:rPr>
        <w:t xml:space="preserve"> One </w:t>
      </w:r>
      <w:r w:rsidR="00951C8D" w:rsidRPr="00E14060">
        <w:rPr>
          <w:sz w:val="24"/>
          <w:szCs w:val="24"/>
          <w:lang w:val="en-GB"/>
        </w:rPr>
        <w:t>publication</w:t>
      </w:r>
      <w:r w:rsidR="001C752F" w:rsidRPr="00E14060">
        <w:rPr>
          <w:sz w:val="24"/>
          <w:szCs w:val="24"/>
          <w:lang w:val="en-GB"/>
        </w:rPr>
        <w:t xml:space="preserve"> reported</w:t>
      </w:r>
      <w:r w:rsidR="000261D0" w:rsidRPr="00E14060">
        <w:rPr>
          <w:sz w:val="24"/>
          <w:szCs w:val="24"/>
          <w:lang w:val="en-GB"/>
        </w:rPr>
        <w:t xml:space="preserve"> </w:t>
      </w:r>
      <w:r w:rsidR="001C752F" w:rsidRPr="00E14060">
        <w:rPr>
          <w:sz w:val="24"/>
          <w:szCs w:val="24"/>
          <w:lang w:val="en-GB"/>
        </w:rPr>
        <w:t>on two identical trials, so these two trials were pooled</w:t>
      </w:r>
      <w:r w:rsidR="00951C8D" w:rsidRPr="00E14060">
        <w:rPr>
          <w:sz w:val="24"/>
          <w:szCs w:val="24"/>
          <w:lang w:val="en-GB"/>
        </w:rPr>
        <w:t xml:space="preserve"> and treated as one study</w:t>
      </w:r>
      <w:r w:rsidR="001C752F" w:rsidRPr="00E14060">
        <w:rPr>
          <w:sz w:val="24"/>
          <w:szCs w:val="24"/>
          <w:lang w:val="en-GB"/>
        </w:rPr>
        <w:t xml:space="preserve"> for the analysis.</w:t>
      </w:r>
      <w:r w:rsidR="000261D0" w:rsidRPr="00E14060">
        <w:rPr>
          <w:sz w:val="24"/>
          <w:szCs w:val="24"/>
          <w:lang w:val="en-GB"/>
        </w:rPr>
        <w:t xml:space="preserve"> In the </w:t>
      </w:r>
      <w:r w:rsidR="009F45B7" w:rsidRPr="00E14060">
        <w:rPr>
          <w:sz w:val="24"/>
          <w:szCs w:val="24"/>
          <w:lang w:val="en-GB"/>
        </w:rPr>
        <w:t xml:space="preserve">core </w:t>
      </w:r>
      <w:r w:rsidR="000261D0" w:rsidRPr="00E14060">
        <w:rPr>
          <w:sz w:val="24"/>
          <w:szCs w:val="24"/>
          <w:lang w:val="en-GB"/>
        </w:rPr>
        <w:t xml:space="preserve">efficacy analysis, </w:t>
      </w:r>
      <w:r w:rsidR="000E35D7" w:rsidRPr="00E14060">
        <w:rPr>
          <w:sz w:val="24"/>
          <w:szCs w:val="24"/>
          <w:lang w:val="en-GB"/>
        </w:rPr>
        <w:t>6</w:t>
      </w:r>
      <w:r w:rsidR="000261D0" w:rsidRPr="00E14060">
        <w:rPr>
          <w:sz w:val="24"/>
          <w:szCs w:val="24"/>
          <w:lang w:val="en-GB"/>
        </w:rPr>
        <w:t xml:space="preserve"> records were included in the network for ADHD-RS-IV, and </w:t>
      </w:r>
      <w:r w:rsidR="000E35D7" w:rsidRPr="00E14060">
        <w:rPr>
          <w:sz w:val="24"/>
          <w:szCs w:val="24"/>
          <w:lang w:val="en-GB"/>
        </w:rPr>
        <w:t xml:space="preserve">5 </w:t>
      </w:r>
      <w:r w:rsidR="000261D0" w:rsidRPr="00E14060">
        <w:rPr>
          <w:sz w:val="24"/>
          <w:szCs w:val="24"/>
          <w:lang w:val="en-GB"/>
        </w:rPr>
        <w:t>for CGI-I.</w:t>
      </w:r>
      <w:r w:rsidR="00241DBD" w:rsidRPr="00E14060">
        <w:rPr>
          <w:sz w:val="24"/>
          <w:szCs w:val="24"/>
          <w:lang w:val="en-GB"/>
        </w:rPr>
        <w:t xml:space="preserve"> </w:t>
      </w:r>
      <w:r w:rsidR="000261D0" w:rsidRPr="00E14060">
        <w:rPr>
          <w:sz w:val="24"/>
          <w:szCs w:val="24"/>
          <w:lang w:val="en-GB"/>
        </w:rPr>
        <w:t xml:space="preserve">The safety analysis was conducted using </w:t>
      </w:r>
      <w:r w:rsidR="009F45B7" w:rsidRPr="00E14060">
        <w:rPr>
          <w:sz w:val="24"/>
          <w:szCs w:val="24"/>
          <w:lang w:val="en-GB"/>
        </w:rPr>
        <w:t>18</w:t>
      </w:r>
      <w:r w:rsidR="000261D0" w:rsidRPr="00E14060">
        <w:rPr>
          <w:sz w:val="24"/>
          <w:szCs w:val="24"/>
          <w:lang w:val="en-GB"/>
        </w:rPr>
        <w:t xml:space="preserve"> records for all-cause discontinuation, and </w:t>
      </w:r>
      <w:r w:rsidR="000E35D7" w:rsidRPr="00E14060">
        <w:rPr>
          <w:sz w:val="24"/>
          <w:szCs w:val="24"/>
          <w:lang w:val="en-GB"/>
        </w:rPr>
        <w:t xml:space="preserve">18 </w:t>
      </w:r>
      <w:r w:rsidR="000261D0" w:rsidRPr="00E14060">
        <w:rPr>
          <w:sz w:val="24"/>
          <w:szCs w:val="24"/>
          <w:lang w:val="en-GB"/>
        </w:rPr>
        <w:t xml:space="preserve">records for discontinuation due to adverse events. </w:t>
      </w:r>
      <w:r w:rsidR="000E35D7" w:rsidRPr="00E14060">
        <w:rPr>
          <w:sz w:val="24"/>
          <w:szCs w:val="24"/>
          <w:lang w:val="en-GB"/>
        </w:rPr>
        <w:t xml:space="preserve">One additional study reporting ADHD-RS-IV change was included for a </w:t>
      </w:r>
      <w:r w:rsidR="007D0871" w:rsidRPr="00E14060">
        <w:rPr>
          <w:sz w:val="24"/>
          <w:szCs w:val="24"/>
          <w:lang w:val="en-GB"/>
        </w:rPr>
        <w:t xml:space="preserve">sensitivity </w:t>
      </w:r>
      <w:r w:rsidR="000E35D7" w:rsidRPr="00E14060">
        <w:rPr>
          <w:sz w:val="24"/>
          <w:szCs w:val="24"/>
          <w:lang w:val="en-GB"/>
        </w:rPr>
        <w:t>analysis only</w:t>
      </w:r>
      <w:r w:rsidR="00296831" w:rsidRPr="00E14060">
        <w:rPr>
          <w:sz w:val="24"/>
          <w:szCs w:val="24"/>
          <w:lang w:val="en-GB"/>
        </w:rPr>
        <w:t>.</w:t>
      </w:r>
      <w:r w:rsidR="007D0871" w:rsidRPr="00E14060">
        <w:rPr>
          <w:sz w:val="24"/>
          <w:szCs w:val="24"/>
          <w:lang w:val="en-GB"/>
        </w:rPr>
        <w:t xml:space="preserve"> </w:t>
      </w:r>
      <w:r w:rsidR="00972BA9" w:rsidRPr="00E14060">
        <w:rPr>
          <w:sz w:val="24"/>
          <w:szCs w:val="24"/>
          <w:lang w:val="en-GB"/>
        </w:rPr>
        <w:t xml:space="preserve">In the analysis </w:t>
      </w:r>
      <w:r w:rsidR="009F0303" w:rsidRPr="00E14060">
        <w:rPr>
          <w:sz w:val="24"/>
          <w:szCs w:val="24"/>
          <w:lang w:val="en-GB"/>
        </w:rPr>
        <w:t>of change</w:t>
      </w:r>
      <w:r w:rsidR="00972BA9" w:rsidRPr="00E14060">
        <w:rPr>
          <w:sz w:val="24"/>
          <w:szCs w:val="24"/>
          <w:lang w:val="en-GB"/>
        </w:rPr>
        <w:t xml:space="preserve"> from baseline in ADHD-RS-IV or AISRS total score, 6 records with AISRS were included. </w:t>
      </w:r>
    </w:p>
    <w:p w14:paraId="5E805789" w14:textId="77777777" w:rsidR="00296831" w:rsidRPr="00E14060" w:rsidRDefault="00296831">
      <w:pPr>
        <w:rPr>
          <w:sz w:val="24"/>
          <w:szCs w:val="24"/>
          <w:lang w:val="en-GB"/>
        </w:rPr>
      </w:pPr>
    </w:p>
    <w:p w14:paraId="7CAB1BB3" w14:textId="77777777" w:rsidR="00296831" w:rsidRPr="00E14060" w:rsidRDefault="00296831">
      <w:pPr>
        <w:rPr>
          <w:sz w:val="24"/>
          <w:szCs w:val="24"/>
          <w:lang w:val="en-GB"/>
        </w:rPr>
      </w:pPr>
    </w:p>
    <w:p w14:paraId="4B52A8AC" w14:textId="77777777" w:rsidR="00296831" w:rsidRPr="00E14060" w:rsidRDefault="00296831">
      <w:pPr>
        <w:rPr>
          <w:sz w:val="24"/>
          <w:szCs w:val="24"/>
          <w:lang w:val="en-GB"/>
        </w:rPr>
      </w:pPr>
    </w:p>
    <w:p w14:paraId="3D1DB80F" w14:textId="77777777" w:rsidR="005C436D" w:rsidRPr="00E14060" w:rsidRDefault="005C436D">
      <w:pPr>
        <w:rPr>
          <w:b/>
          <w:sz w:val="24"/>
          <w:szCs w:val="24"/>
          <w:lang w:val="en-GB"/>
        </w:rPr>
      </w:pPr>
    </w:p>
    <w:p w14:paraId="382AEEAB" w14:textId="77777777" w:rsidR="00296831" w:rsidRPr="00E14060" w:rsidRDefault="00296831">
      <w:pPr>
        <w:rPr>
          <w:b/>
          <w:sz w:val="24"/>
          <w:szCs w:val="24"/>
          <w:lang w:val="en-GB"/>
        </w:rPr>
      </w:pPr>
      <w:r w:rsidRPr="00E14060">
        <w:rPr>
          <w:b/>
          <w:sz w:val="24"/>
          <w:szCs w:val="24"/>
          <w:lang w:val="en-GB"/>
        </w:rPr>
        <w:lastRenderedPageBreak/>
        <w:br w:type="page"/>
      </w:r>
    </w:p>
    <w:p w14:paraId="6212DA14" w14:textId="1C8ECCB8" w:rsidR="00537FB8" w:rsidRPr="00E14060" w:rsidRDefault="00537FB8" w:rsidP="00447896">
      <w:pPr>
        <w:spacing w:before="240" w:after="240" w:line="360" w:lineRule="auto"/>
        <w:rPr>
          <w:b/>
          <w:sz w:val="24"/>
          <w:szCs w:val="24"/>
          <w:lang w:val="en-GB"/>
        </w:rPr>
      </w:pPr>
      <w:r w:rsidRPr="00E14060">
        <w:rPr>
          <w:b/>
          <w:sz w:val="24"/>
          <w:szCs w:val="24"/>
          <w:lang w:val="en-GB"/>
        </w:rPr>
        <w:lastRenderedPageBreak/>
        <w:t xml:space="preserve">Figure 1. PRISMA Diagram </w:t>
      </w:r>
    </w:p>
    <w:p w14:paraId="084527CE" w14:textId="77777777" w:rsidR="00667342" w:rsidRPr="00E14060" w:rsidRDefault="008F6CCE">
      <w:pPr>
        <w:rPr>
          <w:sz w:val="24"/>
          <w:szCs w:val="24"/>
          <w:lang w:val="en-GB"/>
        </w:rPr>
      </w:pPr>
      <w:r w:rsidRPr="00E14060">
        <w:rPr>
          <w:noProof/>
          <w:sz w:val="24"/>
          <w:szCs w:val="24"/>
          <w:lang w:val="en-GB" w:eastAsia="en-GB"/>
        </w:rPr>
        <w:drawing>
          <wp:inline distT="0" distB="0" distL="0" distR="0" wp14:anchorId="030DBE58" wp14:editId="414BED44">
            <wp:extent cx="6858000" cy="6320521"/>
            <wp:effectExtent l="0" t="0" r="0" b="444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858000" cy="6320521"/>
                    </a:xfrm>
                    <a:prstGeom prst="rect">
                      <a:avLst/>
                    </a:prstGeom>
                    <a:noFill/>
                    <a:ln>
                      <a:noFill/>
                    </a:ln>
                  </pic:spPr>
                </pic:pic>
              </a:graphicData>
            </a:graphic>
          </wp:inline>
        </w:drawing>
      </w:r>
    </w:p>
    <w:p w14:paraId="6014CAF2" w14:textId="77777777" w:rsidR="00A178F3" w:rsidRPr="00E14060" w:rsidRDefault="00A178F3">
      <w:pPr>
        <w:rPr>
          <w:sz w:val="24"/>
          <w:szCs w:val="24"/>
          <w:lang w:val="en-GB"/>
        </w:rPr>
      </w:pPr>
    </w:p>
    <w:p w14:paraId="18BAA033" w14:textId="10022BDE" w:rsidR="00E8228A" w:rsidRPr="00E14060" w:rsidRDefault="00212F8F" w:rsidP="00241DBD">
      <w:pPr>
        <w:ind w:firstLine="360"/>
        <w:rPr>
          <w:b/>
          <w:lang w:val="en-GB"/>
        </w:rPr>
      </w:pPr>
      <w:r w:rsidRPr="00E14060">
        <w:rPr>
          <w:b/>
          <w:lang w:val="en-GB"/>
        </w:rPr>
        <w:t>Notes:</w:t>
      </w:r>
    </w:p>
    <w:p w14:paraId="4AA088C9" w14:textId="7F1B05E0" w:rsidR="00E8228A" w:rsidRPr="00E14060" w:rsidRDefault="00212F8F" w:rsidP="00241DBD">
      <w:pPr>
        <w:pStyle w:val="ListParagraph"/>
        <w:numPr>
          <w:ilvl w:val="0"/>
          <w:numId w:val="136"/>
        </w:numPr>
        <w:rPr>
          <w:rFonts w:ascii="Times New Roman" w:hAnsi="Times New Roman"/>
          <w:i w:val="0"/>
          <w:iCs w:val="0"/>
          <w:lang w:val="en-GB"/>
        </w:rPr>
      </w:pPr>
      <w:r w:rsidRPr="00E14060">
        <w:rPr>
          <w:rFonts w:ascii="Times New Roman" w:hAnsi="Times New Roman"/>
          <w:i w:val="0"/>
          <w:iCs w:val="0"/>
          <w:lang w:val="en-GB"/>
        </w:rPr>
        <w:t>Includes non-human studies, not an ADHD population, and studies focusing on children and adolescents only (i.e., no adults included).</w:t>
      </w:r>
    </w:p>
    <w:p w14:paraId="0BAC7312" w14:textId="4ABD66C6" w:rsidR="00E8228A" w:rsidRPr="00E14060" w:rsidRDefault="00212F8F" w:rsidP="00241DBD">
      <w:pPr>
        <w:pStyle w:val="ListParagraph"/>
        <w:numPr>
          <w:ilvl w:val="0"/>
          <w:numId w:val="136"/>
        </w:numPr>
        <w:rPr>
          <w:rFonts w:ascii="Times New Roman" w:hAnsi="Times New Roman"/>
          <w:i w:val="0"/>
          <w:iCs w:val="0"/>
          <w:lang w:val="en-GB"/>
        </w:rPr>
      </w:pPr>
      <w:r w:rsidRPr="00E14060">
        <w:rPr>
          <w:rFonts w:ascii="Times New Roman" w:hAnsi="Times New Roman"/>
          <w:i w:val="0"/>
          <w:iCs w:val="0"/>
          <w:lang w:val="en-GB"/>
        </w:rPr>
        <w:t>Includes only treatments other than methylphenidate, atomoxetine, amphetamine/dexa</w:t>
      </w:r>
      <w:r w:rsidR="00241DBD" w:rsidRPr="00E14060">
        <w:rPr>
          <w:rFonts w:ascii="Times New Roman" w:hAnsi="Times New Roman"/>
          <w:i w:val="0"/>
          <w:iCs w:val="0"/>
          <w:lang w:val="en-GB"/>
        </w:rPr>
        <w:t>mphetamine, or lisdexamfetamine</w:t>
      </w:r>
      <w:r w:rsidRPr="00E14060">
        <w:rPr>
          <w:rFonts w:ascii="Times New Roman" w:hAnsi="Times New Roman"/>
          <w:i w:val="0"/>
          <w:iCs w:val="0"/>
          <w:lang w:val="en-GB"/>
        </w:rPr>
        <w:tab/>
      </w:r>
    </w:p>
    <w:p w14:paraId="71C72A2A" w14:textId="662440D3" w:rsidR="00E8228A" w:rsidRPr="00E14060" w:rsidRDefault="00212F8F" w:rsidP="00241DBD">
      <w:pPr>
        <w:pStyle w:val="ListParagraph"/>
        <w:numPr>
          <w:ilvl w:val="0"/>
          <w:numId w:val="136"/>
        </w:numPr>
        <w:rPr>
          <w:rFonts w:ascii="Times New Roman" w:hAnsi="Times New Roman"/>
          <w:i w:val="0"/>
          <w:iCs w:val="0"/>
          <w:lang w:val="en-GB"/>
        </w:rPr>
      </w:pPr>
      <w:r w:rsidRPr="00E14060">
        <w:rPr>
          <w:rFonts w:ascii="Times New Roman" w:hAnsi="Times New Roman"/>
          <w:i w:val="0"/>
          <w:iCs w:val="0"/>
          <w:lang w:val="en-GB"/>
        </w:rPr>
        <w:t>Includes preclinical studies, phase I studies, prognostic studies, retrospective studies, case reports, audio files, commentaries and letters (publication type), consensus reports, nonsystematic reviews, or titles without corresponding abstracts (Title/Abstract Screening only).</w:t>
      </w:r>
    </w:p>
    <w:p w14:paraId="00A9890B" w14:textId="4A96C264" w:rsidR="00E8228A" w:rsidRPr="00E14060" w:rsidRDefault="00212F8F" w:rsidP="00241DBD">
      <w:pPr>
        <w:pStyle w:val="ListParagraph"/>
        <w:numPr>
          <w:ilvl w:val="0"/>
          <w:numId w:val="136"/>
        </w:numPr>
        <w:rPr>
          <w:rFonts w:ascii="Times New Roman" w:hAnsi="Times New Roman"/>
          <w:i w:val="0"/>
          <w:iCs w:val="0"/>
          <w:lang w:val="en-GB"/>
        </w:rPr>
      </w:pPr>
      <w:r w:rsidRPr="00E14060">
        <w:rPr>
          <w:rFonts w:ascii="Times New Roman" w:hAnsi="Times New Roman"/>
          <w:i w:val="0"/>
          <w:iCs w:val="0"/>
          <w:lang w:val="en-GB"/>
        </w:rPr>
        <w:t>For title/abstract screening, studies reporting only pharmacokinetics, biochemical, neuroimaging, or genetic outcomes were excluded. For full text screening, studies that did not report all-cause discontinuation, adverse events discontinuation, or at least one of the following efficacy measures commonly used in adult ADHD: CAARS, ADHD-RS-IV, BAARS, BADDS, CGI scales, or GAF.</w:t>
      </w:r>
    </w:p>
    <w:p w14:paraId="02FB212C" w14:textId="5903B3C5" w:rsidR="00E8228A" w:rsidRPr="00E14060" w:rsidRDefault="00212F8F" w:rsidP="00241DBD">
      <w:pPr>
        <w:pStyle w:val="ListParagraph"/>
        <w:numPr>
          <w:ilvl w:val="0"/>
          <w:numId w:val="136"/>
        </w:numPr>
        <w:rPr>
          <w:rFonts w:ascii="Times New Roman" w:hAnsi="Times New Roman"/>
          <w:i w:val="0"/>
          <w:iCs w:val="0"/>
          <w:lang w:val="en-GB"/>
        </w:rPr>
      </w:pPr>
      <w:r w:rsidRPr="00E14060">
        <w:rPr>
          <w:rFonts w:ascii="Times New Roman" w:hAnsi="Times New Roman"/>
          <w:i w:val="0"/>
          <w:iCs w:val="0"/>
          <w:lang w:val="en-GB"/>
        </w:rPr>
        <w:t xml:space="preserve">Includes studies for which the full text is not available for open </w:t>
      </w:r>
      <w:r w:rsidR="00241DBD" w:rsidRPr="00E14060">
        <w:rPr>
          <w:rFonts w:ascii="Times New Roman" w:hAnsi="Times New Roman"/>
          <w:i w:val="0"/>
          <w:iCs w:val="0"/>
          <w:lang w:val="en-GB"/>
        </w:rPr>
        <w:t>access download or for purchase.</w:t>
      </w:r>
    </w:p>
    <w:p w14:paraId="773454F9" w14:textId="7E146EF2" w:rsidR="00E8228A" w:rsidRPr="00E14060" w:rsidRDefault="00212F8F" w:rsidP="00241DBD">
      <w:pPr>
        <w:pStyle w:val="ListParagraph"/>
        <w:numPr>
          <w:ilvl w:val="0"/>
          <w:numId w:val="136"/>
        </w:numPr>
        <w:rPr>
          <w:rFonts w:ascii="Times New Roman" w:hAnsi="Times New Roman"/>
          <w:i w:val="0"/>
          <w:iCs w:val="0"/>
          <w:lang w:val="en-GB"/>
        </w:rPr>
      </w:pPr>
      <w:r w:rsidRPr="00E14060">
        <w:rPr>
          <w:rFonts w:ascii="Times New Roman" w:hAnsi="Times New Roman"/>
          <w:i w:val="0"/>
          <w:iCs w:val="0"/>
          <w:lang w:val="en-GB"/>
        </w:rPr>
        <w:t>Includes non-randomized studies, open label extensions of randomized controlled trials, systematic reviews, post-hoc analyses, poo</w:t>
      </w:r>
      <w:r w:rsidR="00241DBD" w:rsidRPr="00E14060">
        <w:rPr>
          <w:rFonts w:ascii="Times New Roman" w:hAnsi="Times New Roman"/>
          <w:i w:val="0"/>
          <w:iCs w:val="0"/>
          <w:lang w:val="en-GB"/>
        </w:rPr>
        <w:t>led analyses, or meta-analyses.</w:t>
      </w:r>
    </w:p>
    <w:p w14:paraId="2DACBE71" w14:textId="3FF63875" w:rsidR="00E8228A" w:rsidRPr="00E14060" w:rsidRDefault="00212F8F" w:rsidP="00241DBD">
      <w:pPr>
        <w:pStyle w:val="ListParagraph"/>
        <w:numPr>
          <w:ilvl w:val="0"/>
          <w:numId w:val="136"/>
        </w:numPr>
        <w:rPr>
          <w:rFonts w:ascii="Times New Roman" w:hAnsi="Times New Roman"/>
          <w:i w:val="0"/>
          <w:iCs w:val="0"/>
          <w:lang w:val="en-GB"/>
        </w:rPr>
      </w:pPr>
      <w:r w:rsidRPr="00E14060">
        <w:rPr>
          <w:rFonts w:ascii="Times New Roman" w:hAnsi="Times New Roman"/>
          <w:i w:val="0"/>
          <w:iCs w:val="0"/>
          <w:lang w:val="en-GB"/>
        </w:rPr>
        <w:lastRenderedPageBreak/>
        <w:t>Other population restrictions include women only, mothers only, with spouse and child only, and prison inmates.</w:t>
      </w:r>
    </w:p>
    <w:p w14:paraId="5712C872" w14:textId="63E0B40C" w:rsidR="00E8228A" w:rsidRPr="00E14060" w:rsidRDefault="00212F8F" w:rsidP="00241DBD">
      <w:pPr>
        <w:pStyle w:val="ListParagraph"/>
        <w:numPr>
          <w:ilvl w:val="0"/>
          <w:numId w:val="136"/>
        </w:numPr>
        <w:rPr>
          <w:rFonts w:ascii="Times New Roman" w:hAnsi="Times New Roman"/>
          <w:i w:val="0"/>
          <w:iCs w:val="0"/>
          <w:lang w:val="en-GB"/>
        </w:rPr>
      </w:pPr>
      <w:r w:rsidRPr="00E14060">
        <w:rPr>
          <w:rFonts w:ascii="Times New Roman" w:hAnsi="Times New Roman"/>
          <w:i w:val="0"/>
          <w:iCs w:val="0"/>
          <w:lang w:val="en-GB"/>
        </w:rPr>
        <w:t>Includes trials with neither safety nor efficacy outcomes of interest.</w:t>
      </w:r>
      <w:r w:rsidRPr="00E14060">
        <w:rPr>
          <w:rFonts w:ascii="Times New Roman" w:hAnsi="Times New Roman"/>
          <w:i w:val="0"/>
          <w:iCs w:val="0"/>
          <w:lang w:val="en-GB"/>
        </w:rPr>
        <w:tab/>
      </w:r>
    </w:p>
    <w:p w14:paraId="06A09DA0" w14:textId="3E681E81" w:rsidR="00E8228A" w:rsidRPr="00E14060" w:rsidRDefault="00212F8F" w:rsidP="00241DBD">
      <w:pPr>
        <w:pStyle w:val="ListParagraph"/>
        <w:numPr>
          <w:ilvl w:val="0"/>
          <w:numId w:val="136"/>
        </w:numPr>
        <w:rPr>
          <w:rFonts w:ascii="Times New Roman" w:hAnsi="Times New Roman"/>
          <w:i w:val="0"/>
          <w:iCs w:val="0"/>
          <w:lang w:val="en-GB"/>
        </w:rPr>
      </w:pPr>
      <w:r w:rsidRPr="00E14060">
        <w:rPr>
          <w:rFonts w:ascii="Times New Roman" w:hAnsi="Times New Roman"/>
          <w:i w:val="0"/>
          <w:iCs w:val="0"/>
          <w:lang w:val="en-GB"/>
        </w:rPr>
        <w:t>Includes randomized withdrawal trials (N=2) and one single-blind trial (N=1).</w:t>
      </w:r>
    </w:p>
    <w:p w14:paraId="5ACBBF4B" w14:textId="1FFF2D8C" w:rsidR="00E8228A" w:rsidRPr="00E14060" w:rsidRDefault="00212F8F" w:rsidP="00241DBD">
      <w:pPr>
        <w:pStyle w:val="ListParagraph"/>
        <w:numPr>
          <w:ilvl w:val="0"/>
          <w:numId w:val="136"/>
        </w:numPr>
        <w:rPr>
          <w:rFonts w:ascii="Times New Roman" w:hAnsi="Times New Roman"/>
          <w:i w:val="0"/>
          <w:iCs w:val="0"/>
          <w:lang w:val="en-GB"/>
        </w:rPr>
      </w:pPr>
      <w:r w:rsidRPr="00E14060">
        <w:rPr>
          <w:rFonts w:ascii="Times New Roman" w:hAnsi="Times New Roman"/>
          <w:i w:val="0"/>
          <w:iCs w:val="0"/>
          <w:lang w:val="en-GB"/>
        </w:rPr>
        <w:t>Includes trials that were withdrawn, are ongoing, or currently recruiting participants on clinicaltrials.gov.</w:t>
      </w:r>
    </w:p>
    <w:p w14:paraId="5576749D" w14:textId="11188DBD" w:rsidR="00E8228A" w:rsidRPr="00E14060" w:rsidRDefault="00212F8F" w:rsidP="00241DBD">
      <w:pPr>
        <w:pStyle w:val="ListParagraph"/>
        <w:numPr>
          <w:ilvl w:val="0"/>
          <w:numId w:val="136"/>
        </w:numPr>
        <w:rPr>
          <w:rFonts w:ascii="Times New Roman" w:hAnsi="Times New Roman"/>
          <w:i w:val="0"/>
          <w:iCs w:val="0"/>
          <w:lang w:val="en-GB"/>
        </w:rPr>
      </w:pPr>
      <w:r w:rsidRPr="00E14060">
        <w:rPr>
          <w:rFonts w:ascii="Times New Roman" w:hAnsi="Times New Roman"/>
          <w:i w:val="0"/>
          <w:iCs w:val="0"/>
          <w:lang w:val="en-GB"/>
        </w:rPr>
        <w:t>One trial, Spencer (1998), was included in sensitivity analyses only because it was a cross-over trial in which it was unclear whether reported results were from before the cross-over.</w:t>
      </w:r>
    </w:p>
    <w:p w14:paraId="3C64991B" w14:textId="1C7E4F53" w:rsidR="00241DBD" w:rsidRPr="00E14060" w:rsidRDefault="00212F8F" w:rsidP="00241DBD">
      <w:pPr>
        <w:pStyle w:val="ListParagraph"/>
        <w:numPr>
          <w:ilvl w:val="0"/>
          <w:numId w:val="136"/>
        </w:numPr>
        <w:rPr>
          <w:lang w:val="en-GB"/>
        </w:rPr>
      </w:pPr>
      <w:r w:rsidRPr="00E14060">
        <w:rPr>
          <w:rFonts w:ascii="Times New Roman" w:hAnsi="Times New Roman"/>
          <w:i w:val="0"/>
          <w:iCs w:val="0"/>
          <w:lang w:val="en-GB"/>
        </w:rPr>
        <w:t>One study, Michelson (2003), consisted of two identical trials conducted in parallel. Data for these two trials were pooled for use in the MTC.</w:t>
      </w:r>
    </w:p>
    <w:p w14:paraId="7A527420" w14:textId="51031EF4" w:rsidR="00E8228A" w:rsidRPr="00E14060" w:rsidRDefault="00212F8F" w:rsidP="008C602E">
      <w:pPr>
        <w:ind w:left="360"/>
        <w:rPr>
          <w:b/>
          <w:sz w:val="24"/>
          <w:szCs w:val="24"/>
          <w:lang w:val="en-GB"/>
        </w:rPr>
      </w:pPr>
      <w:r w:rsidRPr="00E14060">
        <w:rPr>
          <w:lang w:val="en-GB"/>
        </w:rPr>
        <w:tab/>
      </w:r>
      <w:r w:rsidR="005C436D" w:rsidRPr="00E14060">
        <w:rPr>
          <w:szCs w:val="24"/>
          <w:lang w:val="en-GB"/>
        </w:rPr>
        <w:br w:type="page"/>
      </w:r>
    </w:p>
    <w:p w14:paraId="483DEF3A" w14:textId="77777777" w:rsidR="004D59A8" w:rsidRPr="00E14060" w:rsidRDefault="004D59A8" w:rsidP="00447896">
      <w:pPr>
        <w:pStyle w:val="Heading3"/>
        <w:rPr>
          <w:color w:val="auto"/>
          <w:lang w:val="en-GB"/>
        </w:rPr>
      </w:pPr>
      <w:bookmarkStart w:id="251" w:name="_Toc384683010"/>
      <w:bookmarkStart w:id="252" w:name="_Toc391913771"/>
      <w:bookmarkStart w:id="253" w:name="_Toc402543840"/>
      <w:r w:rsidRPr="00E14060">
        <w:rPr>
          <w:color w:val="auto"/>
          <w:lang w:val="en-GB"/>
        </w:rPr>
        <w:lastRenderedPageBreak/>
        <w:t xml:space="preserve">Trial </w:t>
      </w:r>
      <w:r w:rsidR="005F6888" w:rsidRPr="00E14060">
        <w:rPr>
          <w:color w:val="auto"/>
          <w:lang w:val="en-GB"/>
        </w:rPr>
        <w:t>characteristics</w:t>
      </w:r>
      <w:bookmarkEnd w:id="251"/>
      <w:bookmarkEnd w:id="252"/>
      <w:bookmarkEnd w:id="253"/>
    </w:p>
    <w:p w14:paraId="0B0F6ACD" w14:textId="2F6BFFBB" w:rsidR="002C5AC8" w:rsidRPr="00E14060" w:rsidRDefault="00951C8D" w:rsidP="00447896">
      <w:pPr>
        <w:spacing w:before="240" w:after="240" w:line="360" w:lineRule="auto"/>
        <w:rPr>
          <w:lang w:val="en-GB"/>
        </w:rPr>
      </w:pPr>
      <w:r w:rsidRPr="00E14060">
        <w:rPr>
          <w:sz w:val="24"/>
          <w:szCs w:val="24"/>
          <w:lang w:val="en-GB"/>
        </w:rPr>
        <w:t>Among the 2</w:t>
      </w:r>
      <w:r w:rsidR="00A8487E" w:rsidRPr="00E14060">
        <w:rPr>
          <w:sz w:val="24"/>
          <w:szCs w:val="24"/>
          <w:lang w:val="en-GB"/>
        </w:rPr>
        <w:t>1</w:t>
      </w:r>
      <w:r w:rsidRPr="00E14060">
        <w:rPr>
          <w:sz w:val="24"/>
          <w:szCs w:val="24"/>
          <w:lang w:val="en-GB"/>
        </w:rPr>
        <w:t xml:space="preserve"> eligible trials</w:t>
      </w:r>
      <w:r w:rsidR="000857F5" w:rsidRPr="00E14060">
        <w:rPr>
          <w:sz w:val="24"/>
          <w:szCs w:val="24"/>
          <w:lang w:val="en-GB"/>
        </w:rPr>
        <w:t xml:space="preserve"> included in core and/or sensitivity analyses</w:t>
      </w:r>
      <w:r w:rsidRPr="00E14060">
        <w:rPr>
          <w:sz w:val="24"/>
          <w:szCs w:val="24"/>
          <w:lang w:val="en-GB"/>
        </w:rPr>
        <w:t>, t</w:t>
      </w:r>
      <w:r w:rsidR="00D626C3" w:rsidRPr="00E14060">
        <w:rPr>
          <w:sz w:val="24"/>
          <w:szCs w:val="24"/>
          <w:lang w:val="en-GB"/>
        </w:rPr>
        <w:t>he</w:t>
      </w:r>
      <w:r w:rsidR="00872E9E" w:rsidRPr="00E14060">
        <w:rPr>
          <w:sz w:val="24"/>
          <w:szCs w:val="24"/>
          <w:lang w:val="en-GB"/>
        </w:rPr>
        <w:t xml:space="preserve"> publication dates</w:t>
      </w:r>
      <w:r w:rsidR="00D626C3" w:rsidRPr="00E14060">
        <w:rPr>
          <w:sz w:val="24"/>
          <w:szCs w:val="24"/>
          <w:lang w:val="en-GB"/>
        </w:rPr>
        <w:t xml:space="preserve"> were all</w:t>
      </w:r>
      <w:r w:rsidR="00872E9E" w:rsidRPr="00E14060">
        <w:rPr>
          <w:sz w:val="24"/>
          <w:szCs w:val="24"/>
          <w:lang w:val="en-GB"/>
        </w:rPr>
        <w:t xml:space="preserve"> after </w:t>
      </w:r>
      <w:r w:rsidR="00666E05" w:rsidRPr="00E14060">
        <w:rPr>
          <w:sz w:val="24"/>
          <w:szCs w:val="24"/>
          <w:lang w:val="en-GB"/>
        </w:rPr>
        <w:t>1998</w:t>
      </w:r>
      <w:r w:rsidR="00872E9E" w:rsidRPr="00E14060">
        <w:rPr>
          <w:sz w:val="24"/>
          <w:szCs w:val="24"/>
          <w:lang w:val="en-GB"/>
        </w:rPr>
        <w:t xml:space="preserve"> (year </w:t>
      </w:r>
      <w:r w:rsidR="00666E05" w:rsidRPr="00E14060">
        <w:rPr>
          <w:sz w:val="24"/>
          <w:szCs w:val="24"/>
          <w:lang w:val="en-GB"/>
        </w:rPr>
        <w:t>1998-2013</w:t>
      </w:r>
      <w:r w:rsidR="00872E9E" w:rsidRPr="00E14060">
        <w:rPr>
          <w:sz w:val="24"/>
          <w:szCs w:val="24"/>
          <w:lang w:val="en-GB"/>
        </w:rPr>
        <w:t xml:space="preserve">). </w:t>
      </w:r>
      <w:r w:rsidR="00D51EC2" w:rsidRPr="00E14060">
        <w:rPr>
          <w:sz w:val="24"/>
          <w:szCs w:val="24"/>
          <w:lang w:val="en-GB"/>
        </w:rPr>
        <w:t>1</w:t>
      </w:r>
      <w:r w:rsidR="00D06F77" w:rsidRPr="00E14060">
        <w:rPr>
          <w:sz w:val="24"/>
          <w:szCs w:val="24"/>
          <w:lang w:val="en-GB"/>
        </w:rPr>
        <w:t>9</w:t>
      </w:r>
      <w:r w:rsidR="00D51EC2" w:rsidRPr="00E14060">
        <w:rPr>
          <w:sz w:val="24"/>
          <w:szCs w:val="24"/>
          <w:lang w:val="en-GB"/>
        </w:rPr>
        <w:t xml:space="preserve"> </w:t>
      </w:r>
      <w:r w:rsidRPr="00E14060">
        <w:rPr>
          <w:sz w:val="24"/>
          <w:szCs w:val="24"/>
          <w:lang w:val="en-GB"/>
        </w:rPr>
        <w:t xml:space="preserve">of these </w:t>
      </w:r>
      <w:r w:rsidR="00D51EC2" w:rsidRPr="00E14060">
        <w:rPr>
          <w:sz w:val="24"/>
          <w:szCs w:val="24"/>
          <w:lang w:val="en-GB"/>
        </w:rPr>
        <w:t xml:space="preserve">trials </w:t>
      </w:r>
      <w:r w:rsidR="00AE2707" w:rsidRPr="00E14060">
        <w:rPr>
          <w:sz w:val="24"/>
          <w:szCs w:val="24"/>
          <w:lang w:val="en-GB"/>
        </w:rPr>
        <w:t>were randomized, double-blind controlled trials</w:t>
      </w:r>
      <w:r w:rsidR="00D51EC2" w:rsidRPr="00E14060">
        <w:rPr>
          <w:sz w:val="24"/>
          <w:szCs w:val="24"/>
          <w:lang w:val="en-GB"/>
        </w:rPr>
        <w:t>, 1 trial was partly blinded,</w:t>
      </w:r>
      <w:r w:rsidR="00D626C3" w:rsidRPr="00E14060">
        <w:rPr>
          <w:sz w:val="24"/>
          <w:szCs w:val="24"/>
          <w:lang w:val="en-GB"/>
        </w:rPr>
        <w:t xml:space="preserve"> </w:t>
      </w:r>
      <w:r w:rsidR="002A60D1" w:rsidRPr="00E14060">
        <w:rPr>
          <w:sz w:val="24"/>
          <w:szCs w:val="24"/>
          <w:lang w:val="en-GB"/>
        </w:rPr>
        <w:t>and</w:t>
      </w:r>
      <w:r w:rsidR="00D626C3" w:rsidRPr="00E14060">
        <w:rPr>
          <w:sz w:val="24"/>
          <w:szCs w:val="24"/>
          <w:lang w:val="en-GB"/>
        </w:rPr>
        <w:t xml:space="preserve"> 1</w:t>
      </w:r>
      <w:r w:rsidR="00FA0498" w:rsidRPr="00E14060">
        <w:rPr>
          <w:sz w:val="24"/>
          <w:szCs w:val="24"/>
          <w:lang w:val="en-GB"/>
        </w:rPr>
        <w:t xml:space="preserve"> trial</w:t>
      </w:r>
      <w:r w:rsidR="00D626C3" w:rsidRPr="00E14060">
        <w:rPr>
          <w:sz w:val="24"/>
          <w:szCs w:val="24"/>
          <w:lang w:val="en-GB"/>
        </w:rPr>
        <w:t xml:space="preserve"> had </w:t>
      </w:r>
      <w:r w:rsidR="00AE2707" w:rsidRPr="00E14060">
        <w:rPr>
          <w:sz w:val="24"/>
          <w:szCs w:val="24"/>
          <w:lang w:val="en-GB"/>
        </w:rPr>
        <w:t xml:space="preserve">a </w:t>
      </w:r>
      <w:r w:rsidR="00D626C3" w:rsidRPr="00E14060">
        <w:rPr>
          <w:sz w:val="24"/>
          <w:szCs w:val="24"/>
          <w:lang w:val="en-GB"/>
        </w:rPr>
        <w:t>cross-over design.</w:t>
      </w:r>
      <w:r w:rsidR="009A697D" w:rsidRPr="00E14060">
        <w:rPr>
          <w:sz w:val="24"/>
          <w:szCs w:val="24"/>
          <w:lang w:val="en-GB"/>
        </w:rPr>
        <w:t xml:space="preserve"> T</w:t>
      </w:r>
      <w:r w:rsidR="002C5AC8" w:rsidRPr="00E14060">
        <w:rPr>
          <w:sz w:val="24"/>
          <w:szCs w:val="24"/>
          <w:lang w:val="en-GB"/>
        </w:rPr>
        <w:t xml:space="preserve">he </w:t>
      </w:r>
      <w:r w:rsidR="00AE2707" w:rsidRPr="00E14060">
        <w:rPr>
          <w:sz w:val="24"/>
          <w:szCs w:val="24"/>
          <w:lang w:val="en-GB"/>
        </w:rPr>
        <w:t xml:space="preserve">per-arm </w:t>
      </w:r>
      <w:r w:rsidR="00CB27B2" w:rsidRPr="00E14060">
        <w:rPr>
          <w:sz w:val="24"/>
          <w:szCs w:val="24"/>
          <w:lang w:val="en-GB"/>
        </w:rPr>
        <w:t xml:space="preserve">randomized </w:t>
      </w:r>
      <w:r w:rsidR="002C5AC8" w:rsidRPr="00E14060">
        <w:rPr>
          <w:sz w:val="24"/>
          <w:szCs w:val="24"/>
          <w:lang w:val="en-GB"/>
        </w:rPr>
        <w:t>sample size</w:t>
      </w:r>
      <w:r w:rsidR="009A697D" w:rsidRPr="00E14060">
        <w:rPr>
          <w:sz w:val="24"/>
          <w:szCs w:val="24"/>
          <w:lang w:val="en-GB"/>
        </w:rPr>
        <w:t xml:space="preserve"> </w:t>
      </w:r>
      <w:r w:rsidR="002C5AC8" w:rsidRPr="00E14060">
        <w:rPr>
          <w:sz w:val="24"/>
          <w:szCs w:val="24"/>
          <w:lang w:val="en-GB"/>
        </w:rPr>
        <w:t>range</w:t>
      </w:r>
      <w:r w:rsidR="009A697D" w:rsidRPr="00E14060">
        <w:rPr>
          <w:sz w:val="24"/>
          <w:szCs w:val="24"/>
          <w:lang w:val="en-GB"/>
        </w:rPr>
        <w:t>d</w:t>
      </w:r>
      <w:r w:rsidR="002C5AC8" w:rsidRPr="00E14060">
        <w:rPr>
          <w:sz w:val="24"/>
          <w:szCs w:val="24"/>
          <w:lang w:val="en-GB"/>
        </w:rPr>
        <w:t xml:space="preserve"> from </w:t>
      </w:r>
      <w:r w:rsidR="00333C67" w:rsidRPr="00E14060">
        <w:rPr>
          <w:sz w:val="24"/>
          <w:szCs w:val="24"/>
          <w:lang w:val="en-GB"/>
        </w:rPr>
        <w:t xml:space="preserve">22 </w:t>
      </w:r>
      <w:r w:rsidR="002C5AC8" w:rsidRPr="00E14060">
        <w:rPr>
          <w:sz w:val="24"/>
          <w:szCs w:val="24"/>
          <w:lang w:val="en-GB"/>
        </w:rPr>
        <w:t xml:space="preserve">to </w:t>
      </w:r>
      <w:r w:rsidR="002A5B56" w:rsidRPr="00E14060">
        <w:rPr>
          <w:sz w:val="24"/>
          <w:szCs w:val="24"/>
          <w:lang w:val="en-GB"/>
        </w:rPr>
        <w:t>268</w:t>
      </w:r>
      <w:r w:rsidR="002C5AC8" w:rsidRPr="00E14060">
        <w:rPr>
          <w:sz w:val="24"/>
          <w:szCs w:val="24"/>
          <w:lang w:val="en-GB"/>
        </w:rPr>
        <w:t xml:space="preserve">. </w:t>
      </w:r>
      <w:r w:rsidR="00361218" w:rsidRPr="00E14060">
        <w:rPr>
          <w:sz w:val="24"/>
          <w:szCs w:val="24"/>
          <w:lang w:val="en-GB"/>
        </w:rPr>
        <w:t>The characteristics of the RCTs selected for the efficacy and/or safety analyses of LDX, MPH-OROS/ER, and ATX for the treatment of adult ADHD can be provided on request.</w:t>
      </w:r>
    </w:p>
    <w:p w14:paraId="6980EF12" w14:textId="77777777" w:rsidR="002C5AC8" w:rsidRPr="00E14060" w:rsidRDefault="002C5AC8" w:rsidP="00447896">
      <w:pPr>
        <w:spacing w:before="240" w:after="240" w:line="360" w:lineRule="auto"/>
        <w:rPr>
          <w:lang w:val="en-GB"/>
        </w:rPr>
      </w:pPr>
      <w:r w:rsidRPr="00E14060">
        <w:rPr>
          <w:sz w:val="24"/>
          <w:szCs w:val="24"/>
          <w:lang w:val="en-GB"/>
        </w:rPr>
        <w:t>All studies require</w:t>
      </w:r>
      <w:r w:rsidR="000A646B" w:rsidRPr="00E14060">
        <w:rPr>
          <w:sz w:val="24"/>
          <w:szCs w:val="24"/>
          <w:lang w:val="en-GB"/>
        </w:rPr>
        <w:t>d</w:t>
      </w:r>
      <w:r w:rsidRPr="00E14060">
        <w:rPr>
          <w:sz w:val="24"/>
          <w:szCs w:val="24"/>
          <w:lang w:val="en-GB"/>
        </w:rPr>
        <w:t xml:space="preserve"> patients </w:t>
      </w:r>
      <w:r w:rsidR="00AE2707" w:rsidRPr="00E14060">
        <w:rPr>
          <w:sz w:val="24"/>
          <w:szCs w:val="24"/>
          <w:lang w:val="en-GB"/>
        </w:rPr>
        <w:t>to be at least 18</w:t>
      </w:r>
      <w:r w:rsidR="00F740C5" w:rsidRPr="00E14060">
        <w:rPr>
          <w:sz w:val="24"/>
          <w:szCs w:val="24"/>
          <w:lang w:val="en-GB"/>
        </w:rPr>
        <w:t xml:space="preserve"> years old</w:t>
      </w:r>
      <w:r w:rsidR="00F05246" w:rsidRPr="00E14060">
        <w:rPr>
          <w:sz w:val="24"/>
          <w:szCs w:val="24"/>
          <w:lang w:val="en-GB"/>
        </w:rPr>
        <w:t>.</w:t>
      </w:r>
      <w:r w:rsidR="00442529" w:rsidRPr="00E14060">
        <w:rPr>
          <w:sz w:val="24"/>
          <w:szCs w:val="24"/>
          <w:lang w:val="en-GB"/>
        </w:rPr>
        <w:t xml:space="preserve"> </w:t>
      </w:r>
      <w:r w:rsidR="001A2FD8" w:rsidRPr="00E14060">
        <w:rPr>
          <w:sz w:val="24"/>
          <w:szCs w:val="24"/>
          <w:lang w:val="en-GB"/>
        </w:rPr>
        <w:t>C</w:t>
      </w:r>
      <w:r w:rsidRPr="00E14060">
        <w:rPr>
          <w:sz w:val="24"/>
          <w:szCs w:val="24"/>
          <w:lang w:val="en-GB"/>
        </w:rPr>
        <w:t>ommon exclusion criteria for patient</w:t>
      </w:r>
      <w:r w:rsidR="001621DB" w:rsidRPr="00E14060">
        <w:rPr>
          <w:sz w:val="24"/>
          <w:szCs w:val="24"/>
          <w:lang w:val="en-GB"/>
        </w:rPr>
        <w:t xml:space="preserve"> selection</w:t>
      </w:r>
      <w:r w:rsidRPr="00E14060">
        <w:rPr>
          <w:sz w:val="24"/>
          <w:szCs w:val="24"/>
          <w:lang w:val="en-GB"/>
        </w:rPr>
        <w:t xml:space="preserve"> </w:t>
      </w:r>
      <w:r w:rsidR="001D1604" w:rsidRPr="00E14060">
        <w:rPr>
          <w:sz w:val="24"/>
          <w:szCs w:val="24"/>
          <w:lang w:val="en-GB"/>
        </w:rPr>
        <w:t>within the studies included</w:t>
      </w:r>
      <w:r w:rsidRPr="00E14060">
        <w:rPr>
          <w:sz w:val="24"/>
          <w:szCs w:val="24"/>
          <w:lang w:val="en-GB"/>
        </w:rPr>
        <w:t xml:space="preserve">: current, uncontrolled, comorbid psychiatric diagnosis; </w:t>
      </w:r>
      <w:r w:rsidR="001A2FD8" w:rsidRPr="00E14060">
        <w:rPr>
          <w:sz w:val="24"/>
          <w:szCs w:val="24"/>
          <w:lang w:val="en-GB"/>
        </w:rPr>
        <w:t>preexisting cardiovascular disorders; individuals with low intelligence</w:t>
      </w:r>
      <w:r w:rsidRPr="00E14060">
        <w:rPr>
          <w:sz w:val="24"/>
          <w:szCs w:val="24"/>
          <w:lang w:val="en-GB"/>
        </w:rPr>
        <w:t xml:space="preserve">; </w:t>
      </w:r>
      <w:r w:rsidR="001D1604" w:rsidRPr="00E14060">
        <w:rPr>
          <w:sz w:val="24"/>
          <w:szCs w:val="24"/>
          <w:lang w:val="en-GB"/>
        </w:rPr>
        <w:t xml:space="preserve">and </w:t>
      </w:r>
      <w:r w:rsidRPr="00E14060">
        <w:rPr>
          <w:sz w:val="24"/>
          <w:szCs w:val="24"/>
          <w:lang w:val="en-GB"/>
        </w:rPr>
        <w:t>alcohol or drug abuse</w:t>
      </w:r>
      <w:r w:rsidR="001D1604" w:rsidRPr="00E14060">
        <w:rPr>
          <w:sz w:val="24"/>
          <w:szCs w:val="24"/>
          <w:lang w:val="en-GB"/>
        </w:rPr>
        <w:t>.</w:t>
      </w:r>
    </w:p>
    <w:p w14:paraId="12607303" w14:textId="77777777" w:rsidR="00F023DC" w:rsidRPr="00E14060" w:rsidRDefault="002C5AC8" w:rsidP="00447896">
      <w:pPr>
        <w:spacing w:before="240" w:after="240" w:line="360" w:lineRule="auto"/>
        <w:rPr>
          <w:sz w:val="24"/>
          <w:szCs w:val="24"/>
          <w:lang w:val="en-GB"/>
        </w:rPr>
      </w:pPr>
      <w:r w:rsidRPr="00E14060">
        <w:rPr>
          <w:sz w:val="24"/>
          <w:szCs w:val="24"/>
          <w:lang w:val="en-GB"/>
        </w:rPr>
        <w:t xml:space="preserve">At baseline, </w:t>
      </w:r>
      <w:r w:rsidR="001A2FD8" w:rsidRPr="00E14060">
        <w:rPr>
          <w:sz w:val="24"/>
          <w:szCs w:val="24"/>
          <w:lang w:val="en-GB"/>
        </w:rPr>
        <w:t xml:space="preserve">the </w:t>
      </w:r>
      <w:r w:rsidRPr="00E14060">
        <w:rPr>
          <w:sz w:val="24"/>
          <w:szCs w:val="24"/>
          <w:lang w:val="en-GB"/>
        </w:rPr>
        <w:t xml:space="preserve">mean age </w:t>
      </w:r>
      <w:r w:rsidR="001A2FD8" w:rsidRPr="00E14060">
        <w:rPr>
          <w:sz w:val="24"/>
          <w:szCs w:val="24"/>
          <w:lang w:val="en-GB"/>
        </w:rPr>
        <w:t xml:space="preserve">of the study populations ranged between </w:t>
      </w:r>
      <w:r w:rsidR="0025070F" w:rsidRPr="00E14060">
        <w:rPr>
          <w:sz w:val="24"/>
          <w:szCs w:val="24"/>
          <w:lang w:val="en-GB"/>
        </w:rPr>
        <w:t xml:space="preserve">21 </w:t>
      </w:r>
      <w:r w:rsidRPr="00E14060">
        <w:rPr>
          <w:sz w:val="24"/>
          <w:szCs w:val="24"/>
          <w:lang w:val="en-GB"/>
        </w:rPr>
        <w:t xml:space="preserve">and </w:t>
      </w:r>
      <w:r w:rsidR="001A2FD8" w:rsidRPr="00E14060">
        <w:rPr>
          <w:sz w:val="24"/>
          <w:szCs w:val="24"/>
          <w:lang w:val="en-GB"/>
        </w:rPr>
        <w:t>43 years</w:t>
      </w:r>
      <w:r w:rsidR="0025070F" w:rsidRPr="00E14060">
        <w:rPr>
          <w:sz w:val="24"/>
          <w:szCs w:val="24"/>
          <w:lang w:val="en-GB"/>
        </w:rPr>
        <w:t xml:space="preserve">. Mean baseline </w:t>
      </w:r>
      <w:r w:rsidRPr="00E14060">
        <w:rPr>
          <w:sz w:val="24"/>
          <w:szCs w:val="24"/>
          <w:lang w:val="en-GB"/>
        </w:rPr>
        <w:t>ADHD-RS-IV score</w:t>
      </w:r>
      <w:r w:rsidR="001A2FD8" w:rsidRPr="00E14060">
        <w:rPr>
          <w:sz w:val="24"/>
          <w:szCs w:val="24"/>
          <w:lang w:val="en-GB"/>
        </w:rPr>
        <w:t>s</w:t>
      </w:r>
      <w:r w:rsidRPr="00E14060">
        <w:rPr>
          <w:sz w:val="24"/>
          <w:szCs w:val="24"/>
          <w:lang w:val="en-GB"/>
        </w:rPr>
        <w:t xml:space="preserve"> </w:t>
      </w:r>
      <w:r w:rsidR="0025070F" w:rsidRPr="00E14060">
        <w:rPr>
          <w:sz w:val="24"/>
          <w:szCs w:val="24"/>
          <w:lang w:val="en-GB"/>
        </w:rPr>
        <w:t>ranged approximately from</w:t>
      </w:r>
      <w:r w:rsidR="001A2FD8" w:rsidRPr="00E14060">
        <w:rPr>
          <w:sz w:val="24"/>
          <w:szCs w:val="24"/>
          <w:lang w:val="en-GB"/>
        </w:rPr>
        <w:t xml:space="preserve"> </w:t>
      </w:r>
      <w:r w:rsidR="0025070F" w:rsidRPr="00E14060">
        <w:rPr>
          <w:sz w:val="24"/>
          <w:szCs w:val="24"/>
          <w:lang w:val="en-GB"/>
        </w:rPr>
        <w:t xml:space="preserve">29 </w:t>
      </w:r>
      <w:r w:rsidR="001A2FD8" w:rsidRPr="00E14060">
        <w:rPr>
          <w:sz w:val="24"/>
          <w:szCs w:val="24"/>
          <w:lang w:val="en-GB"/>
        </w:rPr>
        <w:t xml:space="preserve">to </w:t>
      </w:r>
      <w:r w:rsidR="0025070F" w:rsidRPr="00E14060">
        <w:rPr>
          <w:sz w:val="24"/>
          <w:szCs w:val="24"/>
          <w:lang w:val="en-GB"/>
        </w:rPr>
        <w:t>41</w:t>
      </w:r>
      <w:r w:rsidRPr="00E14060">
        <w:rPr>
          <w:sz w:val="24"/>
          <w:szCs w:val="24"/>
          <w:lang w:val="en-GB"/>
        </w:rPr>
        <w:t xml:space="preserve">. </w:t>
      </w:r>
      <w:r w:rsidR="0025070F" w:rsidRPr="00E14060">
        <w:rPr>
          <w:sz w:val="24"/>
          <w:szCs w:val="24"/>
          <w:lang w:val="en-GB"/>
        </w:rPr>
        <w:t xml:space="preserve">The percent of females in the study ranged from </w:t>
      </w:r>
      <w:r w:rsidR="002165C7" w:rsidRPr="00E14060">
        <w:rPr>
          <w:sz w:val="24"/>
          <w:szCs w:val="24"/>
          <w:lang w:val="en-GB"/>
        </w:rPr>
        <w:t>31.5% to 68%.</w:t>
      </w:r>
      <w:r w:rsidR="00ED1CE6" w:rsidRPr="00E14060">
        <w:rPr>
          <w:sz w:val="24"/>
          <w:szCs w:val="24"/>
          <w:lang w:val="en-GB"/>
        </w:rPr>
        <w:t xml:space="preserve"> </w:t>
      </w:r>
    </w:p>
    <w:p w14:paraId="54596C63" w14:textId="017CEBEF" w:rsidR="00E14480" w:rsidRPr="00E14060" w:rsidRDefault="00E14480" w:rsidP="007C2DF4">
      <w:pPr>
        <w:spacing w:before="240" w:after="240" w:line="360" w:lineRule="auto"/>
        <w:rPr>
          <w:sz w:val="24"/>
          <w:szCs w:val="24"/>
          <w:lang w:val="en-GB"/>
        </w:rPr>
      </w:pPr>
      <w:r w:rsidRPr="00E14060">
        <w:rPr>
          <w:sz w:val="24"/>
          <w:szCs w:val="24"/>
          <w:lang w:val="en-GB"/>
        </w:rPr>
        <w:t xml:space="preserve">The quality </w:t>
      </w:r>
      <w:r w:rsidR="00E72CF5" w:rsidRPr="00E14060">
        <w:rPr>
          <w:sz w:val="24"/>
          <w:szCs w:val="24"/>
          <w:lang w:val="en-GB"/>
        </w:rPr>
        <w:t>of the methodology in</w:t>
      </w:r>
      <w:r w:rsidRPr="00E14060">
        <w:rPr>
          <w:sz w:val="24"/>
          <w:szCs w:val="24"/>
          <w:lang w:val="en-GB"/>
        </w:rPr>
        <w:t xml:space="preserve"> each of the 21 trials was assessed, and all were determined to be </w:t>
      </w:r>
      <w:r w:rsidR="00456AC2" w:rsidRPr="00E14060">
        <w:rPr>
          <w:sz w:val="24"/>
          <w:szCs w:val="24"/>
          <w:lang w:val="en-GB"/>
        </w:rPr>
        <w:t xml:space="preserve">of </w:t>
      </w:r>
      <w:r w:rsidR="00C5665F" w:rsidRPr="00E14060">
        <w:rPr>
          <w:sz w:val="24"/>
          <w:szCs w:val="24"/>
          <w:lang w:val="en-GB"/>
        </w:rPr>
        <w:t xml:space="preserve">suitable </w:t>
      </w:r>
      <w:r w:rsidR="00456AC2" w:rsidRPr="00E14060">
        <w:rPr>
          <w:sz w:val="24"/>
          <w:szCs w:val="24"/>
          <w:lang w:val="en-GB"/>
        </w:rPr>
        <w:t>quality</w:t>
      </w:r>
      <w:r w:rsidRPr="00E14060">
        <w:rPr>
          <w:sz w:val="24"/>
          <w:szCs w:val="24"/>
          <w:lang w:val="en-GB"/>
        </w:rPr>
        <w:t xml:space="preserve">. </w:t>
      </w:r>
      <w:r w:rsidR="00456AC2" w:rsidRPr="00E14060">
        <w:rPr>
          <w:sz w:val="24"/>
          <w:szCs w:val="24"/>
          <w:lang w:val="en-GB"/>
        </w:rPr>
        <w:t xml:space="preserve">In </w:t>
      </w:r>
      <w:r w:rsidR="00C5665F" w:rsidRPr="00E14060">
        <w:rPr>
          <w:sz w:val="24"/>
          <w:szCs w:val="24"/>
          <w:lang w:val="en-GB"/>
        </w:rPr>
        <w:t xml:space="preserve">one study, </w:t>
      </w:r>
      <w:r w:rsidR="00BB257F" w:rsidRPr="00E14060">
        <w:rPr>
          <w:sz w:val="24"/>
          <w:szCs w:val="24"/>
          <w:lang w:val="en-GB"/>
        </w:rPr>
        <w:t>t</w:t>
      </w:r>
      <w:r w:rsidR="004B6D38" w:rsidRPr="00E14060">
        <w:rPr>
          <w:sz w:val="24"/>
          <w:szCs w:val="24"/>
          <w:lang w:val="en-GB"/>
        </w:rPr>
        <w:t xml:space="preserve">he authors </w:t>
      </w:r>
      <w:r w:rsidR="002E3A36" w:rsidRPr="00E14060">
        <w:rPr>
          <w:sz w:val="24"/>
          <w:szCs w:val="24"/>
          <w:lang w:val="en-GB"/>
        </w:rPr>
        <w:t xml:space="preserve">– </w:t>
      </w:r>
      <w:r w:rsidR="00456AC2" w:rsidRPr="00E14060">
        <w:rPr>
          <w:sz w:val="24"/>
          <w:szCs w:val="24"/>
          <w:lang w:val="en-GB"/>
        </w:rPr>
        <w:t>Young</w:t>
      </w:r>
      <w:r w:rsidR="002E3A36" w:rsidRPr="00E14060">
        <w:rPr>
          <w:sz w:val="24"/>
          <w:szCs w:val="24"/>
          <w:lang w:val="en-GB"/>
        </w:rPr>
        <w:t xml:space="preserve"> et al (</w:t>
      </w:r>
      <w:r w:rsidR="00456AC2" w:rsidRPr="00E14060">
        <w:rPr>
          <w:sz w:val="24"/>
          <w:szCs w:val="24"/>
          <w:lang w:val="en-GB"/>
        </w:rPr>
        <w:t>2011)</w:t>
      </w:r>
      <w:r w:rsidR="002E3A36" w:rsidRPr="00E14060">
        <w:rPr>
          <w:sz w:val="24"/>
          <w:szCs w:val="24"/>
          <w:lang w:val="en-GB"/>
        </w:rPr>
        <w:t>, –</w:t>
      </w:r>
      <w:r w:rsidR="009545F0" w:rsidRPr="00E14060">
        <w:rPr>
          <w:sz w:val="24"/>
          <w:szCs w:val="24"/>
          <w:lang w:val="en-GB"/>
        </w:rPr>
        <w:t xml:space="preserve"> </w:t>
      </w:r>
      <w:r w:rsidR="004B6D38" w:rsidRPr="00E14060">
        <w:rPr>
          <w:sz w:val="24"/>
          <w:szCs w:val="24"/>
          <w:lang w:val="en-GB"/>
        </w:rPr>
        <w:t>reported</w:t>
      </w:r>
      <w:r w:rsidR="00456AC2" w:rsidRPr="00E14060">
        <w:rPr>
          <w:sz w:val="24"/>
          <w:szCs w:val="24"/>
          <w:lang w:val="en-GB"/>
        </w:rPr>
        <w:t xml:space="preserve"> a programming error </w:t>
      </w:r>
      <w:r w:rsidR="004B6D38" w:rsidRPr="00E14060">
        <w:rPr>
          <w:sz w:val="24"/>
          <w:szCs w:val="24"/>
          <w:lang w:val="en-GB"/>
        </w:rPr>
        <w:t xml:space="preserve">that </w:t>
      </w:r>
      <w:r w:rsidR="00456AC2" w:rsidRPr="00E14060">
        <w:rPr>
          <w:sz w:val="24"/>
          <w:szCs w:val="24"/>
          <w:lang w:val="en-GB"/>
        </w:rPr>
        <w:t xml:space="preserve">occurred in the stratification </w:t>
      </w:r>
      <w:r w:rsidR="004C6981" w:rsidRPr="00E14060">
        <w:rPr>
          <w:sz w:val="24"/>
          <w:szCs w:val="24"/>
          <w:lang w:val="en-GB"/>
        </w:rPr>
        <w:t>block that resulted</w:t>
      </w:r>
      <w:r w:rsidR="00E955E0" w:rsidRPr="00E14060">
        <w:rPr>
          <w:sz w:val="24"/>
          <w:szCs w:val="24"/>
          <w:lang w:val="en-GB"/>
        </w:rPr>
        <w:t xml:space="preserve"> in more patients having a 6 to 12 year </w:t>
      </w:r>
      <w:r w:rsidR="004C6981" w:rsidRPr="00E14060">
        <w:rPr>
          <w:sz w:val="24"/>
          <w:szCs w:val="24"/>
          <w:lang w:val="en-GB"/>
        </w:rPr>
        <w:t xml:space="preserve">old child without ADHD being randomized to the no-label titration ATX titration group. However, </w:t>
      </w:r>
      <w:r w:rsidR="00E72CF5" w:rsidRPr="00E14060">
        <w:rPr>
          <w:sz w:val="24"/>
          <w:szCs w:val="24"/>
          <w:lang w:val="en-GB"/>
        </w:rPr>
        <w:t>this imbalance in the arms</w:t>
      </w:r>
      <w:r w:rsidR="004C6981" w:rsidRPr="00E14060">
        <w:rPr>
          <w:sz w:val="24"/>
          <w:szCs w:val="24"/>
          <w:lang w:val="en-GB"/>
        </w:rPr>
        <w:t xml:space="preserve"> </w:t>
      </w:r>
      <w:r w:rsidR="00E72CF5" w:rsidRPr="00E14060">
        <w:rPr>
          <w:sz w:val="24"/>
          <w:szCs w:val="24"/>
          <w:lang w:val="en-GB"/>
        </w:rPr>
        <w:t>did</w:t>
      </w:r>
      <w:r w:rsidR="004C6981" w:rsidRPr="00E14060">
        <w:rPr>
          <w:sz w:val="24"/>
          <w:szCs w:val="24"/>
          <w:lang w:val="en-GB"/>
        </w:rPr>
        <w:t xml:space="preserve"> not seem to </w:t>
      </w:r>
      <w:r w:rsidR="00E72CF5" w:rsidRPr="00E14060">
        <w:rPr>
          <w:sz w:val="24"/>
          <w:szCs w:val="24"/>
          <w:lang w:val="en-GB"/>
        </w:rPr>
        <w:t>impact</w:t>
      </w:r>
      <w:r w:rsidR="004C6981" w:rsidRPr="00E14060">
        <w:rPr>
          <w:sz w:val="24"/>
          <w:szCs w:val="24"/>
          <w:lang w:val="en-GB"/>
        </w:rPr>
        <w:t xml:space="preserve"> the results, as was stated in the paper. </w:t>
      </w:r>
      <w:r w:rsidR="00C5665F" w:rsidRPr="00E14060">
        <w:rPr>
          <w:sz w:val="24"/>
          <w:szCs w:val="24"/>
          <w:lang w:val="en-GB"/>
        </w:rPr>
        <w:t xml:space="preserve">The full quality assessment </w:t>
      </w:r>
      <w:r w:rsidR="00361218" w:rsidRPr="00E14060">
        <w:rPr>
          <w:sz w:val="24"/>
          <w:szCs w:val="24"/>
          <w:lang w:val="en-GB"/>
        </w:rPr>
        <w:t>can be provided on request</w:t>
      </w:r>
      <w:r w:rsidRPr="00E14060">
        <w:rPr>
          <w:sz w:val="24"/>
          <w:szCs w:val="24"/>
          <w:lang w:val="en-GB"/>
        </w:rPr>
        <w:t>.</w:t>
      </w:r>
    </w:p>
    <w:p w14:paraId="059FF5A0" w14:textId="77777777" w:rsidR="008A29D1" w:rsidRPr="00E14060" w:rsidRDefault="008A29D1" w:rsidP="008A29D1">
      <w:pPr>
        <w:pStyle w:val="Heading3"/>
        <w:rPr>
          <w:color w:val="auto"/>
          <w:lang w:val="en-GB"/>
        </w:rPr>
      </w:pPr>
      <w:bookmarkStart w:id="254" w:name="_Toc384683011"/>
      <w:bookmarkStart w:id="255" w:name="_Toc391913772"/>
      <w:bookmarkStart w:id="256" w:name="_Toc402543841"/>
      <w:r w:rsidRPr="00E14060">
        <w:rPr>
          <w:color w:val="auto"/>
          <w:lang w:val="en-GB"/>
        </w:rPr>
        <w:t>Average Dose</w:t>
      </w:r>
      <w:bookmarkEnd w:id="254"/>
      <w:bookmarkEnd w:id="255"/>
      <w:bookmarkEnd w:id="256"/>
    </w:p>
    <w:p w14:paraId="649E9E90" w14:textId="77777777" w:rsidR="00755547" w:rsidRPr="00E14060" w:rsidRDefault="00185EB0" w:rsidP="00447896">
      <w:pPr>
        <w:spacing w:before="240" w:after="240" w:line="360" w:lineRule="auto"/>
        <w:rPr>
          <w:sz w:val="24"/>
          <w:szCs w:val="24"/>
          <w:lang w:val="en-GB"/>
        </w:rPr>
      </w:pPr>
      <w:r w:rsidRPr="00E14060">
        <w:rPr>
          <w:sz w:val="24"/>
          <w:szCs w:val="24"/>
          <w:lang w:val="en-GB"/>
        </w:rPr>
        <w:t>The average mean final dose in included arms weighted by sample size was calculated for each arm</w:t>
      </w:r>
      <w:r w:rsidR="0004573D" w:rsidRPr="00E14060">
        <w:rPr>
          <w:sz w:val="24"/>
          <w:szCs w:val="24"/>
          <w:lang w:val="en-GB"/>
        </w:rPr>
        <w:t xml:space="preserve"> of studies used</w:t>
      </w:r>
      <w:r w:rsidRPr="00E14060">
        <w:rPr>
          <w:sz w:val="24"/>
          <w:szCs w:val="24"/>
          <w:lang w:val="en-GB"/>
        </w:rPr>
        <w:t xml:space="preserve"> in the </w:t>
      </w:r>
      <w:r w:rsidR="00755547" w:rsidRPr="00E14060">
        <w:rPr>
          <w:sz w:val="24"/>
          <w:szCs w:val="24"/>
          <w:lang w:val="en-GB"/>
        </w:rPr>
        <w:t>following analyses:</w:t>
      </w:r>
    </w:p>
    <w:p w14:paraId="3435F74B" w14:textId="77777777" w:rsidR="00E8228A" w:rsidRPr="00E14060" w:rsidRDefault="00212F8F" w:rsidP="008C602E">
      <w:pPr>
        <w:pStyle w:val="ListParagraph"/>
        <w:numPr>
          <w:ilvl w:val="0"/>
          <w:numId w:val="130"/>
        </w:numPr>
        <w:spacing w:before="240" w:after="240" w:line="360" w:lineRule="auto"/>
        <w:rPr>
          <w:i w:val="0"/>
          <w:sz w:val="24"/>
          <w:szCs w:val="24"/>
          <w:lang w:val="en-GB"/>
        </w:rPr>
      </w:pPr>
      <w:r w:rsidRPr="00E14060">
        <w:rPr>
          <w:rFonts w:ascii="Times New Roman" w:hAnsi="Times New Roman"/>
          <w:i w:val="0"/>
          <w:sz w:val="24"/>
          <w:szCs w:val="24"/>
          <w:lang w:val="en-GB"/>
        </w:rPr>
        <w:t>ADHD-RS-IV change core analysis</w:t>
      </w:r>
    </w:p>
    <w:p w14:paraId="155CD130" w14:textId="77777777" w:rsidR="00E8228A" w:rsidRPr="00E14060" w:rsidRDefault="00212F8F" w:rsidP="008C602E">
      <w:pPr>
        <w:pStyle w:val="ListParagraph"/>
        <w:numPr>
          <w:ilvl w:val="0"/>
          <w:numId w:val="130"/>
        </w:numPr>
        <w:spacing w:before="240" w:after="240" w:line="360" w:lineRule="auto"/>
        <w:rPr>
          <w:sz w:val="24"/>
          <w:szCs w:val="24"/>
          <w:lang w:val="en-GB"/>
        </w:rPr>
      </w:pPr>
      <w:r w:rsidRPr="00E14060">
        <w:rPr>
          <w:rFonts w:ascii="Times New Roman" w:hAnsi="Times New Roman"/>
          <w:i w:val="0"/>
          <w:sz w:val="24"/>
          <w:szCs w:val="24"/>
          <w:lang w:val="en-GB"/>
        </w:rPr>
        <w:t>ADHD-RS-IV/AISRS change core analysis</w:t>
      </w:r>
    </w:p>
    <w:p w14:paraId="24D1E938" w14:textId="77777777" w:rsidR="00E8228A" w:rsidRPr="00E14060" w:rsidRDefault="00212F8F" w:rsidP="008C602E">
      <w:pPr>
        <w:pStyle w:val="ListParagraph"/>
        <w:numPr>
          <w:ilvl w:val="0"/>
          <w:numId w:val="130"/>
        </w:numPr>
        <w:spacing w:before="240" w:after="240" w:line="360" w:lineRule="auto"/>
        <w:rPr>
          <w:sz w:val="24"/>
          <w:szCs w:val="24"/>
          <w:lang w:val="en-GB"/>
        </w:rPr>
      </w:pPr>
      <w:r w:rsidRPr="00E14060">
        <w:rPr>
          <w:rFonts w:ascii="Times New Roman" w:hAnsi="Times New Roman"/>
          <w:i w:val="0"/>
          <w:sz w:val="24"/>
          <w:szCs w:val="24"/>
          <w:lang w:val="en-GB"/>
        </w:rPr>
        <w:t>CGI-I response core analysis</w:t>
      </w:r>
    </w:p>
    <w:p w14:paraId="23ECC776" w14:textId="77777777" w:rsidR="00E8228A" w:rsidRPr="00E14060" w:rsidRDefault="00212F8F" w:rsidP="008C602E">
      <w:pPr>
        <w:pStyle w:val="ListParagraph"/>
        <w:numPr>
          <w:ilvl w:val="0"/>
          <w:numId w:val="130"/>
        </w:numPr>
        <w:spacing w:before="240" w:after="240" w:line="360" w:lineRule="auto"/>
        <w:rPr>
          <w:sz w:val="24"/>
          <w:szCs w:val="24"/>
          <w:lang w:val="en-GB"/>
        </w:rPr>
      </w:pPr>
      <w:r w:rsidRPr="00E14060">
        <w:rPr>
          <w:rFonts w:ascii="Times New Roman" w:hAnsi="Times New Roman"/>
          <w:i w:val="0"/>
          <w:sz w:val="24"/>
          <w:szCs w:val="24"/>
          <w:lang w:val="en-GB"/>
        </w:rPr>
        <w:lastRenderedPageBreak/>
        <w:t xml:space="preserve"> Adverse events discontinuation core analysis</w:t>
      </w:r>
    </w:p>
    <w:p w14:paraId="4DACC399" w14:textId="77777777" w:rsidR="00E8228A" w:rsidRPr="00E14060" w:rsidRDefault="00212F8F" w:rsidP="008C602E">
      <w:pPr>
        <w:pStyle w:val="ListParagraph"/>
        <w:numPr>
          <w:ilvl w:val="0"/>
          <w:numId w:val="130"/>
        </w:numPr>
        <w:spacing w:before="240" w:after="240" w:line="360" w:lineRule="auto"/>
        <w:rPr>
          <w:sz w:val="24"/>
          <w:szCs w:val="24"/>
          <w:lang w:val="en-GB"/>
        </w:rPr>
      </w:pPr>
      <w:r w:rsidRPr="00E14060">
        <w:rPr>
          <w:rFonts w:ascii="Times New Roman" w:hAnsi="Times New Roman"/>
          <w:i w:val="0"/>
          <w:sz w:val="24"/>
          <w:szCs w:val="24"/>
          <w:lang w:val="en-GB"/>
        </w:rPr>
        <w:t xml:space="preserve"> ADHD-RS-IV change or CGI-I response core analyses</w:t>
      </w:r>
    </w:p>
    <w:p w14:paraId="77D8943A" w14:textId="77777777" w:rsidR="00755547" w:rsidRPr="00E14060" w:rsidRDefault="00212F8F" w:rsidP="00755547">
      <w:pPr>
        <w:pStyle w:val="ListParagraph"/>
        <w:numPr>
          <w:ilvl w:val="0"/>
          <w:numId w:val="130"/>
        </w:numPr>
        <w:spacing w:before="240" w:after="240" w:line="360" w:lineRule="auto"/>
        <w:rPr>
          <w:rFonts w:ascii="Times New Roman" w:hAnsi="Times New Roman"/>
          <w:i w:val="0"/>
          <w:sz w:val="24"/>
          <w:szCs w:val="24"/>
          <w:lang w:val="en-GB"/>
        </w:rPr>
      </w:pPr>
      <w:r w:rsidRPr="00E14060">
        <w:rPr>
          <w:rFonts w:ascii="Times New Roman" w:hAnsi="Times New Roman"/>
          <w:i w:val="0"/>
          <w:sz w:val="24"/>
          <w:szCs w:val="24"/>
          <w:lang w:val="en-GB"/>
        </w:rPr>
        <w:t>ADHD-RS-IV/AISRS change or CGI-I response core analyses</w:t>
      </w:r>
    </w:p>
    <w:p w14:paraId="150A6AB1" w14:textId="52457DD3" w:rsidR="003D0151" w:rsidRPr="00E14060" w:rsidRDefault="00212F8F" w:rsidP="007C2DF4">
      <w:pPr>
        <w:spacing w:before="240" w:after="240" w:line="360" w:lineRule="auto"/>
        <w:rPr>
          <w:b/>
          <w:sz w:val="28"/>
          <w:lang w:val="en-GB"/>
        </w:rPr>
      </w:pPr>
      <w:r w:rsidRPr="00E14060">
        <w:rPr>
          <w:sz w:val="24"/>
          <w:szCs w:val="24"/>
          <w:lang w:val="en-GB"/>
        </w:rPr>
        <w:t xml:space="preserve">The average mean final dose calculated in LDX arms ranged from 51.38 mg/day to 51.50 mg/day. The average dose for ATX ranged from 80.00 mg/day to 87.67 mg/day. The average dose for MPH-ER ranged from 36.88 mg/day to 58.95 mg/day. The average dose of MPH-IR was available only for the adverse events discontinuation analysis and was 82.00 mg/day. These average doses were consistent with the recommended doses of these drugs for adults. Average doses for each analysis </w:t>
      </w:r>
      <w:r w:rsidR="00361218" w:rsidRPr="00E14060">
        <w:rPr>
          <w:sz w:val="24"/>
          <w:szCs w:val="24"/>
          <w:lang w:val="en-GB"/>
        </w:rPr>
        <w:t>can be provided on request</w:t>
      </w:r>
      <w:r w:rsidRPr="00E14060">
        <w:rPr>
          <w:sz w:val="24"/>
          <w:szCs w:val="24"/>
          <w:lang w:val="en-GB"/>
        </w:rPr>
        <w:t>.</w:t>
      </w:r>
    </w:p>
    <w:p w14:paraId="1A858278" w14:textId="77777777" w:rsidR="00AB7200" w:rsidRPr="00E14060" w:rsidRDefault="00AB7200" w:rsidP="00AD0074">
      <w:pPr>
        <w:pStyle w:val="Heading2"/>
        <w:tabs>
          <w:tab w:val="clear" w:pos="936"/>
          <w:tab w:val="clear" w:pos="1152"/>
          <w:tab w:val="left" w:pos="-90"/>
          <w:tab w:val="num" w:pos="0"/>
        </w:tabs>
        <w:ind w:left="0" w:firstLine="0"/>
        <w:rPr>
          <w:color w:val="auto"/>
          <w:lang w:val="en-GB"/>
        </w:rPr>
      </w:pPr>
      <w:bookmarkStart w:id="257" w:name="_Toc384683012"/>
      <w:bookmarkStart w:id="258" w:name="_Toc391913773"/>
      <w:bookmarkStart w:id="259" w:name="_Toc402543842"/>
      <w:r w:rsidRPr="00E14060">
        <w:rPr>
          <w:color w:val="auto"/>
          <w:lang w:val="en-GB"/>
        </w:rPr>
        <w:t xml:space="preserve">Summary of </w:t>
      </w:r>
      <w:r w:rsidR="00DB7DEF" w:rsidRPr="00E14060">
        <w:rPr>
          <w:color w:val="auto"/>
          <w:lang w:val="en-GB"/>
        </w:rPr>
        <w:t>Bayesian</w:t>
      </w:r>
      <w:r w:rsidRPr="00E14060">
        <w:rPr>
          <w:color w:val="auto"/>
          <w:lang w:val="en-GB"/>
        </w:rPr>
        <w:t xml:space="preserve"> </w:t>
      </w:r>
      <w:r w:rsidR="000261D0" w:rsidRPr="00E14060">
        <w:rPr>
          <w:color w:val="auto"/>
          <w:lang w:val="en-GB"/>
        </w:rPr>
        <w:t>MTC analysis</w:t>
      </w:r>
      <w:bookmarkEnd w:id="257"/>
      <w:bookmarkEnd w:id="258"/>
      <w:bookmarkEnd w:id="259"/>
    </w:p>
    <w:p w14:paraId="3A112889" w14:textId="6E5AF859" w:rsidR="00AD452B" w:rsidRPr="00E14060" w:rsidRDefault="00AD452B" w:rsidP="00A73A4C">
      <w:pPr>
        <w:spacing w:before="240" w:after="240" w:line="360" w:lineRule="auto"/>
        <w:rPr>
          <w:sz w:val="24"/>
          <w:szCs w:val="24"/>
          <w:lang w:val="en-GB"/>
        </w:rPr>
      </w:pPr>
      <w:r w:rsidRPr="00E14060">
        <w:rPr>
          <w:sz w:val="24"/>
          <w:szCs w:val="24"/>
          <w:lang w:val="en-GB"/>
        </w:rPr>
        <w:t xml:space="preserve">Network diagrams depicting studies included </w:t>
      </w:r>
      <w:r w:rsidR="00A75D2A" w:rsidRPr="00E14060">
        <w:rPr>
          <w:sz w:val="24"/>
          <w:szCs w:val="24"/>
          <w:lang w:val="en-GB"/>
        </w:rPr>
        <w:t>in</w:t>
      </w:r>
      <w:r w:rsidRPr="00E14060">
        <w:rPr>
          <w:sz w:val="24"/>
          <w:szCs w:val="24"/>
          <w:lang w:val="en-GB"/>
        </w:rPr>
        <w:t xml:space="preserve"> </w:t>
      </w:r>
      <w:r w:rsidR="00A75D2A" w:rsidRPr="00E14060">
        <w:rPr>
          <w:sz w:val="24"/>
          <w:szCs w:val="24"/>
          <w:lang w:val="en-GB"/>
        </w:rPr>
        <w:t>core or sensitivity</w:t>
      </w:r>
      <w:r w:rsidR="00632A2C" w:rsidRPr="00E14060">
        <w:rPr>
          <w:sz w:val="24"/>
          <w:szCs w:val="24"/>
          <w:lang w:val="en-GB"/>
        </w:rPr>
        <w:t xml:space="preserve"> analyses for each outcome</w:t>
      </w:r>
      <w:r w:rsidR="00A75D2A" w:rsidRPr="00E14060">
        <w:rPr>
          <w:sz w:val="24"/>
          <w:szCs w:val="24"/>
          <w:lang w:val="en-GB"/>
        </w:rPr>
        <w:t xml:space="preserve"> by treatment arm</w:t>
      </w:r>
      <w:r w:rsidRPr="00E14060">
        <w:rPr>
          <w:sz w:val="24"/>
          <w:szCs w:val="24"/>
          <w:lang w:val="en-GB"/>
        </w:rPr>
        <w:t xml:space="preserve"> are </w:t>
      </w:r>
      <w:r w:rsidR="00361218" w:rsidRPr="00E14060">
        <w:rPr>
          <w:sz w:val="24"/>
          <w:szCs w:val="24"/>
          <w:lang w:val="en-GB"/>
        </w:rPr>
        <w:t>available on request</w:t>
      </w:r>
      <w:r w:rsidR="00507839" w:rsidRPr="00E14060">
        <w:rPr>
          <w:sz w:val="24"/>
          <w:szCs w:val="24"/>
          <w:lang w:val="en-GB"/>
        </w:rPr>
        <w:t>.</w:t>
      </w:r>
    </w:p>
    <w:p w14:paraId="3F4CF227" w14:textId="77777777" w:rsidR="00114CF2" w:rsidRPr="00E14060" w:rsidRDefault="00114CF2" w:rsidP="009375DF">
      <w:pPr>
        <w:pStyle w:val="Heading3"/>
        <w:rPr>
          <w:color w:val="auto"/>
          <w:lang w:val="en-GB"/>
        </w:rPr>
      </w:pPr>
      <w:bookmarkStart w:id="260" w:name="_Toc384683013"/>
      <w:bookmarkStart w:id="261" w:name="_Toc391913774"/>
      <w:bookmarkStart w:id="262" w:name="_Toc402543843"/>
      <w:r w:rsidRPr="00E14060">
        <w:rPr>
          <w:color w:val="auto"/>
          <w:lang w:val="en-GB"/>
        </w:rPr>
        <w:t xml:space="preserve">Bayesian </w:t>
      </w:r>
      <w:r w:rsidR="0062581E" w:rsidRPr="00E14060">
        <w:rPr>
          <w:color w:val="auto"/>
          <w:lang w:val="en-GB"/>
        </w:rPr>
        <w:t>c</w:t>
      </w:r>
      <w:r w:rsidRPr="00E14060">
        <w:rPr>
          <w:color w:val="auto"/>
          <w:lang w:val="en-GB"/>
        </w:rPr>
        <w:t xml:space="preserve">ore </w:t>
      </w:r>
      <w:r w:rsidR="0062581E" w:rsidRPr="00E14060">
        <w:rPr>
          <w:color w:val="auto"/>
          <w:lang w:val="en-GB"/>
        </w:rPr>
        <w:t>a</w:t>
      </w:r>
      <w:r w:rsidRPr="00E14060">
        <w:rPr>
          <w:color w:val="auto"/>
          <w:lang w:val="en-GB"/>
        </w:rPr>
        <w:t>nalysis for ADHD-RS-IV change</w:t>
      </w:r>
      <w:bookmarkEnd w:id="260"/>
      <w:bookmarkEnd w:id="261"/>
      <w:bookmarkEnd w:id="262"/>
    </w:p>
    <w:p w14:paraId="05F2889B" w14:textId="585E7BAB" w:rsidR="00114CF2" w:rsidRPr="00E14060" w:rsidRDefault="003D0151" w:rsidP="009375DF">
      <w:pPr>
        <w:spacing w:before="240" w:after="240" w:line="360" w:lineRule="auto"/>
        <w:rPr>
          <w:sz w:val="24"/>
          <w:szCs w:val="24"/>
          <w:lang w:val="en-GB"/>
        </w:rPr>
      </w:pPr>
      <w:r w:rsidRPr="00E14060">
        <w:rPr>
          <w:sz w:val="24"/>
          <w:szCs w:val="24"/>
          <w:lang w:val="en-GB"/>
        </w:rPr>
        <w:t xml:space="preserve">As shown in </w:t>
      </w:r>
      <w:r w:rsidRPr="00E14060">
        <w:rPr>
          <w:b/>
          <w:sz w:val="24"/>
          <w:szCs w:val="24"/>
          <w:lang w:val="en-GB"/>
        </w:rPr>
        <w:t>Table 3</w:t>
      </w:r>
      <w:r w:rsidR="001A7301" w:rsidRPr="00E14060">
        <w:rPr>
          <w:b/>
          <w:sz w:val="24"/>
          <w:szCs w:val="24"/>
          <w:lang w:val="en-GB"/>
        </w:rPr>
        <w:t>A</w:t>
      </w:r>
      <w:r w:rsidR="00114CF2" w:rsidRPr="00E14060">
        <w:rPr>
          <w:sz w:val="24"/>
          <w:szCs w:val="24"/>
          <w:lang w:val="en-GB"/>
        </w:rPr>
        <w:t xml:space="preserve">, LDX </w:t>
      </w:r>
      <w:r w:rsidR="00C5665F" w:rsidRPr="00E14060">
        <w:rPr>
          <w:sz w:val="24"/>
          <w:szCs w:val="24"/>
          <w:lang w:val="en-GB"/>
        </w:rPr>
        <w:t xml:space="preserve">had a </w:t>
      </w:r>
      <w:r w:rsidR="00114CF2" w:rsidRPr="00E14060">
        <w:rPr>
          <w:sz w:val="24"/>
          <w:szCs w:val="24"/>
          <w:lang w:val="en-GB"/>
        </w:rPr>
        <w:t xml:space="preserve">numerically </w:t>
      </w:r>
      <w:r w:rsidR="00C5665F" w:rsidRPr="00E14060">
        <w:rPr>
          <w:sz w:val="24"/>
          <w:szCs w:val="24"/>
          <w:lang w:val="en-GB"/>
        </w:rPr>
        <w:t xml:space="preserve">larger change from baseline </w:t>
      </w:r>
      <w:r w:rsidR="00114CF2" w:rsidRPr="00E14060">
        <w:rPr>
          <w:sz w:val="24"/>
          <w:szCs w:val="24"/>
          <w:lang w:val="en-GB"/>
        </w:rPr>
        <w:t>than both ATX and MPH-ER</w:t>
      </w:r>
      <w:r w:rsidRPr="00E14060">
        <w:rPr>
          <w:sz w:val="24"/>
          <w:szCs w:val="24"/>
          <w:lang w:val="en-GB"/>
        </w:rPr>
        <w:t xml:space="preserve"> in the core analysis</w:t>
      </w:r>
      <w:r w:rsidR="00C30061" w:rsidRPr="00E14060">
        <w:rPr>
          <w:sz w:val="24"/>
          <w:szCs w:val="24"/>
          <w:lang w:val="en-GB"/>
        </w:rPr>
        <w:t>.</w:t>
      </w:r>
      <w:r w:rsidR="00114CF2" w:rsidRPr="00E14060">
        <w:rPr>
          <w:sz w:val="24"/>
          <w:szCs w:val="24"/>
          <w:lang w:val="en-GB"/>
        </w:rPr>
        <w:t xml:space="preserve"> </w:t>
      </w:r>
      <w:r w:rsidR="00C30061" w:rsidRPr="00E14060">
        <w:rPr>
          <w:sz w:val="24"/>
          <w:szCs w:val="24"/>
          <w:lang w:val="en-GB"/>
        </w:rPr>
        <w:t xml:space="preserve">Although the 95% credible intervals of the estimates </w:t>
      </w:r>
      <w:r w:rsidR="00A83985" w:rsidRPr="00E14060">
        <w:rPr>
          <w:sz w:val="24"/>
          <w:szCs w:val="24"/>
          <w:lang w:val="en-GB"/>
        </w:rPr>
        <w:t xml:space="preserve">of treatment for the drugs </w:t>
      </w:r>
      <w:r w:rsidR="00C30061" w:rsidRPr="00E14060">
        <w:rPr>
          <w:sz w:val="24"/>
          <w:szCs w:val="24"/>
          <w:lang w:val="en-GB"/>
        </w:rPr>
        <w:t>overlapped</w:t>
      </w:r>
      <w:r w:rsidR="00114CF2" w:rsidRPr="00E14060">
        <w:rPr>
          <w:sz w:val="24"/>
          <w:szCs w:val="24"/>
          <w:lang w:val="en-GB"/>
        </w:rPr>
        <w:t xml:space="preserve">, LDX had a high probability </w:t>
      </w:r>
      <w:r w:rsidR="00C30061" w:rsidRPr="00E14060">
        <w:rPr>
          <w:sz w:val="24"/>
          <w:szCs w:val="24"/>
          <w:lang w:val="en-GB"/>
        </w:rPr>
        <w:t xml:space="preserve">(&gt; 90%) </w:t>
      </w:r>
      <w:r w:rsidR="00114CF2" w:rsidRPr="00E14060">
        <w:rPr>
          <w:sz w:val="24"/>
          <w:szCs w:val="24"/>
          <w:lang w:val="en-GB"/>
        </w:rPr>
        <w:t xml:space="preserve">of being the most efficacious treatment compared to ATX and MPH-ER. The histograms of the posterior distributions show that while there was overlap in the distributions of the posterior samples for the three treatments, the distribution for LDX was concentrated at a greater negative ADHD-RS-IV change than the other two treatments. </w:t>
      </w:r>
    </w:p>
    <w:tbl>
      <w:tblPr>
        <w:tblW w:w="10320" w:type="dxa"/>
        <w:tblInd w:w="108" w:type="dxa"/>
        <w:tblLook w:val="04A0" w:firstRow="1" w:lastRow="0" w:firstColumn="1" w:lastColumn="0" w:noHBand="0" w:noVBand="1"/>
      </w:tblPr>
      <w:tblGrid>
        <w:gridCol w:w="222"/>
        <w:gridCol w:w="2000"/>
        <w:gridCol w:w="270"/>
        <w:gridCol w:w="1276"/>
        <w:gridCol w:w="1679"/>
        <w:gridCol w:w="2527"/>
        <w:gridCol w:w="2448"/>
        <w:gridCol w:w="270"/>
      </w:tblGrid>
      <w:tr w:rsidR="002E6A2B" w:rsidRPr="00E14060" w14:paraId="7CBF62C2" w14:textId="77777777" w:rsidTr="002E6A2B">
        <w:trPr>
          <w:trHeight w:val="555"/>
        </w:trPr>
        <w:tc>
          <w:tcPr>
            <w:tcW w:w="10320" w:type="dxa"/>
            <w:gridSpan w:val="8"/>
            <w:tcBorders>
              <w:top w:val="nil"/>
              <w:left w:val="nil"/>
              <w:bottom w:val="nil"/>
              <w:right w:val="nil"/>
            </w:tcBorders>
            <w:shd w:val="clear" w:color="auto" w:fill="auto"/>
            <w:noWrap/>
            <w:vAlign w:val="bottom"/>
            <w:hideMark/>
          </w:tcPr>
          <w:p w14:paraId="446F4BE5" w14:textId="77777777" w:rsidR="002E6A2B" w:rsidRPr="00E14060" w:rsidRDefault="002E6A2B" w:rsidP="00A37DD6">
            <w:pPr>
              <w:jc w:val="center"/>
              <w:rPr>
                <w:b/>
                <w:bCs/>
                <w:sz w:val="22"/>
                <w:szCs w:val="22"/>
                <w:lang w:val="en-GB"/>
              </w:rPr>
            </w:pPr>
            <w:r w:rsidRPr="00E14060">
              <w:rPr>
                <w:b/>
                <w:bCs/>
                <w:sz w:val="22"/>
                <w:szCs w:val="22"/>
                <w:lang w:val="en-GB"/>
              </w:rPr>
              <w:t xml:space="preserve">Table </w:t>
            </w:r>
            <w:r w:rsidR="00A37DD6" w:rsidRPr="00E14060">
              <w:rPr>
                <w:b/>
                <w:bCs/>
                <w:sz w:val="22"/>
                <w:szCs w:val="22"/>
                <w:lang w:val="en-GB"/>
              </w:rPr>
              <w:t>3</w:t>
            </w:r>
            <w:r w:rsidR="001A7301" w:rsidRPr="00E14060">
              <w:rPr>
                <w:b/>
                <w:bCs/>
                <w:sz w:val="22"/>
                <w:szCs w:val="22"/>
                <w:lang w:val="en-GB"/>
              </w:rPr>
              <w:t>A</w:t>
            </w:r>
            <w:r w:rsidRPr="00E14060">
              <w:rPr>
                <w:b/>
                <w:bCs/>
                <w:sz w:val="22"/>
                <w:szCs w:val="22"/>
                <w:lang w:val="en-GB"/>
              </w:rPr>
              <w:t>. Effect of treatment on change from baseline in ADHD-RS-IV score (drug - placebo)</w:t>
            </w:r>
            <w:r w:rsidR="00321D72" w:rsidRPr="00E14060">
              <w:rPr>
                <w:rStyle w:val="FootnoteReference"/>
                <w:b/>
                <w:bCs/>
                <w:sz w:val="22"/>
                <w:szCs w:val="22"/>
                <w:lang w:val="en-GB"/>
              </w:rPr>
              <w:footnoteReference w:id="1"/>
            </w:r>
          </w:p>
        </w:tc>
      </w:tr>
      <w:tr w:rsidR="002E6A2B" w:rsidRPr="00E14060" w14:paraId="14B095D7" w14:textId="77777777" w:rsidTr="002E6A2B">
        <w:trPr>
          <w:trHeight w:val="300"/>
        </w:trPr>
        <w:tc>
          <w:tcPr>
            <w:tcW w:w="10320" w:type="dxa"/>
            <w:gridSpan w:val="8"/>
            <w:tcBorders>
              <w:top w:val="nil"/>
              <w:left w:val="nil"/>
              <w:bottom w:val="nil"/>
              <w:right w:val="nil"/>
            </w:tcBorders>
            <w:shd w:val="clear" w:color="auto" w:fill="auto"/>
            <w:noWrap/>
            <w:vAlign w:val="bottom"/>
            <w:hideMark/>
          </w:tcPr>
          <w:p w14:paraId="553CB31F" w14:textId="77777777" w:rsidR="002E6A2B" w:rsidRPr="00E14060" w:rsidRDefault="002E6A2B" w:rsidP="002E6A2B">
            <w:pPr>
              <w:jc w:val="center"/>
              <w:rPr>
                <w:b/>
                <w:bCs/>
                <w:sz w:val="22"/>
                <w:szCs w:val="22"/>
                <w:lang w:val="en-GB"/>
              </w:rPr>
            </w:pPr>
            <w:r w:rsidRPr="00E14060">
              <w:rPr>
                <w:b/>
                <w:bCs/>
                <w:sz w:val="22"/>
                <w:szCs w:val="22"/>
                <w:lang w:val="en-GB"/>
              </w:rPr>
              <w:t>Core Bayesian analysis: random effects model, combined doses</w:t>
            </w:r>
          </w:p>
        </w:tc>
      </w:tr>
      <w:tr w:rsidR="002E6A2B" w:rsidRPr="00E14060" w14:paraId="33A78105" w14:textId="77777777" w:rsidTr="002E6A2B">
        <w:trPr>
          <w:trHeight w:val="300"/>
        </w:trPr>
        <w:tc>
          <w:tcPr>
            <w:tcW w:w="13" w:type="dxa"/>
            <w:tcBorders>
              <w:top w:val="nil"/>
              <w:left w:val="nil"/>
              <w:bottom w:val="nil"/>
              <w:right w:val="nil"/>
            </w:tcBorders>
            <w:shd w:val="clear" w:color="auto" w:fill="auto"/>
            <w:noWrap/>
            <w:vAlign w:val="bottom"/>
            <w:hideMark/>
          </w:tcPr>
          <w:p w14:paraId="557109F5" w14:textId="77777777" w:rsidR="002E6A2B" w:rsidRPr="00E14060" w:rsidRDefault="002E6A2B" w:rsidP="002E6A2B">
            <w:pPr>
              <w:rPr>
                <w:sz w:val="22"/>
                <w:szCs w:val="22"/>
                <w:lang w:val="en-GB"/>
              </w:rPr>
            </w:pPr>
          </w:p>
        </w:tc>
        <w:tc>
          <w:tcPr>
            <w:tcW w:w="2026" w:type="dxa"/>
            <w:tcBorders>
              <w:top w:val="nil"/>
              <w:left w:val="nil"/>
              <w:bottom w:val="nil"/>
              <w:right w:val="nil"/>
            </w:tcBorders>
            <w:shd w:val="clear" w:color="auto" w:fill="auto"/>
            <w:noWrap/>
            <w:vAlign w:val="bottom"/>
            <w:hideMark/>
          </w:tcPr>
          <w:p w14:paraId="6C97E653" w14:textId="77777777" w:rsidR="002E6A2B" w:rsidRPr="00E14060" w:rsidRDefault="002E6A2B" w:rsidP="002E6A2B">
            <w:pPr>
              <w:rPr>
                <w:sz w:val="22"/>
                <w:szCs w:val="22"/>
                <w:lang w:val="en-GB"/>
              </w:rPr>
            </w:pPr>
          </w:p>
        </w:tc>
        <w:tc>
          <w:tcPr>
            <w:tcW w:w="125" w:type="dxa"/>
            <w:tcBorders>
              <w:top w:val="nil"/>
              <w:left w:val="nil"/>
              <w:bottom w:val="nil"/>
              <w:right w:val="nil"/>
            </w:tcBorders>
            <w:shd w:val="clear" w:color="auto" w:fill="auto"/>
            <w:noWrap/>
            <w:vAlign w:val="bottom"/>
            <w:hideMark/>
          </w:tcPr>
          <w:p w14:paraId="1A6BF4B1" w14:textId="77777777" w:rsidR="002E6A2B" w:rsidRPr="00E14060" w:rsidRDefault="002E6A2B" w:rsidP="002E6A2B">
            <w:pPr>
              <w:rPr>
                <w:sz w:val="22"/>
                <w:szCs w:val="22"/>
                <w:lang w:val="en-GB"/>
              </w:rPr>
            </w:pPr>
          </w:p>
        </w:tc>
        <w:tc>
          <w:tcPr>
            <w:tcW w:w="1291" w:type="dxa"/>
            <w:tcBorders>
              <w:top w:val="nil"/>
              <w:left w:val="nil"/>
              <w:bottom w:val="nil"/>
              <w:right w:val="nil"/>
            </w:tcBorders>
            <w:shd w:val="clear" w:color="auto" w:fill="auto"/>
            <w:noWrap/>
            <w:vAlign w:val="bottom"/>
            <w:hideMark/>
          </w:tcPr>
          <w:p w14:paraId="3A96EB90" w14:textId="77777777" w:rsidR="002E6A2B" w:rsidRPr="00E14060" w:rsidRDefault="002E6A2B" w:rsidP="002E6A2B">
            <w:pPr>
              <w:rPr>
                <w:sz w:val="22"/>
                <w:szCs w:val="22"/>
                <w:lang w:val="en-GB"/>
              </w:rPr>
            </w:pPr>
          </w:p>
        </w:tc>
        <w:tc>
          <w:tcPr>
            <w:tcW w:w="1700" w:type="dxa"/>
            <w:tcBorders>
              <w:top w:val="nil"/>
              <w:left w:val="nil"/>
              <w:bottom w:val="nil"/>
              <w:right w:val="nil"/>
            </w:tcBorders>
            <w:shd w:val="clear" w:color="auto" w:fill="auto"/>
            <w:noWrap/>
            <w:vAlign w:val="bottom"/>
            <w:hideMark/>
          </w:tcPr>
          <w:p w14:paraId="4AD7D52B" w14:textId="77777777" w:rsidR="002E6A2B" w:rsidRPr="00E14060" w:rsidRDefault="002E6A2B" w:rsidP="002E6A2B">
            <w:pPr>
              <w:rPr>
                <w:sz w:val="22"/>
                <w:szCs w:val="22"/>
                <w:lang w:val="en-GB"/>
              </w:rPr>
            </w:pPr>
          </w:p>
        </w:tc>
        <w:tc>
          <w:tcPr>
            <w:tcW w:w="2560" w:type="dxa"/>
            <w:tcBorders>
              <w:top w:val="nil"/>
              <w:left w:val="nil"/>
              <w:bottom w:val="nil"/>
              <w:right w:val="nil"/>
            </w:tcBorders>
            <w:shd w:val="clear" w:color="auto" w:fill="auto"/>
            <w:noWrap/>
            <w:vAlign w:val="bottom"/>
            <w:hideMark/>
          </w:tcPr>
          <w:p w14:paraId="5519B500" w14:textId="77777777" w:rsidR="002E6A2B" w:rsidRPr="00E14060" w:rsidRDefault="002E6A2B" w:rsidP="002E6A2B">
            <w:pPr>
              <w:rPr>
                <w:sz w:val="22"/>
                <w:szCs w:val="22"/>
                <w:lang w:val="en-GB"/>
              </w:rPr>
            </w:pPr>
          </w:p>
        </w:tc>
        <w:tc>
          <w:tcPr>
            <w:tcW w:w="2480" w:type="dxa"/>
            <w:tcBorders>
              <w:top w:val="nil"/>
              <w:left w:val="nil"/>
              <w:bottom w:val="nil"/>
              <w:right w:val="nil"/>
            </w:tcBorders>
            <w:shd w:val="clear" w:color="auto" w:fill="auto"/>
            <w:noWrap/>
            <w:vAlign w:val="bottom"/>
            <w:hideMark/>
          </w:tcPr>
          <w:p w14:paraId="5641ADCB" w14:textId="77777777" w:rsidR="002E6A2B" w:rsidRPr="00E14060" w:rsidRDefault="002E6A2B" w:rsidP="002E6A2B">
            <w:pPr>
              <w:rPr>
                <w:sz w:val="22"/>
                <w:szCs w:val="22"/>
                <w:lang w:val="en-GB"/>
              </w:rPr>
            </w:pPr>
          </w:p>
        </w:tc>
        <w:tc>
          <w:tcPr>
            <w:tcW w:w="125" w:type="dxa"/>
            <w:tcBorders>
              <w:top w:val="nil"/>
              <w:left w:val="nil"/>
              <w:bottom w:val="nil"/>
              <w:right w:val="nil"/>
            </w:tcBorders>
            <w:shd w:val="clear" w:color="auto" w:fill="auto"/>
            <w:noWrap/>
            <w:vAlign w:val="bottom"/>
            <w:hideMark/>
          </w:tcPr>
          <w:p w14:paraId="30B53B0F" w14:textId="77777777" w:rsidR="002E6A2B" w:rsidRPr="00E14060" w:rsidRDefault="002E6A2B" w:rsidP="002E6A2B">
            <w:pPr>
              <w:rPr>
                <w:sz w:val="22"/>
                <w:szCs w:val="22"/>
                <w:lang w:val="en-GB"/>
              </w:rPr>
            </w:pPr>
          </w:p>
        </w:tc>
      </w:tr>
      <w:tr w:rsidR="002E6A2B" w:rsidRPr="00E14060" w14:paraId="1EA3999A" w14:textId="77777777" w:rsidTr="002E6A2B">
        <w:trPr>
          <w:trHeight w:val="930"/>
        </w:trPr>
        <w:tc>
          <w:tcPr>
            <w:tcW w:w="13" w:type="dxa"/>
            <w:tcBorders>
              <w:top w:val="nil"/>
              <w:left w:val="nil"/>
              <w:bottom w:val="nil"/>
              <w:right w:val="nil"/>
            </w:tcBorders>
            <w:shd w:val="clear" w:color="auto" w:fill="auto"/>
            <w:noWrap/>
            <w:vAlign w:val="bottom"/>
            <w:hideMark/>
          </w:tcPr>
          <w:p w14:paraId="3C0D7D1A" w14:textId="77777777" w:rsidR="002E6A2B" w:rsidRPr="00E14060" w:rsidRDefault="002E6A2B" w:rsidP="002E6A2B">
            <w:pPr>
              <w:rPr>
                <w:sz w:val="22"/>
                <w:szCs w:val="22"/>
                <w:lang w:val="en-GB"/>
              </w:rPr>
            </w:pPr>
          </w:p>
        </w:tc>
        <w:tc>
          <w:tcPr>
            <w:tcW w:w="2026" w:type="dxa"/>
            <w:tcBorders>
              <w:top w:val="single" w:sz="4" w:space="0" w:color="auto"/>
              <w:left w:val="nil"/>
              <w:bottom w:val="nil"/>
              <w:right w:val="nil"/>
            </w:tcBorders>
            <w:shd w:val="clear" w:color="auto" w:fill="auto"/>
            <w:noWrap/>
            <w:vAlign w:val="bottom"/>
            <w:hideMark/>
          </w:tcPr>
          <w:p w14:paraId="6C851194" w14:textId="77777777" w:rsidR="002E6A2B" w:rsidRPr="00E14060" w:rsidRDefault="002E6A2B" w:rsidP="002E6A2B">
            <w:pPr>
              <w:rPr>
                <w:sz w:val="22"/>
                <w:szCs w:val="22"/>
                <w:lang w:val="en-GB"/>
              </w:rPr>
            </w:pPr>
            <w:r w:rsidRPr="00E14060">
              <w:rPr>
                <w:sz w:val="22"/>
                <w:szCs w:val="22"/>
                <w:lang w:val="en-GB"/>
              </w:rPr>
              <w:t> </w:t>
            </w:r>
          </w:p>
        </w:tc>
        <w:tc>
          <w:tcPr>
            <w:tcW w:w="125" w:type="dxa"/>
            <w:tcBorders>
              <w:top w:val="single" w:sz="4" w:space="0" w:color="auto"/>
              <w:left w:val="nil"/>
              <w:bottom w:val="nil"/>
              <w:right w:val="nil"/>
            </w:tcBorders>
            <w:shd w:val="clear" w:color="auto" w:fill="auto"/>
            <w:noWrap/>
            <w:vAlign w:val="bottom"/>
            <w:hideMark/>
          </w:tcPr>
          <w:p w14:paraId="48005160" w14:textId="77777777" w:rsidR="002E6A2B" w:rsidRPr="00E14060" w:rsidRDefault="002E6A2B" w:rsidP="002E6A2B">
            <w:pPr>
              <w:rPr>
                <w:sz w:val="22"/>
                <w:szCs w:val="22"/>
                <w:lang w:val="en-GB"/>
              </w:rPr>
            </w:pPr>
            <w:r w:rsidRPr="00E14060">
              <w:rPr>
                <w:sz w:val="22"/>
                <w:szCs w:val="22"/>
                <w:lang w:val="en-GB"/>
              </w:rPr>
              <w:t> </w:t>
            </w:r>
          </w:p>
        </w:tc>
        <w:tc>
          <w:tcPr>
            <w:tcW w:w="1291" w:type="dxa"/>
            <w:tcBorders>
              <w:top w:val="single" w:sz="4" w:space="0" w:color="auto"/>
              <w:left w:val="nil"/>
              <w:bottom w:val="single" w:sz="4" w:space="0" w:color="auto"/>
              <w:right w:val="nil"/>
            </w:tcBorders>
            <w:shd w:val="clear" w:color="auto" w:fill="auto"/>
            <w:noWrap/>
            <w:vAlign w:val="bottom"/>
            <w:hideMark/>
          </w:tcPr>
          <w:p w14:paraId="4F3EBE65" w14:textId="77777777" w:rsidR="002E6A2B" w:rsidRPr="00E14060" w:rsidRDefault="002E6A2B" w:rsidP="002E6A2B">
            <w:pPr>
              <w:jc w:val="center"/>
              <w:rPr>
                <w:b/>
                <w:bCs/>
                <w:sz w:val="22"/>
                <w:szCs w:val="22"/>
                <w:lang w:val="en-GB"/>
              </w:rPr>
            </w:pPr>
            <w:r w:rsidRPr="00E14060">
              <w:rPr>
                <w:b/>
                <w:bCs/>
                <w:sz w:val="22"/>
                <w:szCs w:val="22"/>
                <w:lang w:val="en-GB"/>
              </w:rPr>
              <w:t xml:space="preserve">Mean </w:t>
            </w:r>
          </w:p>
        </w:tc>
        <w:tc>
          <w:tcPr>
            <w:tcW w:w="1700" w:type="dxa"/>
            <w:tcBorders>
              <w:top w:val="single" w:sz="4" w:space="0" w:color="auto"/>
              <w:left w:val="nil"/>
              <w:bottom w:val="single" w:sz="4" w:space="0" w:color="auto"/>
              <w:right w:val="nil"/>
            </w:tcBorders>
            <w:shd w:val="clear" w:color="auto" w:fill="auto"/>
            <w:vAlign w:val="bottom"/>
            <w:hideMark/>
          </w:tcPr>
          <w:p w14:paraId="351AFF76" w14:textId="77777777" w:rsidR="002E6A2B" w:rsidRPr="00E14060" w:rsidRDefault="002E6A2B" w:rsidP="002E6A2B">
            <w:pPr>
              <w:jc w:val="center"/>
              <w:rPr>
                <w:b/>
                <w:bCs/>
                <w:sz w:val="22"/>
                <w:szCs w:val="22"/>
                <w:lang w:val="en-GB"/>
              </w:rPr>
            </w:pPr>
            <w:r w:rsidRPr="00E14060">
              <w:rPr>
                <w:b/>
                <w:bCs/>
                <w:sz w:val="22"/>
                <w:szCs w:val="22"/>
                <w:lang w:val="en-GB"/>
              </w:rPr>
              <w:t>95% Credible Interval</w:t>
            </w:r>
          </w:p>
        </w:tc>
        <w:tc>
          <w:tcPr>
            <w:tcW w:w="2560" w:type="dxa"/>
            <w:tcBorders>
              <w:top w:val="single" w:sz="4" w:space="0" w:color="auto"/>
              <w:left w:val="nil"/>
              <w:bottom w:val="single" w:sz="4" w:space="0" w:color="auto"/>
              <w:right w:val="nil"/>
            </w:tcBorders>
            <w:shd w:val="clear" w:color="auto" w:fill="auto"/>
            <w:vAlign w:val="bottom"/>
            <w:hideMark/>
          </w:tcPr>
          <w:p w14:paraId="67C71261" w14:textId="77777777" w:rsidR="002E6A2B" w:rsidRPr="00E14060" w:rsidRDefault="002E6A2B" w:rsidP="002E6A2B">
            <w:pPr>
              <w:jc w:val="center"/>
              <w:rPr>
                <w:b/>
                <w:bCs/>
                <w:sz w:val="22"/>
                <w:szCs w:val="22"/>
                <w:lang w:val="en-GB"/>
              </w:rPr>
            </w:pPr>
            <w:r w:rsidRPr="00E14060">
              <w:rPr>
                <w:b/>
                <w:bCs/>
                <w:sz w:val="22"/>
                <w:szCs w:val="22"/>
                <w:lang w:val="en-GB"/>
              </w:rPr>
              <w:t>Probability of the treatment being most effective among all</w:t>
            </w:r>
          </w:p>
        </w:tc>
        <w:tc>
          <w:tcPr>
            <w:tcW w:w="2480" w:type="dxa"/>
            <w:tcBorders>
              <w:top w:val="single" w:sz="4" w:space="0" w:color="auto"/>
              <w:left w:val="nil"/>
              <w:bottom w:val="single" w:sz="4" w:space="0" w:color="auto"/>
              <w:right w:val="nil"/>
            </w:tcBorders>
            <w:shd w:val="clear" w:color="auto" w:fill="auto"/>
            <w:vAlign w:val="bottom"/>
            <w:hideMark/>
          </w:tcPr>
          <w:p w14:paraId="5B18FC23" w14:textId="77777777" w:rsidR="002E6A2B" w:rsidRPr="00E14060" w:rsidRDefault="002E6A2B" w:rsidP="00D92F7F">
            <w:pPr>
              <w:jc w:val="center"/>
              <w:rPr>
                <w:b/>
                <w:bCs/>
                <w:sz w:val="22"/>
                <w:szCs w:val="22"/>
                <w:lang w:val="en-GB"/>
              </w:rPr>
            </w:pPr>
            <w:r w:rsidRPr="00E14060">
              <w:rPr>
                <w:b/>
                <w:bCs/>
                <w:sz w:val="22"/>
                <w:szCs w:val="22"/>
                <w:lang w:val="en-GB"/>
              </w:rPr>
              <w:t xml:space="preserve">Probability of LDX being more effective compared to </w:t>
            </w:r>
            <w:r w:rsidR="00D92F7F" w:rsidRPr="00E14060">
              <w:rPr>
                <w:b/>
                <w:bCs/>
                <w:sz w:val="22"/>
                <w:szCs w:val="22"/>
                <w:lang w:val="en-GB"/>
              </w:rPr>
              <w:t>each</w:t>
            </w:r>
            <w:r w:rsidRPr="00E14060">
              <w:rPr>
                <w:b/>
                <w:bCs/>
                <w:sz w:val="22"/>
                <w:szCs w:val="22"/>
                <w:lang w:val="en-GB"/>
              </w:rPr>
              <w:t xml:space="preserve"> treatment</w:t>
            </w:r>
          </w:p>
        </w:tc>
        <w:tc>
          <w:tcPr>
            <w:tcW w:w="125" w:type="dxa"/>
            <w:tcBorders>
              <w:top w:val="single" w:sz="4" w:space="0" w:color="auto"/>
              <w:left w:val="nil"/>
              <w:bottom w:val="single" w:sz="4" w:space="0" w:color="auto"/>
              <w:right w:val="nil"/>
            </w:tcBorders>
            <w:shd w:val="clear" w:color="auto" w:fill="auto"/>
            <w:noWrap/>
            <w:vAlign w:val="bottom"/>
            <w:hideMark/>
          </w:tcPr>
          <w:p w14:paraId="688DAFF1" w14:textId="77777777" w:rsidR="002E6A2B" w:rsidRPr="00E14060" w:rsidRDefault="002E6A2B" w:rsidP="002E6A2B">
            <w:pPr>
              <w:rPr>
                <w:sz w:val="22"/>
                <w:szCs w:val="22"/>
                <w:lang w:val="en-GB"/>
              </w:rPr>
            </w:pPr>
            <w:r w:rsidRPr="00E14060">
              <w:rPr>
                <w:sz w:val="22"/>
                <w:szCs w:val="22"/>
                <w:lang w:val="en-GB"/>
              </w:rPr>
              <w:t> </w:t>
            </w:r>
          </w:p>
        </w:tc>
      </w:tr>
      <w:tr w:rsidR="002E6A2B" w:rsidRPr="00E14060" w14:paraId="2EBB6C03" w14:textId="77777777" w:rsidTr="002E6A2B">
        <w:trPr>
          <w:trHeight w:val="300"/>
        </w:trPr>
        <w:tc>
          <w:tcPr>
            <w:tcW w:w="13" w:type="dxa"/>
            <w:tcBorders>
              <w:top w:val="nil"/>
              <w:left w:val="nil"/>
              <w:bottom w:val="nil"/>
              <w:right w:val="nil"/>
            </w:tcBorders>
            <w:shd w:val="clear" w:color="auto" w:fill="auto"/>
            <w:noWrap/>
            <w:vAlign w:val="bottom"/>
            <w:hideMark/>
          </w:tcPr>
          <w:p w14:paraId="054875C0" w14:textId="77777777" w:rsidR="002E6A2B" w:rsidRPr="00E14060" w:rsidRDefault="002E6A2B" w:rsidP="002E6A2B">
            <w:pPr>
              <w:rPr>
                <w:sz w:val="22"/>
                <w:szCs w:val="22"/>
                <w:lang w:val="en-GB"/>
              </w:rPr>
            </w:pPr>
          </w:p>
        </w:tc>
        <w:tc>
          <w:tcPr>
            <w:tcW w:w="2026" w:type="dxa"/>
            <w:tcBorders>
              <w:top w:val="nil"/>
              <w:left w:val="nil"/>
              <w:bottom w:val="nil"/>
              <w:right w:val="nil"/>
            </w:tcBorders>
            <w:shd w:val="clear" w:color="auto" w:fill="auto"/>
            <w:noWrap/>
            <w:vAlign w:val="bottom"/>
            <w:hideMark/>
          </w:tcPr>
          <w:p w14:paraId="47DA0132" w14:textId="77777777" w:rsidR="002E6A2B" w:rsidRPr="00E14060" w:rsidRDefault="002E6A2B" w:rsidP="002E6A2B">
            <w:pPr>
              <w:rPr>
                <w:b/>
                <w:bCs/>
                <w:sz w:val="22"/>
                <w:szCs w:val="22"/>
                <w:lang w:val="en-GB"/>
              </w:rPr>
            </w:pPr>
            <w:r w:rsidRPr="00E14060">
              <w:rPr>
                <w:b/>
                <w:bCs/>
                <w:sz w:val="22"/>
                <w:szCs w:val="22"/>
                <w:lang w:val="en-GB"/>
              </w:rPr>
              <w:t>LDX</w:t>
            </w:r>
          </w:p>
        </w:tc>
        <w:tc>
          <w:tcPr>
            <w:tcW w:w="125" w:type="dxa"/>
            <w:tcBorders>
              <w:top w:val="nil"/>
              <w:left w:val="nil"/>
              <w:bottom w:val="nil"/>
              <w:right w:val="nil"/>
            </w:tcBorders>
            <w:shd w:val="clear" w:color="auto" w:fill="auto"/>
            <w:noWrap/>
            <w:vAlign w:val="bottom"/>
            <w:hideMark/>
          </w:tcPr>
          <w:p w14:paraId="116CA8B8" w14:textId="77777777" w:rsidR="002E6A2B" w:rsidRPr="00E14060" w:rsidRDefault="002E6A2B" w:rsidP="002E6A2B">
            <w:pPr>
              <w:rPr>
                <w:b/>
                <w:bCs/>
                <w:sz w:val="22"/>
                <w:szCs w:val="22"/>
                <w:lang w:val="en-GB"/>
              </w:rPr>
            </w:pPr>
          </w:p>
        </w:tc>
        <w:tc>
          <w:tcPr>
            <w:tcW w:w="1291" w:type="dxa"/>
            <w:tcBorders>
              <w:top w:val="nil"/>
              <w:left w:val="nil"/>
              <w:bottom w:val="nil"/>
              <w:right w:val="nil"/>
            </w:tcBorders>
            <w:shd w:val="clear" w:color="auto" w:fill="auto"/>
            <w:noWrap/>
            <w:vAlign w:val="bottom"/>
            <w:hideMark/>
          </w:tcPr>
          <w:p w14:paraId="10914E3F" w14:textId="77777777" w:rsidR="002E6A2B" w:rsidRPr="00E14060" w:rsidRDefault="002E6A2B" w:rsidP="002E6A2B">
            <w:pPr>
              <w:jc w:val="center"/>
              <w:rPr>
                <w:sz w:val="22"/>
                <w:szCs w:val="22"/>
                <w:lang w:val="en-GB"/>
              </w:rPr>
            </w:pPr>
            <w:r w:rsidRPr="00E14060">
              <w:rPr>
                <w:sz w:val="22"/>
                <w:szCs w:val="22"/>
                <w:lang w:val="en-GB"/>
              </w:rPr>
              <w:t>-10.48</w:t>
            </w:r>
          </w:p>
        </w:tc>
        <w:tc>
          <w:tcPr>
            <w:tcW w:w="1700" w:type="dxa"/>
            <w:tcBorders>
              <w:top w:val="nil"/>
              <w:left w:val="nil"/>
              <w:bottom w:val="nil"/>
              <w:right w:val="nil"/>
            </w:tcBorders>
            <w:shd w:val="clear" w:color="auto" w:fill="auto"/>
            <w:noWrap/>
            <w:vAlign w:val="bottom"/>
            <w:hideMark/>
          </w:tcPr>
          <w:p w14:paraId="31739197" w14:textId="77777777" w:rsidR="002E6A2B" w:rsidRPr="00E14060" w:rsidRDefault="002E6A2B" w:rsidP="002E6A2B">
            <w:pPr>
              <w:jc w:val="center"/>
              <w:rPr>
                <w:sz w:val="22"/>
                <w:szCs w:val="22"/>
                <w:lang w:val="en-GB"/>
              </w:rPr>
            </w:pPr>
            <w:r w:rsidRPr="00E14060">
              <w:rPr>
                <w:sz w:val="22"/>
                <w:szCs w:val="22"/>
                <w:lang w:val="en-GB"/>
              </w:rPr>
              <w:t>(-13.28, -7.75)</w:t>
            </w:r>
          </w:p>
        </w:tc>
        <w:tc>
          <w:tcPr>
            <w:tcW w:w="2560" w:type="dxa"/>
            <w:tcBorders>
              <w:top w:val="nil"/>
              <w:left w:val="nil"/>
              <w:bottom w:val="nil"/>
              <w:right w:val="nil"/>
            </w:tcBorders>
            <w:shd w:val="clear" w:color="auto" w:fill="auto"/>
            <w:noWrap/>
            <w:vAlign w:val="bottom"/>
            <w:hideMark/>
          </w:tcPr>
          <w:p w14:paraId="39A52B5E" w14:textId="77777777" w:rsidR="002E6A2B" w:rsidRPr="00E14060" w:rsidRDefault="002E6A2B" w:rsidP="002E6A2B">
            <w:pPr>
              <w:jc w:val="center"/>
              <w:rPr>
                <w:sz w:val="22"/>
                <w:szCs w:val="22"/>
                <w:lang w:val="en-GB"/>
              </w:rPr>
            </w:pPr>
            <w:r w:rsidRPr="00E14060">
              <w:rPr>
                <w:sz w:val="22"/>
                <w:szCs w:val="22"/>
                <w:lang w:val="en-GB"/>
              </w:rPr>
              <w:t>90.67%</w:t>
            </w:r>
          </w:p>
        </w:tc>
        <w:tc>
          <w:tcPr>
            <w:tcW w:w="2480" w:type="dxa"/>
            <w:tcBorders>
              <w:top w:val="nil"/>
              <w:left w:val="nil"/>
              <w:bottom w:val="nil"/>
              <w:right w:val="nil"/>
            </w:tcBorders>
            <w:shd w:val="clear" w:color="auto" w:fill="auto"/>
            <w:noWrap/>
            <w:vAlign w:val="bottom"/>
            <w:hideMark/>
          </w:tcPr>
          <w:p w14:paraId="107D8301" w14:textId="77777777" w:rsidR="002E6A2B" w:rsidRPr="00E14060" w:rsidRDefault="002E6A2B" w:rsidP="002E6A2B">
            <w:pPr>
              <w:jc w:val="center"/>
              <w:rPr>
                <w:sz w:val="22"/>
                <w:szCs w:val="22"/>
                <w:lang w:val="en-GB"/>
              </w:rPr>
            </w:pPr>
            <w:r w:rsidRPr="00E14060">
              <w:rPr>
                <w:sz w:val="22"/>
                <w:szCs w:val="22"/>
                <w:lang w:val="en-GB"/>
              </w:rPr>
              <w:t>--</w:t>
            </w:r>
          </w:p>
        </w:tc>
        <w:tc>
          <w:tcPr>
            <w:tcW w:w="125" w:type="dxa"/>
            <w:tcBorders>
              <w:top w:val="nil"/>
              <w:left w:val="nil"/>
              <w:bottom w:val="nil"/>
              <w:right w:val="nil"/>
            </w:tcBorders>
            <w:shd w:val="clear" w:color="auto" w:fill="auto"/>
            <w:noWrap/>
            <w:vAlign w:val="bottom"/>
            <w:hideMark/>
          </w:tcPr>
          <w:p w14:paraId="3A176646" w14:textId="77777777" w:rsidR="002E6A2B" w:rsidRPr="00E14060" w:rsidRDefault="002E6A2B" w:rsidP="002E6A2B">
            <w:pPr>
              <w:rPr>
                <w:sz w:val="22"/>
                <w:szCs w:val="22"/>
                <w:lang w:val="en-GB"/>
              </w:rPr>
            </w:pPr>
          </w:p>
        </w:tc>
      </w:tr>
      <w:tr w:rsidR="002E6A2B" w:rsidRPr="00E14060" w14:paraId="09BCA228" w14:textId="77777777" w:rsidTr="002E6A2B">
        <w:trPr>
          <w:trHeight w:val="300"/>
        </w:trPr>
        <w:tc>
          <w:tcPr>
            <w:tcW w:w="13" w:type="dxa"/>
            <w:tcBorders>
              <w:top w:val="nil"/>
              <w:left w:val="nil"/>
              <w:bottom w:val="nil"/>
              <w:right w:val="nil"/>
            </w:tcBorders>
            <w:shd w:val="clear" w:color="auto" w:fill="auto"/>
            <w:noWrap/>
            <w:vAlign w:val="bottom"/>
            <w:hideMark/>
          </w:tcPr>
          <w:p w14:paraId="672B8E19" w14:textId="77777777" w:rsidR="002E6A2B" w:rsidRPr="00E14060" w:rsidRDefault="002E6A2B" w:rsidP="002E6A2B">
            <w:pPr>
              <w:rPr>
                <w:sz w:val="22"/>
                <w:szCs w:val="22"/>
                <w:lang w:val="en-GB"/>
              </w:rPr>
            </w:pPr>
          </w:p>
        </w:tc>
        <w:tc>
          <w:tcPr>
            <w:tcW w:w="2026" w:type="dxa"/>
            <w:tcBorders>
              <w:top w:val="nil"/>
              <w:left w:val="nil"/>
              <w:bottom w:val="nil"/>
              <w:right w:val="nil"/>
            </w:tcBorders>
            <w:shd w:val="clear" w:color="auto" w:fill="auto"/>
            <w:noWrap/>
            <w:vAlign w:val="bottom"/>
            <w:hideMark/>
          </w:tcPr>
          <w:p w14:paraId="0CF73B36" w14:textId="77777777" w:rsidR="002E6A2B" w:rsidRPr="00E14060" w:rsidRDefault="002E6A2B" w:rsidP="002E6A2B">
            <w:pPr>
              <w:rPr>
                <w:b/>
                <w:bCs/>
                <w:sz w:val="22"/>
                <w:szCs w:val="22"/>
                <w:lang w:val="en-GB"/>
              </w:rPr>
            </w:pPr>
            <w:r w:rsidRPr="00E14060">
              <w:rPr>
                <w:b/>
                <w:bCs/>
                <w:sz w:val="22"/>
                <w:szCs w:val="22"/>
                <w:lang w:val="en-GB"/>
              </w:rPr>
              <w:t>ATX</w:t>
            </w:r>
          </w:p>
        </w:tc>
        <w:tc>
          <w:tcPr>
            <w:tcW w:w="125" w:type="dxa"/>
            <w:tcBorders>
              <w:top w:val="nil"/>
              <w:left w:val="nil"/>
              <w:bottom w:val="nil"/>
              <w:right w:val="nil"/>
            </w:tcBorders>
            <w:shd w:val="clear" w:color="auto" w:fill="auto"/>
            <w:noWrap/>
            <w:vAlign w:val="bottom"/>
            <w:hideMark/>
          </w:tcPr>
          <w:p w14:paraId="03A75033" w14:textId="77777777" w:rsidR="002E6A2B" w:rsidRPr="00E14060" w:rsidRDefault="002E6A2B" w:rsidP="002E6A2B">
            <w:pPr>
              <w:rPr>
                <w:b/>
                <w:bCs/>
                <w:sz w:val="22"/>
                <w:szCs w:val="22"/>
                <w:lang w:val="en-GB"/>
              </w:rPr>
            </w:pPr>
          </w:p>
        </w:tc>
        <w:tc>
          <w:tcPr>
            <w:tcW w:w="1291" w:type="dxa"/>
            <w:tcBorders>
              <w:top w:val="nil"/>
              <w:left w:val="nil"/>
              <w:bottom w:val="nil"/>
              <w:right w:val="nil"/>
            </w:tcBorders>
            <w:shd w:val="clear" w:color="auto" w:fill="auto"/>
            <w:noWrap/>
            <w:vAlign w:val="bottom"/>
            <w:hideMark/>
          </w:tcPr>
          <w:p w14:paraId="44BC763D" w14:textId="77777777" w:rsidR="002E6A2B" w:rsidRPr="00E14060" w:rsidRDefault="002E6A2B" w:rsidP="002E6A2B">
            <w:pPr>
              <w:jc w:val="center"/>
              <w:rPr>
                <w:sz w:val="22"/>
                <w:szCs w:val="22"/>
                <w:lang w:val="en-GB"/>
              </w:rPr>
            </w:pPr>
            <w:r w:rsidRPr="00E14060">
              <w:rPr>
                <w:sz w:val="22"/>
                <w:szCs w:val="22"/>
                <w:lang w:val="en-GB"/>
              </w:rPr>
              <w:t>-6.42</w:t>
            </w:r>
          </w:p>
        </w:tc>
        <w:tc>
          <w:tcPr>
            <w:tcW w:w="1700" w:type="dxa"/>
            <w:tcBorders>
              <w:top w:val="nil"/>
              <w:left w:val="nil"/>
              <w:bottom w:val="nil"/>
              <w:right w:val="nil"/>
            </w:tcBorders>
            <w:shd w:val="clear" w:color="auto" w:fill="auto"/>
            <w:noWrap/>
            <w:vAlign w:val="bottom"/>
            <w:hideMark/>
          </w:tcPr>
          <w:p w14:paraId="0D10E777" w14:textId="77777777" w:rsidR="002E6A2B" w:rsidRPr="00E14060" w:rsidRDefault="002E6A2B" w:rsidP="002E6A2B">
            <w:pPr>
              <w:jc w:val="center"/>
              <w:rPr>
                <w:sz w:val="22"/>
                <w:szCs w:val="22"/>
                <w:lang w:val="en-GB"/>
              </w:rPr>
            </w:pPr>
            <w:r w:rsidRPr="00E14060">
              <w:rPr>
                <w:sz w:val="22"/>
                <w:szCs w:val="22"/>
                <w:lang w:val="en-GB"/>
              </w:rPr>
              <w:t>(-11.47, -1.49)</w:t>
            </w:r>
          </w:p>
        </w:tc>
        <w:tc>
          <w:tcPr>
            <w:tcW w:w="2560" w:type="dxa"/>
            <w:tcBorders>
              <w:top w:val="nil"/>
              <w:left w:val="nil"/>
              <w:bottom w:val="nil"/>
              <w:right w:val="nil"/>
            </w:tcBorders>
            <w:shd w:val="clear" w:color="auto" w:fill="auto"/>
            <w:noWrap/>
            <w:vAlign w:val="bottom"/>
            <w:hideMark/>
          </w:tcPr>
          <w:p w14:paraId="5C8C89E2" w14:textId="77777777" w:rsidR="002E6A2B" w:rsidRPr="00E14060" w:rsidRDefault="002E6A2B" w:rsidP="002E6A2B">
            <w:pPr>
              <w:jc w:val="center"/>
              <w:rPr>
                <w:sz w:val="22"/>
                <w:szCs w:val="22"/>
                <w:lang w:val="en-GB"/>
              </w:rPr>
            </w:pPr>
            <w:r w:rsidRPr="00E14060">
              <w:rPr>
                <w:sz w:val="22"/>
                <w:szCs w:val="22"/>
                <w:lang w:val="en-GB"/>
              </w:rPr>
              <w:t>7.39%</w:t>
            </w:r>
          </w:p>
        </w:tc>
        <w:tc>
          <w:tcPr>
            <w:tcW w:w="2480" w:type="dxa"/>
            <w:tcBorders>
              <w:top w:val="nil"/>
              <w:left w:val="nil"/>
              <w:bottom w:val="nil"/>
              <w:right w:val="nil"/>
            </w:tcBorders>
            <w:shd w:val="clear" w:color="auto" w:fill="auto"/>
            <w:noWrap/>
            <w:vAlign w:val="bottom"/>
            <w:hideMark/>
          </w:tcPr>
          <w:p w14:paraId="16929226" w14:textId="77777777" w:rsidR="002E6A2B" w:rsidRPr="00E14060" w:rsidRDefault="002E6A2B" w:rsidP="002E6A2B">
            <w:pPr>
              <w:jc w:val="center"/>
              <w:rPr>
                <w:sz w:val="22"/>
                <w:szCs w:val="22"/>
                <w:lang w:val="en-GB"/>
              </w:rPr>
            </w:pPr>
            <w:r w:rsidRPr="00E14060">
              <w:rPr>
                <w:sz w:val="22"/>
                <w:szCs w:val="22"/>
                <w:lang w:val="en-GB"/>
              </w:rPr>
              <w:t>92.26%</w:t>
            </w:r>
          </w:p>
        </w:tc>
        <w:tc>
          <w:tcPr>
            <w:tcW w:w="125" w:type="dxa"/>
            <w:tcBorders>
              <w:top w:val="nil"/>
              <w:left w:val="nil"/>
              <w:bottom w:val="nil"/>
              <w:right w:val="nil"/>
            </w:tcBorders>
            <w:shd w:val="clear" w:color="auto" w:fill="auto"/>
            <w:noWrap/>
            <w:vAlign w:val="bottom"/>
            <w:hideMark/>
          </w:tcPr>
          <w:p w14:paraId="0FFD76A0" w14:textId="77777777" w:rsidR="002E6A2B" w:rsidRPr="00E14060" w:rsidRDefault="002E6A2B" w:rsidP="002E6A2B">
            <w:pPr>
              <w:rPr>
                <w:sz w:val="22"/>
                <w:szCs w:val="22"/>
                <w:lang w:val="en-GB"/>
              </w:rPr>
            </w:pPr>
          </w:p>
        </w:tc>
      </w:tr>
      <w:tr w:rsidR="002E6A2B" w:rsidRPr="00E14060" w14:paraId="76F3A2E3" w14:textId="77777777" w:rsidTr="002E6A2B">
        <w:trPr>
          <w:trHeight w:val="300"/>
        </w:trPr>
        <w:tc>
          <w:tcPr>
            <w:tcW w:w="13" w:type="dxa"/>
            <w:tcBorders>
              <w:top w:val="nil"/>
              <w:left w:val="nil"/>
              <w:bottom w:val="nil"/>
              <w:right w:val="nil"/>
            </w:tcBorders>
            <w:shd w:val="clear" w:color="auto" w:fill="auto"/>
            <w:noWrap/>
            <w:vAlign w:val="bottom"/>
            <w:hideMark/>
          </w:tcPr>
          <w:p w14:paraId="24A59DB1" w14:textId="77777777" w:rsidR="002E6A2B" w:rsidRPr="00E14060" w:rsidRDefault="002E6A2B" w:rsidP="002E6A2B">
            <w:pPr>
              <w:rPr>
                <w:sz w:val="22"/>
                <w:szCs w:val="22"/>
                <w:lang w:val="en-GB"/>
              </w:rPr>
            </w:pPr>
          </w:p>
        </w:tc>
        <w:tc>
          <w:tcPr>
            <w:tcW w:w="2026" w:type="dxa"/>
            <w:tcBorders>
              <w:top w:val="nil"/>
              <w:left w:val="nil"/>
              <w:bottom w:val="single" w:sz="4" w:space="0" w:color="auto"/>
              <w:right w:val="nil"/>
            </w:tcBorders>
            <w:shd w:val="clear" w:color="auto" w:fill="auto"/>
            <w:noWrap/>
            <w:vAlign w:val="bottom"/>
            <w:hideMark/>
          </w:tcPr>
          <w:p w14:paraId="009F5BE2" w14:textId="77777777" w:rsidR="002E6A2B" w:rsidRPr="00E14060" w:rsidRDefault="002E6A2B" w:rsidP="002E6A2B">
            <w:pPr>
              <w:rPr>
                <w:b/>
                <w:bCs/>
                <w:sz w:val="22"/>
                <w:szCs w:val="22"/>
                <w:lang w:val="en-GB"/>
              </w:rPr>
            </w:pPr>
            <w:r w:rsidRPr="00E14060">
              <w:rPr>
                <w:b/>
                <w:bCs/>
                <w:sz w:val="22"/>
                <w:szCs w:val="22"/>
                <w:lang w:val="en-GB"/>
              </w:rPr>
              <w:t>MPH-ER</w:t>
            </w:r>
          </w:p>
        </w:tc>
        <w:tc>
          <w:tcPr>
            <w:tcW w:w="125" w:type="dxa"/>
            <w:tcBorders>
              <w:top w:val="nil"/>
              <w:left w:val="nil"/>
              <w:bottom w:val="single" w:sz="4" w:space="0" w:color="auto"/>
              <w:right w:val="nil"/>
            </w:tcBorders>
            <w:shd w:val="clear" w:color="auto" w:fill="auto"/>
            <w:noWrap/>
            <w:vAlign w:val="bottom"/>
            <w:hideMark/>
          </w:tcPr>
          <w:p w14:paraId="7C9492A3" w14:textId="77777777" w:rsidR="002E6A2B" w:rsidRPr="00E14060" w:rsidRDefault="002E6A2B" w:rsidP="002E6A2B">
            <w:pPr>
              <w:rPr>
                <w:b/>
                <w:bCs/>
                <w:sz w:val="22"/>
                <w:szCs w:val="22"/>
                <w:lang w:val="en-GB"/>
              </w:rPr>
            </w:pPr>
            <w:r w:rsidRPr="00E14060">
              <w:rPr>
                <w:b/>
                <w:bCs/>
                <w:sz w:val="22"/>
                <w:szCs w:val="22"/>
                <w:lang w:val="en-GB"/>
              </w:rPr>
              <w:t> </w:t>
            </w:r>
          </w:p>
        </w:tc>
        <w:tc>
          <w:tcPr>
            <w:tcW w:w="1291" w:type="dxa"/>
            <w:tcBorders>
              <w:top w:val="nil"/>
              <w:left w:val="nil"/>
              <w:bottom w:val="single" w:sz="4" w:space="0" w:color="auto"/>
              <w:right w:val="nil"/>
            </w:tcBorders>
            <w:shd w:val="clear" w:color="auto" w:fill="auto"/>
            <w:noWrap/>
            <w:vAlign w:val="bottom"/>
            <w:hideMark/>
          </w:tcPr>
          <w:p w14:paraId="6ACA777E" w14:textId="77777777" w:rsidR="002E6A2B" w:rsidRPr="00E14060" w:rsidRDefault="002E6A2B" w:rsidP="002E6A2B">
            <w:pPr>
              <w:jc w:val="center"/>
              <w:rPr>
                <w:sz w:val="22"/>
                <w:szCs w:val="22"/>
                <w:lang w:val="en-GB"/>
              </w:rPr>
            </w:pPr>
            <w:r w:rsidRPr="00E14060">
              <w:rPr>
                <w:sz w:val="22"/>
                <w:szCs w:val="22"/>
                <w:lang w:val="en-GB"/>
              </w:rPr>
              <w:t>-6.73</w:t>
            </w:r>
          </w:p>
        </w:tc>
        <w:tc>
          <w:tcPr>
            <w:tcW w:w="1700" w:type="dxa"/>
            <w:tcBorders>
              <w:top w:val="nil"/>
              <w:left w:val="nil"/>
              <w:bottom w:val="single" w:sz="4" w:space="0" w:color="auto"/>
              <w:right w:val="nil"/>
            </w:tcBorders>
            <w:shd w:val="clear" w:color="auto" w:fill="auto"/>
            <w:noWrap/>
            <w:vAlign w:val="bottom"/>
            <w:hideMark/>
          </w:tcPr>
          <w:p w14:paraId="745700F3" w14:textId="77777777" w:rsidR="002E6A2B" w:rsidRPr="00E14060" w:rsidRDefault="002E6A2B" w:rsidP="002E6A2B">
            <w:pPr>
              <w:jc w:val="center"/>
              <w:rPr>
                <w:sz w:val="22"/>
                <w:szCs w:val="22"/>
                <w:lang w:val="en-GB"/>
              </w:rPr>
            </w:pPr>
            <w:r w:rsidRPr="00E14060">
              <w:rPr>
                <w:sz w:val="22"/>
                <w:szCs w:val="22"/>
                <w:lang w:val="en-GB"/>
              </w:rPr>
              <w:t>(-9.34, -4.04)</w:t>
            </w:r>
          </w:p>
        </w:tc>
        <w:tc>
          <w:tcPr>
            <w:tcW w:w="2560" w:type="dxa"/>
            <w:tcBorders>
              <w:top w:val="nil"/>
              <w:left w:val="nil"/>
              <w:bottom w:val="single" w:sz="4" w:space="0" w:color="auto"/>
              <w:right w:val="nil"/>
            </w:tcBorders>
            <w:shd w:val="clear" w:color="auto" w:fill="auto"/>
            <w:noWrap/>
            <w:vAlign w:val="bottom"/>
            <w:hideMark/>
          </w:tcPr>
          <w:p w14:paraId="48CC64EF" w14:textId="77777777" w:rsidR="002E6A2B" w:rsidRPr="00E14060" w:rsidRDefault="002E6A2B" w:rsidP="002E6A2B">
            <w:pPr>
              <w:jc w:val="center"/>
              <w:rPr>
                <w:sz w:val="22"/>
                <w:szCs w:val="22"/>
                <w:lang w:val="en-GB"/>
              </w:rPr>
            </w:pPr>
            <w:r w:rsidRPr="00E14060">
              <w:rPr>
                <w:sz w:val="22"/>
                <w:szCs w:val="22"/>
                <w:lang w:val="en-GB"/>
              </w:rPr>
              <w:t>1.94%</w:t>
            </w:r>
          </w:p>
        </w:tc>
        <w:tc>
          <w:tcPr>
            <w:tcW w:w="2480" w:type="dxa"/>
            <w:tcBorders>
              <w:top w:val="nil"/>
              <w:left w:val="nil"/>
              <w:bottom w:val="single" w:sz="4" w:space="0" w:color="auto"/>
              <w:right w:val="nil"/>
            </w:tcBorders>
            <w:shd w:val="clear" w:color="auto" w:fill="auto"/>
            <w:noWrap/>
            <w:vAlign w:val="bottom"/>
            <w:hideMark/>
          </w:tcPr>
          <w:p w14:paraId="64490C00" w14:textId="77777777" w:rsidR="002E6A2B" w:rsidRPr="00E14060" w:rsidRDefault="002E6A2B" w:rsidP="002E6A2B">
            <w:pPr>
              <w:jc w:val="center"/>
              <w:rPr>
                <w:sz w:val="22"/>
                <w:szCs w:val="22"/>
                <w:lang w:val="en-GB"/>
              </w:rPr>
            </w:pPr>
            <w:r w:rsidRPr="00E14060">
              <w:rPr>
                <w:sz w:val="22"/>
                <w:szCs w:val="22"/>
                <w:lang w:val="en-GB"/>
              </w:rPr>
              <w:t>97.39%</w:t>
            </w:r>
          </w:p>
        </w:tc>
        <w:tc>
          <w:tcPr>
            <w:tcW w:w="125" w:type="dxa"/>
            <w:tcBorders>
              <w:top w:val="nil"/>
              <w:left w:val="nil"/>
              <w:bottom w:val="single" w:sz="4" w:space="0" w:color="auto"/>
              <w:right w:val="nil"/>
            </w:tcBorders>
            <w:shd w:val="clear" w:color="auto" w:fill="auto"/>
            <w:noWrap/>
            <w:vAlign w:val="bottom"/>
            <w:hideMark/>
          </w:tcPr>
          <w:p w14:paraId="615E3A68" w14:textId="77777777" w:rsidR="002E6A2B" w:rsidRPr="00E14060" w:rsidRDefault="002E6A2B" w:rsidP="002E6A2B">
            <w:pPr>
              <w:rPr>
                <w:sz w:val="22"/>
                <w:szCs w:val="22"/>
                <w:lang w:val="en-GB"/>
              </w:rPr>
            </w:pPr>
            <w:r w:rsidRPr="00E14060">
              <w:rPr>
                <w:sz w:val="22"/>
                <w:szCs w:val="22"/>
                <w:lang w:val="en-GB"/>
              </w:rPr>
              <w:t> </w:t>
            </w:r>
          </w:p>
        </w:tc>
      </w:tr>
    </w:tbl>
    <w:p w14:paraId="7BBCC902" w14:textId="77777777" w:rsidR="002E6A2B" w:rsidRPr="00E14060" w:rsidRDefault="002E6A2B" w:rsidP="009375DF">
      <w:pPr>
        <w:spacing w:before="240" w:after="240" w:line="360" w:lineRule="auto"/>
        <w:rPr>
          <w:sz w:val="24"/>
          <w:szCs w:val="24"/>
          <w:lang w:val="en-GB"/>
        </w:rPr>
      </w:pPr>
    </w:p>
    <w:p w14:paraId="14785D52" w14:textId="77777777" w:rsidR="00FE2DF7" w:rsidRPr="00E14060" w:rsidRDefault="00476030" w:rsidP="00FE2DF7">
      <w:pPr>
        <w:pStyle w:val="Heading3"/>
        <w:rPr>
          <w:color w:val="auto"/>
          <w:lang w:val="en-GB"/>
        </w:rPr>
      </w:pPr>
      <w:r w:rsidRPr="00E14060">
        <w:rPr>
          <w:color w:val="auto"/>
          <w:lang w:val="en-GB"/>
        </w:rPr>
        <w:br w:type="page"/>
      </w:r>
      <w:bookmarkStart w:id="263" w:name="_Toc402543844"/>
      <w:r w:rsidR="00FE2DF7" w:rsidRPr="00E14060">
        <w:rPr>
          <w:color w:val="auto"/>
          <w:lang w:val="en-GB"/>
        </w:rPr>
        <w:lastRenderedPageBreak/>
        <w:t>Bayesian core analysis for ADHD-RS-IV/AISRS change</w:t>
      </w:r>
      <w:bookmarkEnd w:id="263"/>
    </w:p>
    <w:p w14:paraId="68A0D58C" w14:textId="07A1E32A" w:rsidR="00676B1D" w:rsidRPr="00E14060" w:rsidRDefault="00C5665F" w:rsidP="00676B1D">
      <w:pPr>
        <w:pStyle w:val="AGbodytext0"/>
        <w:rPr>
          <w:sz w:val="24"/>
          <w:szCs w:val="24"/>
        </w:rPr>
      </w:pPr>
      <w:r w:rsidRPr="00E14060">
        <w:rPr>
          <w:sz w:val="24"/>
          <w:szCs w:val="24"/>
          <w:lang w:eastAsia="zh-CN"/>
        </w:rPr>
        <w:t>In</w:t>
      </w:r>
      <w:r w:rsidR="00D24145" w:rsidRPr="00E14060">
        <w:rPr>
          <w:sz w:val="24"/>
          <w:szCs w:val="24"/>
          <w:lang w:eastAsia="zh-CN"/>
        </w:rPr>
        <w:t xml:space="preserve"> the</w:t>
      </w:r>
      <w:r w:rsidR="00174490" w:rsidRPr="00E14060">
        <w:rPr>
          <w:sz w:val="24"/>
          <w:szCs w:val="24"/>
          <w:lang w:eastAsia="zh-CN"/>
        </w:rPr>
        <w:t xml:space="preserve"> </w:t>
      </w:r>
      <w:r w:rsidR="00676B1D" w:rsidRPr="00E14060">
        <w:rPr>
          <w:sz w:val="24"/>
          <w:szCs w:val="24"/>
          <w:lang w:eastAsia="zh-CN"/>
        </w:rPr>
        <w:t xml:space="preserve">core analysis of </w:t>
      </w:r>
      <w:r w:rsidR="00D24145" w:rsidRPr="00E14060">
        <w:rPr>
          <w:sz w:val="24"/>
          <w:szCs w:val="24"/>
          <w:lang w:eastAsia="zh-CN"/>
        </w:rPr>
        <w:t xml:space="preserve">changes in </w:t>
      </w:r>
      <w:r w:rsidR="00174490" w:rsidRPr="00E14060">
        <w:rPr>
          <w:sz w:val="24"/>
          <w:szCs w:val="24"/>
          <w:lang w:eastAsia="zh-CN"/>
        </w:rPr>
        <w:t xml:space="preserve">ADHD-RS-IV or AISRS </w:t>
      </w:r>
      <w:r w:rsidR="00685446" w:rsidRPr="00E14060">
        <w:rPr>
          <w:sz w:val="24"/>
          <w:szCs w:val="24"/>
          <w:lang w:eastAsia="zh-CN"/>
        </w:rPr>
        <w:t>total score</w:t>
      </w:r>
      <w:r w:rsidR="000950B3" w:rsidRPr="00E14060">
        <w:rPr>
          <w:sz w:val="24"/>
          <w:szCs w:val="24"/>
          <w:lang w:eastAsia="zh-CN"/>
        </w:rPr>
        <w:t xml:space="preserve"> presented in </w:t>
      </w:r>
      <w:r w:rsidR="000950B3" w:rsidRPr="00E14060">
        <w:rPr>
          <w:b/>
          <w:sz w:val="24"/>
          <w:szCs w:val="24"/>
          <w:lang w:eastAsia="zh-CN"/>
        </w:rPr>
        <w:t>Table 3B</w:t>
      </w:r>
      <w:r w:rsidR="00676B1D" w:rsidRPr="00E14060">
        <w:rPr>
          <w:sz w:val="24"/>
          <w:szCs w:val="24"/>
          <w:lang w:eastAsia="zh-CN"/>
        </w:rPr>
        <w:t>, LDX had the largest decrease in the score (-10.45) compared to both ATX (-5.41) and MPH-ER (-5.83). There was no overlap in the 95% credible intervals</w:t>
      </w:r>
      <w:r w:rsidR="00256012" w:rsidRPr="00E14060">
        <w:rPr>
          <w:sz w:val="24"/>
          <w:szCs w:val="24"/>
          <w:lang w:eastAsia="zh-CN"/>
        </w:rPr>
        <w:t>,</w:t>
      </w:r>
      <w:r w:rsidR="00F6252F" w:rsidRPr="00E14060">
        <w:rPr>
          <w:sz w:val="24"/>
          <w:szCs w:val="24"/>
          <w:lang w:eastAsia="zh-CN"/>
        </w:rPr>
        <w:t xml:space="preserve"> indicating that the decrease in the </w:t>
      </w:r>
      <w:r w:rsidR="000946EF" w:rsidRPr="00E14060">
        <w:rPr>
          <w:sz w:val="24"/>
          <w:szCs w:val="24"/>
          <w:lang w:eastAsia="zh-CN"/>
        </w:rPr>
        <w:t>s</w:t>
      </w:r>
      <w:r w:rsidR="00685446" w:rsidRPr="00E14060">
        <w:rPr>
          <w:sz w:val="24"/>
          <w:szCs w:val="24"/>
          <w:lang w:eastAsia="zh-CN"/>
        </w:rPr>
        <w:t>core</w:t>
      </w:r>
      <w:r w:rsidR="00F6252F" w:rsidRPr="00E14060">
        <w:rPr>
          <w:sz w:val="24"/>
          <w:szCs w:val="24"/>
          <w:lang w:eastAsia="zh-CN"/>
        </w:rPr>
        <w:t xml:space="preserve"> for LDX was statistically different from </w:t>
      </w:r>
      <w:r w:rsidR="00D62397" w:rsidRPr="00E14060">
        <w:rPr>
          <w:sz w:val="24"/>
          <w:szCs w:val="24"/>
          <w:lang w:eastAsia="zh-CN"/>
        </w:rPr>
        <w:t xml:space="preserve">score </w:t>
      </w:r>
      <w:r w:rsidR="00F6252F" w:rsidRPr="00E14060">
        <w:rPr>
          <w:sz w:val="24"/>
          <w:szCs w:val="24"/>
          <w:lang w:eastAsia="zh-CN"/>
        </w:rPr>
        <w:t xml:space="preserve">changes for both ATX and MPH-ER. </w:t>
      </w:r>
      <w:r w:rsidR="00676B1D" w:rsidRPr="00E14060">
        <w:rPr>
          <w:sz w:val="24"/>
          <w:szCs w:val="24"/>
          <w:lang w:eastAsia="zh-CN"/>
        </w:rPr>
        <w:t xml:space="preserve">LDX </w:t>
      </w:r>
      <w:r w:rsidR="00851495" w:rsidRPr="00E14060">
        <w:rPr>
          <w:sz w:val="24"/>
          <w:szCs w:val="24"/>
          <w:lang w:eastAsia="zh-CN"/>
        </w:rPr>
        <w:t xml:space="preserve">also </w:t>
      </w:r>
      <w:r w:rsidR="00676B1D" w:rsidRPr="00E14060">
        <w:rPr>
          <w:sz w:val="24"/>
          <w:szCs w:val="24"/>
          <w:lang w:eastAsia="zh-CN"/>
        </w:rPr>
        <w:t>had a very high probability of being the most efficacious treatment compared to ATX</w:t>
      </w:r>
      <w:r w:rsidR="000946EF" w:rsidRPr="00E14060">
        <w:rPr>
          <w:sz w:val="24"/>
          <w:szCs w:val="24"/>
          <w:lang w:eastAsia="zh-CN"/>
        </w:rPr>
        <w:t xml:space="preserve"> (99.92%)</w:t>
      </w:r>
      <w:r w:rsidR="00676B1D" w:rsidRPr="00E14060">
        <w:rPr>
          <w:sz w:val="24"/>
          <w:szCs w:val="24"/>
          <w:lang w:eastAsia="zh-CN"/>
        </w:rPr>
        <w:t xml:space="preserve"> and MPH-ER</w:t>
      </w:r>
      <w:r w:rsidR="000946EF" w:rsidRPr="00E14060">
        <w:rPr>
          <w:sz w:val="24"/>
          <w:szCs w:val="24"/>
          <w:lang w:eastAsia="zh-CN"/>
        </w:rPr>
        <w:t xml:space="preserve"> (99.90%)</w:t>
      </w:r>
      <w:r w:rsidR="00676B1D" w:rsidRPr="00E14060">
        <w:rPr>
          <w:sz w:val="24"/>
          <w:szCs w:val="24"/>
          <w:lang w:eastAsia="zh-CN"/>
        </w:rPr>
        <w:t xml:space="preserve">. </w:t>
      </w:r>
      <w:r w:rsidR="0083512C" w:rsidRPr="00E14060">
        <w:rPr>
          <w:sz w:val="24"/>
          <w:szCs w:val="24"/>
        </w:rPr>
        <w:t xml:space="preserve">The histograms of the posterior distributions show that the distribution for LDX was concentrated at a greater negative ADHD-RS-IV/AISRS change than the other two treatments, </w:t>
      </w:r>
      <w:r w:rsidR="00256012" w:rsidRPr="00E14060">
        <w:rPr>
          <w:sz w:val="24"/>
          <w:szCs w:val="24"/>
        </w:rPr>
        <w:t>and had very little overlap with the posterior distributions for ATX and MPH-ER</w:t>
      </w:r>
      <w:r w:rsidR="0083512C" w:rsidRPr="00E14060">
        <w:rPr>
          <w:sz w:val="24"/>
          <w:szCs w:val="24"/>
        </w:rPr>
        <w:t>.</w:t>
      </w:r>
    </w:p>
    <w:tbl>
      <w:tblPr>
        <w:tblW w:w="10821" w:type="dxa"/>
        <w:tblInd w:w="108" w:type="dxa"/>
        <w:tblLook w:val="04A0" w:firstRow="1" w:lastRow="0" w:firstColumn="1" w:lastColumn="0" w:noHBand="0" w:noVBand="1"/>
      </w:tblPr>
      <w:tblGrid>
        <w:gridCol w:w="222"/>
        <w:gridCol w:w="2026"/>
        <w:gridCol w:w="271"/>
        <w:gridCol w:w="1291"/>
        <w:gridCol w:w="1700"/>
        <w:gridCol w:w="2560"/>
        <w:gridCol w:w="2480"/>
        <w:gridCol w:w="271"/>
      </w:tblGrid>
      <w:tr w:rsidR="00FE2DF7" w:rsidRPr="00E14060" w14:paraId="4F48CDF6" w14:textId="77777777" w:rsidTr="008C602E">
        <w:trPr>
          <w:trHeight w:val="555"/>
        </w:trPr>
        <w:tc>
          <w:tcPr>
            <w:tcW w:w="10821" w:type="dxa"/>
            <w:gridSpan w:val="8"/>
            <w:tcBorders>
              <w:top w:val="nil"/>
              <w:left w:val="nil"/>
              <w:bottom w:val="nil"/>
              <w:right w:val="nil"/>
            </w:tcBorders>
            <w:shd w:val="clear" w:color="auto" w:fill="auto"/>
            <w:noWrap/>
            <w:vAlign w:val="bottom"/>
            <w:hideMark/>
          </w:tcPr>
          <w:p w14:paraId="7D2D55FD" w14:textId="77777777" w:rsidR="00FE2DF7" w:rsidRPr="00E14060" w:rsidRDefault="00FE2DF7" w:rsidP="00055412">
            <w:pPr>
              <w:jc w:val="center"/>
              <w:rPr>
                <w:b/>
                <w:bCs/>
                <w:sz w:val="22"/>
                <w:szCs w:val="22"/>
                <w:lang w:val="en-GB"/>
              </w:rPr>
            </w:pPr>
            <w:r w:rsidRPr="00E14060">
              <w:rPr>
                <w:b/>
                <w:bCs/>
                <w:sz w:val="22"/>
                <w:szCs w:val="22"/>
                <w:lang w:val="en-GB"/>
              </w:rPr>
              <w:t>Table 3B. Effect of treatment on change from baseline in ADHD-RS-IV/AISRS score (drug - placebo)</w:t>
            </w:r>
            <w:r w:rsidRPr="00E14060">
              <w:rPr>
                <w:rStyle w:val="FootnoteReference"/>
                <w:b/>
                <w:bCs/>
                <w:sz w:val="22"/>
                <w:szCs w:val="22"/>
                <w:lang w:val="en-GB"/>
              </w:rPr>
              <w:footnoteReference w:id="2"/>
            </w:r>
          </w:p>
        </w:tc>
      </w:tr>
      <w:tr w:rsidR="00FE2DF7" w:rsidRPr="00E14060" w14:paraId="4E0A075C" w14:textId="77777777" w:rsidTr="008C602E">
        <w:trPr>
          <w:trHeight w:val="300"/>
        </w:trPr>
        <w:tc>
          <w:tcPr>
            <w:tcW w:w="10821" w:type="dxa"/>
            <w:gridSpan w:val="8"/>
            <w:tcBorders>
              <w:top w:val="nil"/>
              <w:left w:val="nil"/>
              <w:bottom w:val="nil"/>
              <w:right w:val="nil"/>
            </w:tcBorders>
            <w:shd w:val="clear" w:color="auto" w:fill="auto"/>
            <w:noWrap/>
            <w:vAlign w:val="bottom"/>
            <w:hideMark/>
          </w:tcPr>
          <w:p w14:paraId="3712245E" w14:textId="77777777" w:rsidR="00FE2DF7" w:rsidRPr="00E14060" w:rsidRDefault="00FE2DF7" w:rsidP="00055412">
            <w:pPr>
              <w:jc w:val="center"/>
              <w:rPr>
                <w:b/>
                <w:bCs/>
                <w:sz w:val="22"/>
                <w:szCs w:val="22"/>
                <w:lang w:val="en-GB"/>
              </w:rPr>
            </w:pPr>
            <w:r w:rsidRPr="00E14060">
              <w:rPr>
                <w:b/>
                <w:bCs/>
                <w:sz w:val="22"/>
                <w:szCs w:val="22"/>
                <w:lang w:val="en-GB"/>
              </w:rPr>
              <w:t>Core Bayesian analysis: random effects model, combined doses</w:t>
            </w:r>
          </w:p>
        </w:tc>
      </w:tr>
      <w:tr w:rsidR="00FE2DF7" w:rsidRPr="00E14060" w14:paraId="7F83BD1F" w14:textId="77777777" w:rsidTr="008C602E">
        <w:trPr>
          <w:trHeight w:val="300"/>
        </w:trPr>
        <w:tc>
          <w:tcPr>
            <w:tcW w:w="222" w:type="dxa"/>
            <w:tcBorders>
              <w:top w:val="nil"/>
              <w:left w:val="nil"/>
              <w:bottom w:val="nil"/>
              <w:right w:val="nil"/>
            </w:tcBorders>
            <w:shd w:val="clear" w:color="auto" w:fill="auto"/>
            <w:noWrap/>
            <w:vAlign w:val="bottom"/>
            <w:hideMark/>
          </w:tcPr>
          <w:p w14:paraId="71C92CC2" w14:textId="77777777" w:rsidR="00FE2DF7" w:rsidRPr="00E14060" w:rsidRDefault="00FE2DF7" w:rsidP="00055412">
            <w:pPr>
              <w:rPr>
                <w:sz w:val="22"/>
                <w:szCs w:val="22"/>
                <w:lang w:val="en-GB"/>
              </w:rPr>
            </w:pPr>
          </w:p>
        </w:tc>
        <w:tc>
          <w:tcPr>
            <w:tcW w:w="2026" w:type="dxa"/>
            <w:tcBorders>
              <w:top w:val="nil"/>
              <w:left w:val="nil"/>
              <w:bottom w:val="nil"/>
              <w:right w:val="nil"/>
            </w:tcBorders>
            <w:shd w:val="clear" w:color="auto" w:fill="auto"/>
            <w:noWrap/>
            <w:vAlign w:val="bottom"/>
            <w:hideMark/>
          </w:tcPr>
          <w:p w14:paraId="4DC71499" w14:textId="77777777" w:rsidR="00FE2DF7" w:rsidRPr="00E14060" w:rsidRDefault="00FE2DF7" w:rsidP="00055412">
            <w:pPr>
              <w:rPr>
                <w:sz w:val="22"/>
                <w:szCs w:val="22"/>
                <w:lang w:val="en-GB"/>
              </w:rPr>
            </w:pPr>
          </w:p>
        </w:tc>
        <w:tc>
          <w:tcPr>
            <w:tcW w:w="271" w:type="dxa"/>
            <w:tcBorders>
              <w:top w:val="nil"/>
              <w:left w:val="nil"/>
              <w:bottom w:val="nil"/>
              <w:right w:val="nil"/>
            </w:tcBorders>
            <w:shd w:val="clear" w:color="auto" w:fill="auto"/>
            <w:noWrap/>
            <w:vAlign w:val="bottom"/>
            <w:hideMark/>
          </w:tcPr>
          <w:p w14:paraId="696E10D0" w14:textId="77777777" w:rsidR="00FE2DF7" w:rsidRPr="00E14060" w:rsidRDefault="00FE2DF7" w:rsidP="00055412">
            <w:pPr>
              <w:rPr>
                <w:sz w:val="22"/>
                <w:szCs w:val="22"/>
                <w:lang w:val="en-GB"/>
              </w:rPr>
            </w:pPr>
          </w:p>
        </w:tc>
        <w:tc>
          <w:tcPr>
            <w:tcW w:w="1291" w:type="dxa"/>
            <w:tcBorders>
              <w:top w:val="nil"/>
              <w:left w:val="nil"/>
              <w:bottom w:val="nil"/>
              <w:right w:val="nil"/>
            </w:tcBorders>
            <w:shd w:val="clear" w:color="auto" w:fill="auto"/>
            <w:noWrap/>
            <w:vAlign w:val="bottom"/>
            <w:hideMark/>
          </w:tcPr>
          <w:p w14:paraId="3E87F698" w14:textId="77777777" w:rsidR="00FE2DF7" w:rsidRPr="00E14060" w:rsidRDefault="00FE2DF7" w:rsidP="00055412">
            <w:pPr>
              <w:rPr>
                <w:sz w:val="22"/>
                <w:szCs w:val="22"/>
                <w:lang w:val="en-GB"/>
              </w:rPr>
            </w:pPr>
          </w:p>
        </w:tc>
        <w:tc>
          <w:tcPr>
            <w:tcW w:w="1700" w:type="dxa"/>
            <w:tcBorders>
              <w:top w:val="nil"/>
              <w:left w:val="nil"/>
              <w:bottom w:val="nil"/>
              <w:right w:val="nil"/>
            </w:tcBorders>
            <w:shd w:val="clear" w:color="auto" w:fill="auto"/>
            <w:noWrap/>
            <w:vAlign w:val="bottom"/>
            <w:hideMark/>
          </w:tcPr>
          <w:p w14:paraId="010C08CD" w14:textId="77777777" w:rsidR="00FE2DF7" w:rsidRPr="00E14060" w:rsidRDefault="00FE2DF7" w:rsidP="00055412">
            <w:pPr>
              <w:rPr>
                <w:sz w:val="22"/>
                <w:szCs w:val="22"/>
                <w:lang w:val="en-GB"/>
              </w:rPr>
            </w:pPr>
          </w:p>
        </w:tc>
        <w:tc>
          <w:tcPr>
            <w:tcW w:w="2560" w:type="dxa"/>
            <w:tcBorders>
              <w:top w:val="nil"/>
              <w:left w:val="nil"/>
              <w:bottom w:val="nil"/>
              <w:right w:val="nil"/>
            </w:tcBorders>
            <w:shd w:val="clear" w:color="auto" w:fill="auto"/>
            <w:noWrap/>
            <w:vAlign w:val="bottom"/>
            <w:hideMark/>
          </w:tcPr>
          <w:p w14:paraId="45BA634F" w14:textId="77777777" w:rsidR="00FE2DF7" w:rsidRPr="00E14060" w:rsidRDefault="00FE2DF7" w:rsidP="00055412">
            <w:pPr>
              <w:rPr>
                <w:sz w:val="22"/>
                <w:szCs w:val="22"/>
                <w:lang w:val="en-GB"/>
              </w:rPr>
            </w:pPr>
          </w:p>
        </w:tc>
        <w:tc>
          <w:tcPr>
            <w:tcW w:w="2480" w:type="dxa"/>
            <w:tcBorders>
              <w:top w:val="nil"/>
              <w:left w:val="nil"/>
              <w:bottom w:val="nil"/>
              <w:right w:val="nil"/>
            </w:tcBorders>
            <w:shd w:val="clear" w:color="auto" w:fill="auto"/>
            <w:noWrap/>
            <w:vAlign w:val="bottom"/>
            <w:hideMark/>
          </w:tcPr>
          <w:p w14:paraId="1A80A871" w14:textId="77777777" w:rsidR="00FE2DF7" w:rsidRPr="00E14060" w:rsidRDefault="00FE2DF7" w:rsidP="00055412">
            <w:pPr>
              <w:rPr>
                <w:sz w:val="22"/>
                <w:szCs w:val="22"/>
                <w:lang w:val="en-GB"/>
              </w:rPr>
            </w:pPr>
          </w:p>
        </w:tc>
        <w:tc>
          <w:tcPr>
            <w:tcW w:w="271" w:type="dxa"/>
            <w:tcBorders>
              <w:top w:val="nil"/>
              <w:left w:val="nil"/>
              <w:bottom w:val="nil"/>
              <w:right w:val="nil"/>
            </w:tcBorders>
            <w:shd w:val="clear" w:color="auto" w:fill="auto"/>
            <w:noWrap/>
            <w:vAlign w:val="bottom"/>
            <w:hideMark/>
          </w:tcPr>
          <w:p w14:paraId="54CAB4B7" w14:textId="77777777" w:rsidR="00FE2DF7" w:rsidRPr="00E14060" w:rsidRDefault="00FE2DF7" w:rsidP="00055412">
            <w:pPr>
              <w:rPr>
                <w:sz w:val="22"/>
                <w:szCs w:val="22"/>
                <w:lang w:val="en-GB"/>
              </w:rPr>
            </w:pPr>
          </w:p>
        </w:tc>
      </w:tr>
      <w:tr w:rsidR="00FE2DF7" w:rsidRPr="00E14060" w14:paraId="269B5A07" w14:textId="77777777" w:rsidTr="008C602E">
        <w:trPr>
          <w:trHeight w:val="930"/>
        </w:trPr>
        <w:tc>
          <w:tcPr>
            <w:tcW w:w="222" w:type="dxa"/>
            <w:tcBorders>
              <w:top w:val="nil"/>
              <w:left w:val="nil"/>
              <w:bottom w:val="nil"/>
              <w:right w:val="nil"/>
            </w:tcBorders>
            <w:shd w:val="clear" w:color="auto" w:fill="auto"/>
            <w:noWrap/>
            <w:vAlign w:val="bottom"/>
            <w:hideMark/>
          </w:tcPr>
          <w:p w14:paraId="7BFB5CFF" w14:textId="77777777" w:rsidR="00FE2DF7" w:rsidRPr="00E14060" w:rsidRDefault="00FE2DF7" w:rsidP="00055412">
            <w:pPr>
              <w:rPr>
                <w:sz w:val="22"/>
                <w:szCs w:val="22"/>
                <w:lang w:val="en-GB"/>
              </w:rPr>
            </w:pPr>
          </w:p>
        </w:tc>
        <w:tc>
          <w:tcPr>
            <w:tcW w:w="2026" w:type="dxa"/>
            <w:tcBorders>
              <w:top w:val="single" w:sz="4" w:space="0" w:color="auto"/>
              <w:left w:val="nil"/>
              <w:bottom w:val="nil"/>
              <w:right w:val="nil"/>
            </w:tcBorders>
            <w:shd w:val="clear" w:color="auto" w:fill="auto"/>
            <w:noWrap/>
            <w:vAlign w:val="bottom"/>
            <w:hideMark/>
          </w:tcPr>
          <w:p w14:paraId="752BA3E3" w14:textId="77777777" w:rsidR="00FE2DF7" w:rsidRPr="00E14060" w:rsidRDefault="00FE2DF7" w:rsidP="00055412">
            <w:pPr>
              <w:rPr>
                <w:sz w:val="22"/>
                <w:szCs w:val="22"/>
                <w:lang w:val="en-GB"/>
              </w:rPr>
            </w:pPr>
            <w:r w:rsidRPr="00E14060">
              <w:rPr>
                <w:sz w:val="22"/>
                <w:szCs w:val="22"/>
                <w:lang w:val="en-GB"/>
              </w:rPr>
              <w:t> </w:t>
            </w:r>
          </w:p>
        </w:tc>
        <w:tc>
          <w:tcPr>
            <w:tcW w:w="271" w:type="dxa"/>
            <w:tcBorders>
              <w:top w:val="single" w:sz="4" w:space="0" w:color="auto"/>
              <w:left w:val="nil"/>
              <w:bottom w:val="nil"/>
              <w:right w:val="nil"/>
            </w:tcBorders>
            <w:shd w:val="clear" w:color="auto" w:fill="auto"/>
            <w:noWrap/>
            <w:vAlign w:val="bottom"/>
            <w:hideMark/>
          </w:tcPr>
          <w:p w14:paraId="263B220B" w14:textId="77777777" w:rsidR="00FE2DF7" w:rsidRPr="00E14060" w:rsidRDefault="00FE2DF7" w:rsidP="00055412">
            <w:pPr>
              <w:rPr>
                <w:sz w:val="22"/>
                <w:szCs w:val="22"/>
                <w:lang w:val="en-GB"/>
              </w:rPr>
            </w:pPr>
            <w:r w:rsidRPr="00E14060">
              <w:rPr>
                <w:sz w:val="22"/>
                <w:szCs w:val="22"/>
                <w:lang w:val="en-GB"/>
              </w:rPr>
              <w:t> </w:t>
            </w:r>
          </w:p>
        </w:tc>
        <w:tc>
          <w:tcPr>
            <w:tcW w:w="1291" w:type="dxa"/>
            <w:tcBorders>
              <w:top w:val="single" w:sz="4" w:space="0" w:color="auto"/>
              <w:left w:val="nil"/>
              <w:bottom w:val="single" w:sz="4" w:space="0" w:color="auto"/>
              <w:right w:val="nil"/>
            </w:tcBorders>
            <w:shd w:val="clear" w:color="auto" w:fill="auto"/>
            <w:noWrap/>
            <w:vAlign w:val="bottom"/>
            <w:hideMark/>
          </w:tcPr>
          <w:p w14:paraId="4595CD19" w14:textId="77777777" w:rsidR="00FE2DF7" w:rsidRPr="00E14060" w:rsidRDefault="00FE2DF7" w:rsidP="00055412">
            <w:pPr>
              <w:jc w:val="center"/>
              <w:rPr>
                <w:b/>
                <w:bCs/>
                <w:sz w:val="22"/>
                <w:szCs w:val="22"/>
                <w:lang w:val="en-GB"/>
              </w:rPr>
            </w:pPr>
            <w:r w:rsidRPr="00E14060">
              <w:rPr>
                <w:b/>
                <w:bCs/>
                <w:sz w:val="22"/>
                <w:szCs w:val="22"/>
                <w:lang w:val="en-GB"/>
              </w:rPr>
              <w:t xml:space="preserve">Mean </w:t>
            </w:r>
          </w:p>
        </w:tc>
        <w:tc>
          <w:tcPr>
            <w:tcW w:w="1700" w:type="dxa"/>
            <w:tcBorders>
              <w:top w:val="single" w:sz="4" w:space="0" w:color="auto"/>
              <w:left w:val="nil"/>
              <w:bottom w:val="single" w:sz="4" w:space="0" w:color="auto"/>
              <w:right w:val="nil"/>
            </w:tcBorders>
            <w:shd w:val="clear" w:color="auto" w:fill="auto"/>
            <w:vAlign w:val="bottom"/>
            <w:hideMark/>
          </w:tcPr>
          <w:p w14:paraId="1EEA0E67" w14:textId="77777777" w:rsidR="00FE2DF7" w:rsidRPr="00E14060" w:rsidRDefault="00FE2DF7" w:rsidP="00055412">
            <w:pPr>
              <w:jc w:val="center"/>
              <w:rPr>
                <w:b/>
                <w:bCs/>
                <w:sz w:val="22"/>
                <w:szCs w:val="22"/>
                <w:lang w:val="en-GB"/>
              </w:rPr>
            </w:pPr>
            <w:r w:rsidRPr="00E14060">
              <w:rPr>
                <w:b/>
                <w:bCs/>
                <w:sz w:val="22"/>
                <w:szCs w:val="22"/>
                <w:lang w:val="en-GB"/>
              </w:rPr>
              <w:t>95% Credible Interval</w:t>
            </w:r>
          </w:p>
        </w:tc>
        <w:tc>
          <w:tcPr>
            <w:tcW w:w="2560" w:type="dxa"/>
            <w:tcBorders>
              <w:top w:val="single" w:sz="4" w:space="0" w:color="auto"/>
              <w:left w:val="nil"/>
              <w:bottom w:val="single" w:sz="4" w:space="0" w:color="auto"/>
              <w:right w:val="nil"/>
            </w:tcBorders>
            <w:shd w:val="clear" w:color="auto" w:fill="auto"/>
            <w:vAlign w:val="bottom"/>
            <w:hideMark/>
          </w:tcPr>
          <w:p w14:paraId="1437427D" w14:textId="77777777" w:rsidR="00FE2DF7" w:rsidRPr="00E14060" w:rsidRDefault="00FE2DF7" w:rsidP="00055412">
            <w:pPr>
              <w:jc w:val="center"/>
              <w:rPr>
                <w:b/>
                <w:bCs/>
                <w:sz w:val="22"/>
                <w:szCs w:val="22"/>
                <w:lang w:val="en-GB"/>
              </w:rPr>
            </w:pPr>
            <w:r w:rsidRPr="00E14060">
              <w:rPr>
                <w:b/>
                <w:bCs/>
                <w:sz w:val="22"/>
                <w:szCs w:val="22"/>
                <w:lang w:val="en-GB"/>
              </w:rPr>
              <w:t>Probability of the treatment being most effective among all</w:t>
            </w:r>
          </w:p>
        </w:tc>
        <w:tc>
          <w:tcPr>
            <w:tcW w:w="2480" w:type="dxa"/>
            <w:tcBorders>
              <w:top w:val="single" w:sz="4" w:space="0" w:color="auto"/>
              <w:left w:val="nil"/>
              <w:bottom w:val="single" w:sz="4" w:space="0" w:color="auto"/>
              <w:right w:val="nil"/>
            </w:tcBorders>
            <w:shd w:val="clear" w:color="auto" w:fill="auto"/>
            <w:vAlign w:val="bottom"/>
            <w:hideMark/>
          </w:tcPr>
          <w:p w14:paraId="26FE6A50" w14:textId="77777777" w:rsidR="00FE2DF7" w:rsidRPr="00E14060" w:rsidRDefault="00FE2DF7" w:rsidP="00055412">
            <w:pPr>
              <w:jc w:val="center"/>
              <w:rPr>
                <w:b/>
                <w:bCs/>
                <w:sz w:val="22"/>
                <w:szCs w:val="22"/>
                <w:lang w:val="en-GB"/>
              </w:rPr>
            </w:pPr>
            <w:r w:rsidRPr="00E14060">
              <w:rPr>
                <w:b/>
                <w:bCs/>
                <w:sz w:val="22"/>
                <w:szCs w:val="22"/>
                <w:lang w:val="en-GB"/>
              </w:rPr>
              <w:t>Probability of LDX being more effective compared to each treatment</w:t>
            </w:r>
          </w:p>
        </w:tc>
        <w:tc>
          <w:tcPr>
            <w:tcW w:w="271" w:type="dxa"/>
            <w:tcBorders>
              <w:top w:val="single" w:sz="4" w:space="0" w:color="auto"/>
              <w:left w:val="nil"/>
              <w:bottom w:val="single" w:sz="4" w:space="0" w:color="auto"/>
              <w:right w:val="nil"/>
            </w:tcBorders>
            <w:shd w:val="clear" w:color="auto" w:fill="auto"/>
            <w:noWrap/>
            <w:vAlign w:val="bottom"/>
            <w:hideMark/>
          </w:tcPr>
          <w:p w14:paraId="09413BAF" w14:textId="77777777" w:rsidR="00FE2DF7" w:rsidRPr="00E14060" w:rsidRDefault="00FE2DF7" w:rsidP="00055412">
            <w:pPr>
              <w:rPr>
                <w:sz w:val="22"/>
                <w:szCs w:val="22"/>
                <w:lang w:val="en-GB"/>
              </w:rPr>
            </w:pPr>
            <w:r w:rsidRPr="00E14060">
              <w:rPr>
                <w:sz w:val="22"/>
                <w:szCs w:val="22"/>
                <w:lang w:val="en-GB"/>
              </w:rPr>
              <w:t> </w:t>
            </w:r>
          </w:p>
        </w:tc>
      </w:tr>
      <w:tr w:rsidR="00A44B4C" w:rsidRPr="00E14060" w14:paraId="3E4F41F8" w14:textId="77777777" w:rsidTr="008C602E">
        <w:trPr>
          <w:trHeight w:val="300"/>
        </w:trPr>
        <w:tc>
          <w:tcPr>
            <w:tcW w:w="222" w:type="dxa"/>
            <w:tcBorders>
              <w:top w:val="nil"/>
              <w:left w:val="nil"/>
              <w:bottom w:val="nil"/>
              <w:right w:val="nil"/>
            </w:tcBorders>
            <w:shd w:val="clear" w:color="auto" w:fill="auto"/>
            <w:noWrap/>
            <w:vAlign w:val="bottom"/>
            <w:hideMark/>
          </w:tcPr>
          <w:p w14:paraId="30D993E3" w14:textId="77777777" w:rsidR="00A44B4C" w:rsidRPr="00E14060" w:rsidRDefault="00A44B4C" w:rsidP="00055412">
            <w:pPr>
              <w:rPr>
                <w:sz w:val="22"/>
                <w:szCs w:val="22"/>
                <w:lang w:val="en-GB"/>
              </w:rPr>
            </w:pPr>
          </w:p>
        </w:tc>
        <w:tc>
          <w:tcPr>
            <w:tcW w:w="2026" w:type="dxa"/>
            <w:tcBorders>
              <w:top w:val="nil"/>
              <w:left w:val="nil"/>
              <w:bottom w:val="nil"/>
              <w:right w:val="nil"/>
            </w:tcBorders>
            <w:shd w:val="clear" w:color="auto" w:fill="auto"/>
            <w:noWrap/>
            <w:vAlign w:val="bottom"/>
            <w:hideMark/>
          </w:tcPr>
          <w:p w14:paraId="260B4109" w14:textId="77777777" w:rsidR="00A44B4C" w:rsidRPr="00E14060" w:rsidRDefault="00A44B4C" w:rsidP="00055412">
            <w:pPr>
              <w:rPr>
                <w:b/>
                <w:bCs/>
                <w:sz w:val="22"/>
                <w:szCs w:val="22"/>
                <w:lang w:val="en-GB"/>
              </w:rPr>
            </w:pPr>
            <w:r w:rsidRPr="00E14060">
              <w:rPr>
                <w:b/>
                <w:bCs/>
                <w:sz w:val="22"/>
                <w:szCs w:val="22"/>
                <w:lang w:val="en-GB"/>
              </w:rPr>
              <w:t>LDX</w:t>
            </w:r>
          </w:p>
        </w:tc>
        <w:tc>
          <w:tcPr>
            <w:tcW w:w="271" w:type="dxa"/>
            <w:tcBorders>
              <w:top w:val="nil"/>
              <w:left w:val="nil"/>
              <w:bottom w:val="nil"/>
              <w:right w:val="nil"/>
            </w:tcBorders>
            <w:shd w:val="clear" w:color="auto" w:fill="auto"/>
            <w:noWrap/>
            <w:vAlign w:val="bottom"/>
            <w:hideMark/>
          </w:tcPr>
          <w:p w14:paraId="18CABA62" w14:textId="77777777" w:rsidR="00A44B4C" w:rsidRPr="00E14060" w:rsidRDefault="00A44B4C" w:rsidP="00055412">
            <w:pPr>
              <w:rPr>
                <w:b/>
                <w:bCs/>
                <w:sz w:val="22"/>
                <w:szCs w:val="22"/>
                <w:lang w:val="en-GB"/>
              </w:rPr>
            </w:pPr>
          </w:p>
        </w:tc>
        <w:tc>
          <w:tcPr>
            <w:tcW w:w="1291" w:type="dxa"/>
            <w:tcBorders>
              <w:top w:val="nil"/>
              <w:left w:val="nil"/>
              <w:bottom w:val="nil"/>
              <w:right w:val="nil"/>
            </w:tcBorders>
            <w:shd w:val="clear" w:color="auto" w:fill="auto"/>
            <w:noWrap/>
            <w:vAlign w:val="bottom"/>
            <w:hideMark/>
          </w:tcPr>
          <w:p w14:paraId="345CF959" w14:textId="77777777" w:rsidR="00A44B4C" w:rsidRPr="00E14060" w:rsidRDefault="00A44B4C" w:rsidP="00055412">
            <w:pPr>
              <w:jc w:val="center"/>
              <w:rPr>
                <w:sz w:val="22"/>
                <w:szCs w:val="22"/>
                <w:lang w:val="en-GB"/>
              </w:rPr>
            </w:pPr>
            <w:r w:rsidRPr="00E14060">
              <w:rPr>
                <w:sz w:val="22"/>
                <w:szCs w:val="22"/>
                <w:lang w:val="en-GB"/>
              </w:rPr>
              <w:t>-10.45</w:t>
            </w:r>
          </w:p>
        </w:tc>
        <w:tc>
          <w:tcPr>
            <w:tcW w:w="1700" w:type="dxa"/>
            <w:tcBorders>
              <w:top w:val="nil"/>
              <w:left w:val="nil"/>
              <w:bottom w:val="nil"/>
              <w:right w:val="nil"/>
            </w:tcBorders>
            <w:shd w:val="clear" w:color="auto" w:fill="auto"/>
            <w:noWrap/>
            <w:vAlign w:val="bottom"/>
            <w:hideMark/>
          </w:tcPr>
          <w:p w14:paraId="6DD6AA90" w14:textId="77777777" w:rsidR="00A44B4C" w:rsidRPr="00E14060" w:rsidRDefault="00A44B4C" w:rsidP="00055412">
            <w:pPr>
              <w:jc w:val="center"/>
              <w:rPr>
                <w:sz w:val="22"/>
                <w:szCs w:val="22"/>
                <w:lang w:val="en-GB"/>
              </w:rPr>
            </w:pPr>
            <w:r w:rsidRPr="00E14060">
              <w:rPr>
                <w:sz w:val="22"/>
                <w:szCs w:val="22"/>
                <w:lang w:val="en-GB"/>
              </w:rPr>
              <w:t>(-12.94, -8.10)</w:t>
            </w:r>
          </w:p>
        </w:tc>
        <w:tc>
          <w:tcPr>
            <w:tcW w:w="2560" w:type="dxa"/>
            <w:tcBorders>
              <w:top w:val="nil"/>
              <w:left w:val="nil"/>
              <w:bottom w:val="nil"/>
              <w:right w:val="nil"/>
            </w:tcBorders>
            <w:shd w:val="clear" w:color="auto" w:fill="auto"/>
            <w:noWrap/>
            <w:vAlign w:val="bottom"/>
            <w:hideMark/>
          </w:tcPr>
          <w:p w14:paraId="5F5A5158" w14:textId="77777777" w:rsidR="00A44B4C" w:rsidRPr="00E14060" w:rsidRDefault="00A44B4C" w:rsidP="00055412">
            <w:pPr>
              <w:jc w:val="center"/>
              <w:rPr>
                <w:sz w:val="22"/>
                <w:szCs w:val="22"/>
                <w:lang w:val="en-GB"/>
              </w:rPr>
            </w:pPr>
            <w:r w:rsidRPr="00E14060">
              <w:rPr>
                <w:sz w:val="22"/>
                <w:szCs w:val="22"/>
                <w:lang w:val="en-GB"/>
              </w:rPr>
              <w:t>99.83%</w:t>
            </w:r>
          </w:p>
        </w:tc>
        <w:tc>
          <w:tcPr>
            <w:tcW w:w="2480" w:type="dxa"/>
            <w:tcBorders>
              <w:top w:val="nil"/>
              <w:left w:val="nil"/>
              <w:bottom w:val="nil"/>
              <w:right w:val="nil"/>
            </w:tcBorders>
            <w:shd w:val="clear" w:color="auto" w:fill="auto"/>
            <w:noWrap/>
            <w:vAlign w:val="bottom"/>
            <w:hideMark/>
          </w:tcPr>
          <w:p w14:paraId="26EF80B3" w14:textId="77777777" w:rsidR="00A44B4C" w:rsidRPr="00E14060" w:rsidRDefault="00A44B4C" w:rsidP="00055412">
            <w:pPr>
              <w:jc w:val="center"/>
              <w:rPr>
                <w:sz w:val="22"/>
                <w:szCs w:val="22"/>
                <w:lang w:val="en-GB"/>
              </w:rPr>
            </w:pPr>
            <w:r w:rsidRPr="00E14060">
              <w:rPr>
                <w:sz w:val="22"/>
                <w:szCs w:val="22"/>
                <w:lang w:val="en-GB"/>
              </w:rPr>
              <w:t>--</w:t>
            </w:r>
          </w:p>
        </w:tc>
        <w:tc>
          <w:tcPr>
            <w:tcW w:w="271" w:type="dxa"/>
            <w:tcBorders>
              <w:top w:val="nil"/>
              <w:left w:val="nil"/>
              <w:bottom w:val="nil"/>
              <w:right w:val="nil"/>
            </w:tcBorders>
            <w:shd w:val="clear" w:color="auto" w:fill="auto"/>
            <w:noWrap/>
            <w:vAlign w:val="bottom"/>
            <w:hideMark/>
          </w:tcPr>
          <w:p w14:paraId="4D2923CD" w14:textId="77777777" w:rsidR="00A44B4C" w:rsidRPr="00E14060" w:rsidRDefault="00A44B4C" w:rsidP="00055412">
            <w:pPr>
              <w:rPr>
                <w:sz w:val="22"/>
                <w:szCs w:val="22"/>
                <w:lang w:val="en-GB"/>
              </w:rPr>
            </w:pPr>
          </w:p>
        </w:tc>
      </w:tr>
      <w:tr w:rsidR="00A44B4C" w:rsidRPr="00E14060" w14:paraId="2BC656D6" w14:textId="77777777" w:rsidTr="008C602E">
        <w:trPr>
          <w:trHeight w:val="300"/>
        </w:trPr>
        <w:tc>
          <w:tcPr>
            <w:tcW w:w="222" w:type="dxa"/>
            <w:tcBorders>
              <w:top w:val="nil"/>
              <w:left w:val="nil"/>
              <w:bottom w:val="nil"/>
              <w:right w:val="nil"/>
            </w:tcBorders>
            <w:shd w:val="clear" w:color="auto" w:fill="auto"/>
            <w:noWrap/>
            <w:vAlign w:val="bottom"/>
            <w:hideMark/>
          </w:tcPr>
          <w:p w14:paraId="01A2A06A" w14:textId="77777777" w:rsidR="00A44B4C" w:rsidRPr="00E14060" w:rsidRDefault="00A44B4C" w:rsidP="00055412">
            <w:pPr>
              <w:rPr>
                <w:sz w:val="22"/>
                <w:szCs w:val="22"/>
                <w:lang w:val="en-GB"/>
              </w:rPr>
            </w:pPr>
          </w:p>
        </w:tc>
        <w:tc>
          <w:tcPr>
            <w:tcW w:w="2026" w:type="dxa"/>
            <w:tcBorders>
              <w:top w:val="nil"/>
              <w:left w:val="nil"/>
              <w:bottom w:val="nil"/>
              <w:right w:val="nil"/>
            </w:tcBorders>
            <w:shd w:val="clear" w:color="auto" w:fill="auto"/>
            <w:noWrap/>
            <w:vAlign w:val="bottom"/>
            <w:hideMark/>
          </w:tcPr>
          <w:p w14:paraId="56F0A366" w14:textId="77777777" w:rsidR="00A44B4C" w:rsidRPr="00E14060" w:rsidRDefault="00A44B4C" w:rsidP="00055412">
            <w:pPr>
              <w:rPr>
                <w:b/>
                <w:bCs/>
                <w:sz w:val="22"/>
                <w:szCs w:val="22"/>
                <w:lang w:val="en-GB"/>
              </w:rPr>
            </w:pPr>
            <w:r w:rsidRPr="00E14060">
              <w:rPr>
                <w:b/>
                <w:bCs/>
                <w:sz w:val="22"/>
                <w:szCs w:val="22"/>
                <w:lang w:val="en-GB"/>
              </w:rPr>
              <w:t>ATX</w:t>
            </w:r>
          </w:p>
        </w:tc>
        <w:tc>
          <w:tcPr>
            <w:tcW w:w="271" w:type="dxa"/>
            <w:tcBorders>
              <w:top w:val="nil"/>
              <w:left w:val="nil"/>
              <w:bottom w:val="nil"/>
              <w:right w:val="nil"/>
            </w:tcBorders>
            <w:shd w:val="clear" w:color="auto" w:fill="auto"/>
            <w:noWrap/>
            <w:vAlign w:val="bottom"/>
            <w:hideMark/>
          </w:tcPr>
          <w:p w14:paraId="68B9764A" w14:textId="77777777" w:rsidR="00A44B4C" w:rsidRPr="00E14060" w:rsidRDefault="00A44B4C" w:rsidP="00055412">
            <w:pPr>
              <w:rPr>
                <w:b/>
                <w:bCs/>
                <w:sz w:val="22"/>
                <w:szCs w:val="22"/>
                <w:lang w:val="en-GB"/>
              </w:rPr>
            </w:pPr>
          </w:p>
        </w:tc>
        <w:tc>
          <w:tcPr>
            <w:tcW w:w="1291" w:type="dxa"/>
            <w:tcBorders>
              <w:top w:val="nil"/>
              <w:left w:val="nil"/>
              <w:bottom w:val="nil"/>
              <w:right w:val="nil"/>
            </w:tcBorders>
            <w:shd w:val="clear" w:color="auto" w:fill="auto"/>
            <w:noWrap/>
            <w:vAlign w:val="bottom"/>
            <w:hideMark/>
          </w:tcPr>
          <w:p w14:paraId="2DFBF250" w14:textId="77777777" w:rsidR="00A44B4C" w:rsidRPr="00E14060" w:rsidRDefault="00A44B4C" w:rsidP="00055412">
            <w:pPr>
              <w:jc w:val="center"/>
              <w:rPr>
                <w:sz w:val="22"/>
                <w:szCs w:val="22"/>
                <w:lang w:val="en-GB"/>
              </w:rPr>
            </w:pPr>
            <w:r w:rsidRPr="00E14060">
              <w:rPr>
                <w:sz w:val="22"/>
                <w:szCs w:val="22"/>
                <w:lang w:val="en-GB"/>
              </w:rPr>
              <w:t>-5.41</w:t>
            </w:r>
          </w:p>
        </w:tc>
        <w:tc>
          <w:tcPr>
            <w:tcW w:w="1700" w:type="dxa"/>
            <w:tcBorders>
              <w:top w:val="nil"/>
              <w:left w:val="nil"/>
              <w:bottom w:val="nil"/>
              <w:right w:val="nil"/>
            </w:tcBorders>
            <w:shd w:val="clear" w:color="auto" w:fill="auto"/>
            <w:noWrap/>
            <w:vAlign w:val="bottom"/>
            <w:hideMark/>
          </w:tcPr>
          <w:p w14:paraId="358BC373" w14:textId="77777777" w:rsidR="00A44B4C" w:rsidRPr="00E14060" w:rsidRDefault="00A44B4C" w:rsidP="00055412">
            <w:pPr>
              <w:jc w:val="center"/>
              <w:rPr>
                <w:sz w:val="22"/>
                <w:szCs w:val="22"/>
                <w:lang w:val="en-GB"/>
              </w:rPr>
            </w:pPr>
            <w:r w:rsidRPr="00E14060">
              <w:rPr>
                <w:sz w:val="22"/>
                <w:szCs w:val="22"/>
                <w:lang w:val="en-GB"/>
              </w:rPr>
              <w:t>(-7.24, -3.59)</w:t>
            </w:r>
          </w:p>
        </w:tc>
        <w:tc>
          <w:tcPr>
            <w:tcW w:w="2560" w:type="dxa"/>
            <w:tcBorders>
              <w:top w:val="nil"/>
              <w:left w:val="nil"/>
              <w:bottom w:val="nil"/>
              <w:right w:val="nil"/>
            </w:tcBorders>
            <w:shd w:val="clear" w:color="auto" w:fill="auto"/>
            <w:noWrap/>
            <w:vAlign w:val="bottom"/>
            <w:hideMark/>
          </w:tcPr>
          <w:p w14:paraId="4DD5EB31" w14:textId="77777777" w:rsidR="00A44B4C" w:rsidRPr="00E14060" w:rsidRDefault="00A44B4C" w:rsidP="00055412">
            <w:pPr>
              <w:jc w:val="center"/>
              <w:rPr>
                <w:sz w:val="22"/>
                <w:szCs w:val="22"/>
                <w:lang w:val="en-GB"/>
              </w:rPr>
            </w:pPr>
            <w:r w:rsidRPr="00E14060">
              <w:rPr>
                <w:sz w:val="22"/>
                <w:szCs w:val="22"/>
                <w:lang w:val="en-GB"/>
              </w:rPr>
              <w:t>0.08%</w:t>
            </w:r>
          </w:p>
        </w:tc>
        <w:tc>
          <w:tcPr>
            <w:tcW w:w="2480" w:type="dxa"/>
            <w:tcBorders>
              <w:top w:val="nil"/>
              <w:left w:val="nil"/>
              <w:bottom w:val="nil"/>
              <w:right w:val="nil"/>
            </w:tcBorders>
            <w:shd w:val="clear" w:color="auto" w:fill="auto"/>
            <w:noWrap/>
            <w:vAlign w:val="bottom"/>
            <w:hideMark/>
          </w:tcPr>
          <w:p w14:paraId="22AC9D88" w14:textId="77777777" w:rsidR="00A44B4C" w:rsidRPr="00E14060" w:rsidRDefault="00A44B4C" w:rsidP="00055412">
            <w:pPr>
              <w:jc w:val="center"/>
              <w:rPr>
                <w:sz w:val="22"/>
                <w:szCs w:val="22"/>
                <w:lang w:val="en-GB"/>
              </w:rPr>
            </w:pPr>
            <w:r w:rsidRPr="00E14060">
              <w:rPr>
                <w:sz w:val="22"/>
                <w:szCs w:val="22"/>
                <w:lang w:val="en-GB"/>
              </w:rPr>
              <w:t>99.92%</w:t>
            </w:r>
          </w:p>
        </w:tc>
        <w:tc>
          <w:tcPr>
            <w:tcW w:w="271" w:type="dxa"/>
            <w:tcBorders>
              <w:top w:val="nil"/>
              <w:left w:val="nil"/>
              <w:bottom w:val="nil"/>
              <w:right w:val="nil"/>
            </w:tcBorders>
            <w:shd w:val="clear" w:color="auto" w:fill="auto"/>
            <w:noWrap/>
            <w:vAlign w:val="bottom"/>
            <w:hideMark/>
          </w:tcPr>
          <w:p w14:paraId="53241F01" w14:textId="77777777" w:rsidR="00A44B4C" w:rsidRPr="00E14060" w:rsidRDefault="00A44B4C" w:rsidP="00055412">
            <w:pPr>
              <w:rPr>
                <w:sz w:val="22"/>
                <w:szCs w:val="22"/>
                <w:lang w:val="en-GB"/>
              </w:rPr>
            </w:pPr>
          </w:p>
        </w:tc>
      </w:tr>
      <w:tr w:rsidR="00A44B4C" w:rsidRPr="00E14060" w14:paraId="521809C7" w14:textId="77777777" w:rsidTr="008C602E">
        <w:trPr>
          <w:trHeight w:val="300"/>
        </w:trPr>
        <w:tc>
          <w:tcPr>
            <w:tcW w:w="222" w:type="dxa"/>
            <w:tcBorders>
              <w:top w:val="nil"/>
              <w:left w:val="nil"/>
              <w:bottom w:val="nil"/>
              <w:right w:val="nil"/>
            </w:tcBorders>
            <w:shd w:val="clear" w:color="auto" w:fill="auto"/>
            <w:noWrap/>
            <w:vAlign w:val="bottom"/>
            <w:hideMark/>
          </w:tcPr>
          <w:p w14:paraId="72FE11AD" w14:textId="77777777" w:rsidR="00A44B4C" w:rsidRPr="00E14060" w:rsidRDefault="00A44B4C" w:rsidP="00055412">
            <w:pPr>
              <w:rPr>
                <w:sz w:val="22"/>
                <w:szCs w:val="22"/>
                <w:lang w:val="en-GB"/>
              </w:rPr>
            </w:pPr>
          </w:p>
        </w:tc>
        <w:tc>
          <w:tcPr>
            <w:tcW w:w="2026" w:type="dxa"/>
            <w:tcBorders>
              <w:top w:val="nil"/>
              <w:left w:val="nil"/>
              <w:bottom w:val="single" w:sz="4" w:space="0" w:color="auto"/>
              <w:right w:val="nil"/>
            </w:tcBorders>
            <w:shd w:val="clear" w:color="auto" w:fill="auto"/>
            <w:noWrap/>
            <w:vAlign w:val="bottom"/>
            <w:hideMark/>
          </w:tcPr>
          <w:p w14:paraId="17F9140F" w14:textId="77777777" w:rsidR="00A44B4C" w:rsidRPr="00E14060" w:rsidRDefault="00A44B4C" w:rsidP="00055412">
            <w:pPr>
              <w:rPr>
                <w:b/>
                <w:bCs/>
                <w:sz w:val="22"/>
                <w:szCs w:val="22"/>
                <w:lang w:val="en-GB"/>
              </w:rPr>
            </w:pPr>
            <w:r w:rsidRPr="00E14060">
              <w:rPr>
                <w:b/>
                <w:bCs/>
                <w:sz w:val="22"/>
                <w:szCs w:val="22"/>
                <w:lang w:val="en-GB"/>
              </w:rPr>
              <w:t>MPH-ER</w:t>
            </w:r>
          </w:p>
        </w:tc>
        <w:tc>
          <w:tcPr>
            <w:tcW w:w="271" w:type="dxa"/>
            <w:tcBorders>
              <w:top w:val="nil"/>
              <w:left w:val="nil"/>
              <w:bottom w:val="single" w:sz="4" w:space="0" w:color="auto"/>
              <w:right w:val="nil"/>
            </w:tcBorders>
            <w:shd w:val="clear" w:color="auto" w:fill="auto"/>
            <w:noWrap/>
            <w:vAlign w:val="bottom"/>
            <w:hideMark/>
          </w:tcPr>
          <w:p w14:paraId="498340D1" w14:textId="77777777" w:rsidR="00A44B4C" w:rsidRPr="00E14060" w:rsidRDefault="00A44B4C" w:rsidP="00055412">
            <w:pPr>
              <w:rPr>
                <w:b/>
                <w:bCs/>
                <w:sz w:val="22"/>
                <w:szCs w:val="22"/>
                <w:lang w:val="en-GB"/>
              </w:rPr>
            </w:pPr>
            <w:r w:rsidRPr="00E14060">
              <w:rPr>
                <w:b/>
                <w:bCs/>
                <w:sz w:val="22"/>
                <w:szCs w:val="22"/>
                <w:lang w:val="en-GB"/>
              </w:rPr>
              <w:t> </w:t>
            </w:r>
          </w:p>
        </w:tc>
        <w:tc>
          <w:tcPr>
            <w:tcW w:w="1291" w:type="dxa"/>
            <w:tcBorders>
              <w:top w:val="nil"/>
              <w:left w:val="nil"/>
              <w:bottom w:val="single" w:sz="4" w:space="0" w:color="auto"/>
              <w:right w:val="nil"/>
            </w:tcBorders>
            <w:shd w:val="clear" w:color="auto" w:fill="auto"/>
            <w:noWrap/>
            <w:vAlign w:val="bottom"/>
            <w:hideMark/>
          </w:tcPr>
          <w:p w14:paraId="4B5A62B3" w14:textId="77777777" w:rsidR="00A44B4C" w:rsidRPr="00E14060" w:rsidRDefault="00A44B4C" w:rsidP="00055412">
            <w:pPr>
              <w:jc w:val="center"/>
              <w:rPr>
                <w:sz w:val="22"/>
                <w:szCs w:val="22"/>
                <w:lang w:val="en-GB"/>
              </w:rPr>
            </w:pPr>
            <w:r w:rsidRPr="00E14060">
              <w:rPr>
                <w:sz w:val="22"/>
                <w:szCs w:val="22"/>
                <w:lang w:val="en-GB"/>
              </w:rPr>
              <w:t>-5.83</w:t>
            </w:r>
          </w:p>
        </w:tc>
        <w:tc>
          <w:tcPr>
            <w:tcW w:w="1700" w:type="dxa"/>
            <w:tcBorders>
              <w:top w:val="nil"/>
              <w:left w:val="nil"/>
              <w:bottom w:val="single" w:sz="4" w:space="0" w:color="auto"/>
              <w:right w:val="nil"/>
            </w:tcBorders>
            <w:shd w:val="clear" w:color="auto" w:fill="auto"/>
            <w:noWrap/>
            <w:vAlign w:val="bottom"/>
            <w:hideMark/>
          </w:tcPr>
          <w:p w14:paraId="65893F85" w14:textId="77777777" w:rsidR="00A44B4C" w:rsidRPr="00E14060" w:rsidRDefault="00A44B4C" w:rsidP="00055412">
            <w:pPr>
              <w:jc w:val="center"/>
              <w:rPr>
                <w:sz w:val="22"/>
                <w:szCs w:val="22"/>
                <w:lang w:val="en-GB"/>
              </w:rPr>
            </w:pPr>
            <w:r w:rsidRPr="00E14060">
              <w:rPr>
                <w:sz w:val="22"/>
                <w:szCs w:val="22"/>
                <w:lang w:val="en-GB"/>
              </w:rPr>
              <w:t>(-7.36, -4.29)</w:t>
            </w:r>
          </w:p>
        </w:tc>
        <w:tc>
          <w:tcPr>
            <w:tcW w:w="2560" w:type="dxa"/>
            <w:tcBorders>
              <w:top w:val="nil"/>
              <w:left w:val="nil"/>
              <w:bottom w:val="single" w:sz="4" w:space="0" w:color="auto"/>
              <w:right w:val="nil"/>
            </w:tcBorders>
            <w:shd w:val="clear" w:color="auto" w:fill="auto"/>
            <w:noWrap/>
            <w:vAlign w:val="bottom"/>
            <w:hideMark/>
          </w:tcPr>
          <w:p w14:paraId="5D56D0FE" w14:textId="77777777" w:rsidR="00A44B4C" w:rsidRPr="00E14060" w:rsidRDefault="00A44B4C" w:rsidP="00055412">
            <w:pPr>
              <w:jc w:val="center"/>
              <w:rPr>
                <w:sz w:val="22"/>
                <w:szCs w:val="22"/>
                <w:lang w:val="en-GB"/>
              </w:rPr>
            </w:pPr>
            <w:r w:rsidRPr="00E14060">
              <w:rPr>
                <w:sz w:val="22"/>
                <w:szCs w:val="22"/>
                <w:lang w:val="en-GB"/>
              </w:rPr>
              <w:t>0.09%</w:t>
            </w:r>
          </w:p>
        </w:tc>
        <w:tc>
          <w:tcPr>
            <w:tcW w:w="2480" w:type="dxa"/>
            <w:tcBorders>
              <w:top w:val="nil"/>
              <w:left w:val="nil"/>
              <w:bottom w:val="single" w:sz="4" w:space="0" w:color="auto"/>
              <w:right w:val="nil"/>
            </w:tcBorders>
            <w:shd w:val="clear" w:color="auto" w:fill="auto"/>
            <w:noWrap/>
            <w:vAlign w:val="bottom"/>
            <w:hideMark/>
          </w:tcPr>
          <w:p w14:paraId="669C8DE4" w14:textId="77777777" w:rsidR="00A44B4C" w:rsidRPr="00E14060" w:rsidRDefault="00A44B4C" w:rsidP="00055412">
            <w:pPr>
              <w:jc w:val="center"/>
              <w:rPr>
                <w:sz w:val="22"/>
                <w:szCs w:val="22"/>
                <w:lang w:val="en-GB"/>
              </w:rPr>
            </w:pPr>
            <w:r w:rsidRPr="00E14060">
              <w:rPr>
                <w:sz w:val="22"/>
                <w:szCs w:val="22"/>
                <w:lang w:val="en-GB"/>
              </w:rPr>
              <w:t>99.90%</w:t>
            </w:r>
          </w:p>
        </w:tc>
        <w:tc>
          <w:tcPr>
            <w:tcW w:w="271" w:type="dxa"/>
            <w:tcBorders>
              <w:top w:val="nil"/>
              <w:left w:val="nil"/>
              <w:bottom w:val="single" w:sz="4" w:space="0" w:color="auto"/>
              <w:right w:val="nil"/>
            </w:tcBorders>
            <w:shd w:val="clear" w:color="auto" w:fill="auto"/>
            <w:noWrap/>
            <w:vAlign w:val="bottom"/>
            <w:hideMark/>
          </w:tcPr>
          <w:p w14:paraId="1EFC5A11" w14:textId="77777777" w:rsidR="00A44B4C" w:rsidRPr="00E14060" w:rsidRDefault="00A44B4C" w:rsidP="00055412">
            <w:pPr>
              <w:rPr>
                <w:sz w:val="22"/>
                <w:szCs w:val="22"/>
                <w:lang w:val="en-GB"/>
              </w:rPr>
            </w:pPr>
            <w:r w:rsidRPr="00E14060">
              <w:rPr>
                <w:sz w:val="22"/>
                <w:szCs w:val="22"/>
                <w:lang w:val="en-GB"/>
              </w:rPr>
              <w:t> </w:t>
            </w:r>
          </w:p>
        </w:tc>
      </w:tr>
    </w:tbl>
    <w:p w14:paraId="7F3BFBB1" w14:textId="77777777" w:rsidR="00FE2DF7" w:rsidRPr="00E14060" w:rsidRDefault="00FE2DF7" w:rsidP="00FE2DF7">
      <w:pPr>
        <w:rPr>
          <w:b/>
          <w:sz w:val="24"/>
          <w:lang w:val="en-GB"/>
        </w:rPr>
      </w:pPr>
    </w:p>
    <w:p w14:paraId="3B33C4CA" w14:textId="77777777" w:rsidR="00FE2DF7" w:rsidRPr="00E14060" w:rsidRDefault="00FE2DF7">
      <w:pPr>
        <w:rPr>
          <w:b/>
          <w:sz w:val="24"/>
          <w:lang w:val="en-GB"/>
        </w:rPr>
      </w:pPr>
      <w:r w:rsidRPr="00E14060">
        <w:rPr>
          <w:b/>
          <w:sz w:val="24"/>
          <w:lang w:val="en-GB"/>
        </w:rPr>
        <w:br w:type="page"/>
      </w:r>
    </w:p>
    <w:p w14:paraId="4C114D3A" w14:textId="77777777" w:rsidR="00476030" w:rsidRPr="00E14060" w:rsidRDefault="00476030">
      <w:pPr>
        <w:rPr>
          <w:b/>
          <w:sz w:val="24"/>
          <w:lang w:val="en-GB"/>
        </w:rPr>
      </w:pPr>
    </w:p>
    <w:p w14:paraId="4ECC8DB9" w14:textId="77777777" w:rsidR="00114CF2" w:rsidRPr="00E14060" w:rsidRDefault="00114CF2" w:rsidP="00114CF2">
      <w:pPr>
        <w:pStyle w:val="Heading3"/>
        <w:rPr>
          <w:color w:val="auto"/>
          <w:lang w:val="en-GB"/>
        </w:rPr>
      </w:pPr>
      <w:bookmarkStart w:id="264" w:name="_Toc384683014"/>
      <w:bookmarkStart w:id="265" w:name="_Toc391913775"/>
      <w:bookmarkStart w:id="266" w:name="_Toc402543845"/>
      <w:r w:rsidRPr="00E14060">
        <w:rPr>
          <w:color w:val="auto"/>
          <w:lang w:val="en-GB"/>
        </w:rPr>
        <w:t xml:space="preserve">Bayesian </w:t>
      </w:r>
      <w:r w:rsidR="0062581E" w:rsidRPr="00E14060">
        <w:rPr>
          <w:color w:val="auto"/>
          <w:lang w:val="en-GB"/>
        </w:rPr>
        <w:t>c</w:t>
      </w:r>
      <w:r w:rsidRPr="00E14060">
        <w:rPr>
          <w:color w:val="auto"/>
          <w:lang w:val="en-GB"/>
        </w:rPr>
        <w:t xml:space="preserve">ore </w:t>
      </w:r>
      <w:r w:rsidR="0062581E" w:rsidRPr="00E14060">
        <w:rPr>
          <w:color w:val="auto"/>
          <w:lang w:val="en-GB"/>
        </w:rPr>
        <w:t>a</w:t>
      </w:r>
      <w:r w:rsidRPr="00E14060">
        <w:rPr>
          <w:color w:val="auto"/>
          <w:lang w:val="en-GB"/>
        </w:rPr>
        <w:t>nalysis for CGI-I response</w:t>
      </w:r>
      <w:bookmarkEnd w:id="264"/>
      <w:bookmarkEnd w:id="265"/>
      <w:bookmarkEnd w:id="266"/>
    </w:p>
    <w:p w14:paraId="1865E261" w14:textId="5FCFA194" w:rsidR="00114CF2" w:rsidRPr="00E14060" w:rsidRDefault="003D0151" w:rsidP="009375DF">
      <w:pPr>
        <w:spacing w:before="240" w:after="240" w:line="360" w:lineRule="auto"/>
        <w:rPr>
          <w:sz w:val="24"/>
          <w:szCs w:val="24"/>
          <w:lang w:val="en-GB"/>
        </w:rPr>
      </w:pPr>
      <w:r w:rsidRPr="00E14060">
        <w:rPr>
          <w:sz w:val="24"/>
          <w:szCs w:val="24"/>
          <w:lang w:val="en-GB"/>
        </w:rPr>
        <w:t xml:space="preserve">As shown in </w:t>
      </w:r>
      <w:r w:rsidRPr="00E14060">
        <w:rPr>
          <w:b/>
          <w:sz w:val="24"/>
          <w:szCs w:val="24"/>
          <w:lang w:val="en-GB"/>
        </w:rPr>
        <w:t>Table 4</w:t>
      </w:r>
      <w:r w:rsidR="00114CF2" w:rsidRPr="00E14060">
        <w:rPr>
          <w:sz w:val="24"/>
          <w:szCs w:val="24"/>
          <w:lang w:val="en-GB"/>
        </w:rPr>
        <w:t>, LDX had higher point estimates of relative risk and odds ratio of response than MPH-ER</w:t>
      </w:r>
      <w:r w:rsidR="00DC2BFA" w:rsidRPr="00E14060">
        <w:rPr>
          <w:sz w:val="24"/>
          <w:szCs w:val="24"/>
          <w:lang w:val="en-GB"/>
        </w:rPr>
        <w:t xml:space="preserve"> </w:t>
      </w:r>
      <w:r w:rsidRPr="00E14060">
        <w:rPr>
          <w:sz w:val="24"/>
          <w:szCs w:val="24"/>
          <w:lang w:val="en-GB"/>
        </w:rPr>
        <w:t>in the core analysis</w:t>
      </w:r>
      <w:r w:rsidR="00FB054A" w:rsidRPr="00E14060">
        <w:rPr>
          <w:sz w:val="24"/>
          <w:szCs w:val="24"/>
          <w:lang w:val="en-GB"/>
        </w:rPr>
        <w:t>: estimated relative risk of 2.18 vs. 1.85 and estimated odd</w:t>
      </w:r>
      <w:r w:rsidR="001A5887" w:rsidRPr="00E14060">
        <w:rPr>
          <w:sz w:val="24"/>
          <w:szCs w:val="24"/>
          <w:lang w:val="en-GB"/>
        </w:rPr>
        <w:t>s</w:t>
      </w:r>
      <w:r w:rsidR="00FB054A" w:rsidRPr="00E14060">
        <w:rPr>
          <w:sz w:val="24"/>
          <w:szCs w:val="24"/>
          <w:lang w:val="en-GB"/>
        </w:rPr>
        <w:t xml:space="preserve"> ratio of 4.5</w:t>
      </w:r>
      <w:r w:rsidR="00517755" w:rsidRPr="00E14060">
        <w:rPr>
          <w:sz w:val="24"/>
          <w:szCs w:val="24"/>
          <w:lang w:val="en-GB"/>
        </w:rPr>
        <w:t>0</w:t>
      </w:r>
      <w:r w:rsidR="00FB054A" w:rsidRPr="00E14060">
        <w:rPr>
          <w:sz w:val="24"/>
          <w:szCs w:val="24"/>
          <w:lang w:val="en-GB"/>
        </w:rPr>
        <w:t xml:space="preserve"> vs. 2.94</w:t>
      </w:r>
      <w:r w:rsidR="000B2B7C" w:rsidRPr="00E14060">
        <w:rPr>
          <w:sz w:val="24"/>
          <w:szCs w:val="24"/>
          <w:lang w:val="en-GB"/>
        </w:rPr>
        <w:t>, respectively</w:t>
      </w:r>
      <w:r w:rsidR="00FB054A" w:rsidRPr="00E14060">
        <w:rPr>
          <w:sz w:val="24"/>
          <w:szCs w:val="24"/>
          <w:lang w:val="en-GB"/>
        </w:rPr>
        <w:t>.</w:t>
      </w:r>
      <w:r w:rsidR="00241DBD" w:rsidRPr="00E14060">
        <w:rPr>
          <w:sz w:val="24"/>
          <w:szCs w:val="24"/>
          <w:lang w:val="en-GB"/>
        </w:rPr>
        <w:t xml:space="preserve"> </w:t>
      </w:r>
      <w:r w:rsidR="00FB054A" w:rsidRPr="00E14060">
        <w:rPr>
          <w:sz w:val="24"/>
          <w:szCs w:val="24"/>
          <w:lang w:val="en-GB"/>
        </w:rPr>
        <w:t>LDX</w:t>
      </w:r>
      <w:r w:rsidR="00114CF2" w:rsidRPr="00E14060">
        <w:rPr>
          <w:sz w:val="24"/>
          <w:szCs w:val="24"/>
          <w:lang w:val="en-GB"/>
        </w:rPr>
        <w:t xml:space="preserve"> </w:t>
      </w:r>
      <w:r w:rsidR="00FB054A" w:rsidRPr="00E14060">
        <w:rPr>
          <w:sz w:val="24"/>
          <w:szCs w:val="24"/>
          <w:lang w:val="en-GB"/>
        </w:rPr>
        <w:t xml:space="preserve">also </w:t>
      </w:r>
      <w:r w:rsidR="00114CF2" w:rsidRPr="00E14060">
        <w:rPr>
          <w:sz w:val="24"/>
          <w:szCs w:val="24"/>
          <w:lang w:val="en-GB"/>
        </w:rPr>
        <w:t>ha</w:t>
      </w:r>
      <w:r w:rsidR="00FB054A" w:rsidRPr="00E14060">
        <w:rPr>
          <w:sz w:val="24"/>
          <w:szCs w:val="24"/>
          <w:lang w:val="en-GB"/>
        </w:rPr>
        <w:t>d</w:t>
      </w:r>
      <w:r w:rsidR="00114CF2" w:rsidRPr="00E14060">
        <w:rPr>
          <w:sz w:val="24"/>
          <w:szCs w:val="24"/>
          <w:lang w:val="en-GB"/>
        </w:rPr>
        <w:t xml:space="preserve"> a high probability</w:t>
      </w:r>
      <w:r w:rsidR="00A04273" w:rsidRPr="00E14060">
        <w:rPr>
          <w:sz w:val="24"/>
          <w:szCs w:val="24"/>
          <w:lang w:val="en-GB"/>
        </w:rPr>
        <w:t xml:space="preserve"> (87.69%)</w:t>
      </w:r>
      <w:r w:rsidR="00114CF2" w:rsidRPr="00E14060">
        <w:rPr>
          <w:sz w:val="24"/>
          <w:szCs w:val="24"/>
          <w:lang w:val="en-GB"/>
        </w:rPr>
        <w:t xml:space="preserve"> of being more efficacious than MPH-ER. The histograms of the posterior distributions show that while there was overlap in the posterior samples of LDX and MPH-ER, LDX had a high probability of having a higher relative risk for CGI-I response than MPH-ER. </w:t>
      </w:r>
    </w:p>
    <w:p w14:paraId="17AA537F" w14:textId="77C6E6A2" w:rsidR="00E34550" w:rsidRPr="00E14060" w:rsidRDefault="00E34550" w:rsidP="009375DF">
      <w:pPr>
        <w:spacing w:before="240" w:after="240" w:line="360" w:lineRule="auto"/>
        <w:rPr>
          <w:sz w:val="24"/>
          <w:szCs w:val="24"/>
          <w:lang w:val="en-GB"/>
        </w:rPr>
      </w:pPr>
      <w:r w:rsidRPr="00E14060">
        <w:rPr>
          <w:sz w:val="24"/>
          <w:szCs w:val="24"/>
          <w:lang w:val="en-GB"/>
        </w:rPr>
        <w:t xml:space="preserve">In a further analysis, CGI-I response data for ATX was extrapolated and added to the network. See </w:t>
      </w:r>
      <w:r w:rsidRPr="00E14060">
        <w:rPr>
          <w:b/>
          <w:sz w:val="24"/>
          <w:szCs w:val="24"/>
          <w:lang w:val="en-GB"/>
        </w:rPr>
        <w:t xml:space="preserve">Section </w:t>
      </w:r>
      <w:r w:rsidR="00EC6CE1" w:rsidRPr="00E14060">
        <w:rPr>
          <w:b/>
          <w:sz w:val="24"/>
          <w:szCs w:val="24"/>
          <w:lang w:val="en-GB"/>
        </w:rPr>
        <w:t>5.5.3</w:t>
      </w:r>
      <w:r w:rsidRPr="00E14060">
        <w:rPr>
          <w:sz w:val="24"/>
          <w:szCs w:val="24"/>
          <w:lang w:val="en-GB"/>
        </w:rPr>
        <w:t xml:space="preserve"> for Bayesian MTC results incorporating ATX.</w:t>
      </w:r>
    </w:p>
    <w:tbl>
      <w:tblPr>
        <w:tblW w:w="10908" w:type="dxa"/>
        <w:tblInd w:w="108" w:type="dxa"/>
        <w:tblLook w:val="04A0" w:firstRow="1" w:lastRow="0" w:firstColumn="1" w:lastColumn="0" w:noHBand="0" w:noVBand="1"/>
      </w:tblPr>
      <w:tblGrid>
        <w:gridCol w:w="222"/>
        <w:gridCol w:w="1129"/>
        <w:gridCol w:w="271"/>
        <w:gridCol w:w="1889"/>
        <w:gridCol w:w="2279"/>
        <w:gridCol w:w="2414"/>
        <w:gridCol w:w="2705"/>
      </w:tblGrid>
      <w:tr w:rsidR="00476030" w:rsidRPr="00E14060" w14:paraId="6C4CF442" w14:textId="77777777" w:rsidTr="009375DF">
        <w:trPr>
          <w:trHeight w:val="780"/>
        </w:trPr>
        <w:tc>
          <w:tcPr>
            <w:tcW w:w="10908" w:type="dxa"/>
            <w:gridSpan w:val="7"/>
            <w:tcBorders>
              <w:top w:val="nil"/>
              <w:left w:val="nil"/>
              <w:bottom w:val="nil"/>
              <w:right w:val="nil"/>
            </w:tcBorders>
            <w:shd w:val="clear" w:color="auto" w:fill="auto"/>
            <w:vAlign w:val="bottom"/>
            <w:hideMark/>
          </w:tcPr>
          <w:p w14:paraId="7C51E1B6" w14:textId="77777777" w:rsidR="00476030" w:rsidRPr="00E14060" w:rsidRDefault="00476030" w:rsidP="00A37DD6">
            <w:pPr>
              <w:jc w:val="center"/>
              <w:rPr>
                <w:b/>
                <w:bCs/>
                <w:sz w:val="22"/>
                <w:szCs w:val="22"/>
                <w:lang w:val="en-GB"/>
              </w:rPr>
            </w:pPr>
            <w:r w:rsidRPr="00E14060">
              <w:rPr>
                <w:b/>
                <w:bCs/>
                <w:sz w:val="22"/>
                <w:szCs w:val="22"/>
                <w:lang w:val="en-GB"/>
              </w:rPr>
              <w:t xml:space="preserve">Table </w:t>
            </w:r>
            <w:r w:rsidR="00A37DD6" w:rsidRPr="00E14060">
              <w:rPr>
                <w:b/>
                <w:bCs/>
                <w:sz w:val="22"/>
                <w:szCs w:val="22"/>
                <w:lang w:val="en-GB"/>
              </w:rPr>
              <w:t>4</w:t>
            </w:r>
            <w:r w:rsidRPr="00E14060">
              <w:rPr>
                <w:b/>
                <w:bCs/>
                <w:sz w:val="22"/>
                <w:szCs w:val="22"/>
                <w:lang w:val="en-GB"/>
              </w:rPr>
              <w:t>. Odds ratios and relative risks for treatment response, as defined by a rating of 1 or 2 in CGI-I score (drug vs. placebo)</w:t>
            </w:r>
            <w:r w:rsidR="00475ACC" w:rsidRPr="00E14060">
              <w:rPr>
                <w:rStyle w:val="FootnoteReference"/>
                <w:b/>
                <w:bCs/>
                <w:sz w:val="22"/>
                <w:szCs w:val="22"/>
                <w:lang w:val="en-GB"/>
              </w:rPr>
              <w:footnoteReference w:id="3"/>
            </w:r>
          </w:p>
        </w:tc>
      </w:tr>
      <w:tr w:rsidR="00476030" w:rsidRPr="00E14060" w14:paraId="38AA4E0D" w14:textId="77777777" w:rsidTr="009375DF">
        <w:trPr>
          <w:trHeight w:val="300"/>
        </w:trPr>
        <w:tc>
          <w:tcPr>
            <w:tcW w:w="10908" w:type="dxa"/>
            <w:gridSpan w:val="7"/>
            <w:tcBorders>
              <w:top w:val="nil"/>
              <w:left w:val="nil"/>
              <w:bottom w:val="nil"/>
              <w:right w:val="nil"/>
            </w:tcBorders>
            <w:shd w:val="clear" w:color="auto" w:fill="auto"/>
            <w:noWrap/>
            <w:vAlign w:val="bottom"/>
            <w:hideMark/>
          </w:tcPr>
          <w:p w14:paraId="5F436C9B" w14:textId="77777777" w:rsidR="00476030" w:rsidRPr="00E14060" w:rsidRDefault="00476030" w:rsidP="00476030">
            <w:pPr>
              <w:jc w:val="center"/>
              <w:rPr>
                <w:b/>
                <w:bCs/>
                <w:sz w:val="22"/>
                <w:szCs w:val="22"/>
                <w:lang w:val="en-GB"/>
              </w:rPr>
            </w:pPr>
            <w:r w:rsidRPr="00E14060">
              <w:rPr>
                <w:b/>
                <w:bCs/>
                <w:sz w:val="22"/>
                <w:szCs w:val="22"/>
                <w:lang w:val="en-GB"/>
              </w:rPr>
              <w:t>Core Bayesian analysis: random effects model, combined doses</w:t>
            </w:r>
          </w:p>
        </w:tc>
      </w:tr>
      <w:tr w:rsidR="00476030" w:rsidRPr="00E14060" w14:paraId="5A3A5CE4" w14:textId="77777777" w:rsidTr="00BD3444">
        <w:trPr>
          <w:trHeight w:val="300"/>
        </w:trPr>
        <w:tc>
          <w:tcPr>
            <w:tcW w:w="221" w:type="dxa"/>
            <w:tcBorders>
              <w:top w:val="nil"/>
              <w:left w:val="nil"/>
              <w:bottom w:val="nil"/>
              <w:right w:val="nil"/>
            </w:tcBorders>
            <w:shd w:val="clear" w:color="auto" w:fill="auto"/>
            <w:noWrap/>
            <w:vAlign w:val="bottom"/>
            <w:hideMark/>
          </w:tcPr>
          <w:p w14:paraId="78811718" w14:textId="77777777" w:rsidR="00476030" w:rsidRPr="00E14060" w:rsidRDefault="00476030" w:rsidP="00476030">
            <w:pPr>
              <w:rPr>
                <w:sz w:val="22"/>
                <w:szCs w:val="22"/>
                <w:lang w:val="en-GB"/>
              </w:rPr>
            </w:pPr>
          </w:p>
        </w:tc>
        <w:tc>
          <w:tcPr>
            <w:tcW w:w="1129" w:type="dxa"/>
            <w:tcBorders>
              <w:top w:val="nil"/>
              <w:left w:val="nil"/>
              <w:bottom w:val="nil"/>
              <w:right w:val="nil"/>
            </w:tcBorders>
            <w:shd w:val="clear" w:color="auto" w:fill="auto"/>
            <w:noWrap/>
            <w:vAlign w:val="bottom"/>
            <w:hideMark/>
          </w:tcPr>
          <w:p w14:paraId="0B5FF3C6" w14:textId="77777777" w:rsidR="00476030" w:rsidRPr="00E14060" w:rsidRDefault="00476030" w:rsidP="00476030">
            <w:pPr>
              <w:rPr>
                <w:sz w:val="22"/>
                <w:szCs w:val="22"/>
                <w:lang w:val="en-GB"/>
              </w:rPr>
            </w:pPr>
          </w:p>
        </w:tc>
        <w:tc>
          <w:tcPr>
            <w:tcW w:w="271" w:type="dxa"/>
            <w:tcBorders>
              <w:top w:val="nil"/>
              <w:left w:val="nil"/>
              <w:bottom w:val="nil"/>
              <w:right w:val="nil"/>
            </w:tcBorders>
            <w:shd w:val="clear" w:color="auto" w:fill="auto"/>
            <w:noWrap/>
            <w:vAlign w:val="bottom"/>
            <w:hideMark/>
          </w:tcPr>
          <w:p w14:paraId="7B17B6BD" w14:textId="77777777" w:rsidR="00476030" w:rsidRPr="00E14060" w:rsidRDefault="00476030" w:rsidP="00476030">
            <w:pPr>
              <w:rPr>
                <w:sz w:val="22"/>
                <w:szCs w:val="22"/>
                <w:lang w:val="en-GB"/>
              </w:rPr>
            </w:pPr>
          </w:p>
        </w:tc>
        <w:tc>
          <w:tcPr>
            <w:tcW w:w="1889" w:type="dxa"/>
            <w:tcBorders>
              <w:top w:val="nil"/>
              <w:left w:val="nil"/>
              <w:bottom w:val="nil"/>
              <w:right w:val="nil"/>
            </w:tcBorders>
            <w:shd w:val="clear" w:color="auto" w:fill="auto"/>
            <w:noWrap/>
            <w:vAlign w:val="bottom"/>
            <w:hideMark/>
          </w:tcPr>
          <w:p w14:paraId="57CA5942" w14:textId="77777777" w:rsidR="00476030" w:rsidRPr="00E14060" w:rsidRDefault="00476030" w:rsidP="00476030">
            <w:pPr>
              <w:rPr>
                <w:sz w:val="22"/>
                <w:szCs w:val="22"/>
                <w:lang w:val="en-GB"/>
              </w:rPr>
            </w:pPr>
          </w:p>
        </w:tc>
        <w:tc>
          <w:tcPr>
            <w:tcW w:w="2279" w:type="dxa"/>
            <w:tcBorders>
              <w:top w:val="nil"/>
              <w:left w:val="nil"/>
              <w:bottom w:val="nil"/>
              <w:right w:val="nil"/>
            </w:tcBorders>
            <w:shd w:val="clear" w:color="auto" w:fill="auto"/>
            <w:noWrap/>
            <w:vAlign w:val="bottom"/>
            <w:hideMark/>
          </w:tcPr>
          <w:p w14:paraId="08CF28B3" w14:textId="77777777" w:rsidR="00476030" w:rsidRPr="00E14060" w:rsidRDefault="00476030" w:rsidP="00476030">
            <w:pPr>
              <w:rPr>
                <w:sz w:val="22"/>
                <w:szCs w:val="22"/>
                <w:lang w:val="en-GB"/>
              </w:rPr>
            </w:pPr>
          </w:p>
        </w:tc>
        <w:tc>
          <w:tcPr>
            <w:tcW w:w="2414" w:type="dxa"/>
            <w:tcBorders>
              <w:top w:val="nil"/>
              <w:left w:val="nil"/>
              <w:bottom w:val="nil"/>
              <w:right w:val="nil"/>
            </w:tcBorders>
            <w:shd w:val="clear" w:color="auto" w:fill="auto"/>
            <w:noWrap/>
            <w:vAlign w:val="bottom"/>
            <w:hideMark/>
          </w:tcPr>
          <w:p w14:paraId="0E5907D6" w14:textId="77777777" w:rsidR="00476030" w:rsidRPr="00E14060" w:rsidRDefault="00476030" w:rsidP="00476030">
            <w:pPr>
              <w:rPr>
                <w:sz w:val="22"/>
                <w:szCs w:val="22"/>
                <w:lang w:val="en-GB"/>
              </w:rPr>
            </w:pPr>
          </w:p>
        </w:tc>
        <w:tc>
          <w:tcPr>
            <w:tcW w:w="2705" w:type="dxa"/>
            <w:tcBorders>
              <w:top w:val="nil"/>
              <w:left w:val="nil"/>
              <w:bottom w:val="nil"/>
              <w:right w:val="nil"/>
            </w:tcBorders>
            <w:shd w:val="clear" w:color="auto" w:fill="auto"/>
            <w:noWrap/>
            <w:vAlign w:val="bottom"/>
            <w:hideMark/>
          </w:tcPr>
          <w:p w14:paraId="088E680D" w14:textId="77777777" w:rsidR="00476030" w:rsidRPr="00E14060" w:rsidRDefault="00476030" w:rsidP="00476030">
            <w:pPr>
              <w:rPr>
                <w:sz w:val="22"/>
                <w:szCs w:val="22"/>
                <w:lang w:val="en-GB"/>
              </w:rPr>
            </w:pPr>
          </w:p>
        </w:tc>
      </w:tr>
      <w:tr w:rsidR="00476030" w:rsidRPr="00E14060" w14:paraId="68F32917" w14:textId="77777777" w:rsidTr="00BD3444">
        <w:trPr>
          <w:trHeight w:val="1155"/>
        </w:trPr>
        <w:tc>
          <w:tcPr>
            <w:tcW w:w="221" w:type="dxa"/>
            <w:tcBorders>
              <w:top w:val="nil"/>
              <w:left w:val="nil"/>
              <w:bottom w:val="nil"/>
              <w:right w:val="nil"/>
            </w:tcBorders>
            <w:shd w:val="clear" w:color="auto" w:fill="auto"/>
            <w:noWrap/>
            <w:vAlign w:val="bottom"/>
            <w:hideMark/>
          </w:tcPr>
          <w:p w14:paraId="0C0A6A14" w14:textId="77777777" w:rsidR="00476030" w:rsidRPr="00E14060" w:rsidRDefault="00476030" w:rsidP="00476030">
            <w:pPr>
              <w:rPr>
                <w:sz w:val="22"/>
                <w:szCs w:val="22"/>
                <w:lang w:val="en-GB"/>
              </w:rPr>
            </w:pPr>
          </w:p>
        </w:tc>
        <w:tc>
          <w:tcPr>
            <w:tcW w:w="1129" w:type="dxa"/>
            <w:tcBorders>
              <w:top w:val="single" w:sz="4" w:space="0" w:color="auto"/>
              <w:left w:val="nil"/>
              <w:bottom w:val="nil"/>
              <w:right w:val="nil"/>
            </w:tcBorders>
            <w:shd w:val="clear" w:color="auto" w:fill="auto"/>
            <w:noWrap/>
            <w:vAlign w:val="bottom"/>
            <w:hideMark/>
          </w:tcPr>
          <w:p w14:paraId="06942D2D" w14:textId="77777777" w:rsidR="00476030" w:rsidRPr="00E14060" w:rsidRDefault="00476030" w:rsidP="00476030">
            <w:pPr>
              <w:rPr>
                <w:sz w:val="22"/>
                <w:szCs w:val="22"/>
                <w:lang w:val="en-GB"/>
              </w:rPr>
            </w:pPr>
            <w:r w:rsidRPr="00E14060">
              <w:rPr>
                <w:sz w:val="22"/>
                <w:szCs w:val="22"/>
                <w:lang w:val="en-GB"/>
              </w:rPr>
              <w:t> </w:t>
            </w:r>
          </w:p>
        </w:tc>
        <w:tc>
          <w:tcPr>
            <w:tcW w:w="271" w:type="dxa"/>
            <w:tcBorders>
              <w:top w:val="single" w:sz="4" w:space="0" w:color="auto"/>
              <w:left w:val="nil"/>
              <w:bottom w:val="nil"/>
              <w:right w:val="nil"/>
            </w:tcBorders>
            <w:shd w:val="clear" w:color="auto" w:fill="auto"/>
            <w:noWrap/>
            <w:vAlign w:val="bottom"/>
            <w:hideMark/>
          </w:tcPr>
          <w:p w14:paraId="7D95DBC1" w14:textId="77777777" w:rsidR="00476030" w:rsidRPr="00E14060" w:rsidRDefault="00476030" w:rsidP="00476030">
            <w:pPr>
              <w:rPr>
                <w:sz w:val="22"/>
                <w:szCs w:val="22"/>
                <w:lang w:val="en-GB"/>
              </w:rPr>
            </w:pPr>
            <w:r w:rsidRPr="00E14060">
              <w:rPr>
                <w:sz w:val="22"/>
                <w:szCs w:val="22"/>
                <w:lang w:val="en-GB"/>
              </w:rPr>
              <w:t> </w:t>
            </w:r>
          </w:p>
        </w:tc>
        <w:tc>
          <w:tcPr>
            <w:tcW w:w="1889" w:type="dxa"/>
            <w:tcBorders>
              <w:top w:val="single" w:sz="4" w:space="0" w:color="auto"/>
              <w:left w:val="nil"/>
              <w:bottom w:val="single" w:sz="4" w:space="0" w:color="auto"/>
              <w:right w:val="nil"/>
            </w:tcBorders>
            <w:shd w:val="clear" w:color="auto" w:fill="auto"/>
            <w:vAlign w:val="bottom"/>
            <w:hideMark/>
          </w:tcPr>
          <w:p w14:paraId="791C7518" w14:textId="77777777" w:rsidR="00476030" w:rsidRPr="00E14060" w:rsidRDefault="00476030" w:rsidP="00476030">
            <w:pPr>
              <w:jc w:val="center"/>
              <w:rPr>
                <w:b/>
                <w:bCs/>
                <w:sz w:val="22"/>
                <w:szCs w:val="22"/>
                <w:lang w:val="en-GB"/>
              </w:rPr>
            </w:pPr>
            <w:r w:rsidRPr="00E14060">
              <w:rPr>
                <w:b/>
                <w:bCs/>
                <w:sz w:val="22"/>
                <w:szCs w:val="22"/>
                <w:lang w:val="en-GB"/>
              </w:rPr>
              <w:t>Odds Ratio</w:t>
            </w:r>
          </w:p>
        </w:tc>
        <w:tc>
          <w:tcPr>
            <w:tcW w:w="2279" w:type="dxa"/>
            <w:tcBorders>
              <w:top w:val="single" w:sz="4" w:space="0" w:color="auto"/>
              <w:left w:val="nil"/>
              <w:bottom w:val="single" w:sz="4" w:space="0" w:color="auto"/>
              <w:right w:val="nil"/>
            </w:tcBorders>
            <w:shd w:val="clear" w:color="auto" w:fill="auto"/>
            <w:vAlign w:val="bottom"/>
            <w:hideMark/>
          </w:tcPr>
          <w:p w14:paraId="53C50ED5" w14:textId="77777777" w:rsidR="00476030" w:rsidRPr="00E14060" w:rsidRDefault="00476030" w:rsidP="00476030">
            <w:pPr>
              <w:jc w:val="center"/>
              <w:rPr>
                <w:b/>
                <w:bCs/>
                <w:sz w:val="22"/>
                <w:szCs w:val="22"/>
                <w:lang w:val="en-GB"/>
              </w:rPr>
            </w:pPr>
            <w:r w:rsidRPr="00E14060">
              <w:rPr>
                <w:b/>
                <w:bCs/>
                <w:sz w:val="22"/>
                <w:szCs w:val="22"/>
                <w:lang w:val="en-GB"/>
              </w:rPr>
              <w:t>95% Credible Interval</w:t>
            </w:r>
          </w:p>
        </w:tc>
        <w:tc>
          <w:tcPr>
            <w:tcW w:w="2414" w:type="dxa"/>
            <w:tcBorders>
              <w:top w:val="single" w:sz="4" w:space="0" w:color="auto"/>
              <w:left w:val="nil"/>
              <w:bottom w:val="single" w:sz="4" w:space="0" w:color="auto"/>
              <w:right w:val="nil"/>
            </w:tcBorders>
            <w:shd w:val="clear" w:color="auto" w:fill="auto"/>
            <w:vAlign w:val="bottom"/>
            <w:hideMark/>
          </w:tcPr>
          <w:p w14:paraId="49D6D79F" w14:textId="77777777" w:rsidR="00476030" w:rsidRPr="00E14060" w:rsidRDefault="00476030" w:rsidP="00476030">
            <w:pPr>
              <w:jc w:val="center"/>
              <w:rPr>
                <w:b/>
                <w:bCs/>
                <w:sz w:val="22"/>
                <w:szCs w:val="22"/>
                <w:lang w:val="en-GB"/>
              </w:rPr>
            </w:pPr>
            <w:r w:rsidRPr="00E14060">
              <w:rPr>
                <w:b/>
                <w:bCs/>
                <w:sz w:val="22"/>
                <w:szCs w:val="22"/>
                <w:lang w:val="en-GB"/>
              </w:rPr>
              <w:t>Probability of the treatment being most effective among all</w:t>
            </w:r>
          </w:p>
        </w:tc>
        <w:tc>
          <w:tcPr>
            <w:tcW w:w="2705" w:type="dxa"/>
            <w:tcBorders>
              <w:top w:val="single" w:sz="4" w:space="0" w:color="auto"/>
              <w:left w:val="nil"/>
              <w:bottom w:val="single" w:sz="4" w:space="0" w:color="auto"/>
              <w:right w:val="nil"/>
            </w:tcBorders>
            <w:shd w:val="clear" w:color="auto" w:fill="auto"/>
            <w:vAlign w:val="bottom"/>
            <w:hideMark/>
          </w:tcPr>
          <w:p w14:paraId="521ACB39" w14:textId="77777777" w:rsidR="00476030" w:rsidRPr="00E14060" w:rsidRDefault="00476030" w:rsidP="00756BEA">
            <w:pPr>
              <w:jc w:val="center"/>
              <w:rPr>
                <w:b/>
                <w:bCs/>
                <w:sz w:val="22"/>
                <w:szCs w:val="22"/>
                <w:lang w:val="en-GB"/>
              </w:rPr>
            </w:pPr>
            <w:r w:rsidRPr="00E14060">
              <w:rPr>
                <w:b/>
                <w:bCs/>
                <w:sz w:val="22"/>
                <w:szCs w:val="22"/>
                <w:lang w:val="en-GB"/>
              </w:rPr>
              <w:t xml:space="preserve">Probability of LDX being more effective compared to </w:t>
            </w:r>
            <w:r w:rsidR="00756BEA" w:rsidRPr="00E14060">
              <w:rPr>
                <w:b/>
                <w:bCs/>
                <w:sz w:val="22"/>
                <w:szCs w:val="22"/>
                <w:lang w:val="en-GB"/>
              </w:rPr>
              <w:t>each</w:t>
            </w:r>
            <w:r w:rsidRPr="00E14060">
              <w:rPr>
                <w:b/>
                <w:bCs/>
                <w:sz w:val="22"/>
                <w:szCs w:val="22"/>
                <w:lang w:val="en-GB"/>
              </w:rPr>
              <w:t xml:space="preserve"> treatment</w:t>
            </w:r>
          </w:p>
        </w:tc>
      </w:tr>
      <w:tr w:rsidR="00BD3444" w:rsidRPr="00E14060" w14:paraId="6F78AC82" w14:textId="77777777" w:rsidTr="00BD3444">
        <w:trPr>
          <w:trHeight w:val="300"/>
        </w:trPr>
        <w:tc>
          <w:tcPr>
            <w:tcW w:w="221" w:type="dxa"/>
            <w:tcBorders>
              <w:top w:val="nil"/>
              <w:left w:val="nil"/>
              <w:bottom w:val="nil"/>
              <w:right w:val="nil"/>
            </w:tcBorders>
            <w:shd w:val="clear" w:color="auto" w:fill="auto"/>
            <w:noWrap/>
            <w:vAlign w:val="bottom"/>
            <w:hideMark/>
          </w:tcPr>
          <w:p w14:paraId="537C39F6" w14:textId="77777777" w:rsidR="00BD3444" w:rsidRPr="00E14060" w:rsidRDefault="00BD3444" w:rsidP="00476030">
            <w:pPr>
              <w:rPr>
                <w:sz w:val="22"/>
                <w:szCs w:val="22"/>
                <w:lang w:val="en-GB"/>
              </w:rPr>
            </w:pPr>
          </w:p>
        </w:tc>
        <w:tc>
          <w:tcPr>
            <w:tcW w:w="1129" w:type="dxa"/>
            <w:tcBorders>
              <w:top w:val="nil"/>
              <w:left w:val="nil"/>
              <w:bottom w:val="nil"/>
              <w:right w:val="nil"/>
            </w:tcBorders>
            <w:shd w:val="clear" w:color="auto" w:fill="auto"/>
            <w:noWrap/>
            <w:vAlign w:val="bottom"/>
            <w:hideMark/>
          </w:tcPr>
          <w:p w14:paraId="5FC86DB4" w14:textId="77777777" w:rsidR="00BD3444" w:rsidRPr="00E14060" w:rsidRDefault="00BD3444" w:rsidP="00476030">
            <w:pPr>
              <w:rPr>
                <w:b/>
                <w:bCs/>
                <w:sz w:val="22"/>
                <w:szCs w:val="22"/>
                <w:lang w:val="en-GB"/>
              </w:rPr>
            </w:pPr>
            <w:r w:rsidRPr="00E14060">
              <w:rPr>
                <w:b/>
                <w:bCs/>
                <w:sz w:val="22"/>
                <w:szCs w:val="22"/>
                <w:lang w:val="en-GB"/>
              </w:rPr>
              <w:t>LDX</w:t>
            </w:r>
          </w:p>
        </w:tc>
        <w:tc>
          <w:tcPr>
            <w:tcW w:w="271" w:type="dxa"/>
            <w:tcBorders>
              <w:top w:val="nil"/>
              <w:left w:val="nil"/>
              <w:bottom w:val="nil"/>
              <w:right w:val="nil"/>
            </w:tcBorders>
            <w:shd w:val="clear" w:color="auto" w:fill="auto"/>
            <w:noWrap/>
            <w:vAlign w:val="bottom"/>
            <w:hideMark/>
          </w:tcPr>
          <w:p w14:paraId="27257C57" w14:textId="77777777" w:rsidR="00BD3444" w:rsidRPr="00E14060" w:rsidRDefault="00BD3444" w:rsidP="00476030">
            <w:pPr>
              <w:rPr>
                <w:b/>
                <w:bCs/>
                <w:sz w:val="22"/>
                <w:szCs w:val="22"/>
                <w:lang w:val="en-GB"/>
              </w:rPr>
            </w:pPr>
          </w:p>
        </w:tc>
        <w:tc>
          <w:tcPr>
            <w:tcW w:w="1889" w:type="dxa"/>
            <w:tcBorders>
              <w:top w:val="nil"/>
              <w:left w:val="nil"/>
              <w:bottom w:val="nil"/>
              <w:right w:val="nil"/>
            </w:tcBorders>
            <w:shd w:val="clear" w:color="auto" w:fill="auto"/>
            <w:noWrap/>
            <w:vAlign w:val="bottom"/>
            <w:hideMark/>
          </w:tcPr>
          <w:p w14:paraId="641FE94C" w14:textId="77777777" w:rsidR="00BD3444" w:rsidRPr="00E14060" w:rsidRDefault="00BD3444" w:rsidP="00476030">
            <w:pPr>
              <w:jc w:val="center"/>
              <w:rPr>
                <w:sz w:val="22"/>
                <w:szCs w:val="22"/>
                <w:lang w:val="en-GB"/>
              </w:rPr>
            </w:pPr>
            <w:r w:rsidRPr="00E14060">
              <w:rPr>
                <w:sz w:val="22"/>
                <w:szCs w:val="22"/>
                <w:lang w:val="en-GB"/>
              </w:rPr>
              <w:t>4.50</w:t>
            </w:r>
          </w:p>
        </w:tc>
        <w:tc>
          <w:tcPr>
            <w:tcW w:w="2279" w:type="dxa"/>
            <w:tcBorders>
              <w:top w:val="nil"/>
              <w:left w:val="nil"/>
              <w:bottom w:val="nil"/>
              <w:right w:val="nil"/>
            </w:tcBorders>
            <w:shd w:val="clear" w:color="auto" w:fill="auto"/>
            <w:noWrap/>
            <w:vAlign w:val="bottom"/>
            <w:hideMark/>
          </w:tcPr>
          <w:p w14:paraId="374604B1" w14:textId="77777777" w:rsidR="00BD3444" w:rsidRPr="00E14060" w:rsidRDefault="00BD3444" w:rsidP="00476030">
            <w:pPr>
              <w:jc w:val="center"/>
              <w:rPr>
                <w:sz w:val="22"/>
                <w:szCs w:val="22"/>
                <w:lang w:val="en-GB"/>
              </w:rPr>
            </w:pPr>
            <w:r w:rsidRPr="00E14060">
              <w:rPr>
                <w:sz w:val="22"/>
                <w:szCs w:val="22"/>
                <w:lang w:val="en-GB"/>
              </w:rPr>
              <w:t>(2.56, 7.85)</w:t>
            </w:r>
          </w:p>
        </w:tc>
        <w:tc>
          <w:tcPr>
            <w:tcW w:w="2414" w:type="dxa"/>
            <w:tcBorders>
              <w:top w:val="nil"/>
              <w:left w:val="nil"/>
              <w:bottom w:val="nil"/>
              <w:right w:val="nil"/>
            </w:tcBorders>
            <w:shd w:val="clear" w:color="auto" w:fill="auto"/>
            <w:noWrap/>
            <w:vAlign w:val="bottom"/>
            <w:hideMark/>
          </w:tcPr>
          <w:p w14:paraId="142ECC5A" w14:textId="77777777" w:rsidR="00BD3444" w:rsidRPr="00E14060" w:rsidRDefault="00BD3444" w:rsidP="00476030">
            <w:pPr>
              <w:jc w:val="center"/>
              <w:rPr>
                <w:sz w:val="22"/>
                <w:szCs w:val="22"/>
                <w:lang w:val="en-GB"/>
              </w:rPr>
            </w:pPr>
            <w:r w:rsidRPr="00E14060">
              <w:rPr>
                <w:sz w:val="22"/>
                <w:szCs w:val="22"/>
                <w:lang w:val="en-GB"/>
              </w:rPr>
              <w:t>87.69%</w:t>
            </w:r>
          </w:p>
        </w:tc>
        <w:tc>
          <w:tcPr>
            <w:tcW w:w="2705" w:type="dxa"/>
            <w:tcBorders>
              <w:top w:val="nil"/>
              <w:left w:val="nil"/>
              <w:bottom w:val="nil"/>
              <w:right w:val="nil"/>
            </w:tcBorders>
            <w:shd w:val="clear" w:color="auto" w:fill="auto"/>
            <w:noWrap/>
            <w:vAlign w:val="bottom"/>
            <w:hideMark/>
          </w:tcPr>
          <w:p w14:paraId="62624833" w14:textId="77777777" w:rsidR="00BD3444" w:rsidRPr="00E14060" w:rsidRDefault="00BD3444" w:rsidP="00476030">
            <w:pPr>
              <w:jc w:val="center"/>
              <w:rPr>
                <w:sz w:val="22"/>
                <w:szCs w:val="22"/>
                <w:lang w:val="en-GB"/>
              </w:rPr>
            </w:pPr>
            <w:r w:rsidRPr="00E14060">
              <w:rPr>
                <w:sz w:val="22"/>
                <w:szCs w:val="22"/>
                <w:lang w:val="en-GB"/>
              </w:rPr>
              <w:t>--</w:t>
            </w:r>
          </w:p>
        </w:tc>
      </w:tr>
      <w:tr w:rsidR="00476030" w:rsidRPr="00E14060" w14:paraId="5BBA50F6" w14:textId="77777777" w:rsidTr="00BD3444">
        <w:trPr>
          <w:trHeight w:val="300"/>
        </w:trPr>
        <w:tc>
          <w:tcPr>
            <w:tcW w:w="221" w:type="dxa"/>
            <w:tcBorders>
              <w:top w:val="nil"/>
              <w:left w:val="nil"/>
              <w:bottom w:val="nil"/>
              <w:right w:val="nil"/>
            </w:tcBorders>
            <w:shd w:val="clear" w:color="auto" w:fill="auto"/>
            <w:noWrap/>
            <w:vAlign w:val="bottom"/>
            <w:hideMark/>
          </w:tcPr>
          <w:p w14:paraId="037EEB38" w14:textId="77777777" w:rsidR="00476030" w:rsidRPr="00E14060" w:rsidRDefault="00476030" w:rsidP="00476030">
            <w:pPr>
              <w:rPr>
                <w:sz w:val="22"/>
                <w:szCs w:val="22"/>
                <w:lang w:val="en-GB"/>
              </w:rPr>
            </w:pPr>
          </w:p>
        </w:tc>
        <w:tc>
          <w:tcPr>
            <w:tcW w:w="1129" w:type="dxa"/>
            <w:tcBorders>
              <w:top w:val="nil"/>
              <w:left w:val="nil"/>
              <w:bottom w:val="nil"/>
              <w:right w:val="nil"/>
            </w:tcBorders>
            <w:shd w:val="clear" w:color="auto" w:fill="auto"/>
            <w:noWrap/>
            <w:vAlign w:val="bottom"/>
            <w:hideMark/>
          </w:tcPr>
          <w:p w14:paraId="37127DB7" w14:textId="77777777" w:rsidR="00476030" w:rsidRPr="00E14060" w:rsidRDefault="00476030" w:rsidP="00476030">
            <w:pPr>
              <w:rPr>
                <w:b/>
                <w:bCs/>
                <w:sz w:val="22"/>
                <w:szCs w:val="22"/>
                <w:lang w:val="en-GB"/>
              </w:rPr>
            </w:pPr>
            <w:r w:rsidRPr="00E14060">
              <w:rPr>
                <w:b/>
                <w:bCs/>
                <w:sz w:val="22"/>
                <w:szCs w:val="22"/>
                <w:lang w:val="en-GB"/>
              </w:rPr>
              <w:t>ATX</w:t>
            </w:r>
          </w:p>
        </w:tc>
        <w:tc>
          <w:tcPr>
            <w:tcW w:w="271" w:type="dxa"/>
            <w:tcBorders>
              <w:top w:val="nil"/>
              <w:left w:val="nil"/>
              <w:bottom w:val="nil"/>
              <w:right w:val="nil"/>
            </w:tcBorders>
            <w:shd w:val="clear" w:color="auto" w:fill="auto"/>
            <w:noWrap/>
            <w:vAlign w:val="bottom"/>
            <w:hideMark/>
          </w:tcPr>
          <w:p w14:paraId="5B6D9C10" w14:textId="77777777" w:rsidR="00476030" w:rsidRPr="00E14060" w:rsidRDefault="00476030" w:rsidP="00476030">
            <w:pPr>
              <w:rPr>
                <w:b/>
                <w:bCs/>
                <w:sz w:val="22"/>
                <w:szCs w:val="22"/>
                <w:lang w:val="en-GB"/>
              </w:rPr>
            </w:pPr>
          </w:p>
        </w:tc>
        <w:tc>
          <w:tcPr>
            <w:tcW w:w="1889" w:type="dxa"/>
            <w:tcBorders>
              <w:top w:val="nil"/>
              <w:left w:val="nil"/>
              <w:bottom w:val="nil"/>
              <w:right w:val="nil"/>
            </w:tcBorders>
            <w:shd w:val="clear" w:color="auto" w:fill="auto"/>
            <w:noWrap/>
            <w:vAlign w:val="bottom"/>
            <w:hideMark/>
          </w:tcPr>
          <w:p w14:paraId="1708EFB3" w14:textId="77777777" w:rsidR="00476030" w:rsidRPr="00E14060" w:rsidRDefault="00476030" w:rsidP="00476030">
            <w:pPr>
              <w:jc w:val="center"/>
              <w:rPr>
                <w:sz w:val="22"/>
                <w:szCs w:val="22"/>
                <w:lang w:val="en-GB"/>
              </w:rPr>
            </w:pPr>
            <w:r w:rsidRPr="00E14060">
              <w:rPr>
                <w:sz w:val="22"/>
                <w:szCs w:val="22"/>
                <w:lang w:val="en-GB"/>
              </w:rPr>
              <w:t>--</w:t>
            </w:r>
          </w:p>
        </w:tc>
        <w:tc>
          <w:tcPr>
            <w:tcW w:w="2279" w:type="dxa"/>
            <w:tcBorders>
              <w:top w:val="nil"/>
              <w:left w:val="nil"/>
              <w:bottom w:val="nil"/>
              <w:right w:val="nil"/>
            </w:tcBorders>
            <w:shd w:val="clear" w:color="auto" w:fill="auto"/>
            <w:noWrap/>
            <w:vAlign w:val="bottom"/>
            <w:hideMark/>
          </w:tcPr>
          <w:p w14:paraId="4CE0705B" w14:textId="77777777" w:rsidR="00476030" w:rsidRPr="00E14060" w:rsidRDefault="00476030" w:rsidP="00476030">
            <w:pPr>
              <w:jc w:val="center"/>
              <w:rPr>
                <w:sz w:val="22"/>
                <w:szCs w:val="22"/>
                <w:lang w:val="en-GB"/>
              </w:rPr>
            </w:pPr>
            <w:r w:rsidRPr="00E14060">
              <w:rPr>
                <w:sz w:val="22"/>
                <w:szCs w:val="22"/>
                <w:lang w:val="en-GB"/>
              </w:rPr>
              <w:t>--</w:t>
            </w:r>
          </w:p>
        </w:tc>
        <w:tc>
          <w:tcPr>
            <w:tcW w:w="2414" w:type="dxa"/>
            <w:tcBorders>
              <w:top w:val="nil"/>
              <w:left w:val="nil"/>
              <w:bottom w:val="nil"/>
              <w:right w:val="nil"/>
            </w:tcBorders>
            <w:shd w:val="clear" w:color="auto" w:fill="auto"/>
            <w:noWrap/>
            <w:vAlign w:val="bottom"/>
            <w:hideMark/>
          </w:tcPr>
          <w:p w14:paraId="59433417" w14:textId="77777777" w:rsidR="00476030" w:rsidRPr="00E14060" w:rsidRDefault="00476030" w:rsidP="00476030">
            <w:pPr>
              <w:jc w:val="center"/>
              <w:rPr>
                <w:sz w:val="22"/>
                <w:szCs w:val="22"/>
                <w:lang w:val="en-GB"/>
              </w:rPr>
            </w:pPr>
            <w:r w:rsidRPr="00E14060">
              <w:rPr>
                <w:sz w:val="22"/>
                <w:szCs w:val="22"/>
                <w:lang w:val="en-GB"/>
              </w:rPr>
              <w:t>--</w:t>
            </w:r>
          </w:p>
        </w:tc>
        <w:tc>
          <w:tcPr>
            <w:tcW w:w="2705" w:type="dxa"/>
            <w:tcBorders>
              <w:top w:val="nil"/>
              <w:left w:val="nil"/>
              <w:bottom w:val="nil"/>
              <w:right w:val="nil"/>
            </w:tcBorders>
            <w:shd w:val="clear" w:color="auto" w:fill="auto"/>
            <w:noWrap/>
            <w:vAlign w:val="bottom"/>
            <w:hideMark/>
          </w:tcPr>
          <w:p w14:paraId="023238D1" w14:textId="77777777" w:rsidR="00476030" w:rsidRPr="00E14060" w:rsidRDefault="00476030" w:rsidP="00476030">
            <w:pPr>
              <w:jc w:val="center"/>
              <w:rPr>
                <w:sz w:val="22"/>
                <w:szCs w:val="22"/>
                <w:lang w:val="en-GB"/>
              </w:rPr>
            </w:pPr>
            <w:r w:rsidRPr="00E14060">
              <w:rPr>
                <w:sz w:val="22"/>
                <w:szCs w:val="22"/>
                <w:lang w:val="en-GB"/>
              </w:rPr>
              <w:t>--</w:t>
            </w:r>
          </w:p>
        </w:tc>
      </w:tr>
      <w:tr w:rsidR="00BD3444" w:rsidRPr="00E14060" w14:paraId="0AC94113" w14:textId="77777777" w:rsidTr="00A73A4C">
        <w:trPr>
          <w:trHeight w:val="300"/>
        </w:trPr>
        <w:tc>
          <w:tcPr>
            <w:tcW w:w="221" w:type="dxa"/>
            <w:tcBorders>
              <w:top w:val="nil"/>
              <w:left w:val="nil"/>
              <w:bottom w:val="nil"/>
              <w:right w:val="nil"/>
            </w:tcBorders>
            <w:shd w:val="clear" w:color="auto" w:fill="auto"/>
            <w:noWrap/>
            <w:vAlign w:val="bottom"/>
            <w:hideMark/>
          </w:tcPr>
          <w:p w14:paraId="15C0DF90" w14:textId="77777777" w:rsidR="00BD3444" w:rsidRPr="00E14060" w:rsidRDefault="00BD3444" w:rsidP="00476030">
            <w:pPr>
              <w:rPr>
                <w:sz w:val="22"/>
                <w:szCs w:val="22"/>
                <w:lang w:val="en-GB"/>
              </w:rPr>
            </w:pPr>
          </w:p>
        </w:tc>
        <w:tc>
          <w:tcPr>
            <w:tcW w:w="1129" w:type="dxa"/>
            <w:tcBorders>
              <w:top w:val="nil"/>
              <w:left w:val="nil"/>
              <w:bottom w:val="single" w:sz="4" w:space="0" w:color="auto"/>
              <w:right w:val="nil"/>
            </w:tcBorders>
            <w:shd w:val="clear" w:color="auto" w:fill="auto"/>
            <w:noWrap/>
            <w:vAlign w:val="bottom"/>
            <w:hideMark/>
          </w:tcPr>
          <w:p w14:paraId="234D5AE6" w14:textId="77777777" w:rsidR="00BD3444" w:rsidRPr="00E14060" w:rsidRDefault="00BD3444" w:rsidP="00476030">
            <w:pPr>
              <w:rPr>
                <w:b/>
                <w:bCs/>
                <w:sz w:val="22"/>
                <w:szCs w:val="22"/>
                <w:lang w:val="en-GB"/>
              </w:rPr>
            </w:pPr>
            <w:r w:rsidRPr="00E14060">
              <w:rPr>
                <w:b/>
                <w:bCs/>
                <w:sz w:val="22"/>
                <w:szCs w:val="22"/>
                <w:lang w:val="en-GB"/>
              </w:rPr>
              <w:t>MPH-ER</w:t>
            </w:r>
          </w:p>
        </w:tc>
        <w:tc>
          <w:tcPr>
            <w:tcW w:w="271" w:type="dxa"/>
            <w:tcBorders>
              <w:top w:val="nil"/>
              <w:left w:val="nil"/>
              <w:bottom w:val="single" w:sz="4" w:space="0" w:color="auto"/>
              <w:right w:val="nil"/>
            </w:tcBorders>
            <w:shd w:val="clear" w:color="auto" w:fill="auto"/>
            <w:noWrap/>
            <w:vAlign w:val="bottom"/>
            <w:hideMark/>
          </w:tcPr>
          <w:p w14:paraId="69A4FD3F" w14:textId="77777777" w:rsidR="00BD3444" w:rsidRPr="00E14060" w:rsidRDefault="00BD3444" w:rsidP="00476030">
            <w:pPr>
              <w:rPr>
                <w:b/>
                <w:bCs/>
                <w:sz w:val="22"/>
                <w:szCs w:val="22"/>
                <w:lang w:val="en-GB"/>
              </w:rPr>
            </w:pPr>
            <w:r w:rsidRPr="00E14060">
              <w:rPr>
                <w:b/>
                <w:bCs/>
                <w:sz w:val="22"/>
                <w:szCs w:val="22"/>
                <w:lang w:val="en-GB"/>
              </w:rPr>
              <w:t> </w:t>
            </w:r>
          </w:p>
        </w:tc>
        <w:tc>
          <w:tcPr>
            <w:tcW w:w="1889" w:type="dxa"/>
            <w:tcBorders>
              <w:top w:val="nil"/>
              <w:left w:val="nil"/>
              <w:bottom w:val="single" w:sz="4" w:space="0" w:color="auto"/>
              <w:right w:val="nil"/>
            </w:tcBorders>
            <w:shd w:val="clear" w:color="auto" w:fill="auto"/>
            <w:noWrap/>
            <w:vAlign w:val="bottom"/>
            <w:hideMark/>
          </w:tcPr>
          <w:p w14:paraId="799455F7" w14:textId="77777777" w:rsidR="00BD3444" w:rsidRPr="00E14060" w:rsidRDefault="00BD3444" w:rsidP="00476030">
            <w:pPr>
              <w:jc w:val="center"/>
              <w:rPr>
                <w:sz w:val="22"/>
                <w:szCs w:val="22"/>
                <w:lang w:val="en-GB"/>
              </w:rPr>
            </w:pPr>
            <w:r w:rsidRPr="00E14060">
              <w:rPr>
                <w:sz w:val="22"/>
                <w:szCs w:val="22"/>
                <w:lang w:val="en-GB"/>
              </w:rPr>
              <w:t>2.94</w:t>
            </w:r>
          </w:p>
        </w:tc>
        <w:tc>
          <w:tcPr>
            <w:tcW w:w="2279" w:type="dxa"/>
            <w:tcBorders>
              <w:top w:val="nil"/>
              <w:left w:val="nil"/>
              <w:bottom w:val="single" w:sz="4" w:space="0" w:color="auto"/>
              <w:right w:val="nil"/>
            </w:tcBorders>
            <w:shd w:val="clear" w:color="auto" w:fill="auto"/>
            <w:noWrap/>
            <w:vAlign w:val="bottom"/>
            <w:hideMark/>
          </w:tcPr>
          <w:p w14:paraId="4AB2DD24" w14:textId="77777777" w:rsidR="00BD3444" w:rsidRPr="00E14060" w:rsidRDefault="00BD3444" w:rsidP="00476030">
            <w:pPr>
              <w:jc w:val="center"/>
              <w:rPr>
                <w:sz w:val="22"/>
                <w:szCs w:val="22"/>
                <w:lang w:val="en-GB"/>
              </w:rPr>
            </w:pPr>
            <w:r w:rsidRPr="00E14060">
              <w:rPr>
                <w:sz w:val="22"/>
                <w:szCs w:val="22"/>
                <w:lang w:val="en-GB"/>
              </w:rPr>
              <w:t>(1.82, 4.74)</w:t>
            </w:r>
          </w:p>
        </w:tc>
        <w:tc>
          <w:tcPr>
            <w:tcW w:w="2414" w:type="dxa"/>
            <w:tcBorders>
              <w:top w:val="nil"/>
              <w:left w:val="nil"/>
              <w:bottom w:val="single" w:sz="4" w:space="0" w:color="auto"/>
              <w:right w:val="nil"/>
            </w:tcBorders>
            <w:shd w:val="clear" w:color="auto" w:fill="auto"/>
            <w:noWrap/>
            <w:vAlign w:val="bottom"/>
            <w:hideMark/>
          </w:tcPr>
          <w:p w14:paraId="4ADA8405" w14:textId="77777777" w:rsidR="00BD3444" w:rsidRPr="00E14060" w:rsidRDefault="00BD3444" w:rsidP="00476030">
            <w:pPr>
              <w:jc w:val="center"/>
              <w:rPr>
                <w:sz w:val="22"/>
                <w:szCs w:val="22"/>
                <w:lang w:val="en-GB"/>
              </w:rPr>
            </w:pPr>
            <w:r w:rsidRPr="00E14060">
              <w:rPr>
                <w:sz w:val="22"/>
                <w:szCs w:val="22"/>
                <w:lang w:val="en-GB"/>
              </w:rPr>
              <w:t>12.31%</w:t>
            </w:r>
          </w:p>
        </w:tc>
        <w:tc>
          <w:tcPr>
            <w:tcW w:w="2705" w:type="dxa"/>
            <w:tcBorders>
              <w:top w:val="nil"/>
              <w:left w:val="nil"/>
              <w:bottom w:val="single" w:sz="4" w:space="0" w:color="auto"/>
              <w:right w:val="nil"/>
            </w:tcBorders>
            <w:shd w:val="clear" w:color="auto" w:fill="auto"/>
            <w:noWrap/>
            <w:vAlign w:val="bottom"/>
            <w:hideMark/>
          </w:tcPr>
          <w:p w14:paraId="3C079AC5" w14:textId="77777777" w:rsidR="00BD3444" w:rsidRPr="00E14060" w:rsidRDefault="00BD3444" w:rsidP="00476030">
            <w:pPr>
              <w:jc w:val="center"/>
              <w:rPr>
                <w:sz w:val="22"/>
                <w:szCs w:val="22"/>
                <w:lang w:val="en-GB"/>
              </w:rPr>
            </w:pPr>
            <w:r w:rsidRPr="00E14060">
              <w:rPr>
                <w:sz w:val="22"/>
                <w:szCs w:val="22"/>
                <w:lang w:val="en-GB"/>
              </w:rPr>
              <w:t>87.69%</w:t>
            </w:r>
          </w:p>
        </w:tc>
      </w:tr>
      <w:tr w:rsidR="00476030" w:rsidRPr="00E14060" w14:paraId="3CAF571B" w14:textId="77777777" w:rsidTr="00A73A4C">
        <w:trPr>
          <w:trHeight w:val="300"/>
        </w:trPr>
        <w:tc>
          <w:tcPr>
            <w:tcW w:w="221" w:type="dxa"/>
            <w:tcBorders>
              <w:top w:val="nil"/>
              <w:left w:val="nil"/>
              <w:bottom w:val="nil"/>
              <w:right w:val="nil"/>
            </w:tcBorders>
            <w:shd w:val="clear" w:color="auto" w:fill="auto"/>
            <w:noWrap/>
            <w:vAlign w:val="bottom"/>
            <w:hideMark/>
          </w:tcPr>
          <w:p w14:paraId="65D230A5" w14:textId="77777777" w:rsidR="00476030" w:rsidRPr="00E14060" w:rsidRDefault="00476030" w:rsidP="00476030">
            <w:pPr>
              <w:rPr>
                <w:sz w:val="22"/>
                <w:szCs w:val="22"/>
                <w:lang w:val="en-GB"/>
              </w:rPr>
            </w:pPr>
          </w:p>
        </w:tc>
        <w:tc>
          <w:tcPr>
            <w:tcW w:w="1129" w:type="dxa"/>
            <w:tcBorders>
              <w:top w:val="nil"/>
              <w:left w:val="nil"/>
              <w:bottom w:val="nil"/>
              <w:right w:val="nil"/>
            </w:tcBorders>
            <w:shd w:val="clear" w:color="auto" w:fill="auto"/>
            <w:noWrap/>
            <w:vAlign w:val="bottom"/>
            <w:hideMark/>
          </w:tcPr>
          <w:p w14:paraId="4BA1135D" w14:textId="77777777" w:rsidR="00476030" w:rsidRPr="00E14060" w:rsidRDefault="00476030" w:rsidP="00476030">
            <w:pPr>
              <w:rPr>
                <w:sz w:val="22"/>
                <w:szCs w:val="22"/>
                <w:lang w:val="en-GB"/>
              </w:rPr>
            </w:pPr>
          </w:p>
        </w:tc>
        <w:tc>
          <w:tcPr>
            <w:tcW w:w="271" w:type="dxa"/>
            <w:tcBorders>
              <w:top w:val="nil"/>
              <w:left w:val="nil"/>
              <w:bottom w:val="nil"/>
              <w:right w:val="nil"/>
            </w:tcBorders>
            <w:shd w:val="clear" w:color="auto" w:fill="auto"/>
            <w:noWrap/>
            <w:vAlign w:val="bottom"/>
            <w:hideMark/>
          </w:tcPr>
          <w:p w14:paraId="7D70C66D" w14:textId="77777777" w:rsidR="00476030" w:rsidRPr="00E14060" w:rsidRDefault="00476030" w:rsidP="00476030">
            <w:pPr>
              <w:rPr>
                <w:sz w:val="22"/>
                <w:szCs w:val="22"/>
                <w:lang w:val="en-GB"/>
              </w:rPr>
            </w:pPr>
          </w:p>
        </w:tc>
        <w:tc>
          <w:tcPr>
            <w:tcW w:w="1889" w:type="dxa"/>
            <w:tcBorders>
              <w:top w:val="nil"/>
              <w:left w:val="nil"/>
              <w:bottom w:val="nil"/>
              <w:right w:val="nil"/>
            </w:tcBorders>
            <w:shd w:val="clear" w:color="auto" w:fill="auto"/>
            <w:noWrap/>
            <w:vAlign w:val="bottom"/>
            <w:hideMark/>
          </w:tcPr>
          <w:p w14:paraId="6A793629" w14:textId="77777777" w:rsidR="00476030" w:rsidRPr="00E14060" w:rsidRDefault="00476030" w:rsidP="00476030">
            <w:pPr>
              <w:rPr>
                <w:sz w:val="22"/>
                <w:szCs w:val="22"/>
                <w:lang w:val="en-GB"/>
              </w:rPr>
            </w:pPr>
          </w:p>
        </w:tc>
        <w:tc>
          <w:tcPr>
            <w:tcW w:w="2279" w:type="dxa"/>
            <w:tcBorders>
              <w:top w:val="single" w:sz="4" w:space="0" w:color="auto"/>
              <w:left w:val="nil"/>
              <w:bottom w:val="single" w:sz="4" w:space="0" w:color="auto"/>
              <w:right w:val="nil"/>
            </w:tcBorders>
            <w:shd w:val="clear" w:color="auto" w:fill="auto"/>
            <w:noWrap/>
            <w:vAlign w:val="bottom"/>
            <w:hideMark/>
          </w:tcPr>
          <w:p w14:paraId="471FB8C2" w14:textId="77777777" w:rsidR="00476030" w:rsidRPr="00E14060" w:rsidRDefault="00476030" w:rsidP="00476030">
            <w:pPr>
              <w:jc w:val="center"/>
              <w:rPr>
                <w:sz w:val="22"/>
                <w:szCs w:val="22"/>
                <w:lang w:val="en-GB"/>
              </w:rPr>
            </w:pPr>
          </w:p>
        </w:tc>
        <w:tc>
          <w:tcPr>
            <w:tcW w:w="2414" w:type="dxa"/>
            <w:tcBorders>
              <w:top w:val="single" w:sz="4" w:space="0" w:color="auto"/>
              <w:left w:val="nil"/>
              <w:bottom w:val="single" w:sz="4" w:space="0" w:color="auto"/>
              <w:right w:val="nil"/>
            </w:tcBorders>
            <w:shd w:val="clear" w:color="auto" w:fill="auto"/>
            <w:noWrap/>
            <w:vAlign w:val="bottom"/>
            <w:hideMark/>
          </w:tcPr>
          <w:p w14:paraId="26FFB99A" w14:textId="77777777" w:rsidR="00476030" w:rsidRPr="00E14060" w:rsidRDefault="00476030" w:rsidP="00476030">
            <w:pPr>
              <w:rPr>
                <w:sz w:val="22"/>
                <w:szCs w:val="22"/>
                <w:lang w:val="en-GB"/>
              </w:rPr>
            </w:pPr>
          </w:p>
        </w:tc>
        <w:tc>
          <w:tcPr>
            <w:tcW w:w="2705" w:type="dxa"/>
            <w:tcBorders>
              <w:top w:val="nil"/>
              <w:left w:val="nil"/>
              <w:bottom w:val="nil"/>
              <w:right w:val="nil"/>
            </w:tcBorders>
            <w:shd w:val="clear" w:color="auto" w:fill="auto"/>
            <w:noWrap/>
            <w:vAlign w:val="bottom"/>
            <w:hideMark/>
          </w:tcPr>
          <w:p w14:paraId="3B801B98" w14:textId="77777777" w:rsidR="00476030" w:rsidRPr="00E14060" w:rsidRDefault="00476030" w:rsidP="00476030">
            <w:pPr>
              <w:rPr>
                <w:sz w:val="22"/>
                <w:szCs w:val="22"/>
                <w:lang w:val="en-GB"/>
              </w:rPr>
            </w:pPr>
          </w:p>
        </w:tc>
      </w:tr>
      <w:tr w:rsidR="00A83393" w:rsidRPr="00E14060" w14:paraId="0728771A" w14:textId="77777777" w:rsidTr="00A73A4C">
        <w:trPr>
          <w:trHeight w:val="870"/>
        </w:trPr>
        <w:tc>
          <w:tcPr>
            <w:tcW w:w="221" w:type="dxa"/>
            <w:tcBorders>
              <w:top w:val="nil"/>
              <w:left w:val="nil"/>
              <w:bottom w:val="nil"/>
              <w:right w:val="nil"/>
            </w:tcBorders>
            <w:shd w:val="clear" w:color="auto" w:fill="auto"/>
            <w:noWrap/>
            <w:vAlign w:val="bottom"/>
            <w:hideMark/>
          </w:tcPr>
          <w:p w14:paraId="2DAD8C30" w14:textId="77777777" w:rsidR="00A83393" w:rsidRPr="00E14060" w:rsidRDefault="00A83393" w:rsidP="00476030">
            <w:pPr>
              <w:rPr>
                <w:sz w:val="22"/>
                <w:szCs w:val="22"/>
                <w:lang w:val="en-GB"/>
              </w:rPr>
            </w:pPr>
          </w:p>
        </w:tc>
        <w:tc>
          <w:tcPr>
            <w:tcW w:w="1129" w:type="dxa"/>
            <w:tcBorders>
              <w:top w:val="single" w:sz="4" w:space="0" w:color="auto"/>
              <w:left w:val="nil"/>
              <w:bottom w:val="nil"/>
              <w:right w:val="nil"/>
            </w:tcBorders>
            <w:shd w:val="clear" w:color="auto" w:fill="auto"/>
            <w:noWrap/>
            <w:vAlign w:val="bottom"/>
            <w:hideMark/>
          </w:tcPr>
          <w:p w14:paraId="75E7DE0F" w14:textId="77777777" w:rsidR="00A83393" w:rsidRPr="00E14060" w:rsidRDefault="00A83393" w:rsidP="00476030">
            <w:pPr>
              <w:rPr>
                <w:sz w:val="22"/>
                <w:szCs w:val="22"/>
                <w:lang w:val="en-GB"/>
              </w:rPr>
            </w:pPr>
            <w:r w:rsidRPr="00E14060">
              <w:rPr>
                <w:sz w:val="22"/>
                <w:szCs w:val="22"/>
                <w:lang w:val="en-GB"/>
              </w:rPr>
              <w:t> </w:t>
            </w:r>
          </w:p>
        </w:tc>
        <w:tc>
          <w:tcPr>
            <w:tcW w:w="271" w:type="dxa"/>
            <w:tcBorders>
              <w:top w:val="single" w:sz="4" w:space="0" w:color="auto"/>
              <w:left w:val="nil"/>
              <w:bottom w:val="nil"/>
              <w:right w:val="nil"/>
            </w:tcBorders>
            <w:shd w:val="clear" w:color="auto" w:fill="auto"/>
            <w:noWrap/>
            <w:vAlign w:val="bottom"/>
            <w:hideMark/>
          </w:tcPr>
          <w:p w14:paraId="5B3ED05F" w14:textId="77777777" w:rsidR="00A83393" w:rsidRPr="00E14060" w:rsidRDefault="00A83393" w:rsidP="00476030">
            <w:pPr>
              <w:rPr>
                <w:sz w:val="22"/>
                <w:szCs w:val="22"/>
                <w:lang w:val="en-GB"/>
              </w:rPr>
            </w:pPr>
            <w:r w:rsidRPr="00E14060">
              <w:rPr>
                <w:sz w:val="22"/>
                <w:szCs w:val="22"/>
                <w:lang w:val="en-GB"/>
              </w:rPr>
              <w:t> </w:t>
            </w:r>
          </w:p>
        </w:tc>
        <w:tc>
          <w:tcPr>
            <w:tcW w:w="1889" w:type="dxa"/>
            <w:tcBorders>
              <w:top w:val="single" w:sz="4" w:space="0" w:color="auto"/>
              <w:left w:val="nil"/>
              <w:bottom w:val="single" w:sz="4" w:space="0" w:color="auto"/>
              <w:right w:val="nil"/>
            </w:tcBorders>
            <w:shd w:val="clear" w:color="auto" w:fill="auto"/>
            <w:vAlign w:val="bottom"/>
            <w:hideMark/>
          </w:tcPr>
          <w:p w14:paraId="13CCAE25" w14:textId="77777777" w:rsidR="00A83393" w:rsidRPr="00E14060" w:rsidRDefault="00A83393" w:rsidP="00476030">
            <w:pPr>
              <w:jc w:val="center"/>
              <w:rPr>
                <w:b/>
                <w:bCs/>
                <w:sz w:val="22"/>
                <w:szCs w:val="22"/>
                <w:lang w:val="en-GB"/>
              </w:rPr>
            </w:pPr>
            <w:r w:rsidRPr="00E14060">
              <w:rPr>
                <w:b/>
                <w:bCs/>
                <w:sz w:val="22"/>
                <w:szCs w:val="22"/>
                <w:lang w:val="en-GB"/>
              </w:rPr>
              <w:t>Relative risk of drug vs. placebo</w:t>
            </w:r>
          </w:p>
        </w:tc>
        <w:tc>
          <w:tcPr>
            <w:tcW w:w="2279" w:type="dxa"/>
            <w:tcBorders>
              <w:top w:val="single" w:sz="4" w:space="0" w:color="auto"/>
              <w:left w:val="nil"/>
              <w:bottom w:val="single" w:sz="4" w:space="0" w:color="auto"/>
              <w:right w:val="nil"/>
            </w:tcBorders>
            <w:shd w:val="clear" w:color="auto" w:fill="auto"/>
            <w:vAlign w:val="bottom"/>
            <w:hideMark/>
          </w:tcPr>
          <w:p w14:paraId="2E418EEB" w14:textId="77777777" w:rsidR="00A83393" w:rsidRPr="00E14060" w:rsidRDefault="00A83393" w:rsidP="00476030">
            <w:pPr>
              <w:jc w:val="center"/>
              <w:rPr>
                <w:b/>
                <w:bCs/>
                <w:sz w:val="22"/>
                <w:szCs w:val="22"/>
                <w:lang w:val="en-GB"/>
              </w:rPr>
            </w:pPr>
            <w:r w:rsidRPr="00E14060">
              <w:rPr>
                <w:b/>
                <w:bCs/>
                <w:sz w:val="22"/>
                <w:szCs w:val="22"/>
                <w:lang w:val="en-GB"/>
              </w:rPr>
              <w:t>95% Credible interval for relative risk</w:t>
            </w:r>
          </w:p>
        </w:tc>
        <w:tc>
          <w:tcPr>
            <w:tcW w:w="2414" w:type="dxa"/>
            <w:tcBorders>
              <w:top w:val="single" w:sz="4" w:space="0" w:color="auto"/>
              <w:left w:val="nil"/>
              <w:bottom w:val="single" w:sz="4" w:space="0" w:color="auto"/>
              <w:right w:val="nil"/>
            </w:tcBorders>
            <w:shd w:val="clear" w:color="auto" w:fill="auto"/>
            <w:vAlign w:val="bottom"/>
          </w:tcPr>
          <w:p w14:paraId="2414A02B" w14:textId="77777777" w:rsidR="00A83393" w:rsidRPr="00E14060" w:rsidRDefault="00A83393" w:rsidP="00A83393">
            <w:pPr>
              <w:jc w:val="center"/>
              <w:rPr>
                <w:b/>
                <w:sz w:val="22"/>
                <w:szCs w:val="22"/>
                <w:lang w:val="en-GB"/>
              </w:rPr>
            </w:pPr>
            <w:r w:rsidRPr="00E14060">
              <w:rPr>
                <w:b/>
                <w:sz w:val="22"/>
                <w:szCs w:val="22"/>
                <w:lang w:val="en-GB"/>
              </w:rPr>
              <w:t>Response rate</w:t>
            </w:r>
          </w:p>
          <w:p w14:paraId="46516072" w14:textId="77777777" w:rsidR="00A83393" w:rsidRPr="00E14060" w:rsidRDefault="00A83393" w:rsidP="00820079">
            <w:pPr>
              <w:jc w:val="center"/>
              <w:rPr>
                <w:b/>
                <w:bCs/>
                <w:sz w:val="22"/>
                <w:szCs w:val="22"/>
                <w:lang w:val="en-GB"/>
              </w:rPr>
            </w:pPr>
          </w:p>
        </w:tc>
        <w:tc>
          <w:tcPr>
            <w:tcW w:w="2705" w:type="dxa"/>
            <w:tcBorders>
              <w:top w:val="nil"/>
              <w:left w:val="nil"/>
              <w:bottom w:val="nil"/>
              <w:right w:val="nil"/>
            </w:tcBorders>
            <w:shd w:val="clear" w:color="auto" w:fill="auto"/>
            <w:vAlign w:val="bottom"/>
            <w:hideMark/>
          </w:tcPr>
          <w:p w14:paraId="3AEDD28D" w14:textId="77777777" w:rsidR="00A83393" w:rsidRPr="00E14060" w:rsidRDefault="00A83393" w:rsidP="00476030">
            <w:pPr>
              <w:jc w:val="center"/>
              <w:rPr>
                <w:b/>
                <w:bCs/>
                <w:sz w:val="22"/>
                <w:szCs w:val="22"/>
                <w:lang w:val="en-GB"/>
              </w:rPr>
            </w:pPr>
            <w:r w:rsidRPr="00E14060">
              <w:rPr>
                <w:b/>
                <w:bCs/>
                <w:sz w:val="22"/>
                <w:szCs w:val="22"/>
                <w:lang w:val="en-GB"/>
              </w:rPr>
              <w:t>Placebo Risk</w:t>
            </w:r>
          </w:p>
          <w:p w14:paraId="50B33C98" w14:textId="77777777" w:rsidR="00A83393" w:rsidRPr="00E14060" w:rsidRDefault="00A83393" w:rsidP="00476030">
            <w:pPr>
              <w:jc w:val="center"/>
              <w:rPr>
                <w:b/>
                <w:bCs/>
                <w:sz w:val="22"/>
                <w:szCs w:val="22"/>
                <w:lang w:val="en-GB"/>
              </w:rPr>
            </w:pPr>
            <w:r w:rsidRPr="00E14060">
              <w:rPr>
                <w:b/>
                <w:bCs/>
                <w:sz w:val="22"/>
                <w:szCs w:val="22"/>
                <w:lang w:val="en-GB"/>
              </w:rPr>
              <w:t>(95% CI)</w:t>
            </w:r>
            <w:r w:rsidRPr="00E14060">
              <w:rPr>
                <w:rStyle w:val="FootnoteReference"/>
                <w:b/>
                <w:bCs/>
                <w:sz w:val="22"/>
                <w:szCs w:val="22"/>
                <w:lang w:val="en-GB"/>
              </w:rPr>
              <w:footnoteReference w:id="4"/>
            </w:r>
          </w:p>
        </w:tc>
      </w:tr>
      <w:tr w:rsidR="00E8547B" w:rsidRPr="00E14060" w14:paraId="065362C6" w14:textId="77777777" w:rsidTr="00A73A4C">
        <w:trPr>
          <w:trHeight w:val="300"/>
        </w:trPr>
        <w:tc>
          <w:tcPr>
            <w:tcW w:w="221" w:type="dxa"/>
            <w:tcBorders>
              <w:top w:val="nil"/>
              <w:left w:val="nil"/>
              <w:bottom w:val="nil"/>
              <w:right w:val="nil"/>
            </w:tcBorders>
            <w:shd w:val="clear" w:color="auto" w:fill="auto"/>
            <w:noWrap/>
            <w:vAlign w:val="bottom"/>
            <w:hideMark/>
          </w:tcPr>
          <w:p w14:paraId="366DD8CB" w14:textId="77777777" w:rsidR="00E8547B" w:rsidRPr="00E14060" w:rsidRDefault="00E8547B" w:rsidP="00476030">
            <w:pPr>
              <w:rPr>
                <w:sz w:val="22"/>
                <w:szCs w:val="22"/>
                <w:lang w:val="en-GB"/>
              </w:rPr>
            </w:pPr>
          </w:p>
        </w:tc>
        <w:tc>
          <w:tcPr>
            <w:tcW w:w="1129" w:type="dxa"/>
            <w:tcBorders>
              <w:top w:val="nil"/>
              <w:left w:val="nil"/>
              <w:bottom w:val="nil"/>
              <w:right w:val="nil"/>
            </w:tcBorders>
            <w:shd w:val="clear" w:color="auto" w:fill="auto"/>
            <w:noWrap/>
            <w:vAlign w:val="bottom"/>
            <w:hideMark/>
          </w:tcPr>
          <w:p w14:paraId="2F22AE00" w14:textId="77777777" w:rsidR="00E8547B" w:rsidRPr="00E14060" w:rsidRDefault="00E8547B" w:rsidP="00476030">
            <w:pPr>
              <w:rPr>
                <w:b/>
                <w:bCs/>
                <w:sz w:val="22"/>
                <w:szCs w:val="22"/>
                <w:lang w:val="en-GB"/>
              </w:rPr>
            </w:pPr>
            <w:r w:rsidRPr="00E14060">
              <w:rPr>
                <w:b/>
                <w:bCs/>
                <w:sz w:val="22"/>
                <w:szCs w:val="22"/>
                <w:lang w:val="en-GB"/>
              </w:rPr>
              <w:t>LDX</w:t>
            </w:r>
          </w:p>
        </w:tc>
        <w:tc>
          <w:tcPr>
            <w:tcW w:w="271" w:type="dxa"/>
            <w:tcBorders>
              <w:top w:val="nil"/>
              <w:left w:val="nil"/>
              <w:bottom w:val="nil"/>
              <w:right w:val="nil"/>
            </w:tcBorders>
            <w:shd w:val="clear" w:color="auto" w:fill="auto"/>
            <w:noWrap/>
            <w:vAlign w:val="bottom"/>
            <w:hideMark/>
          </w:tcPr>
          <w:p w14:paraId="607A1010" w14:textId="77777777" w:rsidR="00E8547B" w:rsidRPr="00E14060" w:rsidRDefault="00E8547B" w:rsidP="00476030">
            <w:pPr>
              <w:rPr>
                <w:sz w:val="22"/>
                <w:szCs w:val="22"/>
                <w:lang w:val="en-GB"/>
              </w:rPr>
            </w:pPr>
          </w:p>
        </w:tc>
        <w:tc>
          <w:tcPr>
            <w:tcW w:w="1889" w:type="dxa"/>
            <w:tcBorders>
              <w:top w:val="nil"/>
              <w:left w:val="nil"/>
              <w:bottom w:val="nil"/>
              <w:right w:val="nil"/>
            </w:tcBorders>
            <w:shd w:val="clear" w:color="auto" w:fill="auto"/>
            <w:noWrap/>
            <w:vAlign w:val="bottom"/>
            <w:hideMark/>
          </w:tcPr>
          <w:p w14:paraId="45C71C64" w14:textId="77777777" w:rsidR="00E8547B" w:rsidRPr="00E14060" w:rsidRDefault="00E8547B" w:rsidP="00476030">
            <w:pPr>
              <w:jc w:val="center"/>
              <w:rPr>
                <w:sz w:val="22"/>
                <w:szCs w:val="22"/>
                <w:lang w:val="en-GB"/>
              </w:rPr>
            </w:pPr>
            <w:r w:rsidRPr="00E14060">
              <w:rPr>
                <w:sz w:val="22"/>
                <w:szCs w:val="22"/>
                <w:lang w:val="en-GB"/>
              </w:rPr>
              <w:t>2.18</w:t>
            </w:r>
          </w:p>
        </w:tc>
        <w:tc>
          <w:tcPr>
            <w:tcW w:w="2279" w:type="dxa"/>
            <w:tcBorders>
              <w:top w:val="single" w:sz="4" w:space="0" w:color="auto"/>
              <w:left w:val="nil"/>
              <w:bottom w:val="nil"/>
              <w:right w:val="nil"/>
            </w:tcBorders>
            <w:shd w:val="clear" w:color="auto" w:fill="auto"/>
            <w:noWrap/>
            <w:vAlign w:val="bottom"/>
            <w:hideMark/>
          </w:tcPr>
          <w:p w14:paraId="0298F55C" w14:textId="77777777" w:rsidR="00E8547B" w:rsidRPr="00E14060" w:rsidRDefault="00E8547B" w:rsidP="00476030">
            <w:pPr>
              <w:jc w:val="center"/>
              <w:rPr>
                <w:sz w:val="22"/>
                <w:szCs w:val="22"/>
                <w:lang w:val="en-GB"/>
              </w:rPr>
            </w:pPr>
            <w:r w:rsidRPr="00E14060">
              <w:rPr>
                <w:sz w:val="22"/>
                <w:szCs w:val="22"/>
                <w:lang w:val="en-GB"/>
              </w:rPr>
              <w:t>(1.73, 2.64)</w:t>
            </w:r>
          </w:p>
        </w:tc>
        <w:tc>
          <w:tcPr>
            <w:tcW w:w="2414" w:type="dxa"/>
            <w:tcBorders>
              <w:top w:val="single" w:sz="4" w:space="0" w:color="auto"/>
              <w:left w:val="nil"/>
              <w:bottom w:val="nil"/>
              <w:right w:val="nil"/>
            </w:tcBorders>
            <w:shd w:val="clear" w:color="auto" w:fill="auto"/>
            <w:noWrap/>
            <w:vAlign w:val="bottom"/>
          </w:tcPr>
          <w:p w14:paraId="41097368" w14:textId="77777777" w:rsidR="00E8547B" w:rsidRPr="00E14060" w:rsidRDefault="00E8547B" w:rsidP="00820079">
            <w:pPr>
              <w:jc w:val="center"/>
              <w:rPr>
                <w:sz w:val="22"/>
                <w:szCs w:val="22"/>
                <w:lang w:val="en-GB"/>
              </w:rPr>
            </w:pPr>
            <w:r w:rsidRPr="00E14060">
              <w:rPr>
                <w:sz w:val="22"/>
                <w:szCs w:val="22"/>
                <w:lang w:val="en-GB"/>
              </w:rPr>
              <w:t>0.66</w:t>
            </w:r>
          </w:p>
        </w:tc>
        <w:tc>
          <w:tcPr>
            <w:tcW w:w="2705" w:type="dxa"/>
            <w:tcBorders>
              <w:top w:val="nil"/>
              <w:left w:val="nil"/>
              <w:bottom w:val="nil"/>
              <w:right w:val="nil"/>
            </w:tcBorders>
            <w:shd w:val="clear" w:color="auto" w:fill="auto"/>
            <w:noWrap/>
            <w:vAlign w:val="bottom"/>
            <w:hideMark/>
          </w:tcPr>
          <w:p w14:paraId="229D4456" w14:textId="77777777" w:rsidR="00E8547B" w:rsidRPr="00E14060" w:rsidRDefault="00E8547B" w:rsidP="00476030">
            <w:pPr>
              <w:jc w:val="center"/>
              <w:rPr>
                <w:sz w:val="22"/>
                <w:szCs w:val="22"/>
                <w:lang w:val="en-GB"/>
              </w:rPr>
            </w:pPr>
            <w:r w:rsidRPr="00E14060">
              <w:rPr>
                <w:sz w:val="22"/>
                <w:szCs w:val="22"/>
                <w:lang w:val="en-GB"/>
              </w:rPr>
              <w:t xml:space="preserve">0.3012 </w:t>
            </w:r>
          </w:p>
        </w:tc>
      </w:tr>
      <w:tr w:rsidR="00E8547B" w:rsidRPr="00E14060" w14:paraId="7DEC273E" w14:textId="77777777" w:rsidTr="00A73A4C">
        <w:trPr>
          <w:trHeight w:val="300"/>
        </w:trPr>
        <w:tc>
          <w:tcPr>
            <w:tcW w:w="221" w:type="dxa"/>
            <w:tcBorders>
              <w:top w:val="nil"/>
              <w:left w:val="nil"/>
              <w:bottom w:val="nil"/>
              <w:right w:val="nil"/>
            </w:tcBorders>
            <w:shd w:val="clear" w:color="auto" w:fill="auto"/>
            <w:noWrap/>
            <w:vAlign w:val="bottom"/>
            <w:hideMark/>
          </w:tcPr>
          <w:p w14:paraId="4800FD00" w14:textId="77777777" w:rsidR="00E8547B" w:rsidRPr="00E14060" w:rsidRDefault="00E8547B" w:rsidP="00476030">
            <w:pPr>
              <w:rPr>
                <w:sz w:val="22"/>
                <w:szCs w:val="22"/>
                <w:lang w:val="en-GB"/>
              </w:rPr>
            </w:pPr>
          </w:p>
        </w:tc>
        <w:tc>
          <w:tcPr>
            <w:tcW w:w="1129" w:type="dxa"/>
            <w:tcBorders>
              <w:top w:val="nil"/>
              <w:left w:val="nil"/>
              <w:bottom w:val="nil"/>
              <w:right w:val="nil"/>
            </w:tcBorders>
            <w:shd w:val="clear" w:color="auto" w:fill="auto"/>
            <w:noWrap/>
            <w:vAlign w:val="bottom"/>
            <w:hideMark/>
          </w:tcPr>
          <w:p w14:paraId="68F6D63E" w14:textId="77777777" w:rsidR="00E8547B" w:rsidRPr="00E14060" w:rsidRDefault="00E8547B" w:rsidP="00476030">
            <w:pPr>
              <w:rPr>
                <w:b/>
                <w:bCs/>
                <w:sz w:val="22"/>
                <w:szCs w:val="22"/>
                <w:lang w:val="en-GB"/>
              </w:rPr>
            </w:pPr>
            <w:r w:rsidRPr="00E14060">
              <w:rPr>
                <w:b/>
                <w:bCs/>
                <w:sz w:val="22"/>
                <w:szCs w:val="22"/>
                <w:lang w:val="en-GB"/>
              </w:rPr>
              <w:t>ATX</w:t>
            </w:r>
          </w:p>
        </w:tc>
        <w:tc>
          <w:tcPr>
            <w:tcW w:w="271" w:type="dxa"/>
            <w:tcBorders>
              <w:top w:val="nil"/>
              <w:left w:val="nil"/>
              <w:bottom w:val="nil"/>
              <w:right w:val="nil"/>
            </w:tcBorders>
            <w:shd w:val="clear" w:color="auto" w:fill="auto"/>
            <w:noWrap/>
            <w:vAlign w:val="bottom"/>
            <w:hideMark/>
          </w:tcPr>
          <w:p w14:paraId="60860248" w14:textId="77777777" w:rsidR="00E8547B" w:rsidRPr="00E14060" w:rsidRDefault="00E8547B" w:rsidP="00476030">
            <w:pPr>
              <w:rPr>
                <w:sz w:val="22"/>
                <w:szCs w:val="22"/>
                <w:lang w:val="en-GB"/>
              </w:rPr>
            </w:pPr>
          </w:p>
        </w:tc>
        <w:tc>
          <w:tcPr>
            <w:tcW w:w="1889" w:type="dxa"/>
            <w:tcBorders>
              <w:top w:val="nil"/>
              <w:left w:val="nil"/>
              <w:bottom w:val="nil"/>
              <w:right w:val="nil"/>
            </w:tcBorders>
            <w:shd w:val="clear" w:color="auto" w:fill="auto"/>
            <w:noWrap/>
            <w:vAlign w:val="bottom"/>
            <w:hideMark/>
          </w:tcPr>
          <w:p w14:paraId="1012645E" w14:textId="77777777" w:rsidR="00E8547B" w:rsidRPr="00E14060" w:rsidRDefault="00E8547B" w:rsidP="00476030">
            <w:pPr>
              <w:jc w:val="center"/>
              <w:rPr>
                <w:sz w:val="22"/>
                <w:szCs w:val="22"/>
                <w:lang w:val="en-GB"/>
              </w:rPr>
            </w:pPr>
            <w:r w:rsidRPr="00E14060">
              <w:rPr>
                <w:sz w:val="22"/>
                <w:szCs w:val="22"/>
                <w:lang w:val="en-GB"/>
              </w:rPr>
              <w:t>--</w:t>
            </w:r>
          </w:p>
        </w:tc>
        <w:tc>
          <w:tcPr>
            <w:tcW w:w="2279" w:type="dxa"/>
            <w:tcBorders>
              <w:top w:val="nil"/>
              <w:left w:val="nil"/>
              <w:bottom w:val="nil"/>
              <w:right w:val="nil"/>
            </w:tcBorders>
            <w:shd w:val="clear" w:color="auto" w:fill="auto"/>
            <w:noWrap/>
            <w:vAlign w:val="bottom"/>
            <w:hideMark/>
          </w:tcPr>
          <w:p w14:paraId="2CA12651" w14:textId="77777777" w:rsidR="00E8547B" w:rsidRPr="00E14060" w:rsidRDefault="00E8547B" w:rsidP="00476030">
            <w:pPr>
              <w:jc w:val="center"/>
              <w:rPr>
                <w:sz w:val="22"/>
                <w:szCs w:val="22"/>
                <w:lang w:val="en-GB"/>
              </w:rPr>
            </w:pPr>
            <w:r w:rsidRPr="00E14060">
              <w:rPr>
                <w:sz w:val="22"/>
                <w:szCs w:val="22"/>
                <w:lang w:val="en-GB"/>
              </w:rPr>
              <w:t>--</w:t>
            </w:r>
          </w:p>
        </w:tc>
        <w:tc>
          <w:tcPr>
            <w:tcW w:w="2414" w:type="dxa"/>
            <w:tcBorders>
              <w:top w:val="nil"/>
              <w:left w:val="nil"/>
              <w:right w:val="nil"/>
            </w:tcBorders>
            <w:shd w:val="clear" w:color="auto" w:fill="auto"/>
            <w:noWrap/>
            <w:vAlign w:val="bottom"/>
          </w:tcPr>
          <w:p w14:paraId="3D47C5CC" w14:textId="77777777" w:rsidR="00E8547B" w:rsidRPr="00E14060" w:rsidRDefault="00E8547B" w:rsidP="00476030">
            <w:pPr>
              <w:jc w:val="center"/>
              <w:rPr>
                <w:sz w:val="22"/>
                <w:szCs w:val="22"/>
                <w:lang w:val="en-GB"/>
              </w:rPr>
            </w:pPr>
            <w:r w:rsidRPr="00E14060">
              <w:rPr>
                <w:sz w:val="22"/>
                <w:szCs w:val="22"/>
                <w:lang w:val="en-GB"/>
              </w:rPr>
              <w:t>--</w:t>
            </w:r>
          </w:p>
        </w:tc>
        <w:tc>
          <w:tcPr>
            <w:tcW w:w="2705" w:type="dxa"/>
            <w:tcBorders>
              <w:top w:val="nil"/>
              <w:left w:val="nil"/>
              <w:bottom w:val="nil"/>
              <w:right w:val="nil"/>
            </w:tcBorders>
            <w:shd w:val="clear" w:color="auto" w:fill="auto"/>
            <w:noWrap/>
            <w:vAlign w:val="bottom"/>
            <w:hideMark/>
          </w:tcPr>
          <w:p w14:paraId="057BEAD2" w14:textId="77777777" w:rsidR="00E8547B" w:rsidRPr="00E14060" w:rsidRDefault="00E8547B" w:rsidP="00476030">
            <w:pPr>
              <w:jc w:val="center"/>
              <w:rPr>
                <w:sz w:val="22"/>
                <w:szCs w:val="22"/>
                <w:lang w:val="en-GB"/>
              </w:rPr>
            </w:pPr>
            <w:r w:rsidRPr="00E14060">
              <w:rPr>
                <w:sz w:val="22"/>
                <w:szCs w:val="22"/>
                <w:lang w:val="en-GB"/>
              </w:rPr>
              <w:t>(0.253, 0.350)</w:t>
            </w:r>
          </w:p>
        </w:tc>
      </w:tr>
      <w:tr w:rsidR="00E8547B" w:rsidRPr="00E14060" w14:paraId="3ED7946F" w14:textId="77777777" w:rsidTr="00A73A4C">
        <w:trPr>
          <w:trHeight w:val="300"/>
        </w:trPr>
        <w:tc>
          <w:tcPr>
            <w:tcW w:w="221" w:type="dxa"/>
            <w:tcBorders>
              <w:top w:val="nil"/>
              <w:left w:val="nil"/>
              <w:bottom w:val="nil"/>
              <w:right w:val="nil"/>
            </w:tcBorders>
            <w:shd w:val="clear" w:color="auto" w:fill="auto"/>
            <w:noWrap/>
            <w:vAlign w:val="bottom"/>
            <w:hideMark/>
          </w:tcPr>
          <w:p w14:paraId="67AA7520" w14:textId="77777777" w:rsidR="00E8547B" w:rsidRPr="00E14060" w:rsidRDefault="00E8547B" w:rsidP="00476030">
            <w:pPr>
              <w:rPr>
                <w:sz w:val="22"/>
                <w:szCs w:val="22"/>
                <w:lang w:val="en-GB"/>
              </w:rPr>
            </w:pPr>
          </w:p>
        </w:tc>
        <w:tc>
          <w:tcPr>
            <w:tcW w:w="1129" w:type="dxa"/>
            <w:tcBorders>
              <w:top w:val="nil"/>
              <w:left w:val="nil"/>
              <w:bottom w:val="single" w:sz="4" w:space="0" w:color="auto"/>
              <w:right w:val="nil"/>
            </w:tcBorders>
            <w:shd w:val="clear" w:color="auto" w:fill="auto"/>
            <w:noWrap/>
            <w:vAlign w:val="bottom"/>
            <w:hideMark/>
          </w:tcPr>
          <w:p w14:paraId="115C335B" w14:textId="77777777" w:rsidR="00E8547B" w:rsidRPr="00E14060" w:rsidRDefault="00E8547B" w:rsidP="00476030">
            <w:pPr>
              <w:rPr>
                <w:b/>
                <w:bCs/>
                <w:sz w:val="22"/>
                <w:szCs w:val="22"/>
                <w:lang w:val="en-GB"/>
              </w:rPr>
            </w:pPr>
            <w:r w:rsidRPr="00E14060">
              <w:rPr>
                <w:b/>
                <w:bCs/>
                <w:sz w:val="22"/>
                <w:szCs w:val="22"/>
                <w:lang w:val="en-GB"/>
              </w:rPr>
              <w:t>MPH-ER</w:t>
            </w:r>
          </w:p>
        </w:tc>
        <w:tc>
          <w:tcPr>
            <w:tcW w:w="271" w:type="dxa"/>
            <w:tcBorders>
              <w:top w:val="nil"/>
              <w:left w:val="nil"/>
              <w:bottom w:val="single" w:sz="4" w:space="0" w:color="auto"/>
              <w:right w:val="nil"/>
            </w:tcBorders>
            <w:shd w:val="clear" w:color="auto" w:fill="auto"/>
            <w:noWrap/>
            <w:vAlign w:val="bottom"/>
            <w:hideMark/>
          </w:tcPr>
          <w:p w14:paraId="192ADEA9" w14:textId="77777777" w:rsidR="00E8547B" w:rsidRPr="00E14060" w:rsidRDefault="00E8547B" w:rsidP="00476030">
            <w:pPr>
              <w:rPr>
                <w:sz w:val="22"/>
                <w:szCs w:val="22"/>
                <w:lang w:val="en-GB"/>
              </w:rPr>
            </w:pPr>
            <w:r w:rsidRPr="00E14060">
              <w:rPr>
                <w:sz w:val="22"/>
                <w:szCs w:val="22"/>
                <w:lang w:val="en-GB"/>
              </w:rPr>
              <w:t> </w:t>
            </w:r>
          </w:p>
        </w:tc>
        <w:tc>
          <w:tcPr>
            <w:tcW w:w="1889" w:type="dxa"/>
            <w:tcBorders>
              <w:top w:val="nil"/>
              <w:left w:val="nil"/>
              <w:bottom w:val="single" w:sz="4" w:space="0" w:color="auto"/>
              <w:right w:val="nil"/>
            </w:tcBorders>
            <w:shd w:val="clear" w:color="auto" w:fill="auto"/>
            <w:noWrap/>
            <w:vAlign w:val="bottom"/>
            <w:hideMark/>
          </w:tcPr>
          <w:p w14:paraId="1CACC081" w14:textId="77777777" w:rsidR="00E8547B" w:rsidRPr="00E14060" w:rsidRDefault="00E8547B" w:rsidP="00476030">
            <w:pPr>
              <w:jc w:val="center"/>
              <w:rPr>
                <w:sz w:val="22"/>
                <w:szCs w:val="22"/>
                <w:lang w:val="en-GB"/>
              </w:rPr>
            </w:pPr>
            <w:r w:rsidRPr="00E14060">
              <w:rPr>
                <w:sz w:val="22"/>
                <w:szCs w:val="22"/>
                <w:lang w:val="en-GB"/>
              </w:rPr>
              <w:t>1.85</w:t>
            </w:r>
          </w:p>
        </w:tc>
        <w:tc>
          <w:tcPr>
            <w:tcW w:w="2279" w:type="dxa"/>
            <w:tcBorders>
              <w:top w:val="nil"/>
              <w:left w:val="nil"/>
              <w:bottom w:val="single" w:sz="4" w:space="0" w:color="auto"/>
              <w:right w:val="nil"/>
            </w:tcBorders>
            <w:shd w:val="clear" w:color="auto" w:fill="auto"/>
            <w:noWrap/>
            <w:vAlign w:val="bottom"/>
            <w:hideMark/>
          </w:tcPr>
          <w:p w14:paraId="2A61D6CD" w14:textId="77777777" w:rsidR="00E8547B" w:rsidRPr="00E14060" w:rsidRDefault="00E8547B" w:rsidP="00476030">
            <w:pPr>
              <w:jc w:val="center"/>
              <w:rPr>
                <w:sz w:val="22"/>
                <w:szCs w:val="22"/>
                <w:lang w:val="en-GB"/>
              </w:rPr>
            </w:pPr>
            <w:r w:rsidRPr="00E14060">
              <w:rPr>
                <w:sz w:val="22"/>
                <w:szCs w:val="22"/>
                <w:lang w:val="en-GB"/>
              </w:rPr>
              <w:t>(1.46, 2.27)</w:t>
            </w:r>
          </w:p>
        </w:tc>
        <w:tc>
          <w:tcPr>
            <w:tcW w:w="2414" w:type="dxa"/>
            <w:tcBorders>
              <w:top w:val="nil"/>
              <w:left w:val="nil"/>
              <w:bottom w:val="single" w:sz="4" w:space="0" w:color="auto"/>
              <w:right w:val="nil"/>
            </w:tcBorders>
            <w:shd w:val="clear" w:color="auto" w:fill="auto"/>
            <w:noWrap/>
            <w:vAlign w:val="bottom"/>
            <w:hideMark/>
          </w:tcPr>
          <w:p w14:paraId="067A4A52" w14:textId="77777777" w:rsidR="00E8547B" w:rsidRPr="00E14060" w:rsidRDefault="00E8547B" w:rsidP="00476030">
            <w:pPr>
              <w:jc w:val="center"/>
              <w:rPr>
                <w:sz w:val="22"/>
                <w:szCs w:val="22"/>
                <w:lang w:val="en-GB"/>
              </w:rPr>
            </w:pPr>
            <w:r w:rsidRPr="00E14060">
              <w:rPr>
                <w:sz w:val="22"/>
                <w:szCs w:val="22"/>
                <w:lang w:val="en-GB"/>
              </w:rPr>
              <w:t>0.56</w:t>
            </w:r>
          </w:p>
        </w:tc>
        <w:tc>
          <w:tcPr>
            <w:tcW w:w="2705" w:type="dxa"/>
            <w:tcBorders>
              <w:top w:val="nil"/>
              <w:left w:val="nil"/>
              <w:bottom w:val="nil"/>
              <w:right w:val="nil"/>
            </w:tcBorders>
            <w:shd w:val="clear" w:color="auto" w:fill="auto"/>
            <w:noWrap/>
            <w:vAlign w:val="bottom"/>
            <w:hideMark/>
          </w:tcPr>
          <w:p w14:paraId="1C81E915" w14:textId="77777777" w:rsidR="00E8547B" w:rsidRPr="00E14060" w:rsidRDefault="00E8547B" w:rsidP="00476030">
            <w:pPr>
              <w:jc w:val="center"/>
              <w:rPr>
                <w:sz w:val="22"/>
                <w:szCs w:val="22"/>
                <w:lang w:val="en-GB"/>
              </w:rPr>
            </w:pPr>
          </w:p>
        </w:tc>
      </w:tr>
    </w:tbl>
    <w:p w14:paraId="6F663CF0" w14:textId="77777777" w:rsidR="00464ABD" w:rsidRPr="00E14060" w:rsidRDefault="00464ABD">
      <w:pPr>
        <w:rPr>
          <w:b/>
          <w:sz w:val="24"/>
          <w:lang w:val="en-GB"/>
        </w:rPr>
      </w:pPr>
    </w:p>
    <w:p w14:paraId="403CC27E" w14:textId="77777777" w:rsidR="00327422" w:rsidRPr="00E14060" w:rsidRDefault="00464ABD">
      <w:pPr>
        <w:rPr>
          <w:b/>
          <w:sz w:val="24"/>
          <w:lang w:val="en-GB"/>
        </w:rPr>
      </w:pPr>
      <w:r w:rsidRPr="00E14060">
        <w:rPr>
          <w:b/>
          <w:sz w:val="24"/>
          <w:lang w:val="en-GB"/>
        </w:rPr>
        <w:br w:type="page"/>
      </w:r>
    </w:p>
    <w:p w14:paraId="75FE26A0" w14:textId="77777777" w:rsidR="00476030" w:rsidRPr="00E14060" w:rsidRDefault="00476030">
      <w:pPr>
        <w:rPr>
          <w:b/>
          <w:sz w:val="24"/>
          <w:lang w:val="en-GB"/>
        </w:rPr>
      </w:pPr>
    </w:p>
    <w:p w14:paraId="321CB393" w14:textId="77777777" w:rsidR="00114CF2" w:rsidRPr="00E14060" w:rsidRDefault="00114CF2" w:rsidP="00114CF2">
      <w:pPr>
        <w:pStyle w:val="Heading3"/>
        <w:rPr>
          <w:color w:val="auto"/>
          <w:lang w:val="en-GB"/>
        </w:rPr>
      </w:pPr>
      <w:bookmarkStart w:id="267" w:name="_Toc384683015"/>
      <w:bookmarkStart w:id="268" w:name="_Toc391913776"/>
      <w:bookmarkStart w:id="269" w:name="_Toc402543846"/>
      <w:r w:rsidRPr="00E14060">
        <w:rPr>
          <w:color w:val="auto"/>
          <w:lang w:val="en-GB"/>
        </w:rPr>
        <w:t xml:space="preserve">Bayesian </w:t>
      </w:r>
      <w:r w:rsidR="0062581E" w:rsidRPr="00E14060">
        <w:rPr>
          <w:color w:val="auto"/>
          <w:lang w:val="en-GB"/>
        </w:rPr>
        <w:t>c</w:t>
      </w:r>
      <w:r w:rsidRPr="00E14060">
        <w:rPr>
          <w:color w:val="auto"/>
          <w:lang w:val="en-GB"/>
        </w:rPr>
        <w:t xml:space="preserve">ore </w:t>
      </w:r>
      <w:r w:rsidR="0062581E" w:rsidRPr="00E14060">
        <w:rPr>
          <w:color w:val="auto"/>
          <w:lang w:val="en-GB"/>
        </w:rPr>
        <w:t>a</w:t>
      </w:r>
      <w:r w:rsidRPr="00E14060">
        <w:rPr>
          <w:color w:val="auto"/>
          <w:lang w:val="en-GB"/>
        </w:rPr>
        <w:t>nalysis for all-cause discontinuation</w:t>
      </w:r>
      <w:bookmarkEnd w:id="267"/>
      <w:bookmarkEnd w:id="268"/>
      <w:bookmarkEnd w:id="269"/>
    </w:p>
    <w:p w14:paraId="1221D42A" w14:textId="77777777" w:rsidR="00476030" w:rsidRPr="00E14060" w:rsidRDefault="003D0151" w:rsidP="009375DF">
      <w:pPr>
        <w:spacing w:line="360" w:lineRule="auto"/>
        <w:rPr>
          <w:szCs w:val="24"/>
          <w:lang w:val="en-GB"/>
        </w:rPr>
      </w:pPr>
      <w:r w:rsidRPr="00E14060">
        <w:rPr>
          <w:sz w:val="24"/>
          <w:szCs w:val="24"/>
          <w:lang w:val="en-GB"/>
        </w:rPr>
        <w:t xml:space="preserve">As shown in </w:t>
      </w:r>
      <w:r w:rsidRPr="00E14060">
        <w:rPr>
          <w:b/>
          <w:sz w:val="24"/>
          <w:szCs w:val="24"/>
          <w:lang w:val="en-GB"/>
        </w:rPr>
        <w:t>Table 5</w:t>
      </w:r>
      <w:r w:rsidRPr="00E14060">
        <w:rPr>
          <w:sz w:val="24"/>
          <w:szCs w:val="24"/>
          <w:lang w:val="en-GB"/>
        </w:rPr>
        <w:t xml:space="preserve">, </w:t>
      </w:r>
      <w:r w:rsidR="00114CF2" w:rsidRPr="00E14060">
        <w:rPr>
          <w:sz w:val="24"/>
          <w:szCs w:val="24"/>
          <w:lang w:val="en-GB"/>
        </w:rPr>
        <w:t xml:space="preserve">LDX had the lowest </w:t>
      </w:r>
      <w:r w:rsidR="0078407E" w:rsidRPr="00E14060">
        <w:rPr>
          <w:sz w:val="24"/>
          <w:szCs w:val="24"/>
          <w:lang w:val="en-GB"/>
        </w:rPr>
        <w:t>odds ratio</w:t>
      </w:r>
      <w:r w:rsidR="00114CF2" w:rsidRPr="00E14060">
        <w:rPr>
          <w:sz w:val="24"/>
          <w:szCs w:val="24"/>
          <w:lang w:val="en-GB"/>
        </w:rPr>
        <w:t xml:space="preserve"> for all-cause discontinuation</w:t>
      </w:r>
      <w:r w:rsidR="00102D7A" w:rsidRPr="00E14060">
        <w:rPr>
          <w:sz w:val="24"/>
          <w:szCs w:val="24"/>
          <w:lang w:val="en-GB"/>
        </w:rPr>
        <w:t xml:space="preserve"> (0.80)</w:t>
      </w:r>
      <w:r w:rsidRPr="00E14060">
        <w:rPr>
          <w:sz w:val="24"/>
          <w:szCs w:val="24"/>
          <w:lang w:val="en-GB"/>
        </w:rPr>
        <w:t xml:space="preserve"> in the core analysis</w:t>
      </w:r>
      <w:r w:rsidR="00BF56EF" w:rsidRPr="00E14060">
        <w:rPr>
          <w:sz w:val="24"/>
          <w:szCs w:val="24"/>
          <w:lang w:val="en-GB"/>
        </w:rPr>
        <w:t>, followed by MPH-IR</w:t>
      </w:r>
      <w:r w:rsidR="00102D7A" w:rsidRPr="00E14060">
        <w:rPr>
          <w:sz w:val="24"/>
          <w:szCs w:val="24"/>
          <w:lang w:val="en-GB"/>
        </w:rPr>
        <w:t xml:space="preserve"> (1.10)</w:t>
      </w:r>
      <w:r w:rsidR="00BF56EF" w:rsidRPr="00E14060">
        <w:rPr>
          <w:sz w:val="24"/>
          <w:szCs w:val="24"/>
          <w:lang w:val="en-GB"/>
        </w:rPr>
        <w:t>, ATX</w:t>
      </w:r>
      <w:r w:rsidR="00102D7A" w:rsidRPr="00E14060">
        <w:rPr>
          <w:sz w:val="24"/>
          <w:szCs w:val="24"/>
          <w:lang w:val="en-GB"/>
        </w:rPr>
        <w:t xml:space="preserve"> (1.15)</w:t>
      </w:r>
      <w:r w:rsidR="00BF56EF" w:rsidRPr="00E14060">
        <w:rPr>
          <w:sz w:val="24"/>
          <w:szCs w:val="24"/>
          <w:lang w:val="en-GB"/>
        </w:rPr>
        <w:t>, and MPH-ER</w:t>
      </w:r>
      <w:r w:rsidR="00102D7A" w:rsidRPr="00E14060">
        <w:rPr>
          <w:sz w:val="24"/>
          <w:szCs w:val="24"/>
          <w:lang w:val="en-GB"/>
        </w:rPr>
        <w:t xml:space="preserve"> (1.</w:t>
      </w:r>
      <w:r w:rsidR="00517755" w:rsidRPr="00E14060">
        <w:rPr>
          <w:sz w:val="24"/>
          <w:szCs w:val="24"/>
          <w:lang w:val="en-GB"/>
        </w:rPr>
        <w:t>17</w:t>
      </w:r>
      <w:r w:rsidR="00102D7A" w:rsidRPr="00E14060">
        <w:rPr>
          <w:sz w:val="24"/>
          <w:szCs w:val="24"/>
          <w:lang w:val="en-GB"/>
        </w:rPr>
        <w:t>)</w:t>
      </w:r>
      <w:r w:rsidR="00114CF2" w:rsidRPr="00E14060">
        <w:rPr>
          <w:sz w:val="24"/>
          <w:szCs w:val="24"/>
          <w:lang w:val="en-GB"/>
        </w:rPr>
        <w:t>.</w:t>
      </w:r>
      <w:r w:rsidR="00BF56EF" w:rsidRPr="00E14060">
        <w:rPr>
          <w:sz w:val="24"/>
          <w:szCs w:val="24"/>
          <w:lang w:val="en-GB"/>
        </w:rPr>
        <w:t xml:space="preserve"> On the relative risk scale, the average relative risk of ATX, MPH-ER, and MPH-IR are very similar</w:t>
      </w:r>
      <w:r w:rsidR="001B6D20" w:rsidRPr="00E14060">
        <w:rPr>
          <w:sz w:val="24"/>
          <w:szCs w:val="24"/>
          <w:lang w:val="en-GB"/>
        </w:rPr>
        <w:t xml:space="preserve"> (1.11, 1.12, and 1.12, respectively)</w:t>
      </w:r>
      <w:r w:rsidR="00BF56EF" w:rsidRPr="00E14060">
        <w:rPr>
          <w:sz w:val="24"/>
          <w:szCs w:val="24"/>
          <w:lang w:val="en-GB"/>
        </w:rPr>
        <w:t>, while that for LDX is lower</w:t>
      </w:r>
      <w:r w:rsidR="001B6D20" w:rsidRPr="00E14060">
        <w:rPr>
          <w:sz w:val="24"/>
          <w:szCs w:val="24"/>
          <w:lang w:val="en-GB"/>
        </w:rPr>
        <w:t xml:space="preserve"> (0.87)</w:t>
      </w:r>
      <w:r w:rsidR="00BF56EF" w:rsidRPr="00E14060">
        <w:rPr>
          <w:sz w:val="24"/>
          <w:szCs w:val="24"/>
          <w:lang w:val="en-GB"/>
        </w:rPr>
        <w:t>. Overlap in the credible intervals is observed, but LDX has the highest probability of having the lowest all-cause discontinuation of all treatments and has high probabilities of having a lower all-cause discontinuation rate than ATX and MPH-ER.</w:t>
      </w:r>
      <w:r w:rsidR="00114CF2" w:rsidRPr="00E14060">
        <w:rPr>
          <w:sz w:val="24"/>
          <w:szCs w:val="24"/>
          <w:lang w:val="en-GB"/>
        </w:rPr>
        <w:t xml:space="preserve"> </w:t>
      </w:r>
    </w:p>
    <w:tbl>
      <w:tblPr>
        <w:tblW w:w="10908" w:type="dxa"/>
        <w:tblInd w:w="108" w:type="dxa"/>
        <w:tblLook w:val="04A0" w:firstRow="1" w:lastRow="0" w:firstColumn="1" w:lastColumn="0" w:noHBand="0" w:noVBand="1"/>
      </w:tblPr>
      <w:tblGrid>
        <w:gridCol w:w="222"/>
        <w:gridCol w:w="1249"/>
        <w:gridCol w:w="271"/>
        <w:gridCol w:w="1502"/>
        <w:gridCol w:w="2136"/>
        <w:gridCol w:w="2563"/>
        <w:gridCol w:w="2521"/>
        <w:gridCol w:w="222"/>
        <w:gridCol w:w="222"/>
      </w:tblGrid>
      <w:tr w:rsidR="00476030" w:rsidRPr="00E14060" w14:paraId="2574D0DC" w14:textId="77777777" w:rsidTr="00B05FF3">
        <w:trPr>
          <w:trHeight w:val="555"/>
        </w:trPr>
        <w:tc>
          <w:tcPr>
            <w:tcW w:w="10908" w:type="dxa"/>
            <w:gridSpan w:val="9"/>
            <w:tcBorders>
              <w:top w:val="nil"/>
              <w:left w:val="nil"/>
              <w:bottom w:val="nil"/>
              <w:right w:val="nil"/>
            </w:tcBorders>
            <w:shd w:val="clear" w:color="auto" w:fill="auto"/>
            <w:noWrap/>
            <w:vAlign w:val="bottom"/>
            <w:hideMark/>
          </w:tcPr>
          <w:p w14:paraId="36D506DB" w14:textId="77777777" w:rsidR="00476030" w:rsidRPr="00E14060" w:rsidRDefault="00476030" w:rsidP="00321D72">
            <w:pPr>
              <w:jc w:val="center"/>
              <w:rPr>
                <w:b/>
                <w:bCs/>
                <w:sz w:val="22"/>
                <w:szCs w:val="22"/>
                <w:lang w:val="en-GB"/>
              </w:rPr>
            </w:pPr>
            <w:r w:rsidRPr="00E14060">
              <w:rPr>
                <w:b/>
                <w:bCs/>
                <w:sz w:val="22"/>
                <w:szCs w:val="22"/>
                <w:lang w:val="en-GB"/>
              </w:rPr>
              <w:t xml:space="preserve">Table </w:t>
            </w:r>
            <w:r w:rsidR="00A37DD6" w:rsidRPr="00E14060">
              <w:rPr>
                <w:b/>
                <w:bCs/>
                <w:sz w:val="22"/>
                <w:szCs w:val="22"/>
                <w:lang w:val="en-GB"/>
              </w:rPr>
              <w:t>5</w:t>
            </w:r>
            <w:r w:rsidRPr="00E14060">
              <w:rPr>
                <w:b/>
                <w:bCs/>
                <w:sz w:val="22"/>
                <w:szCs w:val="22"/>
                <w:lang w:val="en-GB"/>
              </w:rPr>
              <w:t>. Odds ratios and relative risks for all-cause discontinuation (drug vs. placebo)</w:t>
            </w:r>
          </w:p>
        </w:tc>
      </w:tr>
      <w:tr w:rsidR="00476030" w:rsidRPr="00E14060" w14:paraId="18D2646D" w14:textId="77777777" w:rsidTr="00B05FF3">
        <w:trPr>
          <w:trHeight w:val="300"/>
        </w:trPr>
        <w:tc>
          <w:tcPr>
            <w:tcW w:w="10908" w:type="dxa"/>
            <w:gridSpan w:val="9"/>
            <w:tcBorders>
              <w:top w:val="nil"/>
              <w:left w:val="nil"/>
              <w:bottom w:val="nil"/>
              <w:right w:val="nil"/>
            </w:tcBorders>
            <w:shd w:val="clear" w:color="auto" w:fill="auto"/>
            <w:noWrap/>
            <w:vAlign w:val="bottom"/>
            <w:hideMark/>
          </w:tcPr>
          <w:p w14:paraId="0D7D3E79" w14:textId="77777777" w:rsidR="00476030" w:rsidRPr="00E14060" w:rsidRDefault="00476030" w:rsidP="00476030">
            <w:pPr>
              <w:jc w:val="center"/>
              <w:rPr>
                <w:b/>
                <w:bCs/>
                <w:sz w:val="22"/>
                <w:szCs w:val="22"/>
                <w:lang w:val="en-GB"/>
              </w:rPr>
            </w:pPr>
            <w:r w:rsidRPr="00E14060">
              <w:rPr>
                <w:b/>
                <w:bCs/>
                <w:sz w:val="22"/>
                <w:szCs w:val="22"/>
                <w:lang w:val="en-GB"/>
              </w:rPr>
              <w:t>Core Bayesian analysis: random effects model, combined doses</w:t>
            </w:r>
          </w:p>
        </w:tc>
      </w:tr>
      <w:tr w:rsidR="00476030" w:rsidRPr="00E14060" w14:paraId="3AB1C0F9" w14:textId="77777777" w:rsidTr="00B05FF3">
        <w:trPr>
          <w:trHeight w:val="300"/>
        </w:trPr>
        <w:tc>
          <w:tcPr>
            <w:tcW w:w="222" w:type="dxa"/>
            <w:tcBorders>
              <w:top w:val="nil"/>
              <w:left w:val="nil"/>
              <w:bottom w:val="nil"/>
              <w:right w:val="nil"/>
            </w:tcBorders>
            <w:shd w:val="clear" w:color="auto" w:fill="auto"/>
            <w:noWrap/>
            <w:vAlign w:val="bottom"/>
            <w:hideMark/>
          </w:tcPr>
          <w:p w14:paraId="5A63737A" w14:textId="77777777" w:rsidR="00476030" w:rsidRPr="00E14060" w:rsidRDefault="00476030" w:rsidP="00476030">
            <w:pPr>
              <w:rPr>
                <w:sz w:val="22"/>
                <w:szCs w:val="22"/>
                <w:lang w:val="en-GB"/>
              </w:rPr>
            </w:pPr>
          </w:p>
        </w:tc>
        <w:tc>
          <w:tcPr>
            <w:tcW w:w="1249" w:type="dxa"/>
            <w:tcBorders>
              <w:top w:val="nil"/>
              <w:left w:val="nil"/>
              <w:bottom w:val="nil"/>
              <w:right w:val="nil"/>
            </w:tcBorders>
            <w:shd w:val="clear" w:color="auto" w:fill="auto"/>
            <w:noWrap/>
            <w:vAlign w:val="bottom"/>
            <w:hideMark/>
          </w:tcPr>
          <w:p w14:paraId="3451ECE8" w14:textId="77777777" w:rsidR="00476030" w:rsidRPr="00E14060" w:rsidRDefault="00476030" w:rsidP="00476030">
            <w:pPr>
              <w:rPr>
                <w:sz w:val="22"/>
                <w:szCs w:val="22"/>
                <w:lang w:val="en-GB"/>
              </w:rPr>
            </w:pPr>
          </w:p>
        </w:tc>
        <w:tc>
          <w:tcPr>
            <w:tcW w:w="271" w:type="dxa"/>
            <w:tcBorders>
              <w:top w:val="nil"/>
              <w:left w:val="nil"/>
              <w:bottom w:val="nil"/>
              <w:right w:val="nil"/>
            </w:tcBorders>
            <w:shd w:val="clear" w:color="auto" w:fill="auto"/>
            <w:noWrap/>
            <w:vAlign w:val="bottom"/>
            <w:hideMark/>
          </w:tcPr>
          <w:p w14:paraId="45FA551A" w14:textId="77777777" w:rsidR="00476030" w:rsidRPr="00E14060" w:rsidRDefault="00476030" w:rsidP="00476030">
            <w:pPr>
              <w:rPr>
                <w:sz w:val="22"/>
                <w:szCs w:val="22"/>
                <w:lang w:val="en-GB"/>
              </w:rPr>
            </w:pPr>
          </w:p>
        </w:tc>
        <w:tc>
          <w:tcPr>
            <w:tcW w:w="1502" w:type="dxa"/>
            <w:tcBorders>
              <w:top w:val="nil"/>
              <w:left w:val="nil"/>
              <w:bottom w:val="nil"/>
              <w:right w:val="nil"/>
            </w:tcBorders>
            <w:shd w:val="clear" w:color="auto" w:fill="auto"/>
            <w:noWrap/>
            <w:vAlign w:val="bottom"/>
            <w:hideMark/>
          </w:tcPr>
          <w:p w14:paraId="2F9F919A" w14:textId="77777777" w:rsidR="00476030" w:rsidRPr="00E14060" w:rsidRDefault="00476030" w:rsidP="00476030">
            <w:pPr>
              <w:rPr>
                <w:sz w:val="22"/>
                <w:szCs w:val="22"/>
                <w:lang w:val="en-GB"/>
              </w:rPr>
            </w:pPr>
          </w:p>
        </w:tc>
        <w:tc>
          <w:tcPr>
            <w:tcW w:w="2136" w:type="dxa"/>
            <w:tcBorders>
              <w:top w:val="nil"/>
              <w:left w:val="nil"/>
              <w:bottom w:val="nil"/>
              <w:right w:val="nil"/>
            </w:tcBorders>
            <w:shd w:val="clear" w:color="auto" w:fill="auto"/>
            <w:noWrap/>
            <w:vAlign w:val="bottom"/>
            <w:hideMark/>
          </w:tcPr>
          <w:p w14:paraId="17A17B8B" w14:textId="77777777" w:rsidR="00476030" w:rsidRPr="00E14060" w:rsidRDefault="00476030" w:rsidP="00476030">
            <w:pPr>
              <w:rPr>
                <w:sz w:val="22"/>
                <w:szCs w:val="22"/>
                <w:lang w:val="en-GB"/>
              </w:rPr>
            </w:pPr>
          </w:p>
        </w:tc>
        <w:tc>
          <w:tcPr>
            <w:tcW w:w="2563" w:type="dxa"/>
            <w:tcBorders>
              <w:top w:val="nil"/>
              <w:left w:val="nil"/>
              <w:bottom w:val="nil"/>
              <w:right w:val="nil"/>
            </w:tcBorders>
            <w:shd w:val="clear" w:color="auto" w:fill="auto"/>
            <w:noWrap/>
            <w:vAlign w:val="bottom"/>
            <w:hideMark/>
          </w:tcPr>
          <w:p w14:paraId="290D389F" w14:textId="77777777" w:rsidR="00476030" w:rsidRPr="00E14060" w:rsidRDefault="00476030" w:rsidP="00476030">
            <w:pPr>
              <w:rPr>
                <w:sz w:val="22"/>
                <w:szCs w:val="22"/>
                <w:lang w:val="en-GB"/>
              </w:rPr>
            </w:pPr>
          </w:p>
        </w:tc>
        <w:tc>
          <w:tcPr>
            <w:tcW w:w="2521" w:type="dxa"/>
            <w:tcBorders>
              <w:top w:val="nil"/>
              <w:left w:val="nil"/>
              <w:bottom w:val="nil"/>
              <w:right w:val="nil"/>
            </w:tcBorders>
            <w:shd w:val="clear" w:color="auto" w:fill="auto"/>
            <w:noWrap/>
            <w:vAlign w:val="bottom"/>
            <w:hideMark/>
          </w:tcPr>
          <w:p w14:paraId="7B41FD48" w14:textId="77777777" w:rsidR="00476030" w:rsidRPr="00E14060" w:rsidRDefault="00476030" w:rsidP="00476030">
            <w:pPr>
              <w:rPr>
                <w:sz w:val="22"/>
                <w:szCs w:val="22"/>
                <w:lang w:val="en-GB"/>
              </w:rPr>
            </w:pPr>
          </w:p>
        </w:tc>
        <w:tc>
          <w:tcPr>
            <w:tcW w:w="222" w:type="dxa"/>
            <w:tcBorders>
              <w:top w:val="nil"/>
              <w:left w:val="nil"/>
              <w:bottom w:val="nil"/>
              <w:right w:val="nil"/>
            </w:tcBorders>
            <w:shd w:val="clear" w:color="auto" w:fill="auto"/>
            <w:noWrap/>
            <w:vAlign w:val="bottom"/>
            <w:hideMark/>
          </w:tcPr>
          <w:p w14:paraId="2D9EA4F9" w14:textId="77777777" w:rsidR="00476030" w:rsidRPr="00E14060" w:rsidRDefault="00476030" w:rsidP="00476030">
            <w:pPr>
              <w:rPr>
                <w:sz w:val="22"/>
                <w:szCs w:val="22"/>
                <w:lang w:val="en-GB"/>
              </w:rPr>
            </w:pPr>
          </w:p>
        </w:tc>
        <w:tc>
          <w:tcPr>
            <w:tcW w:w="222" w:type="dxa"/>
            <w:tcBorders>
              <w:top w:val="nil"/>
              <w:left w:val="nil"/>
              <w:bottom w:val="nil"/>
              <w:right w:val="nil"/>
            </w:tcBorders>
            <w:shd w:val="clear" w:color="auto" w:fill="auto"/>
            <w:noWrap/>
            <w:vAlign w:val="bottom"/>
            <w:hideMark/>
          </w:tcPr>
          <w:p w14:paraId="3A2BBB00" w14:textId="77777777" w:rsidR="00476030" w:rsidRPr="00E14060" w:rsidRDefault="00476030" w:rsidP="00476030">
            <w:pPr>
              <w:rPr>
                <w:sz w:val="22"/>
                <w:szCs w:val="22"/>
                <w:lang w:val="en-GB"/>
              </w:rPr>
            </w:pPr>
          </w:p>
        </w:tc>
      </w:tr>
      <w:tr w:rsidR="00476030" w:rsidRPr="00E14060" w14:paraId="08DFFE89" w14:textId="77777777" w:rsidTr="00B05FF3">
        <w:trPr>
          <w:trHeight w:val="870"/>
        </w:trPr>
        <w:tc>
          <w:tcPr>
            <w:tcW w:w="222" w:type="dxa"/>
            <w:tcBorders>
              <w:top w:val="nil"/>
              <w:left w:val="nil"/>
              <w:bottom w:val="nil"/>
              <w:right w:val="nil"/>
            </w:tcBorders>
            <w:shd w:val="clear" w:color="auto" w:fill="auto"/>
            <w:noWrap/>
            <w:vAlign w:val="bottom"/>
            <w:hideMark/>
          </w:tcPr>
          <w:p w14:paraId="5044DF5B" w14:textId="77777777" w:rsidR="00476030" w:rsidRPr="00E14060" w:rsidRDefault="00476030" w:rsidP="00476030">
            <w:pPr>
              <w:rPr>
                <w:sz w:val="22"/>
                <w:szCs w:val="22"/>
                <w:lang w:val="en-GB"/>
              </w:rPr>
            </w:pPr>
          </w:p>
        </w:tc>
        <w:tc>
          <w:tcPr>
            <w:tcW w:w="1249" w:type="dxa"/>
            <w:tcBorders>
              <w:top w:val="single" w:sz="4" w:space="0" w:color="auto"/>
              <w:left w:val="nil"/>
              <w:bottom w:val="nil"/>
              <w:right w:val="nil"/>
            </w:tcBorders>
            <w:shd w:val="clear" w:color="auto" w:fill="auto"/>
            <w:noWrap/>
            <w:vAlign w:val="bottom"/>
            <w:hideMark/>
          </w:tcPr>
          <w:p w14:paraId="7D398A29" w14:textId="77777777" w:rsidR="00476030" w:rsidRPr="00E14060" w:rsidRDefault="00476030" w:rsidP="00476030">
            <w:pPr>
              <w:rPr>
                <w:sz w:val="22"/>
                <w:szCs w:val="22"/>
                <w:lang w:val="en-GB"/>
              </w:rPr>
            </w:pPr>
            <w:r w:rsidRPr="00E14060">
              <w:rPr>
                <w:sz w:val="22"/>
                <w:szCs w:val="22"/>
                <w:lang w:val="en-GB"/>
              </w:rPr>
              <w:t> </w:t>
            </w:r>
          </w:p>
        </w:tc>
        <w:tc>
          <w:tcPr>
            <w:tcW w:w="271" w:type="dxa"/>
            <w:tcBorders>
              <w:top w:val="single" w:sz="4" w:space="0" w:color="auto"/>
              <w:left w:val="nil"/>
              <w:bottom w:val="nil"/>
              <w:right w:val="nil"/>
            </w:tcBorders>
            <w:shd w:val="clear" w:color="auto" w:fill="auto"/>
            <w:noWrap/>
            <w:vAlign w:val="bottom"/>
            <w:hideMark/>
          </w:tcPr>
          <w:p w14:paraId="23763A83" w14:textId="77777777" w:rsidR="00476030" w:rsidRPr="00E14060" w:rsidRDefault="00476030" w:rsidP="00476030">
            <w:pPr>
              <w:rPr>
                <w:sz w:val="22"/>
                <w:szCs w:val="22"/>
                <w:lang w:val="en-GB"/>
              </w:rPr>
            </w:pPr>
            <w:r w:rsidRPr="00E14060">
              <w:rPr>
                <w:sz w:val="22"/>
                <w:szCs w:val="22"/>
                <w:lang w:val="en-GB"/>
              </w:rPr>
              <w:t> </w:t>
            </w:r>
          </w:p>
        </w:tc>
        <w:tc>
          <w:tcPr>
            <w:tcW w:w="1502" w:type="dxa"/>
            <w:tcBorders>
              <w:top w:val="single" w:sz="4" w:space="0" w:color="auto"/>
              <w:left w:val="nil"/>
              <w:bottom w:val="single" w:sz="4" w:space="0" w:color="auto"/>
              <w:right w:val="nil"/>
            </w:tcBorders>
            <w:shd w:val="clear" w:color="auto" w:fill="auto"/>
            <w:vAlign w:val="bottom"/>
            <w:hideMark/>
          </w:tcPr>
          <w:p w14:paraId="09AF718F" w14:textId="77777777" w:rsidR="00476030" w:rsidRPr="00E14060" w:rsidRDefault="00476030" w:rsidP="00476030">
            <w:pPr>
              <w:jc w:val="center"/>
              <w:rPr>
                <w:b/>
                <w:bCs/>
                <w:sz w:val="22"/>
                <w:szCs w:val="22"/>
                <w:lang w:val="en-GB"/>
              </w:rPr>
            </w:pPr>
            <w:r w:rsidRPr="00E14060">
              <w:rPr>
                <w:b/>
                <w:bCs/>
                <w:sz w:val="22"/>
                <w:szCs w:val="22"/>
                <w:lang w:val="en-GB"/>
              </w:rPr>
              <w:t>Odds Ratio</w:t>
            </w:r>
          </w:p>
        </w:tc>
        <w:tc>
          <w:tcPr>
            <w:tcW w:w="2136" w:type="dxa"/>
            <w:tcBorders>
              <w:top w:val="single" w:sz="4" w:space="0" w:color="auto"/>
              <w:left w:val="nil"/>
              <w:bottom w:val="single" w:sz="4" w:space="0" w:color="auto"/>
              <w:right w:val="nil"/>
            </w:tcBorders>
            <w:shd w:val="clear" w:color="auto" w:fill="auto"/>
            <w:vAlign w:val="bottom"/>
            <w:hideMark/>
          </w:tcPr>
          <w:p w14:paraId="2AA436BE" w14:textId="77777777" w:rsidR="00476030" w:rsidRPr="00E14060" w:rsidRDefault="00476030" w:rsidP="00476030">
            <w:pPr>
              <w:jc w:val="center"/>
              <w:rPr>
                <w:b/>
                <w:bCs/>
                <w:sz w:val="22"/>
                <w:szCs w:val="22"/>
                <w:lang w:val="en-GB"/>
              </w:rPr>
            </w:pPr>
            <w:r w:rsidRPr="00E14060">
              <w:rPr>
                <w:b/>
                <w:bCs/>
                <w:sz w:val="22"/>
                <w:szCs w:val="22"/>
                <w:lang w:val="en-GB"/>
              </w:rPr>
              <w:t>95% Credible Interval</w:t>
            </w:r>
          </w:p>
        </w:tc>
        <w:tc>
          <w:tcPr>
            <w:tcW w:w="2563" w:type="dxa"/>
            <w:tcBorders>
              <w:top w:val="single" w:sz="4" w:space="0" w:color="auto"/>
              <w:left w:val="nil"/>
              <w:bottom w:val="single" w:sz="4" w:space="0" w:color="auto"/>
              <w:right w:val="nil"/>
            </w:tcBorders>
            <w:shd w:val="clear" w:color="auto" w:fill="auto"/>
            <w:vAlign w:val="bottom"/>
            <w:hideMark/>
          </w:tcPr>
          <w:p w14:paraId="78D4EEE9" w14:textId="77777777" w:rsidR="00476030" w:rsidRPr="00E14060" w:rsidRDefault="00476030" w:rsidP="00476030">
            <w:pPr>
              <w:jc w:val="center"/>
              <w:rPr>
                <w:b/>
                <w:bCs/>
                <w:sz w:val="22"/>
                <w:szCs w:val="22"/>
                <w:lang w:val="en-GB"/>
              </w:rPr>
            </w:pPr>
            <w:r w:rsidRPr="00E14060">
              <w:rPr>
                <w:b/>
                <w:bCs/>
                <w:sz w:val="22"/>
                <w:szCs w:val="22"/>
                <w:lang w:val="en-GB"/>
              </w:rPr>
              <w:t>Probability of the treatment being most tolerable among all</w:t>
            </w:r>
          </w:p>
        </w:tc>
        <w:tc>
          <w:tcPr>
            <w:tcW w:w="2521" w:type="dxa"/>
            <w:tcBorders>
              <w:top w:val="single" w:sz="4" w:space="0" w:color="auto"/>
              <w:left w:val="nil"/>
              <w:bottom w:val="single" w:sz="4" w:space="0" w:color="auto"/>
              <w:right w:val="nil"/>
            </w:tcBorders>
            <w:shd w:val="clear" w:color="auto" w:fill="auto"/>
            <w:vAlign w:val="bottom"/>
            <w:hideMark/>
          </w:tcPr>
          <w:p w14:paraId="1BDE6352" w14:textId="77777777" w:rsidR="00476030" w:rsidRPr="00E14060" w:rsidRDefault="00476030" w:rsidP="007B0197">
            <w:pPr>
              <w:jc w:val="center"/>
              <w:rPr>
                <w:b/>
                <w:bCs/>
                <w:sz w:val="22"/>
                <w:szCs w:val="22"/>
                <w:lang w:val="en-GB"/>
              </w:rPr>
            </w:pPr>
            <w:r w:rsidRPr="00E14060">
              <w:rPr>
                <w:b/>
                <w:bCs/>
                <w:sz w:val="22"/>
                <w:szCs w:val="22"/>
                <w:lang w:val="en-GB"/>
              </w:rPr>
              <w:t xml:space="preserve">Probability of LDX being more tolerable compared to </w:t>
            </w:r>
            <w:r w:rsidR="007B0197" w:rsidRPr="00E14060">
              <w:rPr>
                <w:b/>
                <w:bCs/>
                <w:sz w:val="22"/>
                <w:szCs w:val="22"/>
                <w:lang w:val="en-GB"/>
              </w:rPr>
              <w:t>each</w:t>
            </w:r>
            <w:r w:rsidRPr="00E14060">
              <w:rPr>
                <w:b/>
                <w:bCs/>
                <w:sz w:val="22"/>
                <w:szCs w:val="22"/>
                <w:lang w:val="en-GB"/>
              </w:rPr>
              <w:t xml:space="preserve"> treatment</w:t>
            </w:r>
          </w:p>
        </w:tc>
        <w:tc>
          <w:tcPr>
            <w:tcW w:w="222" w:type="dxa"/>
            <w:tcBorders>
              <w:top w:val="nil"/>
              <w:left w:val="nil"/>
              <w:bottom w:val="nil"/>
              <w:right w:val="nil"/>
            </w:tcBorders>
            <w:shd w:val="clear" w:color="auto" w:fill="auto"/>
            <w:noWrap/>
            <w:vAlign w:val="bottom"/>
            <w:hideMark/>
          </w:tcPr>
          <w:p w14:paraId="3D95123D" w14:textId="77777777" w:rsidR="00476030" w:rsidRPr="00E14060" w:rsidRDefault="00476030" w:rsidP="00476030">
            <w:pPr>
              <w:rPr>
                <w:sz w:val="22"/>
                <w:szCs w:val="22"/>
                <w:lang w:val="en-GB"/>
              </w:rPr>
            </w:pPr>
          </w:p>
        </w:tc>
        <w:tc>
          <w:tcPr>
            <w:tcW w:w="222" w:type="dxa"/>
            <w:tcBorders>
              <w:top w:val="nil"/>
              <w:left w:val="nil"/>
              <w:bottom w:val="nil"/>
              <w:right w:val="nil"/>
            </w:tcBorders>
            <w:shd w:val="clear" w:color="auto" w:fill="auto"/>
            <w:noWrap/>
            <w:vAlign w:val="bottom"/>
            <w:hideMark/>
          </w:tcPr>
          <w:p w14:paraId="1AE972A6" w14:textId="77777777" w:rsidR="00476030" w:rsidRPr="00E14060" w:rsidRDefault="00476030" w:rsidP="00476030">
            <w:pPr>
              <w:rPr>
                <w:sz w:val="22"/>
                <w:szCs w:val="22"/>
                <w:lang w:val="en-GB"/>
              </w:rPr>
            </w:pPr>
          </w:p>
        </w:tc>
      </w:tr>
      <w:tr w:rsidR="00B05FF3" w:rsidRPr="00E14060" w14:paraId="4D28B3EE" w14:textId="77777777" w:rsidTr="00B05FF3">
        <w:trPr>
          <w:trHeight w:val="300"/>
        </w:trPr>
        <w:tc>
          <w:tcPr>
            <w:tcW w:w="222" w:type="dxa"/>
            <w:tcBorders>
              <w:top w:val="nil"/>
              <w:left w:val="nil"/>
              <w:bottom w:val="nil"/>
              <w:right w:val="nil"/>
            </w:tcBorders>
            <w:shd w:val="clear" w:color="auto" w:fill="auto"/>
            <w:noWrap/>
            <w:vAlign w:val="bottom"/>
            <w:hideMark/>
          </w:tcPr>
          <w:p w14:paraId="1434720A" w14:textId="77777777" w:rsidR="00B05FF3" w:rsidRPr="00E14060" w:rsidRDefault="00B05FF3" w:rsidP="00476030">
            <w:pPr>
              <w:rPr>
                <w:sz w:val="22"/>
                <w:szCs w:val="22"/>
                <w:lang w:val="en-GB"/>
              </w:rPr>
            </w:pPr>
          </w:p>
        </w:tc>
        <w:tc>
          <w:tcPr>
            <w:tcW w:w="1249" w:type="dxa"/>
            <w:tcBorders>
              <w:top w:val="nil"/>
              <w:left w:val="nil"/>
              <w:bottom w:val="nil"/>
              <w:right w:val="nil"/>
            </w:tcBorders>
            <w:shd w:val="clear" w:color="auto" w:fill="auto"/>
            <w:noWrap/>
            <w:vAlign w:val="bottom"/>
            <w:hideMark/>
          </w:tcPr>
          <w:p w14:paraId="3B0799D0" w14:textId="77777777" w:rsidR="00B05FF3" w:rsidRPr="00E14060" w:rsidRDefault="00B05FF3" w:rsidP="00476030">
            <w:pPr>
              <w:rPr>
                <w:b/>
                <w:bCs/>
                <w:sz w:val="22"/>
                <w:szCs w:val="22"/>
                <w:lang w:val="en-GB"/>
              </w:rPr>
            </w:pPr>
            <w:r w:rsidRPr="00E14060">
              <w:rPr>
                <w:b/>
                <w:bCs/>
                <w:sz w:val="22"/>
                <w:szCs w:val="22"/>
                <w:lang w:val="en-GB"/>
              </w:rPr>
              <w:t>LDX</w:t>
            </w:r>
          </w:p>
        </w:tc>
        <w:tc>
          <w:tcPr>
            <w:tcW w:w="271" w:type="dxa"/>
            <w:tcBorders>
              <w:top w:val="nil"/>
              <w:left w:val="nil"/>
              <w:bottom w:val="nil"/>
              <w:right w:val="nil"/>
            </w:tcBorders>
            <w:shd w:val="clear" w:color="auto" w:fill="auto"/>
            <w:noWrap/>
            <w:vAlign w:val="bottom"/>
            <w:hideMark/>
          </w:tcPr>
          <w:p w14:paraId="2DA49289" w14:textId="77777777" w:rsidR="00B05FF3" w:rsidRPr="00E14060" w:rsidRDefault="00B05FF3" w:rsidP="00476030">
            <w:pPr>
              <w:rPr>
                <w:b/>
                <w:bCs/>
                <w:sz w:val="22"/>
                <w:szCs w:val="22"/>
                <w:lang w:val="en-GB"/>
              </w:rPr>
            </w:pPr>
          </w:p>
        </w:tc>
        <w:tc>
          <w:tcPr>
            <w:tcW w:w="1502" w:type="dxa"/>
            <w:tcBorders>
              <w:top w:val="nil"/>
              <w:left w:val="nil"/>
              <w:bottom w:val="nil"/>
              <w:right w:val="nil"/>
            </w:tcBorders>
            <w:shd w:val="clear" w:color="auto" w:fill="auto"/>
            <w:noWrap/>
            <w:vAlign w:val="bottom"/>
            <w:hideMark/>
          </w:tcPr>
          <w:p w14:paraId="1D9660AC" w14:textId="77777777" w:rsidR="00B05FF3" w:rsidRPr="00E14060" w:rsidRDefault="00B05FF3" w:rsidP="00476030">
            <w:pPr>
              <w:jc w:val="center"/>
              <w:rPr>
                <w:sz w:val="22"/>
                <w:szCs w:val="22"/>
                <w:lang w:val="en-GB"/>
              </w:rPr>
            </w:pPr>
            <w:r w:rsidRPr="00E14060">
              <w:rPr>
                <w:sz w:val="22"/>
                <w:szCs w:val="22"/>
                <w:lang w:val="en-GB"/>
              </w:rPr>
              <w:t>0.80</w:t>
            </w:r>
          </w:p>
        </w:tc>
        <w:tc>
          <w:tcPr>
            <w:tcW w:w="2136" w:type="dxa"/>
            <w:tcBorders>
              <w:top w:val="nil"/>
              <w:left w:val="nil"/>
              <w:bottom w:val="nil"/>
              <w:right w:val="nil"/>
            </w:tcBorders>
            <w:shd w:val="clear" w:color="auto" w:fill="auto"/>
            <w:noWrap/>
            <w:vAlign w:val="bottom"/>
            <w:hideMark/>
          </w:tcPr>
          <w:p w14:paraId="2D07643A" w14:textId="77777777" w:rsidR="00B05FF3" w:rsidRPr="00E14060" w:rsidRDefault="00B05FF3" w:rsidP="00476030">
            <w:pPr>
              <w:jc w:val="center"/>
              <w:rPr>
                <w:sz w:val="22"/>
                <w:szCs w:val="22"/>
                <w:lang w:val="en-GB"/>
              </w:rPr>
            </w:pPr>
            <w:r w:rsidRPr="00E14060">
              <w:rPr>
                <w:sz w:val="22"/>
                <w:szCs w:val="22"/>
                <w:lang w:val="en-GB"/>
              </w:rPr>
              <w:t>(0.38, 1.70)</w:t>
            </w:r>
          </w:p>
        </w:tc>
        <w:tc>
          <w:tcPr>
            <w:tcW w:w="2563" w:type="dxa"/>
            <w:tcBorders>
              <w:top w:val="nil"/>
              <w:left w:val="nil"/>
              <w:bottom w:val="nil"/>
              <w:right w:val="nil"/>
            </w:tcBorders>
            <w:shd w:val="clear" w:color="auto" w:fill="auto"/>
            <w:noWrap/>
            <w:vAlign w:val="bottom"/>
            <w:hideMark/>
          </w:tcPr>
          <w:p w14:paraId="0F9CD253" w14:textId="77777777" w:rsidR="00B05FF3" w:rsidRPr="00E14060" w:rsidRDefault="00B05FF3" w:rsidP="00476030">
            <w:pPr>
              <w:jc w:val="center"/>
              <w:rPr>
                <w:sz w:val="22"/>
                <w:szCs w:val="22"/>
                <w:lang w:val="en-GB"/>
              </w:rPr>
            </w:pPr>
            <w:r w:rsidRPr="00E14060">
              <w:rPr>
                <w:sz w:val="22"/>
                <w:szCs w:val="22"/>
                <w:lang w:val="en-GB"/>
              </w:rPr>
              <w:t>55.45%</w:t>
            </w:r>
          </w:p>
        </w:tc>
        <w:tc>
          <w:tcPr>
            <w:tcW w:w="2521" w:type="dxa"/>
            <w:tcBorders>
              <w:top w:val="nil"/>
              <w:left w:val="nil"/>
              <w:bottom w:val="nil"/>
              <w:right w:val="nil"/>
            </w:tcBorders>
            <w:shd w:val="clear" w:color="auto" w:fill="auto"/>
            <w:noWrap/>
            <w:vAlign w:val="bottom"/>
            <w:hideMark/>
          </w:tcPr>
          <w:p w14:paraId="0E3D780C" w14:textId="77777777" w:rsidR="00B05FF3" w:rsidRPr="00E14060" w:rsidRDefault="00B05FF3" w:rsidP="00476030">
            <w:pPr>
              <w:jc w:val="center"/>
              <w:rPr>
                <w:sz w:val="22"/>
                <w:szCs w:val="22"/>
                <w:lang w:val="en-GB"/>
              </w:rPr>
            </w:pPr>
            <w:r w:rsidRPr="00E14060">
              <w:rPr>
                <w:sz w:val="22"/>
                <w:szCs w:val="22"/>
                <w:lang w:val="en-GB"/>
              </w:rPr>
              <w:t>--</w:t>
            </w:r>
          </w:p>
        </w:tc>
        <w:tc>
          <w:tcPr>
            <w:tcW w:w="222" w:type="dxa"/>
            <w:tcBorders>
              <w:top w:val="nil"/>
              <w:left w:val="nil"/>
              <w:bottom w:val="nil"/>
              <w:right w:val="nil"/>
            </w:tcBorders>
            <w:shd w:val="clear" w:color="auto" w:fill="auto"/>
            <w:noWrap/>
            <w:vAlign w:val="bottom"/>
            <w:hideMark/>
          </w:tcPr>
          <w:p w14:paraId="6733192F" w14:textId="77777777" w:rsidR="00B05FF3" w:rsidRPr="00E14060" w:rsidRDefault="00B05FF3" w:rsidP="00476030">
            <w:pPr>
              <w:rPr>
                <w:sz w:val="22"/>
                <w:szCs w:val="22"/>
                <w:lang w:val="en-GB"/>
              </w:rPr>
            </w:pPr>
          </w:p>
        </w:tc>
        <w:tc>
          <w:tcPr>
            <w:tcW w:w="222" w:type="dxa"/>
            <w:tcBorders>
              <w:top w:val="nil"/>
              <w:left w:val="nil"/>
              <w:bottom w:val="nil"/>
              <w:right w:val="nil"/>
            </w:tcBorders>
            <w:shd w:val="clear" w:color="auto" w:fill="auto"/>
            <w:noWrap/>
            <w:vAlign w:val="bottom"/>
            <w:hideMark/>
          </w:tcPr>
          <w:p w14:paraId="2E59FC16" w14:textId="77777777" w:rsidR="00B05FF3" w:rsidRPr="00E14060" w:rsidRDefault="00B05FF3" w:rsidP="00476030">
            <w:pPr>
              <w:rPr>
                <w:sz w:val="22"/>
                <w:szCs w:val="22"/>
                <w:lang w:val="en-GB"/>
              </w:rPr>
            </w:pPr>
          </w:p>
        </w:tc>
      </w:tr>
      <w:tr w:rsidR="00B05FF3" w:rsidRPr="00E14060" w14:paraId="463A063E" w14:textId="77777777" w:rsidTr="00B05FF3">
        <w:trPr>
          <w:trHeight w:val="300"/>
        </w:trPr>
        <w:tc>
          <w:tcPr>
            <w:tcW w:w="222" w:type="dxa"/>
            <w:tcBorders>
              <w:top w:val="nil"/>
              <w:left w:val="nil"/>
              <w:bottom w:val="nil"/>
              <w:right w:val="nil"/>
            </w:tcBorders>
            <w:shd w:val="clear" w:color="auto" w:fill="auto"/>
            <w:noWrap/>
            <w:vAlign w:val="bottom"/>
            <w:hideMark/>
          </w:tcPr>
          <w:p w14:paraId="2D8B866E" w14:textId="77777777" w:rsidR="00B05FF3" w:rsidRPr="00E14060" w:rsidRDefault="00B05FF3" w:rsidP="00476030">
            <w:pPr>
              <w:rPr>
                <w:sz w:val="22"/>
                <w:szCs w:val="22"/>
                <w:lang w:val="en-GB"/>
              </w:rPr>
            </w:pPr>
          </w:p>
        </w:tc>
        <w:tc>
          <w:tcPr>
            <w:tcW w:w="1249" w:type="dxa"/>
            <w:tcBorders>
              <w:top w:val="nil"/>
              <w:left w:val="nil"/>
              <w:bottom w:val="nil"/>
              <w:right w:val="nil"/>
            </w:tcBorders>
            <w:shd w:val="clear" w:color="auto" w:fill="auto"/>
            <w:noWrap/>
            <w:vAlign w:val="bottom"/>
            <w:hideMark/>
          </w:tcPr>
          <w:p w14:paraId="5CB1030D" w14:textId="77777777" w:rsidR="00B05FF3" w:rsidRPr="00E14060" w:rsidRDefault="00B05FF3" w:rsidP="00476030">
            <w:pPr>
              <w:rPr>
                <w:b/>
                <w:bCs/>
                <w:sz w:val="22"/>
                <w:szCs w:val="22"/>
                <w:lang w:val="en-GB"/>
              </w:rPr>
            </w:pPr>
            <w:r w:rsidRPr="00E14060">
              <w:rPr>
                <w:b/>
                <w:bCs/>
                <w:sz w:val="22"/>
                <w:szCs w:val="22"/>
                <w:lang w:val="en-GB"/>
              </w:rPr>
              <w:t>ATX</w:t>
            </w:r>
          </w:p>
        </w:tc>
        <w:tc>
          <w:tcPr>
            <w:tcW w:w="271" w:type="dxa"/>
            <w:tcBorders>
              <w:top w:val="nil"/>
              <w:left w:val="nil"/>
              <w:bottom w:val="nil"/>
              <w:right w:val="nil"/>
            </w:tcBorders>
            <w:shd w:val="clear" w:color="auto" w:fill="auto"/>
            <w:noWrap/>
            <w:vAlign w:val="bottom"/>
            <w:hideMark/>
          </w:tcPr>
          <w:p w14:paraId="0DCEE271" w14:textId="77777777" w:rsidR="00B05FF3" w:rsidRPr="00E14060" w:rsidRDefault="00B05FF3" w:rsidP="00476030">
            <w:pPr>
              <w:rPr>
                <w:b/>
                <w:bCs/>
                <w:sz w:val="22"/>
                <w:szCs w:val="22"/>
                <w:lang w:val="en-GB"/>
              </w:rPr>
            </w:pPr>
          </w:p>
        </w:tc>
        <w:tc>
          <w:tcPr>
            <w:tcW w:w="1502" w:type="dxa"/>
            <w:tcBorders>
              <w:top w:val="nil"/>
              <w:left w:val="nil"/>
              <w:bottom w:val="nil"/>
              <w:right w:val="nil"/>
            </w:tcBorders>
            <w:shd w:val="clear" w:color="auto" w:fill="auto"/>
            <w:noWrap/>
            <w:vAlign w:val="bottom"/>
            <w:hideMark/>
          </w:tcPr>
          <w:p w14:paraId="54D1BEEC" w14:textId="77777777" w:rsidR="00B05FF3" w:rsidRPr="00E14060" w:rsidRDefault="00B05FF3" w:rsidP="00476030">
            <w:pPr>
              <w:jc w:val="center"/>
              <w:rPr>
                <w:sz w:val="22"/>
                <w:szCs w:val="22"/>
                <w:lang w:val="en-GB"/>
              </w:rPr>
            </w:pPr>
            <w:r w:rsidRPr="00E14060">
              <w:rPr>
                <w:sz w:val="22"/>
                <w:szCs w:val="22"/>
                <w:lang w:val="en-GB"/>
              </w:rPr>
              <w:t>1.15</w:t>
            </w:r>
          </w:p>
        </w:tc>
        <w:tc>
          <w:tcPr>
            <w:tcW w:w="2136" w:type="dxa"/>
            <w:tcBorders>
              <w:top w:val="nil"/>
              <w:left w:val="nil"/>
              <w:bottom w:val="nil"/>
              <w:right w:val="nil"/>
            </w:tcBorders>
            <w:shd w:val="clear" w:color="auto" w:fill="auto"/>
            <w:noWrap/>
            <w:vAlign w:val="bottom"/>
            <w:hideMark/>
          </w:tcPr>
          <w:p w14:paraId="0D965494" w14:textId="77777777" w:rsidR="00B05FF3" w:rsidRPr="00E14060" w:rsidRDefault="00B05FF3" w:rsidP="00476030">
            <w:pPr>
              <w:jc w:val="center"/>
              <w:rPr>
                <w:sz w:val="22"/>
                <w:szCs w:val="22"/>
                <w:lang w:val="en-GB"/>
              </w:rPr>
            </w:pPr>
            <w:r w:rsidRPr="00E14060">
              <w:rPr>
                <w:sz w:val="22"/>
                <w:szCs w:val="22"/>
                <w:lang w:val="en-GB"/>
              </w:rPr>
              <w:t>(0.73, 1.77)</w:t>
            </w:r>
          </w:p>
        </w:tc>
        <w:tc>
          <w:tcPr>
            <w:tcW w:w="2563" w:type="dxa"/>
            <w:tcBorders>
              <w:top w:val="nil"/>
              <w:left w:val="nil"/>
              <w:bottom w:val="nil"/>
              <w:right w:val="nil"/>
            </w:tcBorders>
            <w:shd w:val="clear" w:color="auto" w:fill="auto"/>
            <w:noWrap/>
            <w:vAlign w:val="bottom"/>
            <w:hideMark/>
          </w:tcPr>
          <w:p w14:paraId="5B377A5F" w14:textId="77777777" w:rsidR="00B05FF3" w:rsidRPr="00E14060" w:rsidRDefault="00B05FF3" w:rsidP="00476030">
            <w:pPr>
              <w:jc w:val="center"/>
              <w:rPr>
                <w:sz w:val="22"/>
                <w:szCs w:val="22"/>
                <w:lang w:val="en-GB"/>
              </w:rPr>
            </w:pPr>
            <w:r w:rsidRPr="00E14060">
              <w:rPr>
                <w:sz w:val="22"/>
                <w:szCs w:val="22"/>
                <w:lang w:val="en-GB"/>
              </w:rPr>
              <w:t>8.79%</w:t>
            </w:r>
          </w:p>
        </w:tc>
        <w:tc>
          <w:tcPr>
            <w:tcW w:w="2521" w:type="dxa"/>
            <w:tcBorders>
              <w:top w:val="nil"/>
              <w:left w:val="nil"/>
              <w:bottom w:val="nil"/>
              <w:right w:val="nil"/>
            </w:tcBorders>
            <w:shd w:val="clear" w:color="auto" w:fill="auto"/>
            <w:noWrap/>
            <w:vAlign w:val="bottom"/>
            <w:hideMark/>
          </w:tcPr>
          <w:p w14:paraId="7A5E68B9" w14:textId="77777777" w:rsidR="00B05FF3" w:rsidRPr="00E14060" w:rsidRDefault="00B05FF3" w:rsidP="003A4134">
            <w:pPr>
              <w:jc w:val="center"/>
              <w:rPr>
                <w:sz w:val="22"/>
                <w:szCs w:val="22"/>
                <w:lang w:val="en-GB"/>
              </w:rPr>
            </w:pPr>
            <w:r w:rsidRPr="00E14060">
              <w:rPr>
                <w:sz w:val="22"/>
                <w:szCs w:val="22"/>
                <w:lang w:val="en-GB"/>
              </w:rPr>
              <w:t>80.1</w:t>
            </w:r>
            <w:r w:rsidR="003A4134" w:rsidRPr="00E14060">
              <w:rPr>
                <w:sz w:val="22"/>
                <w:szCs w:val="22"/>
                <w:lang w:val="en-GB"/>
              </w:rPr>
              <w:t>9</w:t>
            </w:r>
            <w:r w:rsidRPr="00E14060">
              <w:rPr>
                <w:sz w:val="22"/>
                <w:szCs w:val="22"/>
                <w:lang w:val="en-GB"/>
              </w:rPr>
              <w:t>%</w:t>
            </w:r>
          </w:p>
        </w:tc>
        <w:tc>
          <w:tcPr>
            <w:tcW w:w="222" w:type="dxa"/>
            <w:tcBorders>
              <w:top w:val="nil"/>
              <w:left w:val="nil"/>
              <w:bottom w:val="nil"/>
              <w:right w:val="nil"/>
            </w:tcBorders>
            <w:shd w:val="clear" w:color="auto" w:fill="auto"/>
            <w:noWrap/>
            <w:vAlign w:val="bottom"/>
            <w:hideMark/>
          </w:tcPr>
          <w:p w14:paraId="12E475B9" w14:textId="77777777" w:rsidR="00B05FF3" w:rsidRPr="00E14060" w:rsidRDefault="00B05FF3" w:rsidP="00476030">
            <w:pPr>
              <w:rPr>
                <w:sz w:val="22"/>
                <w:szCs w:val="22"/>
                <w:lang w:val="en-GB"/>
              </w:rPr>
            </w:pPr>
          </w:p>
        </w:tc>
        <w:tc>
          <w:tcPr>
            <w:tcW w:w="222" w:type="dxa"/>
            <w:tcBorders>
              <w:top w:val="nil"/>
              <w:left w:val="nil"/>
              <w:bottom w:val="nil"/>
              <w:right w:val="nil"/>
            </w:tcBorders>
            <w:shd w:val="clear" w:color="auto" w:fill="auto"/>
            <w:noWrap/>
            <w:vAlign w:val="bottom"/>
            <w:hideMark/>
          </w:tcPr>
          <w:p w14:paraId="6184FF10" w14:textId="77777777" w:rsidR="00B05FF3" w:rsidRPr="00E14060" w:rsidRDefault="00B05FF3" w:rsidP="00476030">
            <w:pPr>
              <w:rPr>
                <w:sz w:val="22"/>
                <w:szCs w:val="22"/>
                <w:lang w:val="en-GB"/>
              </w:rPr>
            </w:pPr>
          </w:p>
        </w:tc>
      </w:tr>
      <w:tr w:rsidR="00B05FF3" w:rsidRPr="00E14060" w14:paraId="4CF3EC40" w14:textId="77777777" w:rsidTr="00B05FF3">
        <w:trPr>
          <w:trHeight w:val="300"/>
        </w:trPr>
        <w:tc>
          <w:tcPr>
            <w:tcW w:w="222" w:type="dxa"/>
            <w:tcBorders>
              <w:top w:val="nil"/>
              <w:left w:val="nil"/>
              <w:bottom w:val="nil"/>
              <w:right w:val="nil"/>
            </w:tcBorders>
            <w:shd w:val="clear" w:color="auto" w:fill="auto"/>
            <w:noWrap/>
            <w:vAlign w:val="bottom"/>
            <w:hideMark/>
          </w:tcPr>
          <w:p w14:paraId="3B0E54E9" w14:textId="77777777" w:rsidR="00B05FF3" w:rsidRPr="00E14060" w:rsidRDefault="00B05FF3" w:rsidP="00476030">
            <w:pPr>
              <w:rPr>
                <w:sz w:val="22"/>
                <w:szCs w:val="22"/>
                <w:lang w:val="en-GB"/>
              </w:rPr>
            </w:pPr>
          </w:p>
        </w:tc>
        <w:tc>
          <w:tcPr>
            <w:tcW w:w="1249" w:type="dxa"/>
            <w:tcBorders>
              <w:top w:val="nil"/>
              <w:left w:val="nil"/>
              <w:bottom w:val="nil"/>
              <w:right w:val="nil"/>
            </w:tcBorders>
            <w:shd w:val="clear" w:color="auto" w:fill="auto"/>
            <w:noWrap/>
            <w:vAlign w:val="bottom"/>
            <w:hideMark/>
          </w:tcPr>
          <w:p w14:paraId="2FDC4710" w14:textId="77777777" w:rsidR="00B05FF3" w:rsidRPr="00E14060" w:rsidRDefault="00B05FF3" w:rsidP="00476030">
            <w:pPr>
              <w:rPr>
                <w:b/>
                <w:bCs/>
                <w:sz w:val="22"/>
                <w:szCs w:val="22"/>
                <w:lang w:val="en-GB"/>
              </w:rPr>
            </w:pPr>
            <w:r w:rsidRPr="00E14060">
              <w:rPr>
                <w:b/>
                <w:bCs/>
                <w:sz w:val="22"/>
                <w:szCs w:val="22"/>
                <w:lang w:val="en-GB"/>
              </w:rPr>
              <w:t>MPH-ER</w:t>
            </w:r>
          </w:p>
        </w:tc>
        <w:tc>
          <w:tcPr>
            <w:tcW w:w="271" w:type="dxa"/>
            <w:tcBorders>
              <w:top w:val="nil"/>
              <w:left w:val="nil"/>
              <w:bottom w:val="nil"/>
              <w:right w:val="nil"/>
            </w:tcBorders>
            <w:shd w:val="clear" w:color="auto" w:fill="auto"/>
            <w:noWrap/>
            <w:vAlign w:val="bottom"/>
            <w:hideMark/>
          </w:tcPr>
          <w:p w14:paraId="309EF12D" w14:textId="77777777" w:rsidR="00B05FF3" w:rsidRPr="00E14060" w:rsidRDefault="00B05FF3" w:rsidP="00476030">
            <w:pPr>
              <w:rPr>
                <w:b/>
                <w:bCs/>
                <w:sz w:val="22"/>
                <w:szCs w:val="22"/>
                <w:lang w:val="en-GB"/>
              </w:rPr>
            </w:pPr>
          </w:p>
        </w:tc>
        <w:tc>
          <w:tcPr>
            <w:tcW w:w="1502" w:type="dxa"/>
            <w:tcBorders>
              <w:top w:val="nil"/>
              <w:left w:val="nil"/>
              <w:bottom w:val="nil"/>
              <w:right w:val="nil"/>
            </w:tcBorders>
            <w:shd w:val="clear" w:color="auto" w:fill="auto"/>
            <w:noWrap/>
            <w:vAlign w:val="bottom"/>
            <w:hideMark/>
          </w:tcPr>
          <w:p w14:paraId="5C97264F" w14:textId="77777777" w:rsidR="00B05FF3" w:rsidRPr="00E14060" w:rsidRDefault="00B05FF3" w:rsidP="00476030">
            <w:pPr>
              <w:jc w:val="center"/>
              <w:rPr>
                <w:sz w:val="22"/>
                <w:szCs w:val="22"/>
                <w:lang w:val="en-GB"/>
              </w:rPr>
            </w:pPr>
            <w:r w:rsidRPr="00E14060">
              <w:rPr>
                <w:sz w:val="22"/>
                <w:szCs w:val="22"/>
                <w:lang w:val="en-GB"/>
              </w:rPr>
              <w:t>1.17</w:t>
            </w:r>
          </w:p>
        </w:tc>
        <w:tc>
          <w:tcPr>
            <w:tcW w:w="2136" w:type="dxa"/>
            <w:tcBorders>
              <w:top w:val="nil"/>
              <w:left w:val="nil"/>
              <w:bottom w:val="nil"/>
              <w:right w:val="nil"/>
            </w:tcBorders>
            <w:shd w:val="clear" w:color="auto" w:fill="auto"/>
            <w:noWrap/>
            <w:vAlign w:val="bottom"/>
            <w:hideMark/>
          </w:tcPr>
          <w:p w14:paraId="2DA5922C" w14:textId="77777777" w:rsidR="00B05FF3" w:rsidRPr="00E14060" w:rsidRDefault="00B05FF3" w:rsidP="00476030">
            <w:pPr>
              <w:jc w:val="center"/>
              <w:rPr>
                <w:sz w:val="22"/>
                <w:szCs w:val="22"/>
                <w:lang w:val="en-GB"/>
              </w:rPr>
            </w:pPr>
            <w:r w:rsidRPr="00E14060">
              <w:rPr>
                <w:sz w:val="22"/>
                <w:szCs w:val="22"/>
                <w:lang w:val="en-GB"/>
              </w:rPr>
              <w:t>(0.81, 1.69)</w:t>
            </w:r>
          </w:p>
        </w:tc>
        <w:tc>
          <w:tcPr>
            <w:tcW w:w="2563" w:type="dxa"/>
            <w:tcBorders>
              <w:top w:val="nil"/>
              <w:left w:val="nil"/>
              <w:bottom w:val="nil"/>
              <w:right w:val="nil"/>
            </w:tcBorders>
            <w:shd w:val="clear" w:color="auto" w:fill="auto"/>
            <w:noWrap/>
            <w:vAlign w:val="bottom"/>
            <w:hideMark/>
          </w:tcPr>
          <w:p w14:paraId="43E563EC" w14:textId="77777777" w:rsidR="00B05FF3" w:rsidRPr="00E14060" w:rsidRDefault="00B05FF3" w:rsidP="00476030">
            <w:pPr>
              <w:jc w:val="center"/>
              <w:rPr>
                <w:sz w:val="22"/>
                <w:szCs w:val="22"/>
                <w:lang w:val="en-GB"/>
              </w:rPr>
            </w:pPr>
            <w:r w:rsidRPr="00E14060">
              <w:rPr>
                <w:sz w:val="22"/>
                <w:szCs w:val="22"/>
                <w:lang w:val="en-GB"/>
              </w:rPr>
              <w:t>6.46%</w:t>
            </w:r>
          </w:p>
        </w:tc>
        <w:tc>
          <w:tcPr>
            <w:tcW w:w="2521" w:type="dxa"/>
            <w:tcBorders>
              <w:top w:val="nil"/>
              <w:left w:val="nil"/>
              <w:bottom w:val="nil"/>
              <w:right w:val="nil"/>
            </w:tcBorders>
            <w:shd w:val="clear" w:color="auto" w:fill="auto"/>
            <w:noWrap/>
            <w:vAlign w:val="bottom"/>
            <w:hideMark/>
          </w:tcPr>
          <w:p w14:paraId="52372894" w14:textId="77777777" w:rsidR="00B05FF3" w:rsidRPr="00E14060" w:rsidRDefault="00B05FF3" w:rsidP="003A4134">
            <w:pPr>
              <w:jc w:val="center"/>
              <w:rPr>
                <w:sz w:val="22"/>
                <w:szCs w:val="22"/>
                <w:lang w:val="en-GB"/>
              </w:rPr>
            </w:pPr>
            <w:r w:rsidRPr="00E14060">
              <w:rPr>
                <w:sz w:val="22"/>
                <w:szCs w:val="22"/>
                <w:lang w:val="en-GB"/>
              </w:rPr>
              <w:t>8</w:t>
            </w:r>
            <w:r w:rsidR="003A4134" w:rsidRPr="00E14060">
              <w:rPr>
                <w:sz w:val="22"/>
                <w:szCs w:val="22"/>
                <w:lang w:val="en-GB"/>
              </w:rPr>
              <w:t>2.00</w:t>
            </w:r>
            <w:r w:rsidRPr="00E14060">
              <w:rPr>
                <w:sz w:val="22"/>
                <w:szCs w:val="22"/>
                <w:lang w:val="en-GB"/>
              </w:rPr>
              <w:t>%</w:t>
            </w:r>
          </w:p>
        </w:tc>
        <w:tc>
          <w:tcPr>
            <w:tcW w:w="222" w:type="dxa"/>
            <w:tcBorders>
              <w:top w:val="nil"/>
              <w:left w:val="nil"/>
              <w:bottom w:val="nil"/>
              <w:right w:val="nil"/>
            </w:tcBorders>
            <w:shd w:val="clear" w:color="auto" w:fill="auto"/>
            <w:noWrap/>
            <w:vAlign w:val="bottom"/>
            <w:hideMark/>
          </w:tcPr>
          <w:p w14:paraId="291C996C" w14:textId="77777777" w:rsidR="00B05FF3" w:rsidRPr="00E14060" w:rsidRDefault="00B05FF3" w:rsidP="00476030">
            <w:pPr>
              <w:rPr>
                <w:sz w:val="22"/>
                <w:szCs w:val="22"/>
                <w:lang w:val="en-GB"/>
              </w:rPr>
            </w:pPr>
          </w:p>
        </w:tc>
        <w:tc>
          <w:tcPr>
            <w:tcW w:w="222" w:type="dxa"/>
            <w:tcBorders>
              <w:top w:val="nil"/>
              <w:left w:val="nil"/>
              <w:bottom w:val="nil"/>
              <w:right w:val="nil"/>
            </w:tcBorders>
            <w:shd w:val="clear" w:color="auto" w:fill="auto"/>
            <w:noWrap/>
            <w:vAlign w:val="bottom"/>
            <w:hideMark/>
          </w:tcPr>
          <w:p w14:paraId="49368E0A" w14:textId="77777777" w:rsidR="00B05FF3" w:rsidRPr="00E14060" w:rsidRDefault="00B05FF3" w:rsidP="00476030">
            <w:pPr>
              <w:rPr>
                <w:sz w:val="22"/>
                <w:szCs w:val="22"/>
                <w:lang w:val="en-GB"/>
              </w:rPr>
            </w:pPr>
          </w:p>
        </w:tc>
      </w:tr>
      <w:tr w:rsidR="00B05FF3" w:rsidRPr="00E14060" w14:paraId="18DC2272" w14:textId="77777777" w:rsidTr="00A73A4C">
        <w:trPr>
          <w:trHeight w:val="300"/>
        </w:trPr>
        <w:tc>
          <w:tcPr>
            <w:tcW w:w="222" w:type="dxa"/>
            <w:tcBorders>
              <w:top w:val="nil"/>
              <w:left w:val="nil"/>
              <w:bottom w:val="nil"/>
              <w:right w:val="nil"/>
            </w:tcBorders>
            <w:shd w:val="clear" w:color="auto" w:fill="auto"/>
            <w:noWrap/>
            <w:vAlign w:val="bottom"/>
            <w:hideMark/>
          </w:tcPr>
          <w:p w14:paraId="44BB2C31" w14:textId="77777777" w:rsidR="00B05FF3" w:rsidRPr="00E14060" w:rsidRDefault="00B05FF3" w:rsidP="00476030">
            <w:pPr>
              <w:rPr>
                <w:sz w:val="22"/>
                <w:szCs w:val="22"/>
                <w:lang w:val="en-GB"/>
              </w:rPr>
            </w:pPr>
          </w:p>
        </w:tc>
        <w:tc>
          <w:tcPr>
            <w:tcW w:w="1249" w:type="dxa"/>
            <w:tcBorders>
              <w:top w:val="nil"/>
              <w:left w:val="nil"/>
              <w:bottom w:val="single" w:sz="4" w:space="0" w:color="auto"/>
              <w:right w:val="nil"/>
            </w:tcBorders>
            <w:shd w:val="clear" w:color="auto" w:fill="auto"/>
            <w:noWrap/>
            <w:vAlign w:val="bottom"/>
            <w:hideMark/>
          </w:tcPr>
          <w:p w14:paraId="5B9B1E94" w14:textId="77777777" w:rsidR="00B05FF3" w:rsidRPr="00E14060" w:rsidRDefault="00B05FF3" w:rsidP="00476030">
            <w:pPr>
              <w:rPr>
                <w:b/>
                <w:bCs/>
                <w:sz w:val="22"/>
                <w:szCs w:val="22"/>
                <w:lang w:val="en-GB"/>
              </w:rPr>
            </w:pPr>
            <w:r w:rsidRPr="00E14060">
              <w:rPr>
                <w:b/>
                <w:bCs/>
                <w:sz w:val="22"/>
                <w:szCs w:val="22"/>
                <w:lang w:val="en-GB"/>
              </w:rPr>
              <w:t>MPH-IR</w:t>
            </w:r>
          </w:p>
        </w:tc>
        <w:tc>
          <w:tcPr>
            <w:tcW w:w="271" w:type="dxa"/>
            <w:tcBorders>
              <w:top w:val="nil"/>
              <w:left w:val="nil"/>
              <w:bottom w:val="single" w:sz="4" w:space="0" w:color="auto"/>
              <w:right w:val="nil"/>
            </w:tcBorders>
            <w:shd w:val="clear" w:color="auto" w:fill="auto"/>
            <w:noWrap/>
            <w:vAlign w:val="bottom"/>
            <w:hideMark/>
          </w:tcPr>
          <w:p w14:paraId="68F0F83E" w14:textId="77777777" w:rsidR="00B05FF3" w:rsidRPr="00E14060" w:rsidRDefault="00B05FF3" w:rsidP="00476030">
            <w:pPr>
              <w:rPr>
                <w:b/>
                <w:bCs/>
                <w:sz w:val="22"/>
                <w:szCs w:val="22"/>
                <w:lang w:val="en-GB"/>
              </w:rPr>
            </w:pPr>
            <w:r w:rsidRPr="00E14060">
              <w:rPr>
                <w:b/>
                <w:bCs/>
                <w:sz w:val="22"/>
                <w:szCs w:val="22"/>
                <w:lang w:val="en-GB"/>
              </w:rPr>
              <w:t> </w:t>
            </w:r>
          </w:p>
        </w:tc>
        <w:tc>
          <w:tcPr>
            <w:tcW w:w="1502" w:type="dxa"/>
            <w:tcBorders>
              <w:top w:val="nil"/>
              <w:left w:val="nil"/>
              <w:bottom w:val="single" w:sz="4" w:space="0" w:color="auto"/>
              <w:right w:val="nil"/>
            </w:tcBorders>
            <w:shd w:val="clear" w:color="auto" w:fill="auto"/>
            <w:noWrap/>
            <w:vAlign w:val="bottom"/>
            <w:hideMark/>
          </w:tcPr>
          <w:p w14:paraId="7F70529D" w14:textId="77777777" w:rsidR="00B05FF3" w:rsidRPr="00E14060" w:rsidRDefault="00B05FF3" w:rsidP="00476030">
            <w:pPr>
              <w:jc w:val="center"/>
              <w:rPr>
                <w:sz w:val="22"/>
                <w:szCs w:val="22"/>
                <w:lang w:val="en-GB"/>
              </w:rPr>
            </w:pPr>
            <w:r w:rsidRPr="00E14060">
              <w:rPr>
                <w:sz w:val="22"/>
                <w:szCs w:val="22"/>
                <w:lang w:val="en-GB"/>
              </w:rPr>
              <w:t>1.10</w:t>
            </w:r>
          </w:p>
        </w:tc>
        <w:tc>
          <w:tcPr>
            <w:tcW w:w="2136" w:type="dxa"/>
            <w:tcBorders>
              <w:top w:val="nil"/>
              <w:left w:val="nil"/>
              <w:bottom w:val="single" w:sz="4" w:space="0" w:color="auto"/>
              <w:right w:val="nil"/>
            </w:tcBorders>
            <w:shd w:val="clear" w:color="auto" w:fill="auto"/>
            <w:noWrap/>
            <w:vAlign w:val="bottom"/>
            <w:hideMark/>
          </w:tcPr>
          <w:p w14:paraId="131E470D" w14:textId="77777777" w:rsidR="00B05FF3" w:rsidRPr="00E14060" w:rsidRDefault="00B05FF3" w:rsidP="00476030">
            <w:pPr>
              <w:jc w:val="center"/>
              <w:rPr>
                <w:sz w:val="22"/>
                <w:szCs w:val="22"/>
                <w:lang w:val="en-GB"/>
              </w:rPr>
            </w:pPr>
            <w:r w:rsidRPr="00E14060">
              <w:rPr>
                <w:sz w:val="22"/>
                <w:szCs w:val="22"/>
                <w:lang w:val="en-GB"/>
              </w:rPr>
              <w:t>(0.32, 3.98)</w:t>
            </w:r>
          </w:p>
        </w:tc>
        <w:tc>
          <w:tcPr>
            <w:tcW w:w="2563" w:type="dxa"/>
            <w:tcBorders>
              <w:top w:val="nil"/>
              <w:left w:val="nil"/>
              <w:bottom w:val="single" w:sz="4" w:space="0" w:color="auto"/>
              <w:right w:val="nil"/>
            </w:tcBorders>
            <w:shd w:val="clear" w:color="auto" w:fill="auto"/>
            <w:noWrap/>
            <w:vAlign w:val="bottom"/>
            <w:hideMark/>
          </w:tcPr>
          <w:p w14:paraId="0B987480" w14:textId="77777777" w:rsidR="00B05FF3" w:rsidRPr="00E14060" w:rsidRDefault="00B05FF3" w:rsidP="00476030">
            <w:pPr>
              <w:jc w:val="center"/>
              <w:rPr>
                <w:sz w:val="22"/>
                <w:szCs w:val="22"/>
                <w:lang w:val="en-GB"/>
              </w:rPr>
            </w:pPr>
            <w:r w:rsidRPr="00E14060">
              <w:rPr>
                <w:sz w:val="22"/>
                <w:szCs w:val="22"/>
                <w:lang w:val="en-GB"/>
              </w:rPr>
              <w:t>29.30%</w:t>
            </w:r>
          </w:p>
        </w:tc>
        <w:tc>
          <w:tcPr>
            <w:tcW w:w="2521" w:type="dxa"/>
            <w:tcBorders>
              <w:top w:val="nil"/>
              <w:left w:val="nil"/>
              <w:bottom w:val="single" w:sz="4" w:space="0" w:color="auto"/>
              <w:right w:val="nil"/>
            </w:tcBorders>
            <w:shd w:val="clear" w:color="auto" w:fill="auto"/>
            <w:noWrap/>
            <w:vAlign w:val="bottom"/>
            <w:hideMark/>
          </w:tcPr>
          <w:p w14:paraId="72B9FD82" w14:textId="77777777" w:rsidR="00B05FF3" w:rsidRPr="00E14060" w:rsidRDefault="00B05FF3" w:rsidP="003A4134">
            <w:pPr>
              <w:jc w:val="center"/>
              <w:rPr>
                <w:sz w:val="22"/>
                <w:szCs w:val="22"/>
                <w:lang w:val="en-GB"/>
              </w:rPr>
            </w:pPr>
            <w:r w:rsidRPr="00E14060">
              <w:rPr>
                <w:sz w:val="22"/>
                <w:szCs w:val="22"/>
                <w:lang w:val="en-GB"/>
              </w:rPr>
              <w:t>66.</w:t>
            </w:r>
            <w:r w:rsidR="003A4134" w:rsidRPr="00E14060">
              <w:rPr>
                <w:sz w:val="22"/>
                <w:szCs w:val="22"/>
                <w:lang w:val="en-GB"/>
              </w:rPr>
              <w:t>60</w:t>
            </w:r>
            <w:r w:rsidRPr="00E14060">
              <w:rPr>
                <w:sz w:val="22"/>
                <w:szCs w:val="22"/>
                <w:lang w:val="en-GB"/>
              </w:rPr>
              <w:t>%</w:t>
            </w:r>
          </w:p>
        </w:tc>
        <w:tc>
          <w:tcPr>
            <w:tcW w:w="222" w:type="dxa"/>
            <w:tcBorders>
              <w:top w:val="nil"/>
              <w:left w:val="nil"/>
              <w:bottom w:val="nil"/>
              <w:right w:val="nil"/>
            </w:tcBorders>
            <w:shd w:val="clear" w:color="auto" w:fill="auto"/>
            <w:noWrap/>
            <w:vAlign w:val="bottom"/>
            <w:hideMark/>
          </w:tcPr>
          <w:p w14:paraId="643F481B" w14:textId="77777777" w:rsidR="00B05FF3" w:rsidRPr="00E14060" w:rsidRDefault="00B05FF3" w:rsidP="00476030">
            <w:pPr>
              <w:rPr>
                <w:sz w:val="22"/>
                <w:szCs w:val="22"/>
                <w:lang w:val="en-GB"/>
              </w:rPr>
            </w:pPr>
          </w:p>
        </w:tc>
        <w:tc>
          <w:tcPr>
            <w:tcW w:w="222" w:type="dxa"/>
            <w:tcBorders>
              <w:top w:val="nil"/>
              <w:left w:val="nil"/>
              <w:bottom w:val="nil"/>
              <w:right w:val="nil"/>
            </w:tcBorders>
            <w:shd w:val="clear" w:color="auto" w:fill="auto"/>
            <w:noWrap/>
            <w:vAlign w:val="bottom"/>
            <w:hideMark/>
          </w:tcPr>
          <w:p w14:paraId="6ABE1297" w14:textId="77777777" w:rsidR="00B05FF3" w:rsidRPr="00E14060" w:rsidRDefault="00B05FF3" w:rsidP="00476030">
            <w:pPr>
              <w:rPr>
                <w:sz w:val="22"/>
                <w:szCs w:val="22"/>
                <w:lang w:val="en-GB"/>
              </w:rPr>
            </w:pPr>
          </w:p>
        </w:tc>
      </w:tr>
      <w:tr w:rsidR="00476030" w:rsidRPr="00E14060" w14:paraId="39A73549" w14:textId="77777777" w:rsidTr="00A73A4C">
        <w:trPr>
          <w:trHeight w:val="300"/>
        </w:trPr>
        <w:tc>
          <w:tcPr>
            <w:tcW w:w="222" w:type="dxa"/>
            <w:tcBorders>
              <w:top w:val="nil"/>
              <w:left w:val="nil"/>
              <w:bottom w:val="nil"/>
              <w:right w:val="nil"/>
            </w:tcBorders>
            <w:shd w:val="clear" w:color="auto" w:fill="auto"/>
            <w:noWrap/>
            <w:vAlign w:val="bottom"/>
            <w:hideMark/>
          </w:tcPr>
          <w:p w14:paraId="50221EFE" w14:textId="77777777" w:rsidR="00476030" w:rsidRPr="00E14060" w:rsidRDefault="00476030" w:rsidP="00476030">
            <w:pPr>
              <w:rPr>
                <w:sz w:val="22"/>
                <w:szCs w:val="22"/>
                <w:lang w:val="en-GB"/>
              </w:rPr>
            </w:pPr>
          </w:p>
        </w:tc>
        <w:tc>
          <w:tcPr>
            <w:tcW w:w="1249" w:type="dxa"/>
            <w:tcBorders>
              <w:top w:val="nil"/>
              <w:left w:val="nil"/>
              <w:bottom w:val="nil"/>
              <w:right w:val="nil"/>
            </w:tcBorders>
            <w:shd w:val="clear" w:color="auto" w:fill="auto"/>
            <w:noWrap/>
            <w:vAlign w:val="bottom"/>
            <w:hideMark/>
          </w:tcPr>
          <w:p w14:paraId="480BDD3A" w14:textId="77777777" w:rsidR="00476030" w:rsidRPr="00E14060" w:rsidRDefault="00476030" w:rsidP="00476030">
            <w:pPr>
              <w:rPr>
                <w:sz w:val="22"/>
                <w:szCs w:val="22"/>
                <w:lang w:val="en-GB"/>
              </w:rPr>
            </w:pPr>
          </w:p>
        </w:tc>
        <w:tc>
          <w:tcPr>
            <w:tcW w:w="271" w:type="dxa"/>
            <w:tcBorders>
              <w:top w:val="nil"/>
              <w:left w:val="nil"/>
              <w:bottom w:val="nil"/>
              <w:right w:val="nil"/>
            </w:tcBorders>
            <w:shd w:val="clear" w:color="auto" w:fill="auto"/>
            <w:noWrap/>
            <w:vAlign w:val="bottom"/>
            <w:hideMark/>
          </w:tcPr>
          <w:p w14:paraId="0A32C394" w14:textId="77777777" w:rsidR="00476030" w:rsidRPr="00E14060" w:rsidRDefault="00476030" w:rsidP="00476030">
            <w:pPr>
              <w:rPr>
                <w:sz w:val="22"/>
                <w:szCs w:val="22"/>
                <w:lang w:val="en-GB"/>
              </w:rPr>
            </w:pPr>
          </w:p>
        </w:tc>
        <w:tc>
          <w:tcPr>
            <w:tcW w:w="1502" w:type="dxa"/>
            <w:tcBorders>
              <w:top w:val="nil"/>
              <w:left w:val="nil"/>
              <w:bottom w:val="nil"/>
              <w:right w:val="nil"/>
            </w:tcBorders>
            <w:shd w:val="clear" w:color="auto" w:fill="auto"/>
            <w:noWrap/>
            <w:vAlign w:val="bottom"/>
            <w:hideMark/>
          </w:tcPr>
          <w:p w14:paraId="5885BF82" w14:textId="77777777" w:rsidR="00476030" w:rsidRPr="00E14060" w:rsidRDefault="00476030" w:rsidP="00476030">
            <w:pPr>
              <w:rPr>
                <w:sz w:val="22"/>
                <w:szCs w:val="22"/>
                <w:lang w:val="en-GB"/>
              </w:rPr>
            </w:pPr>
          </w:p>
        </w:tc>
        <w:tc>
          <w:tcPr>
            <w:tcW w:w="2136" w:type="dxa"/>
            <w:tcBorders>
              <w:top w:val="nil"/>
              <w:left w:val="nil"/>
              <w:bottom w:val="nil"/>
              <w:right w:val="nil"/>
            </w:tcBorders>
            <w:shd w:val="clear" w:color="auto" w:fill="auto"/>
            <w:noWrap/>
            <w:vAlign w:val="bottom"/>
            <w:hideMark/>
          </w:tcPr>
          <w:p w14:paraId="1E10C7A7" w14:textId="77777777" w:rsidR="00476030" w:rsidRPr="00E14060" w:rsidRDefault="00476030" w:rsidP="00476030">
            <w:pPr>
              <w:jc w:val="center"/>
              <w:rPr>
                <w:sz w:val="22"/>
                <w:szCs w:val="22"/>
                <w:lang w:val="en-GB"/>
              </w:rPr>
            </w:pPr>
          </w:p>
        </w:tc>
        <w:tc>
          <w:tcPr>
            <w:tcW w:w="2563" w:type="dxa"/>
            <w:tcBorders>
              <w:top w:val="single" w:sz="4" w:space="0" w:color="auto"/>
              <w:left w:val="nil"/>
              <w:bottom w:val="single" w:sz="4" w:space="0" w:color="auto"/>
              <w:right w:val="nil"/>
            </w:tcBorders>
            <w:shd w:val="clear" w:color="auto" w:fill="auto"/>
            <w:noWrap/>
            <w:vAlign w:val="bottom"/>
            <w:hideMark/>
          </w:tcPr>
          <w:p w14:paraId="04C81AF4" w14:textId="77777777" w:rsidR="00476030" w:rsidRPr="00E14060" w:rsidRDefault="00476030" w:rsidP="00476030">
            <w:pPr>
              <w:rPr>
                <w:sz w:val="22"/>
                <w:szCs w:val="22"/>
                <w:lang w:val="en-GB"/>
              </w:rPr>
            </w:pPr>
          </w:p>
        </w:tc>
        <w:tc>
          <w:tcPr>
            <w:tcW w:w="2521" w:type="dxa"/>
            <w:tcBorders>
              <w:top w:val="nil"/>
              <w:left w:val="nil"/>
              <w:bottom w:val="nil"/>
              <w:right w:val="nil"/>
            </w:tcBorders>
            <w:shd w:val="clear" w:color="auto" w:fill="auto"/>
            <w:noWrap/>
            <w:vAlign w:val="bottom"/>
            <w:hideMark/>
          </w:tcPr>
          <w:p w14:paraId="0BBEA87C" w14:textId="77777777" w:rsidR="00476030" w:rsidRPr="00E14060" w:rsidRDefault="00476030" w:rsidP="00476030">
            <w:pPr>
              <w:rPr>
                <w:sz w:val="22"/>
                <w:szCs w:val="22"/>
                <w:lang w:val="en-GB"/>
              </w:rPr>
            </w:pPr>
          </w:p>
        </w:tc>
        <w:tc>
          <w:tcPr>
            <w:tcW w:w="222" w:type="dxa"/>
            <w:tcBorders>
              <w:top w:val="nil"/>
              <w:left w:val="nil"/>
              <w:bottom w:val="nil"/>
              <w:right w:val="nil"/>
            </w:tcBorders>
            <w:shd w:val="clear" w:color="auto" w:fill="auto"/>
            <w:noWrap/>
            <w:vAlign w:val="bottom"/>
            <w:hideMark/>
          </w:tcPr>
          <w:p w14:paraId="2C52461C" w14:textId="77777777" w:rsidR="00476030" w:rsidRPr="00E14060" w:rsidRDefault="00476030" w:rsidP="00476030">
            <w:pPr>
              <w:rPr>
                <w:sz w:val="22"/>
                <w:szCs w:val="22"/>
                <w:lang w:val="en-GB"/>
              </w:rPr>
            </w:pPr>
          </w:p>
        </w:tc>
        <w:tc>
          <w:tcPr>
            <w:tcW w:w="222" w:type="dxa"/>
            <w:tcBorders>
              <w:top w:val="nil"/>
              <w:left w:val="nil"/>
              <w:bottom w:val="nil"/>
              <w:right w:val="nil"/>
            </w:tcBorders>
            <w:shd w:val="clear" w:color="auto" w:fill="auto"/>
            <w:noWrap/>
            <w:vAlign w:val="bottom"/>
            <w:hideMark/>
          </w:tcPr>
          <w:p w14:paraId="6B586853" w14:textId="77777777" w:rsidR="00476030" w:rsidRPr="00E14060" w:rsidRDefault="00476030" w:rsidP="00476030">
            <w:pPr>
              <w:rPr>
                <w:sz w:val="22"/>
                <w:szCs w:val="22"/>
                <w:lang w:val="en-GB"/>
              </w:rPr>
            </w:pPr>
          </w:p>
        </w:tc>
      </w:tr>
      <w:tr w:rsidR="00C963EE" w:rsidRPr="00E14060" w14:paraId="76CBD10B" w14:textId="77777777" w:rsidTr="00A73A4C">
        <w:trPr>
          <w:trHeight w:val="870"/>
        </w:trPr>
        <w:tc>
          <w:tcPr>
            <w:tcW w:w="222" w:type="dxa"/>
            <w:tcBorders>
              <w:top w:val="nil"/>
              <w:left w:val="nil"/>
              <w:bottom w:val="nil"/>
              <w:right w:val="nil"/>
            </w:tcBorders>
            <w:shd w:val="clear" w:color="auto" w:fill="auto"/>
            <w:noWrap/>
            <w:vAlign w:val="bottom"/>
            <w:hideMark/>
          </w:tcPr>
          <w:p w14:paraId="5EB3F22E" w14:textId="77777777" w:rsidR="00C963EE" w:rsidRPr="00E14060" w:rsidRDefault="00C963EE" w:rsidP="00476030">
            <w:pPr>
              <w:rPr>
                <w:sz w:val="22"/>
                <w:szCs w:val="22"/>
                <w:lang w:val="en-GB"/>
              </w:rPr>
            </w:pPr>
          </w:p>
        </w:tc>
        <w:tc>
          <w:tcPr>
            <w:tcW w:w="1249" w:type="dxa"/>
            <w:tcBorders>
              <w:top w:val="single" w:sz="4" w:space="0" w:color="auto"/>
              <w:left w:val="nil"/>
              <w:bottom w:val="nil"/>
              <w:right w:val="nil"/>
            </w:tcBorders>
            <w:shd w:val="clear" w:color="auto" w:fill="auto"/>
            <w:noWrap/>
            <w:vAlign w:val="bottom"/>
            <w:hideMark/>
          </w:tcPr>
          <w:p w14:paraId="385EC58C" w14:textId="77777777" w:rsidR="00C963EE" w:rsidRPr="00E14060" w:rsidRDefault="00C963EE" w:rsidP="00476030">
            <w:pPr>
              <w:rPr>
                <w:sz w:val="22"/>
                <w:szCs w:val="22"/>
                <w:lang w:val="en-GB"/>
              </w:rPr>
            </w:pPr>
            <w:r w:rsidRPr="00E14060">
              <w:rPr>
                <w:sz w:val="22"/>
                <w:szCs w:val="22"/>
                <w:lang w:val="en-GB"/>
              </w:rPr>
              <w:t> </w:t>
            </w:r>
          </w:p>
        </w:tc>
        <w:tc>
          <w:tcPr>
            <w:tcW w:w="271" w:type="dxa"/>
            <w:tcBorders>
              <w:top w:val="single" w:sz="4" w:space="0" w:color="auto"/>
              <w:left w:val="nil"/>
              <w:bottom w:val="nil"/>
              <w:right w:val="nil"/>
            </w:tcBorders>
            <w:shd w:val="clear" w:color="auto" w:fill="auto"/>
            <w:noWrap/>
            <w:vAlign w:val="bottom"/>
            <w:hideMark/>
          </w:tcPr>
          <w:p w14:paraId="26CD68D9" w14:textId="77777777" w:rsidR="00C963EE" w:rsidRPr="00E14060" w:rsidRDefault="00C963EE" w:rsidP="00476030">
            <w:pPr>
              <w:rPr>
                <w:sz w:val="22"/>
                <w:szCs w:val="22"/>
                <w:lang w:val="en-GB"/>
              </w:rPr>
            </w:pPr>
            <w:r w:rsidRPr="00E14060">
              <w:rPr>
                <w:sz w:val="22"/>
                <w:szCs w:val="22"/>
                <w:lang w:val="en-GB"/>
              </w:rPr>
              <w:t> </w:t>
            </w:r>
          </w:p>
        </w:tc>
        <w:tc>
          <w:tcPr>
            <w:tcW w:w="1502" w:type="dxa"/>
            <w:tcBorders>
              <w:top w:val="single" w:sz="4" w:space="0" w:color="auto"/>
              <w:left w:val="nil"/>
              <w:bottom w:val="single" w:sz="4" w:space="0" w:color="auto"/>
              <w:right w:val="nil"/>
            </w:tcBorders>
            <w:shd w:val="clear" w:color="auto" w:fill="auto"/>
            <w:vAlign w:val="bottom"/>
            <w:hideMark/>
          </w:tcPr>
          <w:p w14:paraId="313C1045" w14:textId="77777777" w:rsidR="00C963EE" w:rsidRPr="00E14060" w:rsidRDefault="00C963EE" w:rsidP="00476030">
            <w:pPr>
              <w:jc w:val="center"/>
              <w:rPr>
                <w:b/>
                <w:bCs/>
                <w:sz w:val="22"/>
                <w:szCs w:val="22"/>
                <w:lang w:val="en-GB"/>
              </w:rPr>
            </w:pPr>
            <w:r w:rsidRPr="00E14060">
              <w:rPr>
                <w:b/>
                <w:bCs/>
                <w:sz w:val="22"/>
                <w:szCs w:val="22"/>
                <w:lang w:val="en-GB"/>
              </w:rPr>
              <w:t>Relative risk of drug vs. placebo</w:t>
            </w:r>
          </w:p>
        </w:tc>
        <w:tc>
          <w:tcPr>
            <w:tcW w:w="2136" w:type="dxa"/>
            <w:tcBorders>
              <w:top w:val="single" w:sz="4" w:space="0" w:color="auto"/>
              <w:left w:val="nil"/>
              <w:bottom w:val="single" w:sz="4" w:space="0" w:color="auto"/>
              <w:right w:val="nil"/>
            </w:tcBorders>
            <w:shd w:val="clear" w:color="auto" w:fill="auto"/>
            <w:vAlign w:val="bottom"/>
            <w:hideMark/>
          </w:tcPr>
          <w:p w14:paraId="6848ECD3" w14:textId="77777777" w:rsidR="00C963EE" w:rsidRPr="00E14060" w:rsidRDefault="00C963EE" w:rsidP="00476030">
            <w:pPr>
              <w:jc w:val="center"/>
              <w:rPr>
                <w:b/>
                <w:bCs/>
                <w:sz w:val="22"/>
                <w:szCs w:val="22"/>
                <w:lang w:val="en-GB"/>
              </w:rPr>
            </w:pPr>
            <w:r w:rsidRPr="00E14060">
              <w:rPr>
                <w:b/>
                <w:bCs/>
                <w:sz w:val="22"/>
                <w:szCs w:val="22"/>
                <w:lang w:val="en-GB"/>
              </w:rPr>
              <w:t>95% Credible interval for relative risk</w:t>
            </w:r>
          </w:p>
        </w:tc>
        <w:tc>
          <w:tcPr>
            <w:tcW w:w="2563" w:type="dxa"/>
            <w:tcBorders>
              <w:top w:val="single" w:sz="4" w:space="0" w:color="auto"/>
              <w:left w:val="nil"/>
              <w:bottom w:val="single" w:sz="4" w:space="0" w:color="auto"/>
              <w:right w:val="nil"/>
            </w:tcBorders>
            <w:shd w:val="clear" w:color="auto" w:fill="auto"/>
            <w:vAlign w:val="bottom"/>
          </w:tcPr>
          <w:p w14:paraId="50B2389D" w14:textId="77777777" w:rsidR="00B02616" w:rsidRPr="00E14060" w:rsidRDefault="00B02616" w:rsidP="00B02616">
            <w:pPr>
              <w:jc w:val="center"/>
              <w:rPr>
                <w:b/>
                <w:sz w:val="22"/>
                <w:szCs w:val="22"/>
                <w:lang w:val="en-GB"/>
              </w:rPr>
            </w:pPr>
            <w:r w:rsidRPr="00E14060">
              <w:rPr>
                <w:b/>
                <w:sz w:val="22"/>
                <w:szCs w:val="22"/>
                <w:lang w:val="en-GB"/>
              </w:rPr>
              <w:t>Response rate</w:t>
            </w:r>
          </w:p>
          <w:p w14:paraId="6032B055" w14:textId="77777777" w:rsidR="00C963EE" w:rsidRPr="00E14060" w:rsidRDefault="00C963EE" w:rsidP="00476030">
            <w:pPr>
              <w:jc w:val="center"/>
              <w:rPr>
                <w:b/>
                <w:bCs/>
                <w:sz w:val="22"/>
                <w:szCs w:val="22"/>
                <w:lang w:val="en-GB"/>
              </w:rPr>
            </w:pPr>
          </w:p>
        </w:tc>
        <w:tc>
          <w:tcPr>
            <w:tcW w:w="2521" w:type="dxa"/>
            <w:tcBorders>
              <w:top w:val="nil"/>
              <w:left w:val="nil"/>
              <w:bottom w:val="nil"/>
              <w:right w:val="nil"/>
            </w:tcBorders>
            <w:shd w:val="clear" w:color="auto" w:fill="auto"/>
            <w:vAlign w:val="bottom"/>
            <w:hideMark/>
          </w:tcPr>
          <w:p w14:paraId="13A389CB" w14:textId="77777777" w:rsidR="00C963EE" w:rsidRPr="00E14060" w:rsidRDefault="00C963EE" w:rsidP="00476030">
            <w:pPr>
              <w:jc w:val="center"/>
              <w:rPr>
                <w:b/>
                <w:bCs/>
                <w:sz w:val="22"/>
                <w:szCs w:val="22"/>
                <w:lang w:val="en-GB"/>
              </w:rPr>
            </w:pPr>
            <w:r w:rsidRPr="00E14060">
              <w:rPr>
                <w:b/>
                <w:bCs/>
                <w:sz w:val="22"/>
                <w:szCs w:val="22"/>
                <w:lang w:val="en-GB"/>
              </w:rPr>
              <w:t xml:space="preserve">Placebo Risk </w:t>
            </w:r>
          </w:p>
          <w:p w14:paraId="03E9ED38" w14:textId="77777777" w:rsidR="00C963EE" w:rsidRPr="00E14060" w:rsidRDefault="00C963EE" w:rsidP="00407D26">
            <w:pPr>
              <w:jc w:val="center"/>
              <w:rPr>
                <w:b/>
                <w:bCs/>
                <w:sz w:val="22"/>
                <w:szCs w:val="22"/>
                <w:lang w:val="en-GB"/>
              </w:rPr>
            </w:pPr>
            <w:r w:rsidRPr="00E14060">
              <w:rPr>
                <w:b/>
                <w:bCs/>
                <w:sz w:val="22"/>
                <w:szCs w:val="22"/>
                <w:lang w:val="en-GB"/>
              </w:rPr>
              <w:t>(95% CI)</w:t>
            </w:r>
            <w:r w:rsidRPr="00E14060">
              <w:rPr>
                <w:rStyle w:val="FootnoteReference"/>
                <w:b/>
                <w:bCs/>
                <w:sz w:val="22"/>
                <w:szCs w:val="22"/>
                <w:lang w:val="en-GB"/>
              </w:rPr>
              <w:footnoteReference w:id="5"/>
            </w:r>
          </w:p>
        </w:tc>
        <w:tc>
          <w:tcPr>
            <w:tcW w:w="222" w:type="dxa"/>
            <w:tcBorders>
              <w:top w:val="nil"/>
              <w:left w:val="nil"/>
              <w:bottom w:val="nil"/>
              <w:right w:val="nil"/>
            </w:tcBorders>
            <w:shd w:val="clear" w:color="auto" w:fill="auto"/>
            <w:noWrap/>
            <w:vAlign w:val="bottom"/>
            <w:hideMark/>
          </w:tcPr>
          <w:p w14:paraId="403E20DC" w14:textId="77777777" w:rsidR="00C963EE" w:rsidRPr="00E14060" w:rsidRDefault="00C963EE" w:rsidP="00476030">
            <w:pPr>
              <w:rPr>
                <w:sz w:val="22"/>
                <w:szCs w:val="22"/>
                <w:lang w:val="en-GB"/>
              </w:rPr>
            </w:pPr>
          </w:p>
        </w:tc>
        <w:tc>
          <w:tcPr>
            <w:tcW w:w="222" w:type="dxa"/>
            <w:tcBorders>
              <w:top w:val="nil"/>
              <w:left w:val="nil"/>
              <w:bottom w:val="nil"/>
              <w:right w:val="nil"/>
            </w:tcBorders>
            <w:shd w:val="clear" w:color="auto" w:fill="auto"/>
            <w:noWrap/>
            <w:vAlign w:val="bottom"/>
            <w:hideMark/>
          </w:tcPr>
          <w:p w14:paraId="2A7F7582" w14:textId="77777777" w:rsidR="00C963EE" w:rsidRPr="00E14060" w:rsidRDefault="00C963EE" w:rsidP="00476030">
            <w:pPr>
              <w:rPr>
                <w:sz w:val="22"/>
                <w:szCs w:val="22"/>
                <w:lang w:val="en-GB"/>
              </w:rPr>
            </w:pPr>
          </w:p>
        </w:tc>
      </w:tr>
      <w:tr w:rsidR="00587781" w:rsidRPr="00E14060" w14:paraId="0601A8FB" w14:textId="77777777" w:rsidTr="00A73A4C">
        <w:trPr>
          <w:trHeight w:val="300"/>
        </w:trPr>
        <w:tc>
          <w:tcPr>
            <w:tcW w:w="222" w:type="dxa"/>
            <w:tcBorders>
              <w:top w:val="nil"/>
              <w:left w:val="nil"/>
              <w:bottom w:val="nil"/>
              <w:right w:val="nil"/>
            </w:tcBorders>
            <w:shd w:val="clear" w:color="auto" w:fill="auto"/>
            <w:noWrap/>
            <w:vAlign w:val="bottom"/>
            <w:hideMark/>
          </w:tcPr>
          <w:p w14:paraId="041F8484" w14:textId="77777777" w:rsidR="00587781" w:rsidRPr="00E14060" w:rsidRDefault="00587781" w:rsidP="00476030">
            <w:pPr>
              <w:rPr>
                <w:sz w:val="22"/>
                <w:szCs w:val="22"/>
                <w:lang w:val="en-GB"/>
              </w:rPr>
            </w:pPr>
          </w:p>
        </w:tc>
        <w:tc>
          <w:tcPr>
            <w:tcW w:w="1249" w:type="dxa"/>
            <w:tcBorders>
              <w:top w:val="nil"/>
              <w:left w:val="nil"/>
              <w:bottom w:val="nil"/>
              <w:right w:val="nil"/>
            </w:tcBorders>
            <w:shd w:val="clear" w:color="auto" w:fill="auto"/>
            <w:noWrap/>
            <w:vAlign w:val="bottom"/>
            <w:hideMark/>
          </w:tcPr>
          <w:p w14:paraId="482B769F" w14:textId="77777777" w:rsidR="00587781" w:rsidRPr="00E14060" w:rsidRDefault="00587781" w:rsidP="00476030">
            <w:pPr>
              <w:rPr>
                <w:b/>
                <w:bCs/>
                <w:sz w:val="22"/>
                <w:szCs w:val="22"/>
                <w:lang w:val="en-GB"/>
              </w:rPr>
            </w:pPr>
            <w:r w:rsidRPr="00E14060">
              <w:rPr>
                <w:b/>
                <w:bCs/>
                <w:sz w:val="22"/>
                <w:szCs w:val="22"/>
                <w:lang w:val="en-GB"/>
              </w:rPr>
              <w:t>LDX</w:t>
            </w:r>
          </w:p>
        </w:tc>
        <w:tc>
          <w:tcPr>
            <w:tcW w:w="271" w:type="dxa"/>
            <w:tcBorders>
              <w:top w:val="nil"/>
              <w:left w:val="nil"/>
              <w:bottom w:val="nil"/>
              <w:right w:val="nil"/>
            </w:tcBorders>
            <w:shd w:val="clear" w:color="auto" w:fill="auto"/>
            <w:noWrap/>
            <w:vAlign w:val="bottom"/>
            <w:hideMark/>
          </w:tcPr>
          <w:p w14:paraId="46729438" w14:textId="77777777" w:rsidR="00587781" w:rsidRPr="00E14060" w:rsidRDefault="00587781" w:rsidP="00476030">
            <w:pPr>
              <w:rPr>
                <w:sz w:val="22"/>
                <w:szCs w:val="22"/>
                <w:lang w:val="en-GB"/>
              </w:rPr>
            </w:pPr>
          </w:p>
        </w:tc>
        <w:tc>
          <w:tcPr>
            <w:tcW w:w="1502" w:type="dxa"/>
            <w:tcBorders>
              <w:top w:val="nil"/>
              <w:left w:val="nil"/>
              <w:bottom w:val="nil"/>
              <w:right w:val="nil"/>
            </w:tcBorders>
            <w:shd w:val="clear" w:color="auto" w:fill="auto"/>
            <w:noWrap/>
            <w:vAlign w:val="bottom"/>
            <w:hideMark/>
          </w:tcPr>
          <w:p w14:paraId="34ACF5BF" w14:textId="77777777" w:rsidR="00587781" w:rsidRPr="00E14060" w:rsidRDefault="00587781" w:rsidP="00476030">
            <w:pPr>
              <w:jc w:val="center"/>
              <w:rPr>
                <w:sz w:val="22"/>
                <w:szCs w:val="22"/>
                <w:lang w:val="en-GB"/>
              </w:rPr>
            </w:pPr>
            <w:r w:rsidRPr="00E14060">
              <w:rPr>
                <w:sz w:val="22"/>
                <w:szCs w:val="22"/>
                <w:lang w:val="en-GB"/>
              </w:rPr>
              <w:t>0.87</w:t>
            </w:r>
          </w:p>
        </w:tc>
        <w:tc>
          <w:tcPr>
            <w:tcW w:w="2136" w:type="dxa"/>
            <w:tcBorders>
              <w:top w:val="single" w:sz="4" w:space="0" w:color="auto"/>
              <w:left w:val="nil"/>
              <w:bottom w:val="nil"/>
              <w:right w:val="nil"/>
            </w:tcBorders>
            <w:shd w:val="clear" w:color="auto" w:fill="auto"/>
            <w:noWrap/>
            <w:vAlign w:val="bottom"/>
            <w:hideMark/>
          </w:tcPr>
          <w:p w14:paraId="6A5C6C36" w14:textId="77777777" w:rsidR="00587781" w:rsidRPr="00E14060" w:rsidRDefault="00587781" w:rsidP="00476030">
            <w:pPr>
              <w:jc w:val="center"/>
              <w:rPr>
                <w:sz w:val="22"/>
                <w:szCs w:val="22"/>
                <w:lang w:val="en-GB"/>
              </w:rPr>
            </w:pPr>
            <w:r w:rsidRPr="00E14060">
              <w:rPr>
                <w:sz w:val="22"/>
                <w:szCs w:val="22"/>
                <w:lang w:val="en-GB"/>
              </w:rPr>
              <w:t>(0.46, 1.42)</w:t>
            </w:r>
          </w:p>
        </w:tc>
        <w:tc>
          <w:tcPr>
            <w:tcW w:w="2563" w:type="dxa"/>
            <w:tcBorders>
              <w:top w:val="single" w:sz="4" w:space="0" w:color="auto"/>
              <w:left w:val="nil"/>
              <w:bottom w:val="nil"/>
              <w:right w:val="nil"/>
            </w:tcBorders>
            <w:shd w:val="clear" w:color="auto" w:fill="auto"/>
            <w:noWrap/>
            <w:vAlign w:val="bottom"/>
          </w:tcPr>
          <w:p w14:paraId="76B04CEC" w14:textId="77777777" w:rsidR="00587781" w:rsidRPr="00E14060" w:rsidRDefault="00587781" w:rsidP="00280F28">
            <w:pPr>
              <w:jc w:val="center"/>
              <w:rPr>
                <w:sz w:val="22"/>
                <w:szCs w:val="22"/>
                <w:lang w:val="en-GB"/>
              </w:rPr>
            </w:pPr>
            <w:r w:rsidRPr="00E14060">
              <w:rPr>
                <w:sz w:val="22"/>
                <w:szCs w:val="22"/>
                <w:lang w:val="en-GB"/>
              </w:rPr>
              <w:t>0.24</w:t>
            </w:r>
          </w:p>
        </w:tc>
        <w:tc>
          <w:tcPr>
            <w:tcW w:w="2521" w:type="dxa"/>
            <w:tcBorders>
              <w:top w:val="nil"/>
              <w:left w:val="nil"/>
              <w:bottom w:val="nil"/>
              <w:right w:val="nil"/>
            </w:tcBorders>
            <w:shd w:val="clear" w:color="auto" w:fill="auto"/>
            <w:noWrap/>
            <w:vAlign w:val="bottom"/>
            <w:hideMark/>
          </w:tcPr>
          <w:p w14:paraId="6483FCDB" w14:textId="77777777" w:rsidR="00587781" w:rsidRPr="00E14060" w:rsidRDefault="00587781" w:rsidP="00476030">
            <w:pPr>
              <w:jc w:val="center"/>
              <w:rPr>
                <w:sz w:val="22"/>
                <w:szCs w:val="22"/>
                <w:lang w:val="en-GB"/>
              </w:rPr>
            </w:pPr>
            <w:r w:rsidRPr="00E14060">
              <w:rPr>
                <w:sz w:val="22"/>
                <w:szCs w:val="22"/>
                <w:lang w:val="en-GB"/>
              </w:rPr>
              <w:t>0.2759</w:t>
            </w:r>
          </w:p>
        </w:tc>
        <w:tc>
          <w:tcPr>
            <w:tcW w:w="222" w:type="dxa"/>
            <w:tcBorders>
              <w:top w:val="nil"/>
              <w:left w:val="nil"/>
              <w:bottom w:val="nil"/>
              <w:right w:val="nil"/>
            </w:tcBorders>
            <w:shd w:val="clear" w:color="auto" w:fill="auto"/>
            <w:noWrap/>
            <w:vAlign w:val="bottom"/>
            <w:hideMark/>
          </w:tcPr>
          <w:p w14:paraId="368858F7" w14:textId="77777777" w:rsidR="00587781" w:rsidRPr="00E14060" w:rsidRDefault="00587781" w:rsidP="00476030">
            <w:pPr>
              <w:rPr>
                <w:sz w:val="22"/>
                <w:szCs w:val="22"/>
                <w:lang w:val="en-GB"/>
              </w:rPr>
            </w:pPr>
          </w:p>
        </w:tc>
        <w:tc>
          <w:tcPr>
            <w:tcW w:w="222" w:type="dxa"/>
            <w:tcBorders>
              <w:top w:val="nil"/>
              <w:left w:val="nil"/>
              <w:bottom w:val="nil"/>
              <w:right w:val="nil"/>
            </w:tcBorders>
            <w:shd w:val="clear" w:color="auto" w:fill="auto"/>
            <w:noWrap/>
            <w:vAlign w:val="bottom"/>
            <w:hideMark/>
          </w:tcPr>
          <w:p w14:paraId="27C9DBCA" w14:textId="77777777" w:rsidR="00587781" w:rsidRPr="00E14060" w:rsidRDefault="00587781" w:rsidP="00476030">
            <w:pPr>
              <w:rPr>
                <w:sz w:val="22"/>
                <w:szCs w:val="22"/>
                <w:lang w:val="en-GB"/>
              </w:rPr>
            </w:pPr>
          </w:p>
        </w:tc>
      </w:tr>
      <w:tr w:rsidR="00587781" w:rsidRPr="00E14060" w14:paraId="648184C9" w14:textId="77777777" w:rsidTr="00A73A4C">
        <w:trPr>
          <w:trHeight w:val="300"/>
        </w:trPr>
        <w:tc>
          <w:tcPr>
            <w:tcW w:w="222" w:type="dxa"/>
            <w:tcBorders>
              <w:top w:val="nil"/>
              <w:left w:val="nil"/>
              <w:bottom w:val="nil"/>
              <w:right w:val="nil"/>
            </w:tcBorders>
            <w:shd w:val="clear" w:color="auto" w:fill="auto"/>
            <w:noWrap/>
            <w:vAlign w:val="bottom"/>
            <w:hideMark/>
          </w:tcPr>
          <w:p w14:paraId="08BC5B6F" w14:textId="77777777" w:rsidR="00587781" w:rsidRPr="00E14060" w:rsidRDefault="00587781" w:rsidP="00476030">
            <w:pPr>
              <w:rPr>
                <w:sz w:val="22"/>
                <w:szCs w:val="22"/>
                <w:lang w:val="en-GB"/>
              </w:rPr>
            </w:pPr>
          </w:p>
        </w:tc>
        <w:tc>
          <w:tcPr>
            <w:tcW w:w="1249" w:type="dxa"/>
            <w:tcBorders>
              <w:top w:val="nil"/>
              <w:left w:val="nil"/>
              <w:bottom w:val="nil"/>
              <w:right w:val="nil"/>
            </w:tcBorders>
            <w:shd w:val="clear" w:color="auto" w:fill="auto"/>
            <w:noWrap/>
            <w:vAlign w:val="bottom"/>
            <w:hideMark/>
          </w:tcPr>
          <w:p w14:paraId="3D0C7848" w14:textId="77777777" w:rsidR="00587781" w:rsidRPr="00E14060" w:rsidRDefault="00587781" w:rsidP="00476030">
            <w:pPr>
              <w:rPr>
                <w:b/>
                <w:bCs/>
                <w:sz w:val="22"/>
                <w:szCs w:val="22"/>
                <w:lang w:val="en-GB"/>
              </w:rPr>
            </w:pPr>
            <w:r w:rsidRPr="00E14060">
              <w:rPr>
                <w:b/>
                <w:bCs/>
                <w:sz w:val="22"/>
                <w:szCs w:val="22"/>
                <w:lang w:val="en-GB"/>
              </w:rPr>
              <w:t>ATX</w:t>
            </w:r>
          </w:p>
        </w:tc>
        <w:tc>
          <w:tcPr>
            <w:tcW w:w="271" w:type="dxa"/>
            <w:tcBorders>
              <w:top w:val="nil"/>
              <w:left w:val="nil"/>
              <w:bottom w:val="nil"/>
              <w:right w:val="nil"/>
            </w:tcBorders>
            <w:shd w:val="clear" w:color="auto" w:fill="auto"/>
            <w:noWrap/>
            <w:vAlign w:val="bottom"/>
            <w:hideMark/>
          </w:tcPr>
          <w:p w14:paraId="226F3C86" w14:textId="77777777" w:rsidR="00587781" w:rsidRPr="00E14060" w:rsidRDefault="00587781" w:rsidP="00476030">
            <w:pPr>
              <w:rPr>
                <w:sz w:val="22"/>
                <w:szCs w:val="22"/>
                <w:lang w:val="en-GB"/>
              </w:rPr>
            </w:pPr>
          </w:p>
        </w:tc>
        <w:tc>
          <w:tcPr>
            <w:tcW w:w="1502" w:type="dxa"/>
            <w:tcBorders>
              <w:top w:val="nil"/>
              <w:left w:val="nil"/>
              <w:bottom w:val="nil"/>
              <w:right w:val="nil"/>
            </w:tcBorders>
            <w:shd w:val="clear" w:color="auto" w:fill="auto"/>
            <w:noWrap/>
            <w:vAlign w:val="bottom"/>
            <w:hideMark/>
          </w:tcPr>
          <w:p w14:paraId="20719668" w14:textId="77777777" w:rsidR="00587781" w:rsidRPr="00E14060" w:rsidRDefault="00587781" w:rsidP="00476030">
            <w:pPr>
              <w:jc w:val="center"/>
              <w:rPr>
                <w:sz w:val="22"/>
                <w:szCs w:val="22"/>
                <w:lang w:val="en-GB"/>
              </w:rPr>
            </w:pPr>
            <w:r w:rsidRPr="00E14060">
              <w:rPr>
                <w:sz w:val="22"/>
                <w:szCs w:val="22"/>
                <w:lang w:val="en-GB"/>
              </w:rPr>
              <w:t>1.11</w:t>
            </w:r>
          </w:p>
        </w:tc>
        <w:tc>
          <w:tcPr>
            <w:tcW w:w="2136" w:type="dxa"/>
            <w:tcBorders>
              <w:top w:val="nil"/>
              <w:left w:val="nil"/>
              <w:bottom w:val="nil"/>
              <w:right w:val="nil"/>
            </w:tcBorders>
            <w:shd w:val="clear" w:color="auto" w:fill="auto"/>
            <w:noWrap/>
            <w:vAlign w:val="bottom"/>
            <w:hideMark/>
          </w:tcPr>
          <w:p w14:paraId="40A3D053" w14:textId="77777777" w:rsidR="00587781" w:rsidRPr="00E14060" w:rsidRDefault="00587781" w:rsidP="00476030">
            <w:pPr>
              <w:jc w:val="center"/>
              <w:rPr>
                <w:sz w:val="22"/>
                <w:szCs w:val="22"/>
                <w:lang w:val="en-GB"/>
              </w:rPr>
            </w:pPr>
            <w:r w:rsidRPr="00E14060">
              <w:rPr>
                <w:sz w:val="22"/>
                <w:szCs w:val="22"/>
                <w:lang w:val="en-GB"/>
              </w:rPr>
              <w:t>(0.79, 1.46)</w:t>
            </w:r>
          </w:p>
        </w:tc>
        <w:tc>
          <w:tcPr>
            <w:tcW w:w="2563" w:type="dxa"/>
            <w:tcBorders>
              <w:top w:val="nil"/>
              <w:left w:val="nil"/>
              <w:bottom w:val="nil"/>
              <w:right w:val="nil"/>
            </w:tcBorders>
            <w:shd w:val="clear" w:color="auto" w:fill="auto"/>
            <w:noWrap/>
            <w:vAlign w:val="bottom"/>
          </w:tcPr>
          <w:p w14:paraId="677BD0FF" w14:textId="77777777" w:rsidR="00587781" w:rsidRPr="00E14060" w:rsidRDefault="00587781" w:rsidP="00476030">
            <w:pPr>
              <w:jc w:val="center"/>
              <w:rPr>
                <w:sz w:val="22"/>
                <w:szCs w:val="22"/>
                <w:lang w:val="en-GB"/>
              </w:rPr>
            </w:pPr>
            <w:r w:rsidRPr="00E14060">
              <w:rPr>
                <w:sz w:val="22"/>
                <w:szCs w:val="22"/>
                <w:lang w:val="en-GB"/>
              </w:rPr>
              <w:t>0.31</w:t>
            </w:r>
          </w:p>
        </w:tc>
        <w:tc>
          <w:tcPr>
            <w:tcW w:w="2521" w:type="dxa"/>
            <w:tcBorders>
              <w:top w:val="nil"/>
              <w:left w:val="nil"/>
              <w:bottom w:val="nil"/>
              <w:right w:val="nil"/>
            </w:tcBorders>
            <w:shd w:val="clear" w:color="auto" w:fill="auto"/>
            <w:noWrap/>
            <w:vAlign w:val="bottom"/>
            <w:hideMark/>
          </w:tcPr>
          <w:p w14:paraId="140DC678" w14:textId="77777777" w:rsidR="00587781" w:rsidRPr="00E14060" w:rsidRDefault="00587781" w:rsidP="00476030">
            <w:pPr>
              <w:jc w:val="center"/>
              <w:rPr>
                <w:sz w:val="22"/>
                <w:szCs w:val="22"/>
                <w:lang w:val="en-GB"/>
              </w:rPr>
            </w:pPr>
            <w:r w:rsidRPr="00E14060">
              <w:rPr>
                <w:sz w:val="22"/>
                <w:szCs w:val="22"/>
                <w:lang w:val="en-GB"/>
              </w:rPr>
              <w:t>(0.256, 0.296)</w:t>
            </w:r>
          </w:p>
        </w:tc>
        <w:tc>
          <w:tcPr>
            <w:tcW w:w="222" w:type="dxa"/>
            <w:tcBorders>
              <w:top w:val="nil"/>
              <w:left w:val="nil"/>
              <w:bottom w:val="nil"/>
              <w:right w:val="nil"/>
            </w:tcBorders>
            <w:shd w:val="clear" w:color="auto" w:fill="auto"/>
            <w:noWrap/>
            <w:vAlign w:val="bottom"/>
            <w:hideMark/>
          </w:tcPr>
          <w:p w14:paraId="6F83986C" w14:textId="77777777" w:rsidR="00587781" w:rsidRPr="00E14060" w:rsidRDefault="00587781" w:rsidP="00476030">
            <w:pPr>
              <w:rPr>
                <w:sz w:val="22"/>
                <w:szCs w:val="22"/>
                <w:lang w:val="en-GB"/>
              </w:rPr>
            </w:pPr>
          </w:p>
        </w:tc>
        <w:tc>
          <w:tcPr>
            <w:tcW w:w="222" w:type="dxa"/>
            <w:tcBorders>
              <w:top w:val="nil"/>
              <w:left w:val="nil"/>
              <w:bottom w:val="nil"/>
              <w:right w:val="nil"/>
            </w:tcBorders>
            <w:shd w:val="clear" w:color="auto" w:fill="auto"/>
            <w:noWrap/>
            <w:vAlign w:val="bottom"/>
            <w:hideMark/>
          </w:tcPr>
          <w:p w14:paraId="267B553B" w14:textId="77777777" w:rsidR="00587781" w:rsidRPr="00E14060" w:rsidRDefault="00587781" w:rsidP="00476030">
            <w:pPr>
              <w:rPr>
                <w:sz w:val="22"/>
                <w:szCs w:val="22"/>
                <w:lang w:val="en-GB"/>
              </w:rPr>
            </w:pPr>
          </w:p>
        </w:tc>
      </w:tr>
      <w:tr w:rsidR="00587781" w:rsidRPr="00E14060" w14:paraId="67162671" w14:textId="77777777" w:rsidTr="00B05FF3">
        <w:trPr>
          <w:trHeight w:val="300"/>
        </w:trPr>
        <w:tc>
          <w:tcPr>
            <w:tcW w:w="222" w:type="dxa"/>
            <w:tcBorders>
              <w:top w:val="nil"/>
              <w:left w:val="nil"/>
              <w:bottom w:val="nil"/>
              <w:right w:val="nil"/>
            </w:tcBorders>
            <w:shd w:val="clear" w:color="auto" w:fill="auto"/>
            <w:noWrap/>
            <w:vAlign w:val="bottom"/>
            <w:hideMark/>
          </w:tcPr>
          <w:p w14:paraId="57CFF061" w14:textId="77777777" w:rsidR="00587781" w:rsidRPr="00E14060" w:rsidRDefault="00587781" w:rsidP="00476030">
            <w:pPr>
              <w:rPr>
                <w:sz w:val="22"/>
                <w:szCs w:val="22"/>
                <w:lang w:val="en-GB"/>
              </w:rPr>
            </w:pPr>
          </w:p>
        </w:tc>
        <w:tc>
          <w:tcPr>
            <w:tcW w:w="1249" w:type="dxa"/>
            <w:tcBorders>
              <w:top w:val="nil"/>
              <w:left w:val="nil"/>
              <w:bottom w:val="nil"/>
              <w:right w:val="nil"/>
            </w:tcBorders>
            <w:shd w:val="clear" w:color="auto" w:fill="auto"/>
            <w:noWrap/>
            <w:vAlign w:val="bottom"/>
            <w:hideMark/>
          </w:tcPr>
          <w:p w14:paraId="5F459F84" w14:textId="77777777" w:rsidR="00587781" w:rsidRPr="00E14060" w:rsidRDefault="00587781" w:rsidP="00476030">
            <w:pPr>
              <w:rPr>
                <w:b/>
                <w:bCs/>
                <w:sz w:val="22"/>
                <w:szCs w:val="22"/>
                <w:lang w:val="en-GB"/>
              </w:rPr>
            </w:pPr>
            <w:r w:rsidRPr="00E14060">
              <w:rPr>
                <w:b/>
                <w:bCs/>
                <w:sz w:val="22"/>
                <w:szCs w:val="22"/>
                <w:lang w:val="en-GB"/>
              </w:rPr>
              <w:t>MPH-ER</w:t>
            </w:r>
          </w:p>
        </w:tc>
        <w:tc>
          <w:tcPr>
            <w:tcW w:w="271" w:type="dxa"/>
            <w:tcBorders>
              <w:top w:val="nil"/>
              <w:left w:val="nil"/>
              <w:bottom w:val="nil"/>
              <w:right w:val="nil"/>
            </w:tcBorders>
            <w:shd w:val="clear" w:color="auto" w:fill="auto"/>
            <w:noWrap/>
            <w:vAlign w:val="bottom"/>
            <w:hideMark/>
          </w:tcPr>
          <w:p w14:paraId="0D056279" w14:textId="77777777" w:rsidR="00587781" w:rsidRPr="00E14060" w:rsidRDefault="00587781" w:rsidP="00476030">
            <w:pPr>
              <w:rPr>
                <w:sz w:val="22"/>
                <w:szCs w:val="22"/>
                <w:lang w:val="en-GB"/>
              </w:rPr>
            </w:pPr>
          </w:p>
        </w:tc>
        <w:tc>
          <w:tcPr>
            <w:tcW w:w="1502" w:type="dxa"/>
            <w:tcBorders>
              <w:top w:val="nil"/>
              <w:left w:val="nil"/>
              <w:bottom w:val="nil"/>
              <w:right w:val="nil"/>
            </w:tcBorders>
            <w:shd w:val="clear" w:color="auto" w:fill="auto"/>
            <w:noWrap/>
            <w:vAlign w:val="bottom"/>
            <w:hideMark/>
          </w:tcPr>
          <w:p w14:paraId="229F756E" w14:textId="77777777" w:rsidR="00587781" w:rsidRPr="00E14060" w:rsidRDefault="00587781" w:rsidP="004D10E5">
            <w:pPr>
              <w:jc w:val="center"/>
              <w:rPr>
                <w:sz w:val="22"/>
                <w:szCs w:val="22"/>
                <w:lang w:val="en-GB"/>
              </w:rPr>
            </w:pPr>
            <w:r w:rsidRPr="00E14060">
              <w:rPr>
                <w:sz w:val="22"/>
                <w:szCs w:val="22"/>
                <w:lang w:val="en-GB"/>
              </w:rPr>
              <w:t>1.12</w:t>
            </w:r>
          </w:p>
        </w:tc>
        <w:tc>
          <w:tcPr>
            <w:tcW w:w="2136" w:type="dxa"/>
            <w:tcBorders>
              <w:top w:val="nil"/>
              <w:left w:val="nil"/>
              <w:bottom w:val="nil"/>
              <w:right w:val="nil"/>
            </w:tcBorders>
            <w:shd w:val="clear" w:color="auto" w:fill="auto"/>
            <w:noWrap/>
            <w:vAlign w:val="bottom"/>
            <w:hideMark/>
          </w:tcPr>
          <w:p w14:paraId="5A68BCA6" w14:textId="77777777" w:rsidR="00587781" w:rsidRPr="00E14060" w:rsidRDefault="00587781" w:rsidP="00476030">
            <w:pPr>
              <w:jc w:val="center"/>
              <w:rPr>
                <w:sz w:val="22"/>
                <w:szCs w:val="22"/>
                <w:lang w:val="en-GB"/>
              </w:rPr>
            </w:pPr>
            <w:r w:rsidRPr="00E14060">
              <w:rPr>
                <w:sz w:val="22"/>
                <w:szCs w:val="22"/>
                <w:lang w:val="en-GB"/>
              </w:rPr>
              <w:t>(0.86, 1.42)</w:t>
            </w:r>
          </w:p>
        </w:tc>
        <w:tc>
          <w:tcPr>
            <w:tcW w:w="2563" w:type="dxa"/>
            <w:tcBorders>
              <w:top w:val="nil"/>
              <w:left w:val="nil"/>
              <w:bottom w:val="nil"/>
              <w:right w:val="nil"/>
            </w:tcBorders>
            <w:shd w:val="clear" w:color="auto" w:fill="auto"/>
            <w:noWrap/>
            <w:vAlign w:val="bottom"/>
            <w:hideMark/>
          </w:tcPr>
          <w:p w14:paraId="7F1A1547" w14:textId="77777777" w:rsidR="00587781" w:rsidRPr="00E14060" w:rsidRDefault="00587781" w:rsidP="00476030">
            <w:pPr>
              <w:jc w:val="center"/>
              <w:rPr>
                <w:sz w:val="22"/>
                <w:szCs w:val="22"/>
                <w:lang w:val="en-GB"/>
              </w:rPr>
            </w:pPr>
            <w:r w:rsidRPr="00E14060">
              <w:rPr>
                <w:sz w:val="22"/>
                <w:szCs w:val="22"/>
                <w:lang w:val="en-GB"/>
              </w:rPr>
              <w:t>0.31</w:t>
            </w:r>
          </w:p>
        </w:tc>
        <w:tc>
          <w:tcPr>
            <w:tcW w:w="2521" w:type="dxa"/>
            <w:tcBorders>
              <w:top w:val="nil"/>
              <w:left w:val="nil"/>
              <w:bottom w:val="nil"/>
              <w:right w:val="nil"/>
            </w:tcBorders>
            <w:shd w:val="clear" w:color="auto" w:fill="auto"/>
            <w:noWrap/>
            <w:vAlign w:val="bottom"/>
            <w:hideMark/>
          </w:tcPr>
          <w:p w14:paraId="26AF30FE" w14:textId="77777777" w:rsidR="00587781" w:rsidRPr="00E14060" w:rsidRDefault="00587781" w:rsidP="00476030">
            <w:pPr>
              <w:jc w:val="center"/>
              <w:rPr>
                <w:sz w:val="22"/>
                <w:szCs w:val="22"/>
                <w:lang w:val="en-GB"/>
              </w:rPr>
            </w:pPr>
          </w:p>
        </w:tc>
        <w:tc>
          <w:tcPr>
            <w:tcW w:w="222" w:type="dxa"/>
            <w:tcBorders>
              <w:top w:val="nil"/>
              <w:left w:val="nil"/>
              <w:bottom w:val="nil"/>
              <w:right w:val="nil"/>
            </w:tcBorders>
            <w:shd w:val="clear" w:color="auto" w:fill="auto"/>
            <w:noWrap/>
            <w:vAlign w:val="bottom"/>
            <w:hideMark/>
          </w:tcPr>
          <w:p w14:paraId="29F73ED7" w14:textId="77777777" w:rsidR="00587781" w:rsidRPr="00E14060" w:rsidRDefault="00587781" w:rsidP="00476030">
            <w:pPr>
              <w:rPr>
                <w:sz w:val="22"/>
                <w:szCs w:val="22"/>
                <w:lang w:val="en-GB"/>
              </w:rPr>
            </w:pPr>
          </w:p>
        </w:tc>
        <w:tc>
          <w:tcPr>
            <w:tcW w:w="222" w:type="dxa"/>
            <w:tcBorders>
              <w:top w:val="nil"/>
              <w:left w:val="nil"/>
              <w:bottom w:val="nil"/>
              <w:right w:val="nil"/>
            </w:tcBorders>
            <w:shd w:val="clear" w:color="auto" w:fill="auto"/>
            <w:noWrap/>
            <w:vAlign w:val="bottom"/>
            <w:hideMark/>
          </w:tcPr>
          <w:p w14:paraId="0D328B49" w14:textId="77777777" w:rsidR="00587781" w:rsidRPr="00E14060" w:rsidRDefault="00587781" w:rsidP="00476030">
            <w:pPr>
              <w:rPr>
                <w:sz w:val="22"/>
                <w:szCs w:val="22"/>
                <w:lang w:val="en-GB"/>
              </w:rPr>
            </w:pPr>
          </w:p>
        </w:tc>
      </w:tr>
      <w:tr w:rsidR="00587781" w:rsidRPr="00E14060" w14:paraId="43949094" w14:textId="77777777" w:rsidTr="00A73A4C">
        <w:trPr>
          <w:trHeight w:val="300"/>
        </w:trPr>
        <w:tc>
          <w:tcPr>
            <w:tcW w:w="222" w:type="dxa"/>
            <w:tcBorders>
              <w:top w:val="nil"/>
              <w:left w:val="nil"/>
              <w:bottom w:val="nil"/>
              <w:right w:val="nil"/>
            </w:tcBorders>
            <w:shd w:val="clear" w:color="auto" w:fill="auto"/>
            <w:noWrap/>
            <w:vAlign w:val="bottom"/>
            <w:hideMark/>
          </w:tcPr>
          <w:p w14:paraId="57CD9C5C" w14:textId="77777777" w:rsidR="00587781" w:rsidRPr="00E14060" w:rsidRDefault="00587781" w:rsidP="00476030">
            <w:pPr>
              <w:rPr>
                <w:sz w:val="22"/>
                <w:szCs w:val="22"/>
                <w:lang w:val="en-GB"/>
              </w:rPr>
            </w:pPr>
          </w:p>
        </w:tc>
        <w:tc>
          <w:tcPr>
            <w:tcW w:w="1249" w:type="dxa"/>
            <w:tcBorders>
              <w:top w:val="nil"/>
              <w:left w:val="nil"/>
              <w:bottom w:val="single" w:sz="4" w:space="0" w:color="auto"/>
              <w:right w:val="nil"/>
            </w:tcBorders>
            <w:shd w:val="clear" w:color="auto" w:fill="auto"/>
            <w:noWrap/>
            <w:vAlign w:val="bottom"/>
            <w:hideMark/>
          </w:tcPr>
          <w:p w14:paraId="05F45110" w14:textId="77777777" w:rsidR="00587781" w:rsidRPr="00E14060" w:rsidRDefault="00587781" w:rsidP="00476030">
            <w:pPr>
              <w:rPr>
                <w:b/>
                <w:bCs/>
                <w:sz w:val="22"/>
                <w:szCs w:val="22"/>
                <w:lang w:val="en-GB"/>
              </w:rPr>
            </w:pPr>
            <w:r w:rsidRPr="00E14060">
              <w:rPr>
                <w:b/>
                <w:bCs/>
                <w:sz w:val="22"/>
                <w:szCs w:val="22"/>
                <w:lang w:val="en-GB"/>
              </w:rPr>
              <w:t>MPH-IR</w:t>
            </w:r>
          </w:p>
        </w:tc>
        <w:tc>
          <w:tcPr>
            <w:tcW w:w="271" w:type="dxa"/>
            <w:tcBorders>
              <w:top w:val="nil"/>
              <w:left w:val="nil"/>
              <w:bottom w:val="single" w:sz="4" w:space="0" w:color="auto"/>
              <w:right w:val="nil"/>
            </w:tcBorders>
            <w:shd w:val="clear" w:color="auto" w:fill="auto"/>
            <w:noWrap/>
            <w:vAlign w:val="bottom"/>
            <w:hideMark/>
          </w:tcPr>
          <w:p w14:paraId="08D68BE9" w14:textId="77777777" w:rsidR="00587781" w:rsidRPr="00E14060" w:rsidRDefault="00587781" w:rsidP="00476030">
            <w:pPr>
              <w:rPr>
                <w:sz w:val="22"/>
                <w:szCs w:val="22"/>
                <w:lang w:val="en-GB"/>
              </w:rPr>
            </w:pPr>
            <w:r w:rsidRPr="00E14060">
              <w:rPr>
                <w:sz w:val="22"/>
                <w:szCs w:val="22"/>
                <w:lang w:val="en-GB"/>
              </w:rPr>
              <w:t> </w:t>
            </w:r>
          </w:p>
        </w:tc>
        <w:tc>
          <w:tcPr>
            <w:tcW w:w="1502" w:type="dxa"/>
            <w:tcBorders>
              <w:top w:val="nil"/>
              <w:left w:val="nil"/>
              <w:bottom w:val="single" w:sz="4" w:space="0" w:color="auto"/>
              <w:right w:val="nil"/>
            </w:tcBorders>
            <w:shd w:val="clear" w:color="auto" w:fill="auto"/>
            <w:noWrap/>
            <w:vAlign w:val="bottom"/>
            <w:hideMark/>
          </w:tcPr>
          <w:p w14:paraId="29C22CDB" w14:textId="77777777" w:rsidR="00587781" w:rsidRPr="00E14060" w:rsidRDefault="00587781" w:rsidP="004D10E5">
            <w:pPr>
              <w:jc w:val="center"/>
              <w:rPr>
                <w:sz w:val="22"/>
                <w:szCs w:val="22"/>
                <w:lang w:val="en-GB"/>
              </w:rPr>
            </w:pPr>
            <w:r w:rsidRPr="00E14060">
              <w:rPr>
                <w:sz w:val="22"/>
                <w:szCs w:val="22"/>
                <w:lang w:val="en-GB"/>
              </w:rPr>
              <w:t>1.12</w:t>
            </w:r>
          </w:p>
        </w:tc>
        <w:tc>
          <w:tcPr>
            <w:tcW w:w="2136" w:type="dxa"/>
            <w:tcBorders>
              <w:top w:val="nil"/>
              <w:left w:val="nil"/>
              <w:bottom w:val="single" w:sz="4" w:space="0" w:color="auto"/>
              <w:right w:val="nil"/>
            </w:tcBorders>
            <w:shd w:val="clear" w:color="auto" w:fill="auto"/>
            <w:noWrap/>
            <w:vAlign w:val="bottom"/>
            <w:hideMark/>
          </w:tcPr>
          <w:p w14:paraId="193FA4C7" w14:textId="77777777" w:rsidR="00587781" w:rsidRPr="00E14060" w:rsidRDefault="00587781" w:rsidP="00476030">
            <w:pPr>
              <w:jc w:val="center"/>
              <w:rPr>
                <w:sz w:val="22"/>
                <w:szCs w:val="22"/>
                <w:lang w:val="en-GB"/>
              </w:rPr>
            </w:pPr>
            <w:r w:rsidRPr="00E14060">
              <w:rPr>
                <w:sz w:val="22"/>
                <w:szCs w:val="22"/>
                <w:lang w:val="en-GB"/>
              </w:rPr>
              <w:t>(0.39, 2.19)</w:t>
            </w:r>
          </w:p>
        </w:tc>
        <w:tc>
          <w:tcPr>
            <w:tcW w:w="2563" w:type="dxa"/>
            <w:tcBorders>
              <w:top w:val="nil"/>
              <w:left w:val="nil"/>
              <w:bottom w:val="single" w:sz="4" w:space="0" w:color="auto"/>
              <w:right w:val="nil"/>
            </w:tcBorders>
            <w:shd w:val="clear" w:color="auto" w:fill="auto"/>
            <w:noWrap/>
            <w:vAlign w:val="bottom"/>
            <w:hideMark/>
          </w:tcPr>
          <w:p w14:paraId="39A12A41" w14:textId="77777777" w:rsidR="00587781" w:rsidRPr="00E14060" w:rsidRDefault="00587781" w:rsidP="00476030">
            <w:pPr>
              <w:jc w:val="center"/>
              <w:rPr>
                <w:sz w:val="22"/>
                <w:szCs w:val="22"/>
                <w:lang w:val="en-GB"/>
              </w:rPr>
            </w:pPr>
            <w:r w:rsidRPr="00E14060">
              <w:rPr>
                <w:sz w:val="22"/>
                <w:szCs w:val="22"/>
                <w:lang w:val="en-GB"/>
              </w:rPr>
              <w:t>0.31</w:t>
            </w:r>
          </w:p>
        </w:tc>
        <w:tc>
          <w:tcPr>
            <w:tcW w:w="2521" w:type="dxa"/>
            <w:tcBorders>
              <w:top w:val="nil"/>
              <w:left w:val="nil"/>
              <w:bottom w:val="nil"/>
              <w:right w:val="nil"/>
            </w:tcBorders>
            <w:shd w:val="clear" w:color="auto" w:fill="auto"/>
            <w:noWrap/>
            <w:vAlign w:val="bottom"/>
            <w:hideMark/>
          </w:tcPr>
          <w:p w14:paraId="76DECFC9" w14:textId="77777777" w:rsidR="00587781" w:rsidRPr="00E14060" w:rsidRDefault="00587781" w:rsidP="00476030">
            <w:pPr>
              <w:jc w:val="center"/>
              <w:rPr>
                <w:sz w:val="22"/>
                <w:szCs w:val="22"/>
                <w:lang w:val="en-GB"/>
              </w:rPr>
            </w:pPr>
          </w:p>
        </w:tc>
        <w:tc>
          <w:tcPr>
            <w:tcW w:w="222" w:type="dxa"/>
            <w:tcBorders>
              <w:top w:val="nil"/>
              <w:left w:val="nil"/>
              <w:bottom w:val="nil"/>
              <w:right w:val="nil"/>
            </w:tcBorders>
            <w:shd w:val="clear" w:color="auto" w:fill="auto"/>
            <w:noWrap/>
            <w:vAlign w:val="bottom"/>
            <w:hideMark/>
          </w:tcPr>
          <w:p w14:paraId="5CD6397E" w14:textId="77777777" w:rsidR="00587781" w:rsidRPr="00E14060" w:rsidRDefault="00587781" w:rsidP="00476030">
            <w:pPr>
              <w:rPr>
                <w:sz w:val="22"/>
                <w:szCs w:val="22"/>
                <w:lang w:val="en-GB"/>
              </w:rPr>
            </w:pPr>
          </w:p>
        </w:tc>
        <w:tc>
          <w:tcPr>
            <w:tcW w:w="222" w:type="dxa"/>
            <w:tcBorders>
              <w:top w:val="nil"/>
              <w:left w:val="nil"/>
              <w:bottom w:val="nil"/>
              <w:right w:val="nil"/>
            </w:tcBorders>
            <w:shd w:val="clear" w:color="auto" w:fill="auto"/>
            <w:noWrap/>
            <w:vAlign w:val="bottom"/>
            <w:hideMark/>
          </w:tcPr>
          <w:p w14:paraId="21689122" w14:textId="77777777" w:rsidR="00587781" w:rsidRPr="00E14060" w:rsidRDefault="00587781" w:rsidP="00476030">
            <w:pPr>
              <w:rPr>
                <w:sz w:val="22"/>
                <w:szCs w:val="22"/>
                <w:lang w:val="en-GB"/>
              </w:rPr>
            </w:pPr>
          </w:p>
        </w:tc>
      </w:tr>
    </w:tbl>
    <w:p w14:paraId="357B65B1" w14:textId="77777777" w:rsidR="00476030" w:rsidRPr="00E14060" w:rsidRDefault="00476030" w:rsidP="009375DF">
      <w:pPr>
        <w:spacing w:line="360" w:lineRule="auto"/>
        <w:rPr>
          <w:szCs w:val="24"/>
          <w:lang w:val="en-GB"/>
        </w:rPr>
      </w:pPr>
    </w:p>
    <w:p w14:paraId="59F90EAA" w14:textId="77777777" w:rsidR="00476030" w:rsidRPr="00E14060" w:rsidRDefault="00476030">
      <w:pPr>
        <w:rPr>
          <w:b/>
          <w:sz w:val="24"/>
          <w:lang w:val="en-GB"/>
        </w:rPr>
      </w:pPr>
      <w:r w:rsidRPr="00E14060">
        <w:rPr>
          <w:lang w:val="en-GB"/>
        </w:rPr>
        <w:br w:type="page"/>
      </w:r>
    </w:p>
    <w:p w14:paraId="42B48805" w14:textId="77777777" w:rsidR="00114CF2" w:rsidRPr="00E14060" w:rsidRDefault="00114CF2" w:rsidP="00114CF2">
      <w:pPr>
        <w:pStyle w:val="Heading3"/>
        <w:rPr>
          <w:color w:val="auto"/>
          <w:lang w:val="en-GB"/>
        </w:rPr>
      </w:pPr>
      <w:bookmarkStart w:id="270" w:name="_Toc384683016"/>
      <w:bookmarkStart w:id="271" w:name="_Toc391913777"/>
      <w:bookmarkStart w:id="272" w:name="_Toc402543847"/>
      <w:r w:rsidRPr="00E14060">
        <w:rPr>
          <w:color w:val="auto"/>
          <w:lang w:val="en-GB"/>
        </w:rPr>
        <w:lastRenderedPageBreak/>
        <w:t xml:space="preserve">Bayesian </w:t>
      </w:r>
      <w:r w:rsidR="0062581E" w:rsidRPr="00E14060">
        <w:rPr>
          <w:color w:val="auto"/>
          <w:lang w:val="en-GB"/>
        </w:rPr>
        <w:t>c</w:t>
      </w:r>
      <w:r w:rsidRPr="00E14060">
        <w:rPr>
          <w:color w:val="auto"/>
          <w:lang w:val="en-GB"/>
        </w:rPr>
        <w:t xml:space="preserve">ore </w:t>
      </w:r>
      <w:r w:rsidR="0062581E" w:rsidRPr="00E14060">
        <w:rPr>
          <w:color w:val="auto"/>
          <w:lang w:val="en-GB"/>
        </w:rPr>
        <w:t>a</w:t>
      </w:r>
      <w:r w:rsidRPr="00E14060">
        <w:rPr>
          <w:color w:val="auto"/>
          <w:lang w:val="en-GB"/>
        </w:rPr>
        <w:t>nalysis for discontinuation due to adverse events</w:t>
      </w:r>
      <w:bookmarkEnd w:id="270"/>
      <w:bookmarkEnd w:id="271"/>
      <w:bookmarkEnd w:id="272"/>
    </w:p>
    <w:p w14:paraId="22D2EFC0" w14:textId="4563D2DD" w:rsidR="00C776CC" w:rsidRPr="00E14060" w:rsidRDefault="0078407E" w:rsidP="00D63492">
      <w:pPr>
        <w:shd w:val="clear" w:color="auto" w:fill="FFFFFF"/>
        <w:spacing w:line="360" w:lineRule="auto"/>
        <w:contextualSpacing/>
        <w:outlineLvl w:val="3"/>
        <w:rPr>
          <w:sz w:val="24"/>
          <w:szCs w:val="24"/>
          <w:lang w:val="en-GB" w:eastAsia="zh-CN"/>
        </w:rPr>
      </w:pPr>
      <w:r w:rsidRPr="00E14060">
        <w:rPr>
          <w:sz w:val="24"/>
          <w:szCs w:val="24"/>
          <w:lang w:val="en-GB"/>
        </w:rPr>
        <w:t xml:space="preserve">As shown in </w:t>
      </w:r>
      <w:r w:rsidRPr="00E14060">
        <w:rPr>
          <w:b/>
          <w:sz w:val="24"/>
          <w:szCs w:val="24"/>
          <w:lang w:val="en-GB"/>
        </w:rPr>
        <w:t>Table 6</w:t>
      </w:r>
      <w:r w:rsidR="00114CF2" w:rsidRPr="00E14060">
        <w:rPr>
          <w:sz w:val="24"/>
          <w:szCs w:val="24"/>
          <w:lang w:val="en-GB"/>
        </w:rPr>
        <w:t>, ATX had the lowest relative risk</w:t>
      </w:r>
      <w:r w:rsidRPr="00E14060">
        <w:rPr>
          <w:sz w:val="24"/>
          <w:szCs w:val="24"/>
          <w:lang w:val="en-GB"/>
        </w:rPr>
        <w:t xml:space="preserve"> for discontinuation due to adverse events</w:t>
      </w:r>
      <w:r w:rsidR="0043244E" w:rsidRPr="00E14060">
        <w:rPr>
          <w:sz w:val="24"/>
          <w:szCs w:val="24"/>
          <w:lang w:val="en-GB"/>
        </w:rPr>
        <w:t xml:space="preserve"> (2.67)</w:t>
      </w:r>
      <w:r w:rsidRPr="00E14060">
        <w:rPr>
          <w:sz w:val="24"/>
          <w:szCs w:val="24"/>
          <w:lang w:val="en-GB"/>
        </w:rPr>
        <w:t xml:space="preserve"> in the core analysis</w:t>
      </w:r>
      <w:r w:rsidR="00114CF2" w:rsidRPr="00E14060">
        <w:rPr>
          <w:sz w:val="24"/>
          <w:szCs w:val="24"/>
          <w:lang w:val="en-GB"/>
        </w:rPr>
        <w:t>, followed by MPH-ER</w:t>
      </w:r>
      <w:r w:rsidR="00503669" w:rsidRPr="00E14060">
        <w:rPr>
          <w:sz w:val="24"/>
          <w:szCs w:val="24"/>
          <w:lang w:val="en-GB"/>
        </w:rPr>
        <w:t xml:space="preserve"> (2.76)</w:t>
      </w:r>
      <w:r w:rsidR="00114CF2" w:rsidRPr="00E14060">
        <w:rPr>
          <w:sz w:val="24"/>
          <w:szCs w:val="24"/>
          <w:lang w:val="en-GB"/>
        </w:rPr>
        <w:t>, LDX</w:t>
      </w:r>
      <w:r w:rsidR="00503669" w:rsidRPr="00E14060">
        <w:rPr>
          <w:sz w:val="24"/>
          <w:szCs w:val="24"/>
          <w:lang w:val="en-GB"/>
        </w:rPr>
        <w:t xml:space="preserve"> (3.21)</w:t>
      </w:r>
      <w:r w:rsidR="00114CF2" w:rsidRPr="00E14060">
        <w:rPr>
          <w:sz w:val="24"/>
          <w:szCs w:val="24"/>
          <w:lang w:val="en-GB"/>
        </w:rPr>
        <w:t>, and MPH-IR</w:t>
      </w:r>
      <w:r w:rsidR="00503669" w:rsidRPr="00E14060">
        <w:rPr>
          <w:sz w:val="24"/>
          <w:szCs w:val="24"/>
          <w:lang w:val="en-GB"/>
        </w:rPr>
        <w:t xml:space="preserve"> (4.38)</w:t>
      </w:r>
      <w:r w:rsidR="00114CF2" w:rsidRPr="00E14060">
        <w:rPr>
          <w:sz w:val="24"/>
          <w:szCs w:val="24"/>
          <w:lang w:val="en-GB"/>
        </w:rPr>
        <w:t xml:space="preserve">. </w:t>
      </w:r>
      <w:r w:rsidRPr="00E14060">
        <w:rPr>
          <w:sz w:val="24"/>
          <w:szCs w:val="24"/>
          <w:lang w:val="en-GB"/>
        </w:rPr>
        <w:t xml:space="preserve">LDX </w:t>
      </w:r>
      <w:r w:rsidR="000B2B7C" w:rsidRPr="00E14060">
        <w:rPr>
          <w:sz w:val="24"/>
          <w:szCs w:val="24"/>
          <w:lang w:val="en-GB"/>
        </w:rPr>
        <w:t xml:space="preserve">had </w:t>
      </w:r>
      <w:r w:rsidRPr="00E14060">
        <w:rPr>
          <w:sz w:val="24"/>
          <w:szCs w:val="24"/>
          <w:lang w:val="en-GB"/>
        </w:rPr>
        <w:t>the highest probability</w:t>
      </w:r>
      <w:r w:rsidR="000B2B7C" w:rsidRPr="00E14060">
        <w:rPr>
          <w:sz w:val="24"/>
          <w:szCs w:val="24"/>
          <w:lang w:val="en-GB"/>
        </w:rPr>
        <w:t xml:space="preserve"> of being the most tolerable</w:t>
      </w:r>
      <w:r w:rsidR="00E654CE" w:rsidRPr="00E14060">
        <w:rPr>
          <w:sz w:val="24"/>
          <w:szCs w:val="24"/>
          <w:lang w:val="en-GB"/>
        </w:rPr>
        <w:t xml:space="preserve"> (31.01%)</w:t>
      </w:r>
      <w:r w:rsidR="00114CF2" w:rsidRPr="00E14060">
        <w:rPr>
          <w:sz w:val="24"/>
          <w:szCs w:val="24"/>
          <w:lang w:val="en-GB"/>
        </w:rPr>
        <w:t xml:space="preserve">. LDX had a higher probability of being the most tolerable treatment than ATX despite a higher relative </w:t>
      </w:r>
      <w:r w:rsidRPr="00E14060">
        <w:rPr>
          <w:sz w:val="24"/>
          <w:szCs w:val="24"/>
          <w:lang w:val="en-GB"/>
        </w:rPr>
        <w:t>risk</w:t>
      </w:r>
      <w:r w:rsidR="00114CF2" w:rsidRPr="00E14060">
        <w:rPr>
          <w:sz w:val="24"/>
          <w:szCs w:val="24"/>
          <w:lang w:val="en-GB"/>
        </w:rPr>
        <w:t xml:space="preserve"> </w:t>
      </w:r>
      <w:r w:rsidRPr="00E14060">
        <w:rPr>
          <w:sz w:val="24"/>
          <w:szCs w:val="24"/>
          <w:lang w:val="en-GB"/>
        </w:rPr>
        <w:t xml:space="preserve">because </w:t>
      </w:r>
      <w:r w:rsidR="00114CF2" w:rsidRPr="00E14060">
        <w:rPr>
          <w:sz w:val="24"/>
          <w:szCs w:val="24"/>
          <w:lang w:val="en-GB"/>
        </w:rPr>
        <w:t xml:space="preserve">the distribution of </w:t>
      </w:r>
      <w:r w:rsidR="00230559" w:rsidRPr="00E14060">
        <w:rPr>
          <w:sz w:val="24"/>
          <w:szCs w:val="24"/>
          <w:lang w:val="en-GB"/>
        </w:rPr>
        <w:t>LDX</w:t>
      </w:r>
      <w:r w:rsidR="00114CF2" w:rsidRPr="00E14060">
        <w:rPr>
          <w:sz w:val="24"/>
          <w:szCs w:val="24"/>
          <w:lang w:val="en-GB"/>
        </w:rPr>
        <w:t xml:space="preserve"> was more spread compared to the distribution of </w:t>
      </w:r>
      <w:r w:rsidR="00230559" w:rsidRPr="00E14060">
        <w:rPr>
          <w:sz w:val="24"/>
          <w:szCs w:val="24"/>
          <w:lang w:val="en-GB"/>
        </w:rPr>
        <w:t>ATX</w:t>
      </w:r>
      <w:r w:rsidR="00114CF2" w:rsidRPr="00E14060">
        <w:rPr>
          <w:sz w:val="24"/>
          <w:szCs w:val="24"/>
          <w:lang w:val="en-GB"/>
        </w:rPr>
        <w:t xml:space="preserve">. </w:t>
      </w:r>
      <w:r w:rsidR="00976717" w:rsidRPr="00E14060">
        <w:rPr>
          <w:bCs/>
          <w:sz w:val="24"/>
          <w:szCs w:val="24"/>
          <w:lang w:val="en-GB"/>
        </w:rPr>
        <w:t>T</w:t>
      </w:r>
      <w:r w:rsidR="00114CF2" w:rsidRPr="00E14060">
        <w:rPr>
          <w:sz w:val="24"/>
          <w:szCs w:val="24"/>
          <w:lang w:val="en-GB"/>
        </w:rPr>
        <w:t>he histograms of the posterior distributions from this MTC</w:t>
      </w:r>
      <w:r w:rsidR="00976717" w:rsidRPr="00E14060">
        <w:rPr>
          <w:sz w:val="24"/>
          <w:szCs w:val="24"/>
          <w:lang w:val="en-GB"/>
        </w:rPr>
        <w:t xml:space="preserve"> are available on request</w:t>
      </w:r>
      <w:r w:rsidR="00114CF2" w:rsidRPr="00E14060">
        <w:rPr>
          <w:sz w:val="24"/>
          <w:szCs w:val="24"/>
          <w:lang w:val="en-GB"/>
        </w:rPr>
        <w:t>.</w:t>
      </w:r>
      <w:r w:rsidR="00C776CC" w:rsidRPr="00E14060">
        <w:rPr>
          <w:sz w:val="24"/>
          <w:szCs w:val="24"/>
          <w:lang w:val="en-GB"/>
        </w:rPr>
        <w:t xml:space="preserve"> </w:t>
      </w:r>
      <w:r w:rsidR="00C776CC" w:rsidRPr="00E14060">
        <w:rPr>
          <w:sz w:val="24"/>
          <w:szCs w:val="24"/>
          <w:lang w:val="en-GB" w:eastAsia="zh-CN"/>
        </w:rPr>
        <w:t>The probabilities of each treatment being the most tolerable were more similar than in the efficacy analyses</w:t>
      </w:r>
      <w:r w:rsidR="00044E48" w:rsidRPr="00E14060">
        <w:rPr>
          <w:sz w:val="24"/>
          <w:szCs w:val="24"/>
          <w:lang w:val="en-GB" w:eastAsia="zh-CN"/>
        </w:rPr>
        <w:t>.</w:t>
      </w:r>
    </w:p>
    <w:p w14:paraId="11445A9D" w14:textId="77777777" w:rsidR="00114CF2" w:rsidRPr="00E14060" w:rsidRDefault="00114CF2" w:rsidP="009375DF">
      <w:pPr>
        <w:spacing w:line="360" w:lineRule="auto"/>
        <w:rPr>
          <w:sz w:val="24"/>
          <w:szCs w:val="24"/>
          <w:lang w:val="en-GB"/>
        </w:rPr>
      </w:pPr>
    </w:p>
    <w:tbl>
      <w:tblPr>
        <w:tblW w:w="10648" w:type="dxa"/>
        <w:tblInd w:w="108" w:type="dxa"/>
        <w:tblLook w:val="04A0" w:firstRow="1" w:lastRow="0" w:firstColumn="1" w:lastColumn="0" w:noHBand="0" w:noVBand="1"/>
      </w:tblPr>
      <w:tblGrid>
        <w:gridCol w:w="222"/>
        <w:gridCol w:w="1279"/>
        <w:gridCol w:w="271"/>
        <w:gridCol w:w="1482"/>
        <w:gridCol w:w="2275"/>
        <w:gridCol w:w="2466"/>
        <w:gridCol w:w="2209"/>
        <w:gridCol w:w="222"/>
        <w:gridCol w:w="222"/>
      </w:tblGrid>
      <w:tr w:rsidR="00476030" w:rsidRPr="00E14060" w14:paraId="06D0A36D" w14:textId="77777777" w:rsidTr="006B3CCE">
        <w:trPr>
          <w:trHeight w:val="555"/>
        </w:trPr>
        <w:tc>
          <w:tcPr>
            <w:tcW w:w="10648" w:type="dxa"/>
            <w:gridSpan w:val="9"/>
            <w:tcBorders>
              <w:top w:val="nil"/>
              <w:left w:val="nil"/>
              <w:bottom w:val="nil"/>
              <w:right w:val="nil"/>
            </w:tcBorders>
            <w:shd w:val="clear" w:color="auto" w:fill="auto"/>
            <w:noWrap/>
            <w:vAlign w:val="bottom"/>
            <w:hideMark/>
          </w:tcPr>
          <w:p w14:paraId="065505EA" w14:textId="77777777" w:rsidR="00476030" w:rsidRPr="00E14060" w:rsidRDefault="00476030" w:rsidP="00A37DD6">
            <w:pPr>
              <w:jc w:val="center"/>
              <w:rPr>
                <w:b/>
                <w:bCs/>
                <w:sz w:val="22"/>
                <w:szCs w:val="22"/>
                <w:lang w:val="en-GB"/>
              </w:rPr>
            </w:pPr>
            <w:r w:rsidRPr="00E14060">
              <w:rPr>
                <w:b/>
                <w:bCs/>
                <w:sz w:val="22"/>
                <w:szCs w:val="22"/>
                <w:lang w:val="en-GB"/>
              </w:rPr>
              <w:t xml:space="preserve">Table </w:t>
            </w:r>
            <w:r w:rsidR="00A37DD6" w:rsidRPr="00E14060">
              <w:rPr>
                <w:b/>
                <w:bCs/>
                <w:sz w:val="22"/>
                <w:szCs w:val="22"/>
                <w:lang w:val="en-GB"/>
              </w:rPr>
              <w:t>6</w:t>
            </w:r>
            <w:r w:rsidRPr="00E14060">
              <w:rPr>
                <w:b/>
                <w:bCs/>
                <w:sz w:val="22"/>
                <w:szCs w:val="22"/>
                <w:lang w:val="en-GB"/>
              </w:rPr>
              <w:t>. Odds ratios and relative risks for discontinuation due to adverse events (drug vs. placebo)</w:t>
            </w:r>
          </w:p>
        </w:tc>
      </w:tr>
      <w:tr w:rsidR="00476030" w:rsidRPr="00E14060" w14:paraId="40A366E6" w14:textId="77777777" w:rsidTr="006B3CCE">
        <w:trPr>
          <w:trHeight w:val="300"/>
        </w:trPr>
        <w:tc>
          <w:tcPr>
            <w:tcW w:w="10648" w:type="dxa"/>
            <w:gridSpan w:val="9"/>
            <w:tcBorders>
              <w:top w:val="nil"/>
              <w:left w:val="nil"/>
              <w:bottom w:val="nil"/>
              <w:right w:val="nil"/>
            </w:tcBorders>
            <w:shd w:val="clear" w:color="auto" w:fill="auto"/>
            <w:noWrap/>
            <w:vAlign w:val="bottom"/>
            <w:hideMark/>
          </w:tcPr>
          <w:p w14:paraId="0D1A2FAB" w14:textId="77777777" w:rsidR="00476030" w:rsidRPr="00E14060" w:rsidRDefault="00476030" w:rsidP="00476030">
            <w:pPr>
              <w:jc w:val="center"/>
              <w:rPr>
                <w:b/>
                <w:bCs/>
                <w:sz w:val="22"/>
                <w:szCs w:val="22"/>
                <w:lang w:val="en-GB"/>
              </w:rPr>
            </w:pPr>
            <w:r w:rsidRPr="00E14060">
              <w:rPr>
                <w:b/>
                <w:bCs/>
                <w:sz w:val="22"/>
                <w:szCs w:val="22"/>
                <w:lang w:val="en-GB"/>
              </w:rPr>
              <w:t>Core Bayesian analysis: random effects model, combined doses</w:t>
            </w:r>
          </w:p>
        </w:tc>
      </w:tr>
      <w:tr w:rsidR="00476030" w:rsidRPr="00E14060" w14:paraId="60B0FE9D" w14:textId="77777777" w:rsidTr="006B3CCE">
        <w:trPr>
          <w:trHeight w:val="300"/>
        </w:trPr>
        <w:tc>
          <w:tcPr>
            <w:tcW w:w="222" w:type="dxa"/>
            <w:tcBorders>
              <w:top w:val="nil"/>
              <w:left w:val="nil"/>
              <w:bottom w:val="nil"/>
              <w:right w:val="nil"/>
            </w:tcBorders>
            <w:shd w:val="clear" w:color="auto" w:fill="auto"/>
            <w:noWrap/>
            <w:vAlign w:val="bottom"/>
            <w:hideMark/>
          </w:tcPr>
          <w:p w14:paraId="57AF4CBC" w14:textId="77777777" w:rsidR="00476030" w:rsidRPr="00E14060" w:rsidRDefault="00476030" w:rsidP="00476030">
            <w:pPr>
              <w:rPr>
                <w:sz w:val="22"/>
                <w:szCs w:val="22"/>
                <w:lang w:val="en-GB"/>
              </w:rPr>
            </w:pPr>
          </w:p>
        </w:tc>
        <w:tc>
          <w:tcPr>
            <w:tcW w:w="1279" w:type="dxa"/>
            <w:tcBorders>
              <w:top w:val="nil"/>
              <w:left w:val="nil"/>
              <w:bottom w:val="nil"/>
              <w:right w:val="nil"/>
            </w:tcBorders>
            <w:shd w:val="clear" w:color="auto" w:fill="auto"/>
            <w:noWrap/>
            <w:vAlign w:val="bottom"/>
            <w:hideMark/>
          </w:tcPr>
          <w:p w14:paraId="7B1FB790" w14:textId="77777777" w:rsidR="00476030" w:rsidRPr="00E14060" w:rsidRDefault="00476030" w:rsidP="00476030">
            <w:pPr>
              <w:rPr>
                <w:sz w:val="22"/>
                <w:szCs w:val="22"/>
                <w:lang w:val="en-GB"/>
              </w:rPr>
            </w:pPr>
          </w:p>
        </w:tc>
        <w:tc>
          <w:tcPr>
            <w:tcW w:w="271" w:type="dxa"/>
            <w:tcBorders>
              <w:top w:val="nil"/>
              <w:left w:val="nil"/>
              <w:bottom w:val="nil"/>
              <w:right w:val="nil"/>
            </w:tcBorders>
            <w:shd w:val="clear" w:color="auto" w:fill="auto"/>
            <w:noWrap/>
            <w:vAlign w:val="bottom"/>
            <w:hideMark/>
          </w:tcPr>
          <w:p w14:paraId="0AD20567" w14:textId="77777777" w:rsidR="00476030" w:rsidRPr="00E14060" w:rsidRDefault="00476030" w:rsidP="00476030">
            <w:pPr>
              <w:rPr>
                <w:sz w:val="22"/>
                <w:szCs w:val="22"/>
                <w:lang w:val="en-GB"/>
              </w:rPr>
            </w:pPr>
          </w:p>
        </w:tc>
        <w:tc>
          <w:tcPr>
            <w:tcW w:w="1482" w:type="dxa"/>
            <w:tcBorders>
              <w:top w:val="nil"/>
              <w:left w:val="nil"/>
              <w:bottom w:val="nil"/>
              <w:right w:val="nil"/>
            </w:tcBorders>
            <w:shd w:val="clear" w:color="auto" w:fill="auto"/>
            <w:noWrap/>
            <w:vAlign w:val="bottom"/>
            <w:hideMark/>
          </w:tcPr>
          <w:p w14:paraId="3625FE16" w14:textId="77777777" w:rsidR="00476030" w:rsidRPr="00E14060" w:rsidRDefault="00476030" w:rsidP="00476030">
            <w:pPr>
              <w:rPr>
                <w:sz w:val="22"/>
                <w:szCs w:val="22"/>
                <w:lang w:val="en-GB"/>
              </w:rPr>
            </w:pPr>
          </w:p>
        </w:tc>
        <w:tc>
          <w:tcPr>
            <w:tcW w:w="2275" w:type="dxa"/>
            <w:tcBorders>
              <w:top w:val="nil"/>
              <w:left w:val="nil"/>
              <w:bottom w:val="nil"/>
              <w:right w:val="nil"/>
            </w:tcBorders>
            <w:shd w:val="clear" w:color="auto" w:fill="auto"/>
            <w:noWrap/>
            <w:vAlign w:val="bottom"/>
            <w:hideMark/>
          </w:tcPr>
          <w:p w14:paraId="6A915846" w14:textId="77777777" w:rsidR="00476030" w:rsidRPr="00E14060" w:rsidRDefault="00476030" w:rsidP="00476030">
            <w:pPr>
              <w:rPr>
                <w:sz w:val="22"/>
                <w:szCs w:val="22"/>
                <w:lang w:val="en-GB"/>
              </w:rPr>
            </w:pPr>
          </w:p>
        </w:tc>
        <w:tc>
          <w:tcPr>
            <w:tcW w:w="2466" w:type="dxa"/>
            <w:tcBorders>
              <w:top w:val="nil"/>
              <w:left w:val="nil"/>
              <w:bottom w:val="nil"/>
              <w:right w:val="nil"/>
            </w:tcBorders>
            <w:shd w:val="clear" w:color="auto" w:fill="auto"/>
            <w:noWrap/>
            <w:vAlign w:val="bottom"/>
            <w:hideMark/>
          </w:tcPr>
          <w:p w14:paraId="64F45DCE" w14:textId="77777777" w:rsidR="00476030" w:rsidRPr="00E14060" w:rsidRDefault="00476030" w:rsidP="00476030">
            <w:pPr>
              <w:rPr>
                <w:sz w:val="22"/>
                <w:szCs w:val="22"/>
                <w:lang w:val="en-GB"/>
              </w:rPr>
            </w:pPr>
          </w:p>
        </w:tc>
        <w:tc>
          <w:tcPr>
            <w:tcW w:w="2209" w:type="dxa"/>
            <w:tcBorders>
              <w:top w:val="nil"/>
              <w:left w:val="nil"/>
              <w:bottom w:val="nil"/>
              <w:right w:val="nil"/>
            </w:tcBorders>
            <w:shd w:val="clear" w:color="auto" w:fill="auto"/>
            <w:noWrap/>
            <w:vAlign w:val="bottom"/>
            <w:hideMark/>
          </w:tcPr>
          <w:p w14:paraId="0DBF82A7" w14:textId="77777777" w:rsidR="00476030" w:rsidRPr="00E14060" w:rsidRDefault="00476030" w:rsidP="00476030">
            <w:pPr>
              <w:rPr>
                <w:sz w:val="22"/>
                <w:szCs w:val="22"/>
                <w:lang w:val="en-GB"/>
              </w:rPr>
            </w:pPr>
          </w:p>
        </w:tc>
        <w:tc>
          <w:tcPr>
            <w:tcW w:w="222" w:type="dxa"/>
            <w:tcBorders>
              <w:top w:val="nil"/>
              <w:left w:val="nil"/>
              <w:bottom w:val="nil"/>
              <w:right w:val="nil"/>
            </w:tcBorders>
            <w:shd w:val="clear" w:color="auto" w:fill="auto"/>
            <w:noWrap/>
            <w:vAlign w:val="bottom"/>
            <w:hideMark/>
          </w:tcPr>
          <w:p w14:paraId="0703F9D8" w14:textId="77777777" w:rsidR="00476030" w:rsidRPr="00E14060" w:rsidRDefault="00476030" w:rsidP="00476030">
            <w:pPr>
              <w:rPr>
                <w:sz w:val="22"/>
                <w:szCs w:val="22"/>
                <w:lang w:val="en-GB"/>
              </w:rPr>
            </w:pPr>
          </w:p>
        </w:tc>
        <w:tc>
          <w:tcPr>
            <w:tcW w:w="222" w:type="dxa"/>
            <w:tcBorders>
              <w:top w:val="nil"/>
              <w:left w:val="nil"/>
              <w:bottom w:val="nil"/>
              <w:right w:val="nil"/>
            </w:tcBorders>
            <w:shd w:val="clear" w:color="auto" w:fill="auto"/>
            <w:noWrap/>
            <w:vAlign w:val="bottom"/>
            <w:hideMark/>
          </w:tcPr>
          <w:p w14:paraId="3E947749" w14:textId="77777777" w:rsidR="00476030" w:rsidRPr="00E14060" w:rsidRDefault="00476030" w:rsidP="00476030">
            <w:pPr>
              <w:rPr>
                <w:sz w:val="22"/>
                <w:szCs w:val="22"/>
                <w:lang w:val="en-GB"/>
              </w:rPr>
            </w:pPr>
          </w:p>
        </w:tc>
      </w:tr>
      <w:tr w:rsidR="00476030" w:rsidRPr="00E14060" w14:paraId="52F6DD7C" w14:textId="77777777" w:rsidTr="006B3CCE">
        <w:trPr>
          <w:trHeight w:val="1440"/>
        </w:trPr>
        <w:tc>
          <w:tcPr>
            <w:tcW w:w="222" w:type="dxa"/>
            <w:tcBorders>
              <w:top w:val="nil"/>
              <w:left w:val="nil"/>
              <w:bottom w:val="nil"/>
              <w:right w:val="nil"/>
            </w:tcBorders>
            <w:shd w:val="clear" w:color="auto" w:fill="auto"/>
            <w:noWrap/>
            <w:vAlign w:val="bottom"/>
            <w:hideMark/>
          </w:tcPr>
          <w:p w14:paraId="0124B7BD" w14:textId="77777777" w:rsidR="00476030" w:rsidRPr="00E14060" w:rsidRDefault="00476030" w:rsidP="00476030">
            <w:pPr>
              <w:rPr>
                <w:sz w:val="22"/>
                <w:szCs w:val="22"/>
                <w:lang w:val="en-GB"/>
              </w:rPr>
            </w:pPr>
          </w:p>
        </w:tc>
        <w:tc>
          <w:tcPr>
            <w:tcW w:w="1279" w:type="dxa"/>
            <w:tcBorders>
              <w:top w:val="single" w:sz="4" w:space="0" w:color="auto"/>
              <w:left w:val="nil"/>
              <w:bottom w:val="nil"/>
              <w:right w:val="nil"/>
            </w:tcBorders>
            <w:shd w:val="clear" w:color="auto" w:fill="auto"/>
            <w:noWrap/>
            <w:vAlign w:val="bottom"/>
            <w:hideMark/>
          </w:tcPr>
          <w:p w14:paraId="78A973F2" w14:textId="77777777" w:rsidR="00476030" w:rsidRPr="00E14060" w:rsidRDefault="00476030" w:rsidP="00476030">
            <w:pPr>
              <w:rPr>
                <w:sz w:val="22"/>
                <w:szCs w:val="22"/>
                <w:lang w:val="en-GB"/>
              </w:rPr>
            </w:pPr>
            <w:r w:rsidRPr="00E14060">
              <w:rPr>
                <w:sz w:val="22"/>
                <w:szCs w:val="22"/>
                <w:lang w:val="en-GB"/>
              </w:rPr>
              <w:t> </w:t>
            </w:r>
          </w:p>
        </w:tc>
        <w:tc>
          <w:tcPr>
            <w:tcW w:w="271" w:type="dxa"/>
            <w:tcBorders>
              <w:top w:val="single" w:sz="4" w:space="0" w:color="auto"/>
              <w:left w:val="nil"/>
              <w:bottom w:val="nil"/>
              <w:right w:val="nil"/>
            </w:tcBorders>
            <w:shd w:val="clear" w:color="auto" w:fill="auto"/>
            <w:noWrap/>
            <w:vAlign w:val="bottom"/>
            <w:hideMark/>
          </w:tcPr>
          <w:p w14:paraId="17D20427" w14:textId="77777777" w:rsidR="00476030" w:rsidRPr="00E14060" w:rsidRDefault="00476030" w:rsidP="00476030">
            <w:pPr>
              <w:rPr>
                <w:sz w:val="22"/>
                <w:szCs w:val="22"/>
                <w:lang w:val="en-GB"/>
              </w:rPr>
            </w:pPr>
            <w:r w:rsidRPr="00E14060">
              <w:rPr>
                <w:sz w:val="22"/>
                <w:szCs w:val="22"/>
                <w:lang w:val="en-GB"/>
              </w:rPr>
              <w:t> </w:t>
            </w:r>
          </w:p>
        </w:tc>
        <w:tc>
          <w:tcPr>
            <w:tcW w:w="1482" w:type="dxa"/>
            <w:tcBorders>
              <w:top w:val="single" w:sz="4" w:space="0" w:color="auto"/>
              <w:left w:val="nil"/>
              <w:bottom w:val="single" w:sz="4" w:space="0" w:color="auto"/>
              <w:right w:val="nil"/>
            </w:tcBorders>
            <w:shd w:val="clear" w:color="auto" w:fill="auto"/>
            <w:vAlign w:val="bottom"/>
            <w:hideMark/>
          </w:tcPr>
          <w:p w14:paraId="6EF60722" w14:textId="77777777" w:rsidR="00476030" w:rsidRPr="00E14060" w:rsidRDefault="00476030" w:rsidP="00476030">
            <w:pPr>
              <w:jc w:val="center"/>
              <w:rPr>
                <w:b/>
                <w:bCs/>
                <w:sz w:val="22"/>
                <w:szCs w:val="22"/>
                <w:lang w:val="en-GB"/>
              </w:rPr>
            </w:pPr>
            <w:r w:rsidRPr="00E14060">
              <w:rPr>
                <w:b/>
                <w:bCs/>
                <w:sz w:val="22"/>
                <w:szCs w:val="22"/>
                <w:lang w:val="en-GB"/>
              </w:rPr>
              <w:t>Odds Ratio</w:t>
            </w:r>
          </w:p>
        </w:tc>
        <w:tc>
          <w:tcPr>
            <w:tcW w:w="2275" w:type="dxa"/>
            <w:tcBorders>
              <w:top w:val="single" w:sz="4" w:space="0" w:color="auto"/>
              <w:left w:val="nil"/>
              <w:bottom w:val="single" w:sz="4" w:space="0" w:color="auto"/>
              <w:right w:val="nil"/>
            </w:tcBorders>
            <w:shd w:val="clear" w:color="auto" w:fill="auto"/>
            <w:vAlign w:val="bottom"/>
            <w:hideMark/>
          </w:tcPr>
          <w:p w14:paraId="6F7CA1AE" w14:textId="77777777" w:rsidR="00476030" w:rsidRPr="00E14060" w:rsidRDefault="00476030" w:rsidP="00476030">
            <w:pPr>
              <w:jc w:val="center"/>
              <w:rPr>
                <w:b/>
                <w:bCs/>
                <w:sz w:val="22"/>
                <w:szCs w:val="22"/>
                <w:lang w:val="en-GB"/>
              </w:rPr>
            </w:pPr>
            <w:r w:rsidRPr="00E14060">
              <w:rPr>
                <w:b/>
                <w:bCs/>
                <w:sz w:val="22"/>
                <w:szCs w:val="22"/>
                <w:lang w:val="en-GB"/>
              </w:rPr>
              <w:t>95% Credible Interval</w:t>
            </w:r>
          </w:p>
        </w:tc>
        <w:tc>
          <w:tcPr>
            <w:tcW w:w="2466" w:type="dxa"/>
            <w:tcBorders>
              <w:top w:val="single" w:sz="4" w:space="0" w:color="auto"/>
              <w:left w:val="nil"/>
              <w:bottom w:val="single" w:sz="4" w:space="0" w:color="auto"/>
              <w:right w:val="nil"/>
            </w:tcBorders>
            <w:shd w:val="clear" w:color="auto" w:fill="auto"/>
            <w:vAlign w:val="bottom"/>
            <w:hideMark/>
          </w:tcPr>
          <w:p w14:paraId="1B5373A5" w14:textId="77777777" w:rsidR="00476030" w:rsidRPr="00E14060" w:rsidRDefault="00476030" w:rsidP="00476030">
            <w:pPr>
              <w:jc w:val="center"/>
              <w:rPr>
                <w:b/>
                <w:bCs/>
                <w:sz w:val="22"/>
                <w:szCs w:val="22"/>
                <w:lang w:val="en-GB"/>
              </w:rPr>
            </w:pPr>
            <w:r w:rsidRPr="00E14060">
              <w:rPr>
                <w:b/>
                <w:bCs/>
                <w:sz w:val="22"/>
                <w:szCs w:val="22"/>
                <w:lang w:val="en-GB"/>
              </w:rPr>
              <w:t>Probability of the treatment being most tolerable among all</w:t>
            </w:r>
          </w:p>
        </w:tc>
        <w:tc>
          <w:tcPr>
            <w:tcW w:w="2209" w:type="dxa"/>
            <w:tcBorders>
              <w:top w:val="single" w:sz="4" w:space="0" w:color="auto"/>
              <w:left w:val="nil"/>
              <w:bottom w:val="single" w:sz="4" w:space="0" w:color="auto"/>
              <w:right w:val="nil"/>
            </w:tcBorders>
            <w:shd w:val="clear" w:color="auto" w:fill="auto"/>
            <w:vAlign w:val="bottom"/>
            <w:hideMark/>
          </w:tcPr>
          <w:p w14:paraId="6B8835EA" w14:textId="77777777" w:rsidR="00476030" w:rsidRPr="00E14060" w:rsidRDefault="00476030" w:rsidP="003168CE">
            <w:pPr>
              <w:jc w:val="center"/>
              <w:rPr>
                <w:b/>
                <w:bCs/>
                <w:sz w:val="22"/>
                <w:szCs w:val="22"/>
                <w:lang w:val="en-GB"/>
              </w:rPr>
            </w:pPr>
            <w:r w:rsidRPr="00E14060">
              <w:rPr>
                <w:b/>
                <w:bCs/>
                <w:sz w:val="22"/>
                <w:szCs w:val="22"/>
                <w:lang w:val="en-GB"/>
              </w:rPr>
              <w:t xml:space="preserve">Probability of LDX being more tolerable compared to </w:t>
            </w:r>
            <w:r w:rsidR="0069678D" w:rsidRPr="00E14060">
              <w:rPr>
                <w:b/>
                <w:bCs/>
                <w:sz w:val="22"/>
                <w:szCs w:val="22"/>
                <w:lang w:val="en-GB"/>
              </w:rPr>
              <w:t>each</w:t>
            </w:r>
            <w:r w:rsidRPr="00E14060">
              <w:rPr>
                <w:b/>
                <w:bCs/>
                <w:sz w:val="22"/>
                <w:szCs w:val="22"/>
                <w:lang w:val="en-GB"/>
              </w:rPr>
              <w:t xml:space="preserve"> treatment</w:t>
            </w:r>
          </w:p>
        </w:tc>
        <w:tc>
          <w:tcPr>
            <w:tcW w:w="222" w:type="dxa"/>
            <w:tcBorders>
              <w:top w:val="nil"/>
              <w:left w:val="nil"/>
              <w:bottom w:val="nil"/>
              <w:right w:val="nil"/>
            </w:tcBorders>
            <w:shd w:val="clear" w:color="auto" w:fill="auto"/>
            <w:noWrap/>
            <w:vAlign w:val="bottom"/>
            <w:hideMark/>
          </w:tcPr>
          <w:p w14:paraId="63893BF4" w14:textId="77777777" w:rsidR="00476030" w:rsidRPr="00E14060" w:rsidRDefault="00476030" w:rsidP="00476030">
            <w:pPr>
              <w:rPr>
                <w:sz w:val="22"/>
                <w:szCs w:val="22"/>
                <w:lang w:val="en-GB"/>
              </w:rPr>
            </w:pPr>
          </w:p>
        </w:tc>
        <w:tc>
          <w:tcPr>
            <w:tcW w:w="222" w:type="dxa"/>
            <w:tcBorders>
              <w:top w:val="nil"/>
              <w:left w:val="nil"/>
              <w:bottom w:val="nil"/>
              <w:right w:val="nil"/>
            </w:tcBorders>
            <w:shd w:val="clear" w:color="auto" w:fill="auto"/>
            <w:noWrap/>
            <w:vAlign w:val="bottom"/>
            <w:hideMark/>
          </w:tcPr>
          <w:p w14:paraId="22CDF9DA" w14:textId="77777777" w:rsidR="00476030" w:rsidRPr="00E14060" w:rsidRDefault="00476030" w:rsidP="00476030">
            <w:pPr>
              <w:rPr>
                <w:sz w:val="22"/>
                <w:szCs w:val="22"/>
                <w:lang w:val="en-GB"/>
              </w:rPr>
            </w:pPr>
          </w:p>
        </w:tc>
      </w:tr>
      <w:tr w:rsidR="006B3CCE" w:rsidRPr="00E14060" w14:paraId="58093B2B" w14:textId="77777777" w:rsidTr="006B3CCE">
        <w:trPr>
          <w:trHeight w:val="300"/>
        </w:trPr>
        <w:tc>
          <w:tcPr>
            <w:tcW w:w="222" w:type="dxa"/>
            <w:tcBorders>
              <w:top w:val="nil"/>
              <w:left w:val="nil"/>
              <w:bottom w:val="nil"/>
              <w:right w:val="nil"/>
            </w:tcBorders>
            <w:shd w:val="clear" w:color="auto" w:fill="auto"/>
            <w:noWrap/>
            <w:vAlign w:val="bottom"/>
            <w:hideMark/>
          </w:tcPr>
          <w:p w14:paraId="639BCE36" w14:textId="77777777" w:rsidR="006B3CCE" w:rsidRPr="00E14060" w:rsidRDefault="006B3CCE" w:rsidP="00476030">
            <w:pPr>
              <w:rPr>
                <w:sz w:val="22"/>
                <w:szCs w:val="22"/>
                <w:lang w:val="en-GB"/>
              </w:rPr>
            </w:pPr>
          </w:p>
        </w:tc>
        <w:tc>
          <w:tcPr>
            <w:tcW w:w="1279" w:type="dxa"/>
            <w:tcBorders>
              <w:top w:val="nil"/>
              <w:left w:val="nil"/>
              <w:bottom w:val="nil"/>
              <w:right w:val="nil"/>
            </w:tcBorders>
            <w:shd w:val="clear" w:color="auto" w:fill="auto"/>
            <w:noWrap/>
            <w:vAlign w:val="bottom"/>
            <w:hideMark/>
          </w:tcPr>
          <w:p w14:paraId="6B42EA98" w14:textId="77777777" w:rsidR="006B3CCE" w:rsidRPr="00E14060" w:rsidRDefault="006B3CCE" w:rsidP="00476030">
            <w:pPr>
              <w:rPr>
                <w:b/>
                <w:bCs/>
                <w:sz w:val="22"/>
                <w:szCs w:val="22"/>
                <w:lang w:val="en-GB"/>
              </w:rPr>
            </w:pPr>
            <w:r w:rsidRPr="00E14060">
              <w:rPr>
                <w:b/>
                <w:bCs/>
                <w:sz w:val="22"/>
                <w:szCs w:val="22"/>
                <w:lang w:val="en-GB"/>
              </w:rPr>
              <w:t>LDX</w:t>
            </w:r>
          </w:p>
        </w:tc>
        <w:tc>
          <w:tcPr>
            <w:tcW w:w="271" w:type="dxa"/>
            <w:tcBorders>
              <w:top w:val="nil"/>
              <w:left w:val="nil"/>
              <w:bottom w:val="nil"/>
              <w:right w:val="nil"/>
            </w:tcBorders>
            <w:shd w:val="clear" w:color="auto" w:fill="auto"/>
            <w:noWrap/>
            <w:vAlign w:val="bottom"/>
            <w:hideMark/>
          </w:tcPr>
          <w:p w14:paraId="012EC887" w14:textId="77777777" w:rsidR="006B3CCE" w:rsidRPr="00E14060" w:rsidRDefault="006B3CCE" w:rsidP="00476030">
            <w:pPr>
              <w:rPr>
                <w:b/>
                <w:bCs/>
                <w:sz w:val="22"/>
                <w:szCs w:val="22"/>
                <w:lang w:val="en-GB"/>
              </w:rPr>
            </w:pPr>
          </w:p>
        </w:tc>
        <w:tc>
          <w:tcPr>
            <w:tcW w:w="1482" w:type="dxa"/>
            <w:tcBorders>
              <w:top w:val="nil"/>
              <w:left w:val="nil"/>
              <w:bottom w:val="nil"/>
              <w:right w:val="nil"/>
            </w:tcBorders>
            <w:shd w:val="clear" w:color="auto" w:fill="auto"/>
            <w:noWrap/>
            <w:vAlign w:val="bottom"/>
            <w:hideMark/>
          </w:tcPr>
          <w:p w14:paraId="7ACF8788" w14:textId="77777777" w:rsidR="006B3CCE" w:rsidRPr="00E14060" w:rsidRDefault="006B3CCE" w:rsidP="00476030">
            <w:pPr>
              <w:jc w:val="center"/>
              <w:rPr>
                <w:sz w:val="22"/>
                <w:szCs w:val="22"/>
                <w:lang w:val="en-GB"/>
              </w:rPr>
            </w:pPr>
            <w:r w:rsidRPr="00E14060">
              <w:rPr>
                <w:sz w:val="22"/>
                <w:szCs w:val="22"/>
                <w:lang w:val="en-GB"/>
              </w:rPr>
              <w:t>3.11</w:t>
            </w:r>
          </w:p>
        </w:tc>
        <w:tc>
          <w:tcPr>
            <w:tcW w:w="2275" w:type="dxa"/>
            <w:tcBorders>
              <w:top w:val="nil"/>
              <w:left w:val="nil"/>
              <w:bottom w:val="nil"/>
              <w:right w:val="nil"/>
            </w:tcBorders>
            <w:shd w:val="clear" w:color="auto" w:fill="auto"/>
            <w:noWrap/>
            <w:vAlign w:val="bottom"/>
            <w:hideMark/>
          </w:tcPr>
          <w:p w14:paraId="068F57DC" w14:textId="77777777" w:rsidR="006B3CCE" w:rsidRPr="00E14060" w:rsidRDefault="006B3CCE" w:rsidP="00476030">
            <w:pPr>
              <w:jc w:val="center"/>
              <w:rPr>
                <w:sz w:val="22"/>
                <w:szCs w:val="22"/>
                <w:lang w:val="en-GB"/>
              </w:rPr>
            </w:pPr>
            <w:r w:rsidRPr="00E14060">
              <w:rPr>
                <w:sz w:val="22"/>
                <w:szCs w:val="22"/>
                <w:lang w:val="en-GB"/>
              </w:rPr>
              <w:t>(0.93, 11.69)</w:t>
            </w:r>
          </w:p>
        </w:tc>
        <w:tc>
          <w:tcPr>
            <w:tcW w:w="2466" w:type="dxa"/>
            <w:tcBorders>
              <w:top w:val="nil"/>
              <w:left w:val="nil"/>
              <w:bottom w:val="nil"/>
              <w:right w:val="nil"/>
            </w:tcBorders>
            <w:shd w:val="clear" w:color="auto" w:fill="auto"/>
            <w:noWrap/>
            <w:vAlign w:val="bottom"/>
            <w:hideMark/>
          </w:tcPr>
          <w:p w14:paraId="442A3DB5" w14:textId="77777777" w:rsidR="006B3CCE" w:rsidRPr="00E14060" w:rsidRDefault="006B3CCE" w:rsidP="00476030">
            <w:pPr>
              <w:jc w:val="center"/>
              <w:rPr>
                <w:sz w:val="22"/>
                <w:szCs w:val="22"/>
                <w:lang w:val="en-GB"/>
              </w:rPr>
            </w:pPr>
            <w:r w:rsidRPr="00E14060">
              <w:rPr>
                <w:sz w:val="22"/>
                <w:szCs w:val="22"/>
                <w:lang w:val="en-GB"/>
              </w:rPr>
              <w:t>31.01%</w:t>
            </w:r>
          </w:p>
        </w:tc>
        <w:tc>
          <w:tcPr>
            <w:tcW w:w="2209" w:type="dxa"/>
            <w:tcBorders>
              <w:top w:val="nil"/>
              <w:left w:val="nil"/>
              <w:bottom w:val="nil"/>
              <w:right w:val="nil"/>
            </w:tcBorders>
            <w:shd w:val="clear" w:color="auto" w:fill="auto"/>
            <w:noWrap/>
            <w:vAlign w:val="bottom"/>
            <w:hideMark/>
          </w:tcPr>
          <w:p w14:paraId="238E17BB" w14:textId="77777777" w:rsidR="006B3CCE" w:rsidRPr="00E14060" w:rsidRDefault="006B3CCE" w:rsidP="00476030">
            <w:pPr>
              <w:jc w:val="center"/>
              <w:rPr>
                <w:sz w:val="22"/>
                <w:szCs w:val="22"/>
                <w:lang w:val="en-GB"/>
              </w:rPr>
            </w:pPr>
            <w:r w:rsidRPr="00E14060">
              <w:rPr>
                <w:sz w:val="22"/>
                <w:szCs w:val="22"/>
                <w:lang w:val="en-GB"/>
              </w:rPr>
              <w:t>--</w:t>
            </w:r>
          </w:p>
        </w:tc>
        <w:tc>
          <w:tcPr>
            <w:tcW w:w="222" w:type="dxa"/>
            <w:tcBorders>
              <w:top w:val="nil"/>
              <w:left w:val="nil"/>
              <w:bottom w:val="nil"/>
              <w:right w:val="nil"/>
            </w:tcBorders>
            <w:shd w:val="clear" w:color="auto" w:fill="auto"/>
            <w:noWrap/>
            <w:vAlign w:val="bottom"/>
            <w:hideMark/>
          </w:tcPr>
          <w:p w14:paraId="1D3125A5" w14:textId="77777777" w:rsidR="006B3CCE" w:rsidRPr="00E14060" w:rsidRDefault="006B3CCE" w:rsidP="00476030">
            <w:pPr>
              <w:rPr>
                <w:sz w:val="22"/>
                <w:szCs w:val="22"/>
                <w:lang w:val="en-GB"/>
              </w:rPr>
            </w:pPr>
          </w:p>
        </w:tc>
        <w:tc>
          <w:tcPr>
            <w:tcW w:w="222" w:type="dxa"/>
            <w:tcBorders>
              <w:top w:val="nil"/>
              <w:left w:val="nil"/>
              <w:bottom w:val="nil"/>
              <w:right w:val="nil"/>
            </w:tcBorders>
            <w:shd w:val="clear" w:color="auto" w:fill="auto"/>
            <w:noWrap/>
            <w:vAlign w:val="bottom"/>
            <w:hideMark/>
          </w:tcPr>
          <w:p w14:paraId="017DF413" w14:textId="77777777" w:rsidR="006B3CCE" w:rsidRPr="00E14060" w:rsidRDefault="006B3CCE" w:rsidP="00476030">
            <w:pPr>
              <w:rPr>
                <w:sz w:val="22"/>
                <w:szCs w:val="22"/>
                <w:lang w:val="en-GB"/>
              </w:rPr>
            </w:pPr>
          </w:p>
        </w:tc>
      </w:tr>
      <w:tr w:rsidR="006B3CCE" w:rsidRPr="00E14060" w14:paraId="7472F77E" w14:textId="77777777" w:rsidTr="006B3CCE">
        <w:trPr>
          <w:trHeight w:val="300"/>
        </w:trPr>
        <w:tc>
          <w:tcPr>
            <w:tcW w:w="222" w:type="dxa"/>
            <w:tcBorders>
              <w:top w:val="nil"/>
              <w:left w:val="nil"/>
              <w:bottom w:val="nil"/>
              <w:right w:val="nil"/>
            </w:tcBorders>
            <w:shd w:val="clear" w:color="auto" w:fill="auto"/>
            <w:noWrap/>
            <w:vAlign w:val="bottom"/>
            <w:hideMark/>
          </w:tcPr>
          <w:p w14:paraId="752FB849" w14:textId="77777777" w:rsidR="006B3CCE" w:rsidRPr="00E14060" w:rsidRDefault="006B3CCE" w:rsidP="00476030">
            <w:pPr>
              <w:rPr>
                <w:sz w:val="22"/>
                <w:szCs w:val="22"/>
                <w:lang w:val="en-GB"/>
              </w:rPr>
            </w:pPr>
          </w:p>
        </w:tc>
        <w:tc>
          <w:tcPr>
            <w:tcW w:w="1279" w:type="dxa"/>
            <w:tcBorders>
              <w:top w:val="nil"/>
              <w:left w:val="nil"/>
              <w:bottom w:val="nil"/>
              <w:right w:val="nil"/>
            </w:tcBorders>
            <w:shd w:val="clear" w:color="auto" w:fill="auto"/>
            <w:noWrap/>
            <w:vAlign w:val="bottom"/>
            <w:hideMark/>
          </w:tcPr>
          <w:p w14:paraId="42BDC1C1" w14:textId="77777777" w:rsidR="006B3CCE" w:rsidRPr="00E14060" w:rsidRDefault="006B3CCE" w:rsidP="00476030">
            <w:pPr>
              <w:rPr>
                <w:b/>
                <w:bCs/>
                <w:sz w:val="22"/>
                <w:szCs w:val="22"/>
                <w:lang w:val="en-GB"/>
              </w:rPr>
            </w:pPr>
            <w:r w:rsidRPr="00E14060">
              <w:rPr>
                <w:b/>
                <w:bCs/>
                <w:sz w:val="22"/>
                <w:szCs w:val="22"/>
                <w:lang w:val="en-GB"/>
              </w:rPr>
              <w:t>ATX</w:t>
            </w:r>
          </w:p>
        </w:tc>
        <w:tc>
          <w:tcPr>
            <w:tcW w:w="271" w:type="dxa"/>
            <w:tcBorders>
              <w:top w:val="nil"/>
              <w:left w:val="nil"/>
              <w:bottom w:val="nil"/>
              <w:right w:val="nil"/>
            </w:tcBorders>
            <w:shd w:val="clear" w:color="auto" w:fill="auto"/>
            <w:noWrap/>
            <w:vAlign w:val="bottom"/>
            <w:hideMark/>
          </w:tcPr>
          <w:p w14:paraId="04BEDF0F" w14:textId="77777777" w:rsidR="006B3CCE" w:rsidRPr="00E14060" w:rsidRDefault="006B3CCE" w:rsidP="00476030">
            <w:pPr>
              <w:rPr>
                <w:b/>
                <w:bCs/>
                <w:sz w:val="22"/>
                <w:szCs w:val="22"/>
                <w:lang w:val="en-GB"/>
              </w:rPr>
            </w:pPr>
          </w:p>
        </w:tc>
        <w:tc>
          <w:tcPr>
            <w:tcW w:w="1482" w:type="dxa"/>
            <w:tcBorders>
              <w:top w:val="nil"/>
              <w:left w:val="nil"/>
              <w:bottom w:val="nil"/>
              <w:right w:val="nil"/>
            </w:tcBorders>
            <w:shd w:val="clear" w:color="auto" w:fill="auto"/>
            <w:noWrap/>
            <w:vAlign w:val="bottom"/>
            <w:hideMark/>
          </w:tcPr>
          <w:p w14:paraId="2980030A" w14:textId="77777777" w:rsidR="006B3CCE" w:rsidRPr="00E14060" w:rsidRDefault="006B3CCE" w:rsidP="00476030">
            <w:pPr>
              <w:jc w:val="center"/>
              <w:rPr>
                <w:sz w:val="22"/>
                <w:szCs w:val="22"/>
                <w:lang w:val="en-GB"/>
              </w:rPr>
            </w:pPr>
            <w:r w:rsidRPr="00E14060">
              <w:rPr>
                <w:sz w:val="22"/>
                <w:szCs w:val="22"/>
                <w:lang w:val="en-GB"/>
              </w:rPr>
              <w:t>2.82</w:t>
            </w:r>
          </w:p>
        </w:tc>
        <w:tc>
          <w:tcPr>
            <w:tcW w:w="2275" w:type="dxa"/>
            <w:tcBorders>
              <w:top w:val="nil"/>
              <w:left w:val="nil"/>
              <w:bottom w:val="nil"/>
              <w:right w:val="nil"/>
            </w:tcBorders>
            <w:shd w:val="clear" w:color="auto" w:fill="auto"/>
            <w:noWrap/>
            <w:vAlign w:val="bottom"/>
            <w:hideMark/>
          </w:tcPr>
          <w:p w14:paraId="2F016024" w14:textId="77777777" w:rsidR="006B3CCE" w:rsidRPr="00E14060" w:rsidRDefault="006B3CCE" w:rsidP="00476030">
            <w:pPr>
              <w:jc w:val="center"/>
              <w:rPr>
                <w:sz w:val="22"/>
                <w:szCs w:val="22"/>
                <w:lang w:val="en-GB"/>
              </w:rPr>
            </w:pPr>
            <w:r w:rsidRPr="00E14060">
              <w:rPr>
                <w:sz w:val="22"/>
                <w:szCs w:val="22"/>
                <w:lang w:val="en-GB"/>
              </w:rPr>
              <w:t>(1.73, 4.83)</w:t>
            </w:r>
          </w:p>
        </w:tc>
        <w:tc>
          <w:tcPr>
            <w:tcW w:w="2466" w:type="dxa"/>
            <w:tcBorders>
              <w:top w:val="nil"/>
              <w:left w:val="nil"/>
              <w:bottom w:val="nil"/>
              <w:right w:val="nil"/>
            </w:tcBorders>
            <w:shd w:val="clear" w:color="auto" w:fill="auto"/>
            <w:noWrap/>
            <w:vAlign w:val="bottom"/>
            <w:hideMark/>
          </w:tcPr>
          <w:p w14:paraId="62D1FFD2" w14:textId="77777777" w:rsidR="006B3CCE" w:rsidRPr="00E14060" w:rsidRDefault="006B3CCE" w:rsidP="00476030">
            <w:pPr>
              <w:jc w:val="center"/>
              <w:rPr>
                <w:sz w:val="22"/>
                <w:szCs w:val="22"/>
                <w:lang w:val="en-GB"/>
              </w:rPr>
            </w:pPr>
            <w:r w:rsidRPr="00E14060">
              <w:rPr>
                <w:sz w:val="22"/>
                <w:szCs w:val="22"/>
                <w:lang w:val="en-GB"/>
              </w:rPr>
              <w:t>24.70%</w:t>
            </w:r>
          </w:p>
        </w:tc>
        <w:tc>
          <w:tcPr>
            <w:tcW w:w="2209" w:type="dxa"/>
            <w:tcBorders>
              <w:top w:val="nil"/>
              <w:left w:val="nil"/>
              <w:bottom w:val="nil"/>
              <w:right w:val="nil"/>
            </w:tcBorders>
            <w:shd w:val="clear" w:color="auto" w:fill="auto"/>
            <w:noWrap/>
            <w:vAlign w:val="bottom"/>
            <w:hideMark/>
          </w:tcPr>
          <w:p w14:paraId="2D5004B7" w14:textId="77777777" w:rsidR="006B3CCE" w:rsidRPr="00E14060" w:rsidRDefault="006B3CCE" w:rsidP="00476030">
            <w:pPr>
              <w:jc w:val="center"/>
              <w:rPr>
                <w:sz w:val="22"/>
                <w:szCs w:val="22"/>
                <w:lang w:val="en-GB"/>
              </w:rPr>
            </w:pPr>
            <w:r w:rsidRPr="00E14060">
              <w:rPr>
                <w:sz w:val="22"/>
                <w:szCs w:val="22"/>
                <w:lang w:val="en-GB"/>
              </w:rPr>
              <w:t>44.02%</w:t>
            </w:r>
          </w:p>
        </w:tc>
        <w:tc>
          <w:tcPr>
            <w:tcW w:w="222" w:type="dxa"/>
            <w:tcBorders>
              <w:top w:val="nil"/>
              <w:left w:val="nil"/>
              <w:bottom w:val="nil"/>
              <w:right w:val="nil"/>
            </w:tcBorders>
            <w:shd w:val="clear" w:color="auto" w:fill="auto"/>
            <w:noWrap/>
            <w:vAlign w:val="bottom"/>
            <w:hideMark/>
          </w:tcPr>
          <w:p w14:paraId="71D1A9C2" w14:textId="77777777" w:rsidR="006B3CCE" w:rsidRPr="00E14060" w:rsidRDefault="006B3CCE" w:rsidP="00476030">
            <w:pPr>
              <w:rPr>
                <w:sz w:val="22"/>
                <w:szCs w:val="22"/>
                <w:lang w:val="en-GB"/>
              </w:rPr>
            </w:pPr>
          </w:p>
        </w:tc>
        <w:tc>
          <w:tcPr>
            <w:tcW w:w="222" w:type="dxa"/>
            <w:tcBorders>
              <w:top w:val="nil"/>
              <w:left w:val="nil"/>
              <w:bottom w:val="nil"/>
              <w:right w:val="nil"/>
            </w:tcBorders>
            <w:shd w:val="clear" w:color="auto" w:fill="auto"/>
            <w:noWrap/>
            <w:vAlign w:val="bottom"/>
            <w:hideMark/>
          </w:tcPr>
          <w:p w14:paraId="136A6A0C" w14:textId="77777777" w:rsidR="006B3CCE" w:rsidRPr="00E14060" w:rsidRDefault="006B3CCE" w:rsidP="00476030">
            <w:pPr>
              <w:rPr>
                <w:sz w:val="22"/>
                <w:szCs w:val="22"/>
                <w:lang w:val="en-GB"/>
              </w:rPr>
            </w:pPr>
          </w:p>
        </w:tc>
      </w:tr>
      <w:tr w:rsidR="006B3CCE" w:rsidRPr="00E14060" w14:paraId="04FEDFB1" w14:textId="77777777" w:rsidTr="006B3CCE">
        <w:trPr>
          <w:trHeight w:val="300"/>
        </w:trPr>
        <w:tc>
          <w:tcPr>
            <w:tcW w:w="222" w:type="dxa"/>
            <w:tcBorders>
              <w:top w:val="nil"/>
              <w:left w:val="nil"/>
              <w:bottom w:val="nil"/>
              <w:right w:val="nil"/>
            </w:tcBorders>
            <w:shd w:val="clear" w:color="auto" w:fill="auto"/>
            <w:noWrap/>
            <w:vAlign w:val="bottom"/>
            <w:hideMark/>
          </w:tcPr>
          <w:p w14:paraId="798D9242" w14:textId="77777777" w:rsidR="006B3CCE" w:rsidRPr="00E14060" w:rsidRDefault="006B3CCE" w:rsidP="00476030">
            <w:pPr>
              <w:rPr>
                <w:sz w:val="22"/>
                <w:szCs w:val="22"/>
                <w:lang w:val="en-GB"/>
              </w:rPr>
            </w:pPr>
          </w:p>
        </w:tc>
        <w:tc>
          <w:tcPr>
            <w:tcW w:w="1279" w:type="dxa"/>
            <w:tcBorders>
              <w:top w:val="nil"/>
              <w:left w:val="nil"/>
              <w:bottom w:val="nil"/>
              <w:right w:val="nil"/>
            </w:tcBorders>
            <w:shd w:val="clear" w:color="auto" w:fill="auto"/>
            <w:noWrap/>
            <w:vAlign w:val="bottom"/>
            <w:hideMark/>
          </w:tcPr>
          <w:p w14:paraId="4730E6FC" w14:textId="77777777" w:rsidR="006B3CCE" w:rsidRPr="00E14060" w:rsidRDefault="006B3CCE" w:rsidP="00476030">
            <w:pPr>
              <w:rPr>
                <w:b/>
                <w:bCs/>
                <w:sz w:val="22"/>
                <w:szCs w:val="22"/>
                <w:lang w:val="en-GB"/>
              </w:rPr>
            </w:pPr>
            <w:r w:rsidRPr="00E14060">
              <w:rPr>
                <w:b/>
                <w:bCs/>
                <w:sz w:val="22"/>
                <w:szCs w:val="22"/>
                <w:lang w:val="en-GB"/>
              </w:rPr>
              <w:t>MPH-ER</w:t>
            </w:r>
          </w:p>
        </w:tc>
        <w:tc>
          <w:tcPr>
            <w:tcW w:w="271" w:type="dxa"/>
            <w:tcBorders>
              <w:top w:val="nil"/>
              <w:left w:val="nil"/>
              <w:bottom w:val="nil"/>
              <w:right w:val="nil"/>
            </w:tcBorders>
            <w:shd w:val="clear" w:color="auto" w:fill="auto"/>
            <w:noWrap/>
            <w:vAlign w:val="bottom"/>
            <w:hideMark/>
          </w:tcPr>
          <w:p w14:paraId="3A1A38E0" w14:textId="77777777" w:rsidR="006B3CCE" w:rsidRPr="00E14060" w:rsidRDefault="006B3CCE" w:rsidP="00476030">
            <w:pPr>
              <w:rPr>
                <w:b/>
                <w:bCs/>
                <w:sz w:val="22"/>
                <w:szCs w:val="22"/>
                <w:lang w:val="en-GB"/>
              </w:rPr>
            </w:pPr>
          </w:p>
        </w:tc>
        <w:tc>
          <w:tcPr>
            <w:tcW w:w="1482" w:type="dxa"/>
            <w:tcBorders>
              <w:top w:val="nil"/>
              <w:left w:val="nil"/>
              <w:bottom w:val="nil"/>
              <w:right w:val="nil"/>
            </w:tcBorders>
            <w:shd w:val="clear" w:color="auto" w:fill="auto"/>
            <w:noWrap/>
            <w:vAlign w:val="bottom"/>
            <w:hideMark/>
          </w:tcPr>
          <w:p w14:paraId="1B04AF5C" w14:textId="77777777" w:rsidR="006B3CCE" w:rsidRPr="00E14060" w:rsidRDefault="006B3CCE" w:rsidP="00476030">
            <w:pPr>
              <w:jc w:val="center"/>
              <w:rPr>
                <w:sz w:val="22"/>
                <w:szCs w:val="22"/>
                <w:lang w:val="en-GB"/>
              </w:rPr>
            </w:pPr>
            <w:r w:rsidRPr="00E14060">
              <w:rPr>
                <w:sz w:val="22"/>
                <w:szCs w:val="22"/>
                <w:lang w:val="en-GB"/>
              </w:rPr>
              <w:t>2.94</w:t>
            </w:r>
          </w:p>
        </w:tc>
        <w:tc>
          <w:tcPr>
            <w:tcW w:w="2275" w:type="dxa"/>
            <w:tcBorders>
              <w:top w:val="nil"/>
              <w:left w:val="nil"/>
              <w:bottom w:val="nil"/>
              <w:right w:val="nil"/>
            </w:tcBorders>
            <w:shd w:val="clear" w:color="auto" w:fill="auto"/>
            <w:noWrap/>
            <w:vAlign w:val="bottom"/>
            <w:hideMark/>
          </w:tcPr>
          <w:p w14:paraId="1DC828ED" w14:textId="77777777" w:rsidR="006B3CCE" w:rsidRPr="00E14060" w:rsidRDefault="006B3CCE" w:rsidP="00476030">
            <w:pPr>
              <w:jc w:val="center"/>
              <w:rPr>
                <w:sz w:val="22"/>
                <w:szCs w:val="22"/>
                <w:lang w:val="en-GB"/>
              </w:rPr>
            </w:pPr>
            <w:r w:rsidRPr="00E14060">
              <w:rPr>
                <w:sz w:val="22"/>
                <w:szCs w:val="22"/>
                <w:lang w:val="en-GB"/>
              </w:rPr>
              <w:t>(1.90, 4.75)</w:t>
            </w:r>
          </w:p>
        </w:tc>
        <w:tc>
          <w:tcPr>
            <w:tcW w:w="2466" w:type="dxa"/>
            <w:tcBorders>
              <w:top w:val="nil"/>
              <w:left w:val="nil"/>
              <w:bottom w:val="nil"/>
              <w:right w:val="nil"/>
            </w:tcBorders>
            <w:shd w:val="clear" w:color="auto" w:fill="auto"/>
            <w:noWrap/>
            <w:vAlign w:val="bottom"/>
            <w:hideMark/>
          </w:tcPr>
          <w:p w14:paraId="22D6D109" w14:textId="77777777" w:rsidR="006B3CCE" w:rsidRPr="00E14060" w:rsidRDefault="006B3CCE" w:rsidP="00476030">
            <w:pPr>
              <w:jc w:val="center"/>
              <w:rPr>
                <w:sz w:val="22"/>
                <w:szCs w:val="22"/>
                <w:lang w:val="en-GB"/>
              </w:rPr>
            </w:pPr>
            <w:r w:rsidRPr="00E14060">
              <w:rPr>
                <w:sz w:val="22"/>
                <w:szCs w:val="22"/>
                <w:lang w:val="en-GB"/>
              </w:rPr>
              <w:t>18.87%</w:t>
            </w:r>
          </w:p>
        </w:tc>
        <w:tc>
          <w:tcPr>
            <w:tcW w:w="2209" w:type="dxa"/>
            <w:tcBorders>
              <w:top w:val="nil"/>
              <w:left w:val="nil"/>
              <w:bottom w:val="nil"/>
              <w:right w:val="nil"/>
            </w:tcBorders>
            <w:shd w:val="clear" w:color="auto" w:fill="auto"/>
            <w:noWrap/>
            <w:vAlign w:val="bottom"/>
            <w:hideMark/>
          </w:tcPr>
          <w:p w14:paraId="261DFDF1" w14:textId="77777777" w:rsidR="006B3CCE" w:rsidRPr="00E14060" w:rsidRDefault="006B3CCE" w:rsidP="00476030">
            <w:pPr>
              <w:jc w:val="center"/>
              <w:rPr>
                <w:sz w:val="22"/>
                <w:szCs w:val="22"/>
                <w:lang w:val="en-GB"/>
              </w:rPr>
            </w:pPr>
            <w:r w:rsidRPr="00E14060">
              <w:rPr>
                <w:sz w:val="22"/>
                <w:szCs w:val="22"/>
                <w:lang w:val="en-GB"/>
              </w:rPr>
              <w:t>46.87%</w:t>
            </w:r>
          </w:p>
        </w:tc>
        <w:tc>
          <w:tcPr>
            <w:tcW w:w="222" w:type="dxa"/>
            <w:tcBorders>
              <w:top w:val="nil"/>
              <w:left w:val="nil"/>
              <w:bottom w:val="nil"/>
              <w:right w:val="nil"/>
            </w:tcBorders>
            <w:shd w:val="clear" w:color="auto" w:fill="auto"/>
            <w:noWrap/>
            <w:vAlign w:val="bottom"/>
            <w:hideMark/>
          </w:tcPr>
          <w:p w14:paraId="67A3DED0" w14:textId="77777777" w:rsidR="006B3CCE" w:rsidRPr="00E14060" w:rsidRDefault="006B3CCE" w:rsidP="00476030">
            <w:pPr>
              <w:rPr>
                <w:sz w:val="22"/>
                <w:szCs w:val="22"/>
                <w:lang w:val="en-GB"/>
              </w:rPr>
            </w:pPr>
          </w:p>
        </w:tc>
        <w:tc>
          <w:tcPr>
            <w:tcW w:w="222" w:type="dxa"/>
            <w:tcBorders>
              <w:top w:val="nil"/>
              <w:left w:val="nil"/>
              <w:bottom w:val="nil"/>
              <w:right w:val="nil"/>
            </w:tcBorders>
            <w:shd w:val="clear" w:color="auto" w:fill="auto"/>
            <w:noWrap/>
            <w:vAlign w:val="bottom"/>
            <w:hideMark/>
          </w:tcPr>
          <w:p w14:paraId="14A7D0B8" w14:textId="77777777" w:rsidR="006B3CCE" w:rsidRPr="00E14060" w:rsidRDefault="006B3CCE" w:rsidP="00476030">
            <w:pPr>
              <w:rPr>
                <w:sz w:val="22"/>
                <w:szCs w:val="22"/>
                <w:lang w:val="en-GB"/>
              </w:rPr>
            </w:pPr>
          </w:p>
        </w:tc>
      </w:tr>
      <w:tr w:rsidR="006B3CCE" w:rsidRPr="00E14060" w14:paraId="59ABEB01" w14:textId="77777777" w:rsidTr="00A73A4C">
        <w:trPr>
          <w:trHeight w:val="300"/>
        </w:trPr>
        <w:tc>
          <w:tcPr>
            <w:tcW w:w="222" w:type="dxa"/>
            <w:tcBorders>
              <w:top w:val="nil"/>
              <w:left w:val="nil"/>
              <w:bottom w:val="nil"/>
              <w:right w:val="nil"/>
            </w:tcBorders>
            <w:shd w:val="clear" w:color="auto" w:fill="auto"/>
            <w:noWrap/>
            <w:vAlign w:val="bottom"/>
            <w:hideMark/>
          </w:tcPr>
          <w:p w14:paraId="40D8294C" w14:textId="77777777" w:rsidR="006B3CCE" w:rsidRPr="00E14060" w:rsidRDefault="006B3CCE" w:rsidP="00476030">
            <w:pPr>
              <w:rPr>
                <w:sz w:val="22"/>
                <w:szCs w:val="22"/>
                <w:lang w:val="en-GB"/>
              </w:rPr>
            </w:pPr>
          </w:p>
        </w:tc>
        <w:tc>
          <w:tcPr>
            <w:tcW w:w="1279" w:type="dxa"/>
            <w:tcBorders>
              <w:top w:val="nil"/>
              <w:left w:val="nil"/>
              <w:bottom w:val="single" w:sz="4" w:space="0" w:color="auto"/>
              <w:right w:val="nil"/>
            </w:tcBorders>
            <w:shd w:val="clear" w:color="auto" w:fill="auto"/>
            <w:noWrap/>
            <w:vAlign w:val="bottom"/>
            <w:hideMark/>
          </w:tcPr>
          <w:p w14:paraId="3FB51197" w14:textId="77777777" w:rsidR="006B3CCE" w:rsidRPr="00E14060" w:rsidRDefault="006B3CCE" w:rsidP="00476030">
            <w:pPr>
              <w:rPr>
                <w:b/>
                <w:bCs/>
                <w:sz w:val="22"/>
                <w:szCs w:val="22"/>
                <w:lang w:val="en-GB"/>
              </w:rPr>
            </w:pPr>
            <w:r w:rsidRPr="00E14060">
              <w:rPr>
                <w:b/>
                <w:bCs/>
                <w:sz w:val="22"/>
                <w:szCs w:val="22"/>
                <w:lang w:val="en-GB"/>
              </w:rPr>
              <w:t>MPH-IR</w:t>
            </w:r>
          </w:p>
        </w:tc>
        <w:tc>
          <w:tcPr>
            <w:tcW w:w="271" w:type="dxa"/>
            <w:tcBorders>
              <w:top w:val="nil"/>
              <w:left w:val="nil"/>
              <w:bottom w:val="single" w:sz="4" w:space="0" w:color="auto"/>
              <w:right w:val="nil"/>
            </w:tcBorders>
            <w:shd w:val="clear" w:color="auto" w:fill="auto"/>
            <w:noWrap/>
            <w:vAlign w:val="bottom"/>
            <w:hideMark/>
          </w:tcPr>
          <w:p w14:paraId="2070A48D" w14:textId="77777777" w:rsidR="006B3CCE" w:rsidRPr="00E14060" w:rsidRDefault="006B3CCE" w:rsidP="00476030">
            <w:pPr>
              <w:rPr>
                <w:b/>
                <w:bCs/>
                <w:sz w:val="22"/>
                <w:szCs w:val="22"/>
                <w:lang w:val="en-GB"/>
              </w:rPr>
            </w:pPr>
            <w:r w:rsidRPr="00E14060">
              <w:rPr>
                <w:b/>
                <w:bCs/>
                <w:sz w:val="22"/>
                <w:szCs w:val="22"/>
                <w:lang w:val="en-GB"/>
              </w:rPr>
              <w:t> </w:t>
            </w:r>
          </w:p>
        </w:tc>
        <w:tc>
          <w:tcPr>
            <w:tcW w:w="1482" w:type="dxa"/>
            <w:tcBorders>
              <w:top w:val="nil"/>
              <w:left w:val="nil"/>
              <w:bottom w:val="single" w:sz="4" w:space="0" w:color="auto"/>
              <w:right w:val="nil"/>
            </w:tcBorders>
            <w:shd w:val="clear" w:color="auto" w:fill="auto"/>
            <w:noWrap/>
            <w:vAlign w:val="bottom"/>
            <w:hideMark/>
          </w:tcPr>
          <w:p w14:paraId="1C656EC5" w14:textId="77777777" w:rsidR="006B3CCE" w:rsidRPr="00E14060" w:rsidRDefault="006B3CCE" w:rsidP="00476030">
            <w:pPr>
              <w:jc w:val="center"/>
              <w:rPr>
                <w:sz w:val="22"/>
                <w:szCs w:val="22"/>
                <w:lang w:val="en-GB"/>
              </w:rPr>
            </w:pPr>
            <w:r w:rsidRPr="00E14060">
              <w:rPr>
                <w:sz w:val="22"/>
                <w:szCs w:val="22"/>
                <w:lang w:val="en-GB"/>
              </w:rPr>
              <w:t>4.17</w:t>
            </w:r>
          </w:p>
        </w:tc>
        <w:tc>
          <w:tcPr>
            <w:tcW w:w="2275" w:type="dxa"/>
            <w:tcBorders>
              <w:top w:val="nil"/>
              <w:left w:val="nil"/>
              <w:bottom w:val="single" w:sz="4" w:space="0" w:color="auto"/>
              <w:right w:val="nil"/>
            </w:tcBorders>
            <w:shd w:val="clear" w:color="auto" w:fill="auto"/>
            <w:noWrap/>
            <w:vAlign w:val="bottom"/>
            <w:hideMark/>
          </w:tcPr>
          <w:p w14:paraId="7A574238" w14:textId="77777777" w:rsidR="006B3CCE" w:rsidRPr="00E14060" w:rsidRDefault="006B3CCE" w:rsidP="00476030">
            <w:pPr>
              <w:jc w:val="center"/>
              <w:rPr>
                <w:sz w:val="22"/>
                <w:szCs w:val="22"/>
                <w:lang w:val="en-GB"/>
              </w:rPr>
            </w:pPr>
            <w:r w:rsidRPr="00E14060">
              <w:rPr>
                <w:sz w:val="22"/>
                <w:szCs w:val="22"/>
                <w:lang w:val="en-GB"/>
              </w:rPr>
              <w:t>(0.82, 28.42)</w:t>
            </w:r>
          </w:p>
        </w:tc>
        <w:tc>
          <w:tcPr>
            <w:tcW w:w="2466" w:type="dxa"/>
            <w:tcBorders>
              <w:top w:val="nil"/>
              <w:left w:val="nil"/>
              <w:bottom w:val="single" w:sz="4" w:space="0" w:color="auto"/>
              <w:right w:val="nil"/>
            </w:tcBorders>
            <w:shd w:val="clear" w:color="auto" w:fill="auto"/>
            <w:noWrap/>
            <w:vAlign w:val="bottom"/>
            <w:hideMark/>
          </w:tcPr>
          <w:p w14:paraId="00946991" w14:textId="77777777" w:rsidR="006B3CCE" w:rsidRPr="00E14060" w:rsidRDefault="006B3CCE" w:rsidP="00476030">
            <w:pPr>
              <w:jc w:val="center"/>
              <w:rPr>
                <w:sz w:val="22"/>
                <w:szCs w:val="22"/>
                <w:lang w:val="en-GB"/>
              </w:rPr>
            </w:pPr>
            <w:r w:rsidRPr="00E14060">
              <w:rPr>
                <w:sz w:val="22"/>
                <w:szCs w:val="22"/>
                <w:lang w:val="en-GB"/>
              </w:rPr>
              <w:t>25.42%</w:t>
            </w:r>
          </w:p>
        </w:tc>
        <w:tc>
          <w:tcPr>
            <w:tcW w:w="2209" w:type="dxa"/>
            <w:tcBorders>
              <w:top w:val="nil"/>
              <w:left w:val="nil"/>
              <w:bottom w:val="single" w:sz="4" w:space="0" w:color="auto"/>
              <w:right w:val="nil"/>
            </w:tcBorders>
            <w:shd w:val="clear" w:color="auto" w:fill="auto"/>
            <w:noWrap/>
            <w:vAlign w:val="bottom"/>
            <w:hideMark/>
          </w:tcPr>
          <w:p w14:paraId="58A27FAB" w14:textId="77777777" w:rsidR="006B3CCE" w:rsidRPr="00E14060" w:rsidRDefault="006B3CCE" w:rsidP="00476030">
            <w:pPr>
              <w:jc w:val="center"/>
              <w:rPr>
                <w:sz w:val="22"/>
                <w:szCs w:val="22"/>
                <w:lang w:val="en-GB"/>
              </w:rPr>
            </w:pPr>
            <w:r w:rsidRPr="00E14060">
              <w:rPr>
                <w:sz w:val="22"/>
                <w:szCs w:val="22"/>
                <w:lang w:val="en-GB"/>
              </w:rPr>
              <w:t>59.31%</w:t>
            </w:r>
          </w:p>
        </w:tc>
        <w:tc>
          <w:tcPr>
            <w:tcW w:w="222" w:type="dxa"/>
            <w:tcBorders>
              <w:top w:val="nil"/>
              <w:left w:val="nil"/>
              <w:bottom w:val="nil"/>
              <w:right w:val="nil"/>
            </w:tcBorders>
            <w:shd w:val="clear" w:color="auto" w:fill="auto"/>
            <w:noWrap/>
            <w:vAlign w:val="bottom"/>
            <w:hideMark/>
          </w:tcPr>
          <w:p w14:paraId="6D08B277" w14:textId="77777777" w:rsidR="006B3CCE" w:rsidRPr="00E14060" w:rsidRDefault="006B3CCE" w:rsidP="00476030">
            <w:pPr>
              <w:rPr>
                <w:sz w:val="22"/>
                <w:szCs w:val="22"/>
                <w:lang w:val="en-GB"/>
              </w:rPr>
            </w:pPr>
          </w:p>
        </w:tc>
        <w:tc>
          <w:tcPr>
            <w:tcW w:w="222" w:type="dxa"/>
            <w:tcBorders>
              <w:top w:val="nil"/>
              <w:left w:val="nil"/>
              <w:bottom w:val="nil"/>
              <w:right w:val="nil"/>
            </w:tcBorders>
            <w:shd w:val="clear" w:color="auto" w:fill="auto"/>
            <w:noWrap/>
            <w:vAlign w:val="bottom"/>
            <w:hideMark/>
          </w:tcPr>
          <w:p w14:paraId="01B36164" w14:textId="77777777" w:rsidR="006B3CCE" w:rsidRPr="00E14060" w:rsidRDefault="006B3CCE" w:rsidP="00476030">
            <w:pPr>
              <w:rPr>
                <w:sz w:val="22"/>
                <w:szCs w:val="22"/>
                <w:lang w:val="en-GB"/>
              </w:rPr>
            </w:pPr>
          </w:p>
        </w:tc>
      </w:tr>
      <w:tr w:rsidR="00476030" w:rsidRPr="00E14060" w14:paraId="54438E4C" w14:textId="77777777" w:rsidTr="00A73A4C">
        <w:trPr>
          <w:trHeight w:val="300"/>
        </w:trPr>
        <w:tc>
          <w:tcPr>
            <w:tcW w:w="222" w:type="dxa"/>
            <w:tcBorders>
              <w:top w:val="nil"/>
              <w:left w:val="nil"/>
              <w:bottom w:val="nil"/>
              <w:right w:val="nil"/>
            </w:tcBorders>
            <w:shd w:val="clear" w:color="auto" w:fill="auto"/>
            <w:noWrap/>
            <w:vAlign w:val="bottom"/>
            <w:hideMark/>
          </w:tcPr>
          <w:p w14:paraId="33636F9D" w14:textId="77777777" w:rsidR="00476030" w:rsidRPr="00E14060" w:rsidRDefault="00476030" w:rsidP="00476030">
            <w:pPr>
              <w:rPr>
                <w:sz w:val="22"/>
                <w:szCs w:val="22"/>
                <w:lang w:val="en-GB"/>
              </w:rPr>
            </w:pPr>
          </w:p>
        </w:tc>
        <w:tc>
          <w:tcPr>
            <w:tcW w:w="1279" w:type="dxa"/>
            <w:tcBorders>
              <w:top w:val="nil"/>
              <w:left w:val="nil"/>
              <w:bottom w:val="nil"/>
              <w:right w:val="nil"/>
            </w:tcBorders>
            <w:shd w:val="clear" w:color="auto" w:fill="auto"/>
            <w:noWrap/>
            <w:vAlign w:val="bottom"/>
            <w:hideMark/>
          </w:tcPr>
          <w:p w14:paraId="08BDBA3F" w14:textId="77777777" w:rsidR="00476030" w:rsidRPr="00E14060" w:rsidRDefault="00476030" w:rsidP="00476030">
            <w:pPr>
              <w:rPr>
                <w:sz w:val="22"/>
                <w:szCs w:val="22"/>
                <w:lang w:val="en-GB"/>
              </w:rPr>
            </w:pPr>
          </w:p>
        </w:tc>
        <w:tc>
          <w:tcPr>
            <w:tcW w:w="271" w:type="dxa"/>
            <w:tcBorders>
              <w:top w:val="nil"/>
              <w:left w:val="nil"/>
              <w:bottom w:val="nil"/>
              <w:right w:val="nil"/>
            </w:tcBorders>
            <w:shd w:val="clear" w:color="auto" w:fill="auto"/>
            <w:noWrap/>
            <w:vAlign w:val="bottom"/>
            <w:hideMark/>
          </w:tcPr>
          <w:p w14:paraId="719EBF0D" w14:textId="77777777" w:rsidR="00476030" w:rsidRPr="00E14060" w:rsidRDefault="00476030" w:rsidP="00476030">
            <w:pPr>
              <w:rPr>
                <w:sz w:val="22"/>
                <w:szCs w:val="22"/>
                <w:lang w:val="en-GB"/>
              </w:rPr>
            </w:pPr>
          </w:p>
        </w:tc>
        <w:tc>
          <w:tcPr>
            <w:tcW w:w="1482" w:type="dxa"/>
            <w:tcBorders>
              <w:top w:val="nil"/>
              <w:left w:val="nil"/>
              <w:bottom w:val="nil"/>
              <w:right w:val="nil"/>
            </w:tcBorders>
            <w:shd w:val="clear" w:color="auto" w:fill="auto"/>
            <w:noWrap/>
            <w:vAlign w:val="bottom"/>
            <w:hideMark/>
          </w:tcPr>
          <w:p w14:paraId="72145074" w14:textId="77777777" w:rsidR="00476030" w:rsidRPr="00E14060" w:rsidRDefault="00476030" w:rsidP="00476030">
            <w:pPr>
              <w:rPr>
                <w:sz w:val="22"/>
                <w:szCs w:val="22"/>
                <w:lang w:val="en-GB"/>
              </w:rPr>
            </w:pPr>
          </w:p>
        </w:tc>
        <w:tc>
          <w:tcPr>
            <w:tcW w:w="2275" w:type="dxa"/>
            <w:tcBorders>
              <w:top w:val="single" w:sz="4" w:space="0" w:color="auto"/>
              <w:left w:val="nil"/>
              <w:bottom w:val="single" w:sz="4" w:space="0" w:color="auto"/>
              <w:right w:val="nil"/>
            </w:tcBorders>
            <w:shd w:val="clear" w:color="auto" w:fill="auto"/>
            <w:noWrap/>
            <w:vAlign w:val="bottom"/>
            <w:hideMark/>
          </w:tcPr>
          <w:p w14:paraId="105F605D" w14:textId="77777777" w:rsidR="00476030" w:rsidRPr="00E14060" w:rsidRDefault="00476030" w:rsidP="00476030">
            <w:pPr>
              <w:jc w:val="center"/>
              <w:rPr>
                <w:sz w:val="22"/>
                <w:szCs w:val="22"/>
                <w:lang w:val="en-GB"/>
              </w:rPr>
            </w:pPr>
          </w:p>
        </w:tc>
        <w:tc>
          <w:tcPr>
            <w:tcW w:w="2466" w:type="dxa"/>
            <w:tcBorders>
              <w:top w:val="single" w:sz="4" w:space="0" w:color="auto"/>
              <w:left w:val="nil"/>
              <w:bottom w:val="single" w:sz="4" w:space="0" w:color="auto"/>
              <w:right w:val="nil"/>
            </w:tcBorders>
            <w:shd w:val="clear" w:color="auto" w:fill="auto"/>
            <w:noWrap/>
            <w:vAlign w:val="bottom"/>
            <w:hideMark/>
          </w:tcPr>
          <w:p w14:paraId="36008AC1" w14:textId="77777777" w:rsidR="00476030" w:rsidRPr="00E14060" w:rsidRDefault="00476030" w:rsidP="00476030">
            <w:pPr>
              <w:rPr>
                <w:sz w:val="22"/>
                <w:szCs w:val="22"/>
                <w:lang w:val="en-GB"/>
              </w:rPr>
            </w:pPr>
          </w:p>
        </w:tc>
        <w:tc>
          <w:tcPr>
            <w:tcW w:w="2209" w:type="dxa"/>
            <w:tcBorders>
              <w:top w:val="nil"/>
              <w:left w:val="nil"/>
              <w:bottom w:val="nil"/>
              <w:right w:val="nil"/>
            </w:tcBorders>
            <w:shd w:val="clear" w:color="auto" w:fill="auto"/>
            <w:noWrap/>
            <w:vAlign w:val="bottom"/>
            <w:hideMark/>
          </w:tcPr>
          <w:p w14:paraId="4DD7E614" w14:textId="77777777" w:rsidR="00476030" w:rsidRPr="00E14060" w:rsidRDefault="00476030" w:rsidP="00476030">
            <w:pPr>
              <w:rPr>
                <w:sz w:val="22"/>
                <w:szCs w:val="22"/>
                <w:lang w:val="en-GB"/>
              </w:rPr>
            </w:pPr>
          </w:p>
        </w:tc>
        <w:tc>
          <w:tcPr>
            <w:tcW w:w="222" w:type="dxa"/>
            <w:tcBorders>
              <w:top w:val="nil"/>
              <w:left w:val="nil"/>
              <w:bottom w:val="nil"/>
              <w:right w:val="nil"/>
            </w:tcBorders>
            <w:shd w:val="clear" w:color="auto" w:fill="auto"/>
            <w:noWrap/>
            <w:vAlign w:val="bottom"/>
            <w:hideMark/>
          </w:tcPr>
          <w:p w14:paraId="6EA2708B" w14:textId="77777777" w:rsidR="00476030" w:rsidRPr="00E14060" w:rsidRDefault="00476030" w:rsidP="00476030">
            <w:pPr>
              <w:rPr>
                <w:sz w:val="22"/>
                <w:szCs w:val="22"/>
                <w:lang w:val="en-GB"/>
              </w:rPr>
            </w:pPr>
          </w:p>
        </w:tc>
        <w:tc>
          <w:tcPr>
            <w:tcW w:w="222" w:type="dxa"/>
            <w:tcBorders>
              <w:top w:val="nil"/>
              <w:left w:val="nil"/>
              <w:bottom w:val="nil"/>
              <w:right w:val="nil"/>
            </w:tcBorders>
            <w:shd w:val="clear" w:color="auto" w:fill="auto"/>
            <w:noWrap/>
            <w:vAlign w:val="bottom"/>
            <w:hideMark/>
          </w:tcPr>
          <w:p w14:paraId="68C4782F" w14:textId="77777777" w:rsidR="00476030" w:rsidRPr="00E14060" w:rsidRDefault="00476030" w:rsidP="00476030">
            <w:pPr>
              <w:rPr>
                <w:sz w:val="22"/>
                <w:szCs w:val="22"/>
                <w:lang w:val="en-GB"/>
              </w:rPr>
            </w:pPr>
          </w:p>
        </w:tc>
      </w:tr>
      <w:tr w:rsidR="000B538C" w:rsidRPr="00E14060" w14:paraId="2051BB3C" w14:textId="77777777" w:rsidTr="00A73A4C">
        <w:trPr>
          <w:trHeight w:val="870"/>
        </w:trPr>
        <w:tc>
          <w:tcPr>
            <w:tcW w:w="222" w:type="dxa"/>
            <w:tcBorders>
              <w:top w:val="nil"/>
              <w:left w:val="nil"/>
              <w:bottom w:val="nil"/>
              <w:right w:val="nil"/>
            </w:tcBorders>
            <w:shd w:val="clear" w:color="auto" w:fill="auto"/>
            <w:noWrap/>
            <w:vAlign w:val="bottom"/>
            <w:hideMark/>
          </w:tcPr>
          <w:p w14:paraId="3EB6D0AD" w14:textId="77777777" w:rsidR="000B538C" w:rsidRPr="00E14060" w:rsidRDefault="000B538C" w:rsidP="00476030">
            <w:pPr>
              <w:rPr>
                <w:sz w:val="22"/>
                <w:szCs w:val="22"/>
                <w:lang w:val="en-GB"/>
              </w:rPr>
            </w:pPr>
          </w:p>
        </w:tc>
        <w:tc>
          <w:tcPr>
            <w:tcW w:w="1279" w:type="dxa"/>
            <w:tcBorders>
              <w:top w:val="single" w:sz="4" w:space="0" w:color="auto"/>
              <w:left w:val="nil"/>
              <w:bottom w:val="nil"/>
              <w:right w:val="nil"/>
            </w:tcBorders>
            <w:shd w:val="clear" w:color="auto" w:fill="auto"/>
            <w:noWrap/>
            <w:vAlign w:val="bottom"/>
            <w:hideMark/>
          </w:tcPr>
          <w:p w14:paraId="0670593D" w14:textId="77777777" w:rsidR="000B538C" w:rsidRPr="00E14060" w:rsidRDefault="000B538C" w:rsidP="00476030">
            <w:pPr>
              <w:rPr>
                <w:sz w:val="22"/>
                <w:szCs w:val="22"/>
                <w:lang w:val="en-GB"/>
              </w:rPr>
            </w:pPr>
            <w:r w:rsidRPr="00E14060">
              <w:rPr>
                <w:sz w:val="22"/>
                <w:szCs w:val="22"/>
                <w:lang w:val="en-GB"/>
              </w:rPr>
              <w:t> </w:t>
            </w:r>
          </w:p>
        </w:tc>
        <w:tc>
          <w:tcPr>
            <w:tcW w:w="271" w:type="dxa"/>
            <w:tcBorders>
              <w:top w:val="single" w:sz="4" w:space="0" w:color="auto"/>
              <w:left w:val="nil"/>
              <w:bottom w:val="nil"/>
              <w:right w:val="nil"/>
            </w:tcBorders>
            <w:shd w:val="clear" w:color="auto" w:fill="auto"/>
            <w:noWrap/>
            <w:vAlign w:val="bottom"/>
            <w:hideMark/>
          </w:tcPr>
          <w:p w14:paraId="1F1C2B37" w14:textId="77777777" w:rsidR="000B538C" w:rsidRPr="00E14060" w:rsidRDefault="000B538C" w:rsidP="00476030">
            <w:pPr>
              <w:rPr>
                <w:sz w:val="22"/>
                <w:szCs w:val="22"/>
                <w:lang w:val="en-GB"/>
              </w:rPr>
            </w:pPr>
            <w:r w:rsidRPr="00E14060">
              <w:rPr>
                <w:sz w:val="22"/>
                <w:szCs w:val="22"/>
                <w:lang w:val="en-GB"/>
              </w:rPr>
              <w:t> </w:t>
            </w:r>
          </w:p>
        </w:tc>
        <w:tc>
          <w:tcPr>
            <w:tcW w:w="1482" w:type="dxa"/>
            <w:tcBorders>
              <w:top w:val="single" w:sz="4" w:space="0" w:color="auto"/>
              <w:left w:val="nil"/>
              <w:bottom w:val="single" w:sz="4" w:space="0" w:color="auto"/>
              <w:right w:val="nil"/>
            </w:tcBorders>
            <w:shd w:val="clear" w:color="auto" w:fill="auto"/>
            <w:vAlign w:val="bottom"/>
            <w:hideMark/>
          </w:tcPr>
          <w:p w14:paraId="16B29D59" w14:textId="77777777" w:rsidR="000B538C" w:rsidRPr="00E14060" w:rsidRDefault="000B538C" w:rsidP="00476030">
            <w:pPr>
              <w:jc w:val="center"/>
              <w:rPr>
                <w:b/>
                <w:bCs/>
                <w:sz w:val="22"/>
                <w:szCs w:val="22"/>
                <w:lang w:val="en-GB"/>
              </w:rPr>
            </w:pPr>
            <w:r w:rsidRPr="00E14060">
              <w:rPr>
                <w:b/>
                <w:bCs/>
                <w:sz w:val="22"/>
                <w:szCs w:val="22"/>
                <w:lang w:val="en-GB"/>
              </w:rPr>
              <w:t>Relative risk of drug vs. placebo</w:t>
            </w:r>
          </w:p>
        </w:tc>
        <w:tc>
          <w:tcPr>
            <w:tcW w:w="2275" w:type="dxa"/>
            <w:tcBorders>
              <w:top w:val="single" w:sz="4" w:space="0" w:color="auto"/>
              <w:left w:val="nil"/>
              <w:bottom w:val="single" w:sz="4" w:space="0" w:color="auto"/>
              <w:right w:val="nil"/>
            </w:tcBorders>
            <w:shd w:val="clear" w:color="auto" w:fill="auto"/>
            <w:vAlign w:val="bottom"/>
            <w:hideMark/>
          </w:tcPr>
          <w:p w14:paraId="5D4B13EE" w14:textId="77777777" w:rsidR="000B538C" w:rsidRPr="00E14060" w:rsidRDefault="000B538C" w:rsidP="00476030">
            <w:pPr>
              <w:jc w:val="center"/>
              <w:rPr>
                <w:b/>
                <w:bCs/>
                <w:sz w:val="22"/>
                <w:szCs w:val="22"/>
                <w:lang w:val="en-GB"/>
              </w:rPr>
            </w:pPr>
            <w:r w:rsidRPr="00E14060">
              <w:rPr>
                <w:b/>
                <w:bCs/>
                <w:sz w:val="22"/>
                <w:szCs w:val="22"/>
                <w:lang w:val="en-GB"/>
              </w:rPr>
              <w:t>95% Credible interval for relative risk</w:t>
            </w:r>
          </w:p>
        </w:tc>
        <w:tc>
          <w:tcPr>
            <w:tcW w:w="2466" w:type="dxa"/>
            <w:tcBorders>
              <w:top w:val="single" w:sz="4" w:space="0" w:color="auto"/>
              <w:left w:val="nil"/>
              <w:bottom w:val="single" w:sz="4" w:space="0" w:color="auto"/>
              <w:right w:val="nil"/>
            </w:tcBorders>
            <w:shd w:val="clear" w:color="auto" w:fill="auto"/>
            <w:vAlign w:val="bottom"/>
          </w:tcPr>
          <w:p w14:paraId="24487EEF" w14:textId="77777777" w:rsidR="000B538C" w:rsidRPr="00E14060" w:rsidRDefault="000B538C" w:rsidP="000B538C">
            <w:pPr>
              <w:jc w:val="center"/>
              <w:rPr>
                <w:b/>
                <w:sz w:val="22"/>
                <w:szCs w:val="22"/>
                <w:lang w:val="en-GB"/>
              </w:rPr>
            </w:pPr>
            <w:r w:rsidRPr="00E14060">
              <w:rPr>
                <w:b/>
                <w:sz w:val="22"/>
                <w:szCs w:val="22"/>
                <w:lang w:val="en-GB"/>
              </w:rPr>
              <w:t>Response rate</w:t>
            </w:r>
          </w:p>
          <w:p w14:paraId="0C3A58C4" w14:textId="77777777" w:rsidR="000B538C" w:rsidRPr="00E14060" w:rsidRDefault="000B538C" w:rsidP="00476030">
            <w:pPr>
              <w:jc w:val="center"/>
              <w:rPr>
                <w:b/>
                <w:bCs/>
                <w:sz w:val="22"/>
                <w:szCs w:val="22"/>
                <w:lang w:val="en-GB"/>
              </w:rPr>
            </w:pPr>
          </w:p>
        </w:tc>
        <w:tc>
          <w:tcPr>
            <w:tcW w:w="2209" w:type="dxa"/>
            <w:tcBorders>
              <w:top w:val="nil"/>
              <w:left w:val="nil"/>
              <w:bottom w:val="nil"/>
              <w:right w:val="nil"/>
            </w:tcBorders>
            <w:shd w:val="clear" w:color="auto" w:fill="auto"/>
            <w:vAlign w:val="bottom"/>
            <w:hideMark/>
          </w:tcPr>
          <w:p w14:paraId="356C04B0" w14:textId="77777777" w:rsidR="00484615" w:rsidRPr="00E14060" w:rsidRDefault="000B538C" w:rsidP="00476030">
            <w:pPr>
              <w:jc w:val="center"/>
              <w:rPr>
                <w:b/>
                <w:bCs/>
                <w:sz w:val="22"/>
                <w:szCs w:val="22"/>
                <w:lang w:val="en-GB"/>
              </w:rPr>
            </w:pPr>
            <w:r w:rsidRPr="00E14060">
              <w:rPr>
                <w:b/>
                <w:bCs/>
                <w:sz w:val="22"/>
                <w:szCs w:val="22"/>
                <w:lang w:val="en-GB"/>
              </w:rPr>
              <w:t xml:space="preserve">Placebo Risk </w:t>
            </w:r>
          </w:p>
          <w:p w14:paraId="0BFC913B" w14:textId="77777777" w:rsidR="000B538C" w:rsidRPr="00E14060" w:rsidRDefault="000B538C" w:rsidP="00476030">
            <w:pPr>
              <w:jc w:val="center"/>
              <w:rPr>
                <w:b/>
                <w:bCs/>
                <w:sz w:val="22"/>
                <w:szCs w:val="22"/>
                <w:lang w:val="en-GB"/>
              </w:rPr>
            </w:pPr>
            <w:r w:rsidRPr="00E14060">
              <w:rPr>
                <w:b/>
                <w:bCs/>
                <w:sz w:val="22"/>
                <w:szCs w:val="22"/>
                <w:lang w:val="en-GB"/>
              </w:rPr>
              <w:t>(95% CI)</w:t>
            </w:r>
            <w:r w:rsidRPr="00E14060">
              <w:rPr>
                <w:rStyle w:val="FootnoteReference"/>
                <w:b/>
                <w:bCs/>
                <w:sz w:val="22"/>
                <w:szCs w:val="22"/>
                <w:lang w:val="en-GB"/>
              </w:rPr>
              <w:footnoteReference w:id="6"/>
            </w:r>
          </w:p>
        </w:tc>
        <w:tc>
          <w:tcPr>
            <w:tcW w:w="222" w:type="dxa"/>
            <w:tcBorders>
              <w:top w:val="nil"/>
              <w:left w:val="nil"/>
              <w:bottom w:val="nil"/>
              <w:right w:val="nil"/>
            </w:tcBorders>
            <w:shd w:val="clear" w:color="auto" w:fill="auto"/>
            <w:noWrap/>
            <w:vAlign w:val="bottom"/>
            <w:hideMark/>
          </w:tcPr>
          <w:p w14:paraId="735C4E3C" w14:textId="77777777" w:rsidR="000B538C" w:rsidRPr="00E14060" w:rsidRDefault="000B538C" w:rsidP="00476030">
            <w:pPr>
              <w:rPr>
                <w:sz w:val="22"/>
                <w:szCs w:val="22"/>
                <w:lang w:val="en-GB"/>
              </w:rPr>
            </w:pPr>
          </w:p>
        </w:tc>
        <w:tc>
          <w:tcPr>
            <w:tcW w:w="222" w:type="dxa"/>
            <w:tcBorders>
              <w:top w:val="nil"/>
              <w:left w:val="nil"/>
              <w:bottom w:val="nil"/>
              <w:right w:val="nil"/>
            </w:tcBorders>
            <w:shd w:val="clear" w:color="auto" w:fill="auto"/>
            <w:noWrap/>
            <w:vAlign w:val="bottom"/>
            <w:hideMark/>
          </w:tcPr>
          <w:p w14:paraId="373250C7" w14:textId="77777777" w:rsidR="000B538C" w:rsidRPr="00E14060" w:rsidRDefault="000B538C" w:rsidP="00476030">
            <w:pPr>
              <w:rPr>
                <w:sz w:val="22"/>
                <w:szCs w:val="22"/>
                <w:lang w:val="en-GB"/>
              </w:rPr>
            </w:pPr>
          </w:p>
        </w:tc>
      </w:tr>
      <w:tr w:rsidR="005C64A4" w:rsidRPr="00E14060" w14:paraId="2A953BA2" w14:textId="77777777" w:rsidTr="00A73A4C">
        <w:trPr>
          <w:trHeight w:val="300"/>
        </w:trPr>
        <w:tc>
          <w:tcPr>
            <w:tcW w:w="222" w:type="dxa"/>
            <w:tcBorders>
              <w:top w:val="nil"/>
              <w:left w:val="nil"/>
              <w:bottom w:val="nil"/>
              <w:right w:val="nil"/>
            </w:tcBorders>
            <w:shd w:val="clear" w:color="auto" w:fill="auto"/>
            <w:noWrap/>
            <w:vAlign w:val="bottom"/>
            <w:hideMark/>
          </w:tcPr>
          <w:p w14:paraId="7A88B792" w14:textId="77777777" w:rsidR="005C64A4" w:rsidRPr="00E14060" w:rsidRDefault="005C64A4" w:rsidP="00476030">
            <w:pPr>
              <w:rPr>
                <w:sz w:val="22"/>
                <w:szCs w:val="22"/>
                <w:lang w:val="en-GB"/>
              </w:rPr>
            </w:pPr>
          </w:p>
        </w:tc>
        <w:tc>
          <w:tcPr>
            <w:tcW w:w="1279" w:type="dxa"/>
            <w:tcBorders>
              <w:top w:val="nil"/>
              <w:left w:val="nil"/>
              <w:bottom w:val="nil"/>
              <w:right w:val="nil"/>
            </w:tcBorders>
            <w:shd w:val="clear" w:color="auto" w:fill="auto"/>
            <w:noWrap/>
            <w:vAlign w:val="bottom"/>
            <w:hideMark/>
          </w:tcPr>
          <w:p w14:paraId="69F766E1" w14:textId="77777777" w:rsidR="005C64A4" w:rsidRPr="00E14060" w:rsidRDefault="005C64A4" w:rsidP="00476030">
            <w:pPr>
              <w:rPr>
                <w:b/>
                <w:bCs/>
                <w:sz w:val="22"/>
                <w:szCs w:val="22"/>
                <w:lang w:val="en-GB"/>
              </w:rPr>
            </w:pPr>
            <w:r w:rsidRPr="00E14060">
              <w:rPr>
                <w:b/>
                <w:bCs/>
                <w:sz w:val="22"/>
                <w:szCs w:val="22"/>
                <w:lang w:val="en-GB"/>
              </w:rPr>
              <w:t>LDX</w:t>
            </w:r>
          </w:p>
        </w:tc>
        <w:tc>
          <w:tcPr>
            <w:tcW w:w="271" w:type="dxa"/>
            <w:tcBorders>
              <w:top w:val="nil"/>
              <w:left w:val="nil"/>
              <w:bottom w:val="nil"/>
              <w:right w:val="nil"/>
            </w:tcBorders>
            <w:shd w:val="clear" w:color="auto" w:fill="auto"/>
            <w:noWrap/>
            <w:vAlign w:val="bottom"/>
            <w:hideMark/>
          </w:tcPr>
          <w:p w14:paraId="5332B5E8" w14:textId="77777777" w:rsidR="005C64A4" w:rsidRPr="00E14060" w:rsidRDefault="005C64A4" w:rsidP="00476030">
            <w:pPr>
              <w:rPr>
                <w:b/>
                <w:bCs/>
                <w:sz w:val="22"/>
                <w:szCs w:val="22"/>
                <w:lang w:val="en-GB"/>
              </w:rPr>
            </w:pPr>
          </w:p>
        </w:tc>
        <w:tc>
          <w:tcPr>
            <w:tcW w:w="1482" w:type="dxa"/>
            <w:tcBorders>
              <w:top w:val="nil"/>
              <w:left w:val="nil"/>
              <w:bottom w:val="nil"/>
              <w:right w:val="nil"/>
            </w:tcBorders>
            <w:shd w:val="clear" w:color="auto" w:fill="auto"/>
            <w:noWrap/>
            <w:vAlign w:val="bottom"/>
            <w:hideMark/>
          </w:tcPr>
          <w:p w14:paraId="5B795BE6" w14:textId="77777777" w:rsidR="005C64A4" w:rsidRPr="00E14060" w:rsidRDefault="005C64A4" w:rsidP="00476030">
            <w:pPr>
              <w:jc w:val="center"/>
              <w:rPr>
                <w:sz w:val="22"/>
                <w:szCs w:val="22"/>
                <w:lang w:val="en-GB"/>
              </w:rPr>
            </w:pPr>
            <w:r w:rsidRPr="00E14060">
              <w:rPr>
                <w:sz w:val="22"/>
                <w:szCs w:val="22"/>
                <w:lang w:val="en-GB"/>
              </w:rPr>
              <w:t>3.21</w:t>
            </w:r>
          </w:p>
        </w:tc>
        <w:tc>
          <w:tcPr>
            <w:tcW w:w="2275" w:type="dxa"/>
            <w:tcBorders>
              <w:top w:val="single" w:sz="4" w:space="0" w:color="auto"/>
              <w:left w:val="nil"/>
              <w:bottom w:val="nil"/>
              <w:right w:val="nil"/>
            </w:tcBorders>
            <w:shd w:val="clear" w:color="auto" w:fill="auto"/>
            <w:noWrap/>
            <w:vAlign w:val="bottom"/>
            <w:hideMark/>
          </w:tcPr>
          <w:p w14:paraId="59C75F7E" w14:textId="77777777" w:rsidR="005C64A4" w:rsidRPr="00E14060" w:rsidRDefault="005C64A4" w:rsidP="00476030">
            <w:pPr>
              <w:jc w:val="center"/>
              <w:rPr>
                <w:sz w:val="22"/>
                <w:szCs w:val="22"/>
                <w:lang w:val="en-GB"/>
              </w:rPr>
            </w:pPr>
            <w:r w:rsidRPr="00E14060">
              <w:rPr>
                <w:sz w:val="22"/>
                <w:szCs w:val="22"/>
                <w:lang w:val="en-GB"/>
              </w:rPr>
              <w:t>(0.93, 7.90)</w:t>
            </w:r>
          </w:p>
        </w:tc>
        <w:tc>
          <w:tcPr>
            <w:tcW w:w="2466" w:type="dxa"/>
            <w:tcBorders>
              <w:top w:val="single" w:sz="4" w:space="0" w:color="auto"/>
              <w:left w:val="nil"/>
              <w:bottom w:val="nil"/>
              <w:right w:val="nil"/>
            </w:tcBorders>
            <w:shd w:val="clear" w:color="auto" w:fill="auto"/>
            <w:noWrap/>
            <w:vAlign w:val="bottom"/>
          </w:tcPr>
          <w:p w14:paraId="50A755EA" w14:textId="77777777" w:rsidR="005C64A4" w:rsidRPr="00E14060" w:rsidRDefault="005C64A4" w:rsidP="003C3DEB">
            <w:pPr>
              <w:jc w:val="center"/>
              <w:rPr>
                <w:sz w:val="22"/>
                <w:szCs w:val="22"/>
                <w:lang w:val="en-GB"/>
              </w:rPr>
            </w:pPr>
            <w:r w:rsidRPr="00E14060">
              <w:rPr>
                <w:sz w:val="22"/>
                <w:szCs w:val="22"/>
                <w:lang w:val="en-GB"/>
              </w:rPr>
              <w:t>0.14</w:t>
            </w:r>
          </w:p>
        </w:tc>
        <w:tc>
          <w:tcPr>
            <w:tcW w:w="2209" w:type="dxa"/>
            <w:tcBorders>
              <w:top w:val="nil"/>
              <w:left w:val="nil"/>
              <w:bottom w:val="nil"/>
              <w:right w:val="nil"/>
            </w:tcBorders>
            <w:shd w:val="clear" w:color="auto" w:fill="auto"/>
            <w:noWrap/>
            <w:vAlign w:val="bottom"/>
            <w:hideMark/>
          </w:tcPr>
          <w:p w14:paraId="3E97D67D" w14:textId="77777777" w:rsidR="005C64A4" w:rsidRPr="00E14060" w:rsidRDefault="005C64A4" w:rsidP="00476030">
            <w:pPr>
              <w:jc w:val="center"/>
              <w:rPr>
                <w:sz w:val="22"/>
                <w:szCs w:val="22"/>
                <w:lang w:val="en-GB"/>
              </w:rPr>
            </w:pPr>
            <w:r w:rsidRPr="00E14060">
              <w:rPr>
                <w:sz w:val="22"/>
                <w:szCs w:val="22"/>
                <w:lang w:val="en-GB"/>
              </w:rPr>
              <w:t>0.0443</w:t>
            </w:r>
          </w:p>
        </w:tc>
        <w:tc>
          <w:tcPr>
            <w:tcW w:w="222" w:type="dxa"/>
            <w:tcBorders>
              <w:top w:val="nil"/>
              <w:left w:val="nil"/>
              <w:bottom w:val="nil"/>
              <w:right w:val="nil"/>
            </w:tcBorders>
            <w:shd w:val="clear" w:color="auto" w:fill="auto"/>
            <w:noWrap/>
            <w:vAlign w:val="bottom"/>
            <w:hideMark/>
          </w:tcPr>
          <w:p w14:paraId="620C4323" w14:textId="77777777" w:rsidR="005C64A4" w:rsidRPr="00E14060" w:rsidRDefault="005C64A4" w:rsidP="00476030">
            <w:pPr>
              <w:rPr>
                <w:sz w:val="22"/>
                <w:szCs w:val="22"/>
                <w:lang w:val="en-GB"/>
              </w:rPr>
            </w:pPr>
          </w:p>
        </w:tc>
        <w:tc>
          <w:tcPr>
            <w:tcW w:w="222" w:type="dxa"/>
            <w:tcBorders>
              <w:top w:val="nil"/>
              <w:left w:val="nil"/>
              <w:bottom w:val="nil"/>
              <w:right w:val="nil"/>
            </w:tcBorders>
            <w:shd w:val="clear" w:color="auto" w:fill="auto"/>
            <w:noWrap/>
            <w:vAlign w:val="bottom"/>
            <w:hideMark/>
          </w:tcPr>
          <w:p w14:paraId="0B788BBB" w14:textId="77777777" w:rsidR="005C64A4" w:rsidRPr="00E14060" w:rsidRDefault="005C64A4" w:rsidP="00476030">
            <w:pPr>
              <w:rPr>
                <w:sz w:val="22"/>
                <w:szCs w:val="22"/>
                <w:lang w:val="en-GB"/>
              </w:rPr>
            </w:pPr>
          </w:p>
        </w:tc>
      </w:tr>
      <w:tr w:rsidR="005C64A4" w:rsidRPr="00E14060" w14:paraId="1B5B0C2B" w14:textId="77777777" w:rsidTr="00A73A4C">
        <w:trPr>
          <w:trHeight w:val="300"/>
        </w:trPr>
        <w:tc>
          <w:tcPr>
            <w:tcW w:w="222" w:type="dxa"/>
            <w:tcBorders>
              <w:top w:val="nil"/>
              <w:left w:val="nil"/>
              <w:bottom w:val="nil"/>
              <w:right w:val="nil"/>
            </w:tcBorders>
            <w:shd w:val="clear" w:color="auto" w:fill="auto"/>
            <w:noWrap/>
            <w:vAlign w:val="bottom"/>
            <w:hideMark/>
          </w:tcPr>
          <w:p w14:paraId="3A1D8042" w14:textId="77777777" w:rsidR="005C64A4" w:rsidRPr="00E14060" w:rsidRDefault="005C64A4" w:rsidP="00476030">
            <w:pPr>
              <w:rPr>
                <w:sz w:val="22"/>
                <w:szCs w:val="22"/>
                <w:lang w:val="en-GB"/>
              </w:rPr>
            </w:pPr>
          </w:p>
        </w:tc>
        <w:tc>
          <w:tcPr>
            <w:tcW w:w="1279" w:type="dxa"/>
            <w:tcBorders>
              <w:top w:val="nil"/>
              <w:left w:val="nil"/>
              <w:bottom w:val="nil"/>
              <w:right w:val="nil"/>
            </w:tcBorders>
            <w:shd w:val="clear" w:color="auto" w:fill="auto"/>
            <w:noWrap/>
            <w:vAlign w:val="bottom"/>
            <w:hideMark/>
          </w:tcPr>
          <w:p w14:paraId="18CE259E" w14:textId="77777777" w:rsidR="005C64A4" w:rsidRPr="00E14060" w:rsidRDefault="005C64A4" w:rsidP="00476030">
            <w:pPr>
              <w:rPr>
                <w:b/>
                <w:bCs/>
                <w:sz w:val="22"/>
                <w:szCs w:val="22"/>
                <w:lang w:val="en-GB"/>
              </w:rPr>
            </w:pPr>
            <w:r w:rsidRPr="00E14060">
              <w:rPr>
                <w:b/>
                <w:bCs/>
                <w:sz w:val="22"/>
                <w:szCs w:val="22"/>
                <w:lang w:val="en-GB"/>
              </w:rPr>
              <w:t>ATX</w:t>
            </w:r>
          </w:p>
        </w:tc>
        <w:tc>
          <w:tcPr>
            <w:tcW w:w="271" w:type="dxa"/>
            <w:tcBorders>
              <w:top w:val="nil"/>
              <w:left w:val="nil"/>
              <w:bottom w:val="nil"/>
              <w:right w:val="nil"/>
            </w:tcBorders>
            <w:shd w:val="clear" w:color="auto" w:fill="auto"/>
            <w:noWrap/>
            <w:vAlign w:val="bottom"/>
            <w:hideMark/>
          </w:tcPr>
          <w:p w14:paraId="3785D65F" w14:textId="77777777" w:rsidR="005C64A4" w:rsidRPr="00E14060" w:rsidRDefault="005C64A4" w:rsidP="00476030">
            <w:pPr>
              <w:rPr>
                <w:b/>
                <w:bCs/>
                <w:sz w:val="22"/>
                <w:szCs w:val="22"/>
                <w:lang w:val="en-GB"/>
              </w:rPr>
            </w:pPr>
          </w:p>
        </w:tc>
        <w:tc>
          <w:tcPr>
            <w:tcW w:w="1482" w:type="dxa"/>
            <w:tcBorders>
              <w:top w:val="nil"/>
              <w:left w:val="nil"/>
              <w:bottom w:val="nil"/>
              <w:right w:val="nil"/>
            </w:tcBorders>
            <w:shd w:val="clear" w:color="auto" w:fill="auto"/>
            <w:noWrap/>
            <w:vAlign w:val="bottom"/>
            <w:hideMark/>
          </w:tcPr>
          <w:p w14:paraId="247DC84A" w14:textId="77777777" w:rsidR="005C64A4" w:rsidRPr="00E14060" w:rsidRDefault="005C64A4" w:rsidP="00476030">
            <w:pPr>
              <w:jc w:val="center"/>
              <w:rPr>
                <w:sz w:val="22"/>
                <w:szCs w:val="22"/>
                <w:lang w:val="en-GB"/>
              </w:rPr>
            </w:pPr>
            <w:r w:rsidRPr="00E14060">
              <w:rPr>
                <w:sz w:val="22"/>
                <w:szCs w:val="22"/>
                <w:lang w:val="en-GB"/>
              </w:rPr>
              <w:t>2.67</w:t>
            </w:r>
          </w:p>
        </w:tc>
        <w:tc>
          <w:tcPr>
            <w:tcW w:w="2275" w:type="dxa"/>
            <w:tcBorders>
              <w:top w:val="nil"/>
              <w:left w:val="nil"/>
              <w:bottom w:val="nil"/>
              <w:right w:val="nil"/>
            </w:tcBorders>
            <w:shd w:val="clear" w:color="auto" w:fill="auto"/>
            <w:noWrap/>
            <w:vAlign w:val="bottom"/>
            <w:hideMark/>
          </w:tcPr>
          <w:p w14:paraId="08798731" w14:textId="77777777" w:rsidR="005C64A4" w:rsidRPr="00E14060" w:rsidRDefault="005C64A4" w:rsidP="00476030">
            <w:pPr>
              <w:jc w:val="center"/>
              <w:rPr>
                <w:sz w:val="22"/>
                <w:szCs w:val="22"/>
                <w:lang w:val="en-GB"/>
              </w:rPr>
            </w:pPr>
            <w:r w:rsidRPr="00E14060">
              <w:rPr>
                <w:sz w:val="22"/>
                <w:szCs w:val="22"/>
                <w:lang w:val="en-GB"/>
              </w:rPr>
              <w:t>(1.68, 4.13)</w:t>
            </w:r>
          </w:p>
        </w:tc>
        <w:tc>
          <w:tcPr>
            <w:tcW w:w="2466" w:type="dxa"/>
            <w:tcBorders>
              <w:top w:val="nil"/>
              <w:left w:val="nil"/>
              <w:bottom w:val="nil"/>
              <w:right w:val="nil"/>
            </w:tcBorders>
            <w:shd w:val="clear" w:color="auto" w:fill="auto"/>
            <w:noWrap/>
            <w:vAlign w:val="bottom"/>
          </w:tcPr>
          <w:p w14:paraId="39442124" w14:textId="77777777" w:rsidR="005C64A4" w:rsidRPr="00E14060" w:rsidRDefault="005C64A4" w:rsidP="00476030">
            <w:pPr>
              <w:jc w:val="center"/>
              <w:rPr>
                <w:sz w:val="22"/>
                <w:szCs w:val="22"/>
                <w:lang w:val="en-GB"/>
              </w:rPr>
            </w:pPr>
            <w:r w:rsidRPr="00E14060">
              <w:rPr>
                <w:sz w:val="22"/>
                <w:szCs w:val="22"/>
                <w:lang w:val="en-GB"/>
              </w:rPr>
              <w:t>0.12</w:t>
            </w:r>
          </w:p>
        </w:tc>
        <w:tc>
          <w:tcPr>
            <w:tcW w:w="2209" w:type="dxa"/>
            <w:tcBorders>
              <w:top w:val="nil"/>
              <w:left w:val="nil"/>
              <w:bottom w:val="nil"/>
              <w:right w:val="nil"/>
            </w:tcBorders>
            <w:shd w:val="clear" w:color="auto" w:fill="auto"/>
            <w:noWrap/>
            <w:vAlign w:val="bottom"/>
            <w:hideMark/>
          </w:tcPr>
          <w:p w14:paraId="05B840B7" w14:textId="77777777" w:rsidR="005C64A4" w:rsidRPr="00E14060" w:rsidRDefault="005C64A4" w:rsidP="00476030">
            <w:pPr>
              <w:jc w:val="center"/>
              <w:rPr>
                <w:sz w:val="22"/>
                <w:szCs w:val="22"/>
                <w:lang w:val="en-GB"/>
              </w:rPr>
            </w:pPr>
            <w:r w:rsidRPr="00E14060">
              <w:rPr>
                <w:sz w:val="22"/>
                <w:szCs w:val="22"/>
                <w:lang w:val="en-GB"/>
              </w:rPr>
              <w:t>(0.035, 0.053)</w:t>
            </w:r>
          </w:p>
        </w:tc>
        <w:tc>
          <w:tcPr>
            <w:tcW w:w="222" w:type="dxa"/>
            <w:tcBorders>
              <w:top w:val="nil"/>
              <w:left w:val="nil"/>
              <w:bottom w:val="nil"/>
              <w:right w:val="nil"/>
            </w:tcBorders>
            <w:shd w:val="clear" w:color="auto" w:fill="auto"/>
            <w:noWrap/>
            <w:vAlign w:val="bottom"/>
            <w:hideMark/>
          </w:tcPr>
          <w:p w14:paraId="08976FC5" w14:textId="77777777" w:rsidR="005C64A4" w:rsidRPr="00E14060" w:rsidRDefault="005C64A4" w:rsidP="00476030">
            <w:pPr>
              <w:rPr>
                <w:sz w:val="22"/>
                <w:szCs w:val="22"/>
                <w:lang w:val="en-GB"/>
              </w:rPr>
            </w:pPr>
          </w:p>
        </w:tc>
        <w:tc>
          <w:tcPr>
            <w:tcW w:w="222" w:type="dxa"/>
            <w:tcBorders>
              <w:top w:val="nil"/>
              <w:left w:val="nil"/>
              <w:bottom w:val="nil"/>
              <w:right w:val="nil"/>
            </w:tcBorders>
            <w:shd w:val="clear" w:color="auto" w:fill="auto"/>
            <w:noWrap/>
            <w:vAlign w:val="bottom"/>
            <w:hideMark/>
          </w:tcPr>
          <w:p w14:paraId="34A79064" w14:textId="77777777" w:rsidR="005C64A4" w:rsidRPr="00E14060" w:rsidRDefault="005C64A4" w:rsidP="00476030">
            <w:pPr>
              <w:rPr>
                <w:sz w:val="22"/>
                <w:szCs w:val="22"/>
                <w:lang w:val="en-GB"/>
              </w:rPr>
            </w:pPr>
          </w:p>
        </w:tc>
      </w:tr>
      <w:tr w:rsidR="005C64A4" w:rsidRPr="00E14060" w14:paraId="5946BE5E" w14:textId="77777777" w:rsidTr="006B3CCE">
        <w:trPr>
          <w:trHeight w:val="300"/>
        </w:trPr>
        <w:tc>
          <w:tcPr>
            <w:tcW w:w="222" w:type="dxa"/>
            <w:tcBorders>
              <w:top w:val="nil"/>
              <w:left w:val="nil"/>
              <w:bottom w:val="nil"/>
              <w:right w:val="nil"/>
            </w:tcBorders>
            <w:shd w:val="clear" w:color="auto" w:fill="auto"/>
            <w:noWrap/>
            <w:vAlign w:val="bottom"/>
            <w:hideMark/>
          </w:tcPr>
          <w:p w14:paraId="0EEE9E2C" w14:textId="77777777" w:rsidR="005C64A4" w:rsidRPr="00E14060" w:rsidRDefault="005C64A4" w:rsidP="00476030">
            <w:pPr>
              <w:rPr>
                <w:sz w:val="22"/>
                <w:szCs w:val="22"/>
                <w:lang w:val="en-GB"/>
              </w:rPr>
            </w:pPr>
          </w:p>
        </w:tc>
        <w:tc>
          <w:tcPr>
            <w:tcW w:w="1279" w:type="dxa"/>
            <w:tcBorders>
              <w:top w:val="nil"/>
              <w:left w:val="nil"/>
              <w:bottom w:val="nil"/>
              <w:right w:val="nil"/>
            </w:tcBorders>
            <w:shd w:val="clear" w:color="auto" w:fill="auto"/>
            <w:noWrap/>
            <w:vAlign w:val="bottom"/>
            <w:hideMark/>
          </w:tcPr>
          <w:p w14:paraId="7336BB93" w14:textId="77777777" w:rsidR="005C64A4" w:rsidRPr="00E14060" w:rsidRDefault="005C64A4" w:rsidP="00476030">
            <w:pPr>
              <w:rPr>
                <w:b/>
                <w:bCs/>
                <w:sz w:val="22"/>
                <w:szCs w:val="22"/>
                <w:lang w:val="en-GB"/>
              </w:rPr>
            </w:pPr>
            <w:r w:rsidRPr="00E14060">
              <w:rPr>
                <w:b/>
                <w:bCs/>
                <w:sz w:val="22"/>
                <w:szCs w:val="22"/>
                <w:lang w:val="en-GB"/>
              </w:rPr>
              <w:t>MPH-ER</w:t>
            </w:r>
          </w:p>
        </w:tc>
        <w:tc>
          <w:tcPr>
            <w:tcW w:w="271" w:type="dxa"/>
            <w:tcBorders>
              <w:top w:val="nil"/>
              <w:left w:val="nil"/>
              <w:bottom w:val="nil"/>
              <w:right w:val="nil"/>
            </w:tcBorders>
            <w:shd w:val="clear" w:color="auto" w:fill="auto"/>
            <w:noWrap/>
            <w:vAlign w:val="bottom"/>
            <w:hideMark/>
          </w:tcPr>
          <w:p w14:paraId="15C6DC15" w14:textId="77777777" w:rsidR="005C64A4" w:rsidRPr="00E14060" w:rsidRDefault="005C64A4" w:rsidP="00476030">
            <w:pPr>
              <w:rPr>
                <w:b/>
                <w:bCs/>
                <w:sz w:val="22"/>
                <w:szCs w:val="22"/>
                <w:lang w:val="en-GB"/>
              </w:rPr>
            </w:pPr>
          </w:p>
        </w:tc>
        <w:tc>
          <w:tcPr>
            <w:tcW w:w="1482" w:type="dxa"/>
            <w:tcBorders>
              <w:top w:val="nil"/>
              <w:left w:val="nil"/>
              <w:bottom w:val="nil"/>
              <w:right w:val="nil"/>
            </w:tcBorders>
            <w:shd w:val="clear" w:color="auto" w:fill="auto"/>
            <w:noWrap/>
            <w:vAlign w:val="bottom"/>
            <w:hideMark/>
          </w:tcPr>
          <w:p w14:paraId="08F5D7D7" w14:textId="77777777" w:rsidR="005C64A4" w:rsidRPr="00E14060" w:rsidRDefault="005C64A4" w:rsidP="00476030">
            <w:pPr>
              <w:jc w:val="center"/>
              <w:rPr>
                <w:sz w:val="22"/>
                <w:szCs w:val="22"/>
                <w:lang w:val="en-GB"/>
              </w:rPr>
            </w:pPr>
            <w:r w:rsidRPr="00E14060">
              <w:rPr>
                <w:sz w:val="22"/>
                <w:szCs w:val="22"/>
                <w:lang w:val="en-GB"/>
              </w:rPr>
              <w:t>2.76</w:t>
            </w:r>
          </w:p>
        </w:tc>
        <w:tc>
          <w:tcPr>
            <w:tcW w:w="2275" w:type="dxa"/>
            <w:tcBorders>
              <w:top w:val="nil"/>
              <w:left w:val="nil"/>
              <w:bottom w:val="nil"/>
              <w:right w:val="nil"/>
            </w:tcBorders>
            <w:shd w:val="clear" w:color="auto" w:fill="auto"/>
            <w:noWrap/>
            <w:vAlign w:val="bottom"/>
            <w:hideMark/>
          </w:tcPr>
          <w:p w14:paraId="5A660E26" w14:textId="77777777" w:rsidR="005C64A4" w:rsidRPr="00E14060" w:rsidRDefault="005C64A4" w:rsidP="00476030">
            <w:pPr>
              <w:jc w:val="center"/>
              <w:rPr>
                <w:sz w:val="22"/>
                <w:szCs w:val="22"/>
                <w:lang w:val="en-GB"/>
              </w:rPr>
            </w:pPr>
            <w:r w:rsidRPr="00E14060">
              <w:rPr>
                <w:sz w:val="22"/>
                <w:szCs w:val="22"/>
                <w:lang w:val="en-GB"/>
              </w:rPr>
              <w:t>(1.83, 4.07)</w:t>
            </w:r>
          </w:p>
        </w:tc>
        <w:tc>
          <w:tcPr>
            <w:tcW w:w="2466" w:type="dxa"/>
            <w:tcBorders>
              <w:top w:val="nil"/>
              <w:left w:val="nil"/>
              <w:bottom w:val="nil"/>
              <w:right w:val="nil"/>
            </w:tcBorders>
            <w:shd w:val="clear" w:color="auto" w:fill="auto"/>
            <w:noWrap/>
            <w:vAlign w:val="bottom"/>
            <w:hideMark/>
          </w:tcPr>
          <w:p w14:paraId="1839A6BE" w14:textId="77777777" w:rsidR="005C64A4" w:rsidRPr="00E14060" w:rsidRDefault="005C64A4" w:rsidP="00476030">
            <w:pPr>
              <w:jc w:val="center"/>
              <w:rPr>
                <w:sz w:val="22"/>
                <w:szCs w:val="22"/>
                <w:lang w:val="en-GB"/>
              </w:rPr>
            </w:pPr>
            <w:r w:rsidRPr="00E14060">
              <w:rPr>
                <w:sz w:val="22"/>
                <w:szCs w:val="22"/>
                <w:lang w:val="en-GB"/>
              </w:rPr>
              <w:t>0.12</w:t>
            </w:r>
          </w:p>
        </w:tc>
        <w:tc>
          <w:tcPr>
            <w:tcW w:w="2209" w:type="dxa"/>
            <w:tcBorders>
              <w:top w:val="nil"/>
              <w:left w:val="nil"/>
              <w:bottom w:val="nil"/>
              <w:right w:val="nil"/>
            </w:tcBorders>
            <w:shd w:val="clear" w:color="auto" w:fill="auto"/>
            <w:noWrap/>
            <w:vAlign w:val="bottom"/>
            <w:hideMark/>
          </w:tcPr>
          <w:p w14:paraId="76BE7FD1" w14:textId="77777777" w:rsidR="005C64A4" w:rsidRPr="00E14060" w:rsidRDefault="005C64A4" w:rsidP="00476030">
            <w:pPr>
              <w:jc w:val="center"/>
              <w:rPr>
                <w:sz w:val="22"/>
                <w:szCs w:val="22"/>
                <w:lang w:val="en-GB"/>
              </w:rPr>
            </w:pPr>
          </w:p>
        </w:tc>
        <w:tc>
          <w:tcPr>
            <w:tcW w:w="222" w:type="dxa"/>
            <w:tcBorders>
              <w:top w:val="nil"/>
              <w:left w:val="nil"/>
              <w:bottom w:val="nil"/>
              <w:right w:val="nil"/>
            </w:tcBorders>
            <w:shd w:val="clear" w:color="auto" w:fill="auto"/>
            <w:noWrap/>
            <w:vAlign w:val="bottom"/>
            <w:hideMark/>
          </w:tcPr>
          <w:p w14:paraId="053A68FE" w14:textId="77777777" w:rsidR="005C64A4" w:rsidRPr="00E14060" w:rsidRDefault="005C64A4" w:rsidP="00476030">
            <w:pPr>
              <w:rPr>
                <w:sz w:val="22"/>
                <w:szCs w:val="22"/>
                <w:lang w:val="en-GB"/>
              </w:rPr>
            </w:pPr>
          </w:p>
        </w:tc>
        <w:tc>
          <w:tcPr>
            <w:tcW w:w="222" w:type="dxa"/>
            <w:tcBorders>
              <w:top w:val="nil"/>
              <w:left w:val="nil"/>
              <w:bottom w:val="nil"/>
              <w:right w:val="nil"/>
            </w:tcBorders>
            <w:shd w:val="clear" w:color="auto" w:fill="auto"/>
            <w:noWrap/>
            <w:vAlign w:val="bottom"/>
            <w:hideMark/>
          </w:tcPr>
          <w:p w14:paraId="2CDA99B0" w14:textId="77777777" w:rsidR="005C64A4" w:rsidRPr="00E14060" w:rsidRDefault="005C64A4" w:rsidP="00476030">
            <w:pPr>
              <w:rPr>
                <w:sz w:val="22"/>
                <w:szCs w:val="22"/>
                <w:lang w:val="en-GB"/>
              </w:rPr>
            </w:pPr>
          </w:p>
        </w:tc>
      </w:tr>
      <w:tr w:rsidR="005C64A4" w:rsidRPr="00E14060" w14:paraId="2F2FDB30" w14:textId="77777777" w:rsidTr="00A73A4C">
        <w:trPr>
          <w:trHeight w:val="300"/>
        </w:trPr>
        <w:tc>
          <w:tcPr>
            <w:tcW w:w="222" w:type="dxa"/>
            <w:tcBorders>
              <w:top w:val="nil"/>
              <w:left w:val="nil"/>
              <w:bottom w:val="nil"/>
              <w:right w:val="nil"/>
            </w:tcBorders>
            <w:shd w:val="clear" w:color="auto" w:fill="auto"/>
            <w:noWrap/>
            <w:vAlign w:val="bottom"/>
            <w:hideMark/>
          </w:tcPr>
          <w:p w14:paraId="0A01F64A" w14:textId="77777777" w:rsidR="005C64A4" w:rsidRPr="00E14060" w:rsidRDefault="005C64A4" w:rsidP="00476030">
            <w:pPr>
              <w:rPr>
                <w:sz w:val="22"/>
                <w:szCs w:val="22"/>
                <w:lang w:val="en-GB"/>
              </w:rPr>
            </w:pPr>
          </w:p>
        </w:tc>
        <w:tc>
          <w:tcPr>
            <w:tcW w:w="1279" w:type="dxa"/>
            <w:tcBorders>
              <w:top w:val="nil"/>
              <w:left w:val="nil"/>
              <w:bottom w:val="single" w:sz="4" w:space="0" w:color="auto"/>
              <w:right w:val="nil"/>
            </w:tcBorders>
            <w:shd w:val="clear" w:color="auto" w:fill="auto"/>
            <w:noWrap/>
            <w:vAlign w:val="bottom"/>
            <w:hideMark/>
          </w:tcPr>
          <w:p w14:paraId="08523C12" w14:textId="77777777" w:rsidR="005C64A4" w:rsidRPr="00E14060" w:rsidRDefault="005C64A4" w:rsidP="00476030">
            <w:pPr>
              <w:rPr>
                <w:b/>
                <w:bCs/>
                <w:sz w:val="22"/>
                <w:szCs w:val="22"/>
                <w:lang w:val="en-GB"/>
              </w:rPr>
            </w:pPr>
            <w:r w:rsidRPr="00E14060">
              <w:rPr>
                <w:b/>
                <w:bCs/>
                <w:sz w:val="22"/>
                <w:szCs w:val="22"/>
                <w:lang w:val="en-GB"/>
              </w:rPr>
              <w:t>MPH-IR</w:t>
            </w:r>
          </w:p>
        </w:tc>
        <w:tc>
          <w:tcPr>
            <w:tcW w:w="271" w:type="dxa"/>
            <w:tcBorders>
              <w:top w:val="nil"/>
              <w:left w:val="nil"/>
              <w:bottom w:val="single" w:sz="4" w:space="0" w:color="auto"/>
              <w:right w:val="nil"/>
            </w:tcBorders>
            <w:shd w:val="clear" w:color="auto" w:fill="auto"/>
            <w:noWrap/>
            <w:vAlign w:val="bottom"/>
            <w:hideMark/>
          </w:tcPr>
          <w:p w14:paraId="55D72114" w14:textId="77777777" w:rsidR="005C64A4" w:rsidRPr="00E14060" w:rsidRDefault="005C64A4" w:rsidP="00476030">
            <w:pPr>
              <w:rPr>
                <w:b/>
                <w:bCs/>
                <w:sz w:val="22"/>
                <w:szCs w:val="22"/>
                <w:lang w:val="en-GB"/>
              </w:rPr>
            </w:pPr>
            <w:r w:rsidRPr="00E14060">
              <w:rPr>
                <w:b/>
                <w:bCs/>
                <w:sz w:val="22"/>
                <w:szCs w:val="22"/>
                <w:lang w:val="en-GB"/>
              </w:rPr>
              <w:t> </w:t>
            </w:r>
          </w:p>
        </w:tc>
        <w:tc>
          <w:tcPr>
            <w:tcW w:w="1482" w:type="dxa"/>
            <w:tcBorders>
              <w:top w:val="nil"/>
              <w:left w:val="nil"/>
              <w:bottom w:val="single" w:sz="4" w:space="0" w:color="auto"/>
              <w:right w:val="nil"/>
            </w:tcBorders>
            <w:shd w:val="clear" w:color="auto" w:fill="auto"/>
            <w:noWrap/>
            <w:vAlign w:val="bottom"/>
            <w:hideMark/>
          </w:tcPr>
          <w:p w14:paraId="391CF25A" w14:textId="77777777" w:rsidR="005C64A4" w:rsidRPr="00E14060" w:rsidRDefault="005C64A4" w:rsidP="00476030">
            <w:pPr>
              <w:jc w:val="center"/>
              <w:rPr>
                <w:sz w:val="22"/>
                <w:szCs w:val="22"/>
                <w:lang w:val="en-GB"/>
              </w:rPr>
            </w:pPr>
            <w:r w:rsidRPr="00E14060">
              <w:rPr>
                <w:sz w:val="22"/>
                <w:szCs w:val="22"/>
                <w:lang w:val="en-GB"/>
              </w:rPr>
              <w:t>4.38</w:t>
            </w:r>
          </w:p>
        </w:tc>
        <w:tc>
          <w:tcPr>
            <w:tcW w:w="2275" w:type="dxa"/>
            <w:tcBorders>
              <w:top w:val="nil"/>
              <w:left w:val="nil"/>
              <w:bottom w:val="single" w:sz="4" w:space="0" w:color="auto"/>
              <w:right w:val="nil"/>
            </w:tcBorders>
            <w:shd w:val="clear" w:color="auto" w:fill="auto"/>
            <w:noWrap/>
            <w:vAlign w:val="bottom"/>
            <w:hideMark/>
          </w:tcPr>
          <w:p w14:paraId="268A4ABA" w14:textId="77777777" w:rsidR="005C64A4" w:rsidRPr="00E14060" w:rsidRDefault="005C64A4" w:rsidP="00476030">
            <w:pPr>
              <w:jc w:val="center"/>
              <w:rPr>
                <w:sz w:val="22"/>
                <w:szCs w:val="22"/>
                <w:lang w:val="en-GB"/>
              </w:rPr>
            </w:pPr>
            <w:r w:rsidRPr="00E14060">
              <w:rPr>
                <w:sz w:val="22"/>
                <w:szCs w:val="22"/>
                <w:lang w:val="en-GB"/>
              </w:rPr>
              <w:t>(0.83, 12.80)</w:t>
            </w:r>
          </w:p>
        </w:tc>
        <w:tc>
          <w:tcPr>
            <w:tcW w:w="2466" w:type="dxa"/>
            <w:tcBorders>
              <w:top w:val="nil"/>
              <w:left w:val="nil"/>
              <w:bottom w:val="single" w:sz="4" w:space="0" w:color="auto"/>
              <w:right w:val="nil"/>
            </w:tcBorders>
            <w:shd w:val="clear" w:color="auto" w:fill="auto"/>
            <w:noWrap/>
            <w:vAlign w:val="bottom"/>
            <w:hideMark/>
          </w:tcPr>
          <w:p w14:paraId="226187DB" w14:textId="49A06F07" w:rsidR="005C64A4" w:rsidRPr="00E14060" w:rsidRDefault="00241DBD" w:rsidP="00746351">
            <w:pPr>
              <w:rPr>
                <w:sz w:val="22"/>
                <w:szCs w:val="22"/>
                <w:lang w:val="en-GB"/>
              </w:rPr>
            </w:pPr>
            <w:r w:rsidRPr="00E14060">
              <w:rPr>
                <w:sz w:val="22"/>
                <w:szCs w:val="22"/>
                <w:lang w:val="en-GB"/>
              </w:rPr>
              <w:t xml:space="preserve"> </w:t>
            </w:r>
            <w:r w:rsidR="005C64A4" w:rsidRPr="00E14060">
              <w:rPr>
                <w:sz w:val="22"/>
                <w:szCs w:val="22"/>
                <w:lang w:val="en-GB"/>
              </w:rPr>
              <w:t>0.19</w:t>
            </w:r>
          </w:p>
        </w:tc>
        <w:tc>
          <w:tcPr>
            <w:tcW w:w="2209" w:type="dxa"/>
            <w:tcBorders>
              <w:top w:val="nil"/>
              <w:left w:val="nil"/>
              <w:bottom w:val="nil"/>
              <w:right w:val="nil"/>
            </w:tcBorders>
            <w:shd w:val="clear" w:color="auto" w:fill="auto"/>
            <w:noWrap/>
            <w:vAlign w:val="bottom"/>
            <w:hideMark/>
          </w:tcPr>
          <w:p w14:paraId="12A59E93" w14:textId="77777777" w:rsidR="005C64A4" w:rsidRPr="00E14060" w:rsidRDefault="005C64A4" w:rsidP="00476030">
            <w:pPr>
              <w:jc w:val="center"/>
              <w:rPr>
                <w:sz w:val="22"/>
                <w:szCs w:val="22"/>
                <w:lang w:val="en-GB"/>
              </w:rPr>
            </w:pPr>
          </w:p>
        </w:tc>
        <w:tc>
          <w:tcPr>
            <w:tcW w:w="222" w:type="dxa"/>
            <w:tcBorders>
              <w:top w:val="nil"/>
              <w:left w:val="nil"/>
              <w:bottom w:val="nil"/>
              <w:right w:val="nil"/>
            </w:tcBorders>
            <w:shd w:val="clear" w:color="auto" w:fill="auto"/>
            <w:noWrap/>
            <w:vAlign w:val="bottom"/>
            <w:hideMark/>
          </w:tcPr>
          <w:p w14:paraId="76C121D9" w14:textId="77777777" w:rsidR="005C64A4" w:rsidRPr="00E14060" w:rsidRDefault="005C64A4" w:rsidP="00476030">
            <w:pPr>
              <w:rPr>
                <w:sz w:val="22"/>
                <w:szCs w:val="22"/>
                <w:lang w:val="en-GB"/>
              </w:rPr>
            </w:pPr>
          </w:p>
        </w:tc>
        <w:tc>
          <w:tcPr>
            <w:tcW w:w="222" w:type="dxa"/>
            <w:tcBorders>
              <w:top w:val="nil"/>
              <w:left w:val="nil"/>
              <w:bottom w:val="nil"/>
              <w:right w:val="nil"/>
            </w:tcBorders>
            <w:shd w:val="clear" w:color="auto" w:fill="auto"/>
            <w:noWrap/>
            <w:vAlign w:val="bottom"/>
            <w:hideMark/>
          </w:tcPr>
          <w:p w14:paraId="6A3C87BA" w14:textId="77777777" w:rsidR="005C64A4" w:rsidRPr="00E14060" w:rsidRDefault="005C64A4" w:rsidP="00476030">
            <w:pPr>
              <w:rPr>
                <w:sz w:val="22"/>
                <w:szCs w:val="22"/>
                <w:lang w:val="en-GB"/>
              </w:rPr>
            </w:pPr>
          </w:p>
        </w:tc>
      </w:tr>
    </w:tbl>
    <w:p w14:paraId="59F89A80" w14:textId="77777777" w:rsidR="00476030" w:rsidRPr="00E14060" w:rsidRDefault="001D22C4" w:rsidP="009375DF">
      <w:pPr>
        <w:spacing w:line="360" w:lineRule="auto"/>
        <w:rPr>
          <w:sz w:val="24"/>
          <w:szCs w:val="24"/>
          <w:lang w:val="en-GB"/>
        </w:rPr>
      </w:pPr>
      <w:r w:rsidRPr="00E14060">
        <w:rPr>
          <w:sz w:val="24"/>
          <w:szCs w:val="24"/>
          <w:lang w:val="en-GB"/>
        </w:rPr>
        <w:t xml:space="preserve"> </w:t>
      </w:r>
    </w:p>
    <w:p w14:paraId="314C0714" w14:textId="77777777" w:rsidR="00710CCE" w:rsidRPr="00E14060" w:rsidRDefault="0078407E" w:rsidP="005E25E9">
      <w:pPr>
        <w:pStyle w:val="Heading3"/>
        <w:numPr>
          <w:ilvl w:val="0"/>
          <w:numId w:val="0"/>
        </w:numPr>
        <w:ind w:left="720"/>
        <w:rPr>
          <w:b w:val="0"/>
          <w:color w:val="auto"/>
          <w:lang w:val="en-GB"/>
        </w:rPr>
      </w:pPr>
      <w:r w:rsidRPr="00E14060">
        <w:rPr>
          <w:color w:val="auto"/>
          <w:lang w:val="en-GB"/>
        </w:rPr>
        <w:br w:type="page"/>
      </w:r>
    </w:p>
    <w:p w14:paraId="4CB8574B" w14:textId="77777777" w:rsidR="0078407E" w:rsidRPr="00E14060" w:rsidRDefault="0078407E">
      <w:pPr>
        <w:rPr>
          <w:b/>
          <w:sz w:val="24"/>
          <w:lang w:val="en-GB"/>
        </w:rPr>
      </w:pPr>
    </w:p>
    <w:p w14:paraId="56F9A798" w14:textId="77777777" w:rsidR="0062581E" w:rsidRPr="00E14060" w:rsidRDefault="0062581E" w:rsidP="009375DF">
      <w:pPr>
        <w:pStyle w:val="Heading3"/>
        <w:rPr>
          <w:color w:val="auto"/>
          <w:lang w:val="en-GB"/>
        </w:rPr>
      </w:pPr>
      <w:bookmarkStart w:id="273" w:name="_Toc384683017"/>
      <w:bookmarkStart w:id="274" w:name="_Toc391913778"/>
      <w:bookmarkStart w:id="275" w:name="_Toc402543848"/>
      <w:r w:rsidRPr="00E14060">
        <w:rPr>
          <w:color w:val="auto"/>
          <w:lang w:val="en-GB"/>
        </w:rPr>
        <w:t>Bayesian sensitivity analyses</w:t>
      </w:r>
      <w:bookmarkEnd w:id="273"/>
      <w:bookmarkEnd w:id="274"/>
      <w:bookmarkEnd w:id="275"/>
      <w:r w:rsidRPr="00E14060">
        <w:rPr>
          <w:color w:val="auto"/>
          <w:lang w:val="en-GB"/>
        </w:rPr>
        <w:t xml:space="preserve"> </w:t>
      </w:r>
    </w:p>
    <w:p w14:paraId="429F59C5" w14:textId="77777777" w:rsidR="006058B1" w:rsidRPr="00E14060" w:rsidRDefault="006058B1" w:rsidP="009375DF">
      <w:pPr>
        <w:spacing w:before="240" w:after="240" w:line="360" w:lineRule="auto"/>
        <w:rPr>
          <w:b/>
          <w:sz w:val="24"/>
          <w:szCs w:val="24"/>
          <w:lang w:val="en-GB"/>
        </w:rPr>
      </w:pPr>
      <w:r w:rsidRPr="00E14060">
        <w:rPr>
          <w:b/>
          <w:sz w:val="24"/>
          <w:szCs w:val="24"/>
          <w:lang w:val="en-GB"/>
        </w:rPr>
        <w:t>ADHD-RS-IV change</w:t>
      </w:r>
    </w:p>
    <w:p w14:paraId="7643B574" w14:textId="06F9666A" w:rsidR="00DB7DEF" w:rsidRPr="00E14060" w:rsidRDefault="006058B1" w:rsidP="009375DF">
      <w:pPr>
        <w:spacing w:before="240" w:after="240" w:line="360" w:lineRule="auto"/>
        <w:rPr>
          <w:sz w:val="24"/>
          <w:szCs w:val="24"/>
          <w:lang w:val="en-GB"/>
        </w:rPr>
      </w:pPr>
      <w:r w:rsidRPr="00E14060">
        <w:rPr>
          <w:sz w:val="24"/>
          <w:szCs w:val="24"/>
          <w:lang w:val="en-GB"/>
        </w:rPr>
        <w:t xml:space="preserve">In the combined dose sensitivity analyses, LDX continued to have the highest </w:t>
      </w:r>
      <w:r w:rsidR="001B6D20" w:rsidRPr="00E14060">
        <w:rPr>
          <w:sz w:val="24"/>
          <w:szCs w:val="24"/>
          <w:lang w:val="en-GB"/>
        </w:rPr>
        <w:t xml:space="preserve">probability </w:t>
      </w:r>
      <w:r w:rsidRPr="00E14060">
        <w:rPr>
          <w:sz w:val="24"/>
          <w:szCs w:val="24"/>
          <w:lang w:val="en-GB"/>
        </w:rPr>
        <w:t xml:space="preserve">of being the most efficacious treatment. </w:t>
      </w:r>
      <w:r w:rsidR="006C303E" w:rsidRPr="00E14060">
        <w:rPr>
          <w:sz w:val="24"/>
          <w:szCs w:val="24"/>
          <w:lang w:val="en-GB"/>
        </w:rPr>
        <w:t>When</w:t>
      </w:r>
      <w:r w:rsidR="00D96DAF" w:rsidRPr="00E14060">
        <w:rPr>
          <w:sz w:val="24"/>
          <w:szCs w:val="24"/>
          <w:lang w:val="en-GB"/>
        </w:rPr>
        <w:t xml:space="preserve"> u</w:t>
      </w:r>
      <w:r w:rsidRPr="00E14060">
        <w:rPr>
          <w:sz w:val="24"/>
          <w:szCs w:val="24"/>
          <w:lang w:val="en-GB"/>
        </w:rPr>
        <w:t>sing a fixed effects model, or adding and removing studies to the random effects model, the probability of LDX being the most effective was</w:t>
      </w:r>
      <w:r w:rsidR="006C303E" w:rsidRPr="00E14060">
        <w:rPr>
          <w:sz w:val="24"/>
          <w:szCs w:val="24"/>
          <w:lang w:val="en-GB"/>
        </w:rPr>
        <w:t xml:space="preserve"> still </w:t>
      </w:r>
      <w:r w:rsidRPr="00E14060">
        <w:rPr>
          <w:sz w:val="24"/>
          <w:szCs w:val="24"/>
          <w:lang w:val="en-GB"/>
        </w:rPr>
        <w:t>highest, followed by ATX and MPH-ER. When separating the arms out by dose, LDX 70 mg/day had the highest probability of being the most efficacious treatment, followed by MPH-ER 40 mg/day, LDX 50 mg/day, and LDX 30 mg/day.</w:t>
      </w:r>
      <w:r w:rsidR="00ED1F6C" w:rsidRPr="00E14060">
        <w:rPr>
          <w:sz w:val="24"/>
          <w:szCs w:val="24"/>
          <w:lang w:val="en-GB"/>
        </w:rPr>
        <w:t xml:space="preserve"> </w:t>
      </w:r>
      <w:r w:rsidR="006C303E" w:rsidRPr="00E14060">
        <w:rPr>
          <w:sz w:val="24"/>
          <w:szCs w:val="24"/>
          <w:lang w:val="en-GB"/>
        </w:rPr>
        <w:t>In all sensitivity analyses, there continued to be overlap in the credible intervals for all three treatments.</w:t>
      </w:r>
    </w:p>
    <w:p w14:paraId="1E9509A5" w14:textId="77777777" w:rsidR="00B125E0" w:rsidRPr="00E14060" w:rsidRDefault="00B125E0" w:rsidP="00B125E0">
      <w:pPr>
        <w:spacing w:before="240" w:after="240" w:line="360" w:lineRule="auto"/>
        <w:rPr>
          <w:b/>
          <w:sz w:val="24"/>
          <w:szCs w:val="24"/>
          <w:lang w:val="en-GB"/>
        </w:rPr>
      </w:pPr>
      <w:r w:rsidRPr="00E14060">
        <w:rPr>
          <w:b/>
          <w:sz w:val="24"/>
          <w:szCs w:val="24"/>
          <w:lang w:val="en-GB"/>
        </w:rPr>
        <w:t>ADHD-RS-IV or AISRS change</w:t>
      </w:r>
    </w:p>
    <w:p w14:paraId="569FC500" w14:textId="28DA94DA" w:rsidR="005E25E9" w:rsidRPr="00E14060" w:rsidRDefault="005E25E9" w:rsidP="005E25E9">
      <w:pPr>
        <w:pStyle w:val="AGbodytext0"/>
        <w:rPr>
          <w:i/>
          <w:sz w:val="24"/>
          <w:szCs w:val="24"/>
          <w:lang w:eastAsia="zh-CN"/>
        </w:rPr>
      </w:pPr>
      <w:r w:rsidRPr="00E14060">
        <w:rPr>
          <w:sz w:val="24"/>
          <w:szCs w:val="24"/>
          <w:lang w:eastAsia="zh-CN"/>
        </w:rPr>
        <w:t xml:space="preserve">In the fixed effects model with combined doses, LDX continued to have higher efficacy than both ATX and MPH-ER. The 95% credible intervals did not overlap indicating that the decrease in the ADHD-RS-IV or AISRS scores </w:t>
      </w:r>
      <w:r w:rsidR="007B492A" w:rsidRPr="00E14060">
        <w:rPr>
          <w:sz w:val="24"/>
          <w:szCs w:val="24"/>
          <w:lang w:eastAsia="zh-CN"/>
        </w:rPr>
        <w:t xml:space="preserve">for LDX </w:t>
      </w:r>
      <w:r w:rsidRPr="00E14060">
        <w:rPr>
          <w:sz w:val="24"/>
          <w:szCs w:val="24"/>
          <w:lang w:eastAsia="zh-CN"/>
        </w:rPr>
        <w:t xml:space="preserve">was statistically different </w:t>
      </w:r>
      <w:r w:rsidR="007B492A" w:rsidRPr="00E14060">
        <w:rPr>
          <w:sz w:val="24"/>
          <w:szCs w:val="24"/>
          <w:lang w:eastAsia="zh-CN"/>
        </w:rPr>
        <w:t xml:space="preserve">from </w:t>
      </w:r>
      <w:r w:rsidR="007B2146" w:rsidRPr="00E14060">
        <w:rPr>
          <w:sz w:val="24"/>
          <w:szCs w:val="24"/>
          <w:lang w:eastAsia="zh-CN"/>
        </w:rPr>
        <w:t xml:space="preserve">the </w:t>
      </w:r>
      <w:r w:rsidR="007B492A" w:rsidRPr="00E14060">
        <w:rPr>
          <w:sz w:val="24"/>
          <w:szCs w:val="24"/>
          <w:lang w:eastAsia="zh-CN"/>
        </w:rPr>
        <w:t xml:space="preserve">score </w:t>
      </w:r>
      <w:r w:rsidR="00256012" w:rsidRPr="00E14060">
        <w:rPr>
          <w:sz w:val="24"/>
          <w:szCs w:val="24"/>
          <w:lang w:eastAsia="zh-CN"/>
        </w:rPr>
        <w:t>decrease</w:t>
      </w:r>
      <w:r w:rsidR="007B492A" w:rsidRPr="00E14060">
        <w:rPr>
          <w:sz w:val="24"/>
          <w:szCs w:val="24"/>
          <w:lang w:eastAsia="zh-CN"/>
        </w:rPr>
        <w:t xml:space="preserve"> </w:t>
      </w:r>
      <w:r w:rsidRPr="00E14060">
        <w:rPr>
          <w:sz w:val="24"/>
          <w:szCs w:val="24"/>
          <w:lang w:eastAsia="zh-CN"/>
        </w:rPr>
        <w:t xml:space="preserve">for </w:t>
      </w:r>
      <w:r w:rsidR="007B492A" w:rsidRPr="00E14060">
        <w:rPr>
          <w:sz w:val="24"/>
          <w:szCs w:val="24"/>
          <w:lang w:eastAsia="zh-CN"/>
        </w:rPr>
        <w:t>b</w:t>
      </w:r>
      <w:r w:rsidRPr="00E14060">
        <w:rPr>
          <w:sz w:val="24"/>
          <w:szCs w:val="24"/>
          <w:lang w:eastAsia="zh-CN"/>
        </w:rPr>
        <w:t>oth ATX and MPH-ER.</w:t>
      </w:r>
    </w:p>
    <w:p w14:paraId="4A556478" w14:textId="77777777" w:rsidR="006058B1" w:rsidRPr="00E14060" w:rsidRDefault="006058B1" w:rsidP="009375DF">
      <w:pPr>
        <w:spacing w:before="240" w:after="240" w:line="360" w:lineRule="auto"/>
        <w:rPr>
          <w:b/>
          <w:sz w:val="24"/>
          <w:szCs w:val="24"/>
          <w:lang w:val="en-GB"/>
        </w:rPr>
      </w:pPr>
      <w:r w:rsidRPr="00E14060">
        <w:rPr>
          <w:b/>
          <w:sz w:val="24"/>
          <w:szCs w:val="24"/>
          <w:lang w:val="en-GB"/>
        </w:rPr>
        <w:t>CGI-I response</w:t>
      </w:r>
    </w:p>
    <w:p w14:paraId="48FC36C5" w14:textId="510C0690" w:rsidR="006058B1" w:rsidRPr="00E14060" w:rsidRDefault="006058B1" w:rsidP="009375DF">
      <w:pPr>
        <w:spacing w:before="240" w:after="240" w:line="360" w:lineRule="auto"/>
        <w:rPr>
          <w:sz w:val="24"/>
          <w:szCs w:val="24"/>
          <w:lang w:val="en-GB"/>
        </w:rPr>
      </w:pPr>
      <w:r w:rsidRPr="00E14060">
        <w:rPr>
          <w:sz w:val="24"/>
          <w:szCs w:val="24"/>
          <w:lang w:val="en-GB"/>
        </w:rPr>
        <w:t>In the fixed effects model with combined doses, LDX continued to have higher efficacy than MPH-ER</w:t>
      </w:r>
      <w:r w:rsidR="006837B0" w:rsidRPr="00E14060">
        <w:rPr>
          <w:sz w:val="24"/>
          <w:szCs w:val="24"/>
          <w:lang w:val="en-GB"/>
        </w:rPr>
        <w:t>.</w:t>
      </w:r>
      <w:r w:rsidR="00ED1F6C" w:rsidRPr="00E14060">
        <w:rPr>
          <w:sz w:val="24"/>
          <w:szCs w:val="24"/>
          <w:lang w:val="en-GB"/>
        </w:rPr>
        <w:t xml:space="preserve"> However, there was overlap in the credible intervals for LDX and MPH-ER.</w:t>
      </w:r>
    </w:p>
    <w:p w14:paraId="0ECE01FB" w14:textId="77777777" w:rsidR="006058B1" w:rsidRPr="00E14060" w:rsidRDefault="006058B1" w:rsidP="009375DF">
      <w:pPr>
        <w:spacing w:before="240" w:after="240" w:line="360" w:lineRule="auto"/>
        <w:rPr>
          <w:b/>
          <w:sz w:val="24"/>
          <w:szCs w:val="24"/>
          <w:lang w:val="en-GB"/>
        </w:rPr>
      </w:pPr>
      <w:r w:rsidRPr="00E14060">
        <w:rPr>
          <w:b/>
          <w:sz w:val="24"/>
          <w:szCs w:val="24"/>
          <w:lang w:val="en-GB"/>
        </w:rPr>
        <w:t>All-cause discontinuation</w:t>
      </w:r>
    </w:p>
    <w:p w14:paraId="102EA891" w14:textId="4BA2AEB0" w:rsidR="006870F0" w:rsidRPr="00E14060" w:rsidRDefault="006058B1" w:rsidP="009375DF">
      <w:pPr>
        <w:spacing w:before="240" w:after="240" w:line="360" w:lineRule="auto"/>
        <w:rPr>
          <w:sz w:val="24"/>
          <w:szCs w:val="24"/>
          <w:lang w:val="en-GB"/>
        </w:rPr>
      </w:pPr>
      <w:r w:rsidRPr="00E14060">
        <w:rPr>
          <w:sz w:val="24"/>
          <w:szCs w:val="24"/>
          <w:lang w:val="en-GB"/>
        </w:rPr>
        <w:t xml:space="preserve">In the sensitivity analyses, LDX continued to have the lowest relative risk of all-cause discontinuation. In the fixed effects model with combined doses, the </w:t>
      </w:r>
      <w:r w:rsidR="00561525" w:rsidRPr="00E14060">
        <w:rPr>
          <w:sz w:val="24"/>
          <w:szCs w:val="24"/>
          <w:lang w:val="en-GB"/>
        </w:rPr>
        <w:t xml:space="preserve">posterior </w:t>
      </w:r>
      <w:r w:rsidRPr="00E14060">
        <w:rPr>
          <w:sz w:val="24"/>
          <w:szCs w:val="24"/>
          <w:lang w:val="en-GB"/>
        </w:rPr>
        <w:t xml:space="preserve">probability of </w:t>
      </w:r>
      <w:r w:rsidR="00561525" w:rsidRPr="00E14060">
        <w:rPr>
          <w:sz w:val="24"/>
          <w:szCs w:val="24"/>
          <w:lang w:val="en-GB"/>
        </w:rPr>
        <w:t xml:space="preserve">being the most tolerable treatment </w:t>
      </w:r>
      <w:r w:rsidRPr="00E14060">
        <w:rPr>
          <w:sz w:val="24"/>
          <w:szCs w:val="24"/>
          <w:lang w:val="en-GB"/>
        </w:rPr>
        <w:t>was highest for LDX, followed by MPH-IR, MPH-ER, and ATX. When removing the young adult studies</w:t>
      </w:r>
      <w:r w:rsidR="00ED1F6C" w:rsidRPr="00E14060">
        <w:rPr>
          <w:sz w:val="24"/>
          <w:szCs w:val="24"/>
          <w:lang w:val="en-GB"/>
        </w:rPr>
        <w:t xml:space="preserve"> </w:t>
      </w:r>
      <w:r w:rsidRPr="00E14060">
        <w:rPr>
          <w:sz w:val="24"/>
          <w:szCs w:val="24"/>
          <w:lang w:val="en-GB"/>
        </w:rPr>
        <w:t>from the core analysis (</w:t>
      </w:r>
      <w:r w:rsidR="00B5318A" w:rsidRPr="00E14060">
        <w:rPr>
          <w:sz w:val="24"/>
          <w:szCs w:val="24"/>
          <w:lang w:val="en-GB"/>
        </w:rPr>
        <w:t>Biederman 2012 for LDX and Durell 2013 for ATX</w:t>
      </w:r>
      <w:r w:rsidRPr="00E14060">
        <w:rPr>
          <w:sz w:val="24"/>
          <w:szCs w:val="24"/>
          <w:lang w:val="en-GB"/>
        </w:rPr>
        <w:t xml:space="preserve">), this probability </w:t>
      </w:r>
      <w:r w:rsidRPr="00E14060">
        <w:rPr>
          <w:sz w:val="24"/>
          <w:szCs w:val="24"/>
          <w:lang w:val="en-GB"/>
        </w:rPr>
        <w:lastRenderedPageBreak/>
        <w:t>was highest for LDX, followed by MPH-IR, ATX, and MPH-ER.</w:t>
      </w:r>
      <w:r w:rsidR="00ED1F6C" w:rsidRPr="00E14060">
        <w:rPr>
          <w:sz w:val="24"/>
          <w:szCs w:val="24"/>
          <w:lang w:val="en-GB"/>
        </w:rPr>
        <w:t xml:space="preserve"> </w:t>
      </w:r>
      <w:r w:rsidR="002911CA" w:rsidRPr="00E14060">
        <w:rPr>
          <w:sz w:val="24"/>
          <w:szCs w:val="24"/>
          <w:lang w:val="en-GB"/>
        </w:rPr>
        <w:t>In all sensitivity analyses, there continued to be overlap in the credible intervals for all four treatments.</w:t>
      </w:r>
      <w:r w:rsidR="00F95F45" w:rsidRPr="00E14060">
        <w:rPr>
          <w:sz w:val="24"/>
          <w:szCs w:val="24"/>
          <w:lang w:val="en-GB"/>
        </w:rPr>
        <w:t xml:space="preserve"> </w:t>
      </w:r>
    </w:p>
    <w:p w14:paraId="690586DC" w14:textId="77777777" w:rsidR="006058B1" w:rsidRPr="00E14060" w:rsidRDefault="006058B1" w:rsidP="009375DF">
      <w:pPr>
        <w:spacing w:before="240" w:after="240" w:line="360" w:lineRule="auto"/>
        <w:rPr>
          <w:b/>
          <w:sz w:val="24"/>
          <w:szCs w:val="24"/>
          <w:lang w:val="en-GB"/>
        </w:rPr>
      </w:pPr>
      <w:r w:rsidRPr="00E14060">
        <w:rPr>
          <w:b/>
          <w:sz w:val="24"/>
          <w:szCs w:val="24"/>
          <w:lang w:val="en-GB"/>
        </w:rPr>
        <w:t>Discontinuation due to adverse events</w:t>
      </w:r>
    </w:p>
    <w:p w14:paraId="14138B01" w14:textId="5BBC4CA1" w:rsidR="00DB7DEF" w:rsidRPr="00E14060" w:rsidRDefault="006058B1" w:rsidP="009375DF">
      <w:pPr>
        <w:spacing w:before="240" w:after="240" w:line="360" w:lineRule="auto"/>
        <w:rPr>
          <w:sz w:val="24"/>
          <w:szCs w:val="24"/>
          <w:lang w:val="en-GB"/>
        </w:rPr>
      </w:pPr>
      <w:r w:rsidRPr="00E14060">
        <w:rPr>
          <w:sz w:val="24"/>
          <w:szCs w:val="24"/>
          <w:lang w:val="en-GB"/>
        </w:rPr>
        <w:t>In the fixed effects model with combined doses, the probability of being the most tolerable treatment was highest for LDX, followed by ATX, MPH-</w:t>
      </w:r>
      <w:r w:rsidR="00163F7B" w:rsidRPr="00E14060">
        <w:rPr>
          <w:sz w:val="24"/>
          <w:szCs w:val="24"/>
          <w:lang w:val="en-GB"/>
        </w:rPr>
        <w:t>E</w:t>
      </w:r>
      <w:r w:rsidRPr="00E14060">
        <w:rPr>
          <w:sz w:val="24"/>
          <w:szCs w:val="24"/>
          <w:lang w:val="en-GB"/>
        </w:rPr>
        <w:t>R, and MPH-</w:t>
      </w:r>
      <w:r w:rsidR="00163F7B" w:rsidRPr="00E14060">
        <w:rPr>
          <w:sz w:val="24"/>
          <w:szCs w:val="24"/>
          <w:lang w:val="en-GB"/>
        </w:rPr>
        <w:t>I</w:t>
      </w:r>
      <w:r w:rsidRPr="00E14060">
        <w:rPr>
          <w:sz w:val="24"/>
          <w:szCs w:val="24"/>
          <w:lang w:val="en-GB"/>
        </w:rPr>
        <w:t>R. When removing the young adult studies</w:t>
      </w:r>
      <w:r w:rsidR="00ED1F6C" w:rsidRPr="00E14060">
        <w:rPr>
          <w:sz w:val="24"/>
          <w:szCs w:val="24"/>
          <w:lang w:val="en-GB"/>
        </w:rPr>
        <w:t xml:space="preserve"> </w:t>
      </w:r>
      <w:r w:rsidRPr="00E14060">
        <w:rPr>
          <w:sz w:val="24"/>
          <w:szCs w:val="24"/>
          <w:lang w:val="en-GB"/>
        </w:rPr>
        <w:t>from the core analysis (</w:t>
      </w:r>
      <w:r w:rsidR="009A37E2" w:rsidRPr="00E14060">
        <w:rPr>
          <w:sz w:val="24"/>
          <w:szCs w:val="24"/>
          <w:lang w:val="en-GB"/>
        </w:rPr>
        <w:t>Biederman 2012 for LDX and Durell 2013 for ATX</w:t>
      </w:r>
      <w:r w:rsidRPr="00E14060">
        <w:rPr>
          <w:sz w:val="24"/>
          <w:szCs w:val="24"/>
          <w:lang w:val="en-GB"/>
        </w:rPr>
        <w:t xml:space="preserve">), the </w:t>
      </w:r>
      <w:r w:rsidR="00561525" w:rsidRPr="00E14060">
        <w:rPr>
          <w:sz w:val="24"/>
          <w:szCs w:val="24"/>
          <w:lang w:val="en-GB"/>
        </w:rPr>
        <w:t xml:space="preserve">posterior </w:t>
      </w:r>
      <w:r w:rsidRPr="00E14060">
        <w:rPr>
          <w:sz w:val="24"/>
          <w:szCs w:val="24"/>
          <w:lang w:val="en-GB"/>
        </w:rPr>
        <w:t xml:space="preserve">probability of being the most tolerable treatment was highest for ATX, followed by LDX, </w:t>
      </w:r>
      <w:r w:rsidR="004247C1" w:rsidRPr="00E14060">
        <w:rPr>
          <w:sz w:val="24"/>
          <w:szCs w:val="24"/>
          <w:lang w:val="en-GB"/>
        </w:rPr>
        <w:t xml:space="preserve">MPH-IR, and </w:t>
      </w:r>
      <w:r w:rsidRPr="00E14060">
        <w:rPr>
          <w:sz w:val="24"/>
          <w:szCs w:val="24"/>
          <w:lang w:val="en-GB"/>
        </w:rPr>
        <w:t>MPH-ER</w:t>
      </w:r>
      <w:r w:rsidR="00F15CB3" w:rsidRPr="00E14060">
        <w:rPr>
          <w:sz w:val="24"/>
          <w:szCs w:val="24"/>
          <w:lang w:val="en-GB"/>
        </w:rPr>
        <w:t>.</w:t>
      </w:r>
      <w:r w:rsidR="00241DBD" w:rsidRPr="00E14060">
        <w:rPr>
          <w:sz w:val="24"/>
          <w:szCs w:val="24"/>
          <w:lang w:val="en-GB"/>
        </w:rPr>
        <w:t xml:space="preserve"> </w:t>
      </w:r>
      <w:r w:rsidR="002911CA" w:rsidRPr="00E14060">
        <w:rPr>
          <w:sz w:val="24"/>
          <w:szCs w:val="24"/>
          <w:lang w:val="en-GB"/>
        </w:rPr>
        <w:t>In all sensitivity analyses, there continued to be overlap in the credible intervals for all four treatments.</w:t>
      </w:r>
    </w:p>
    <w:p w14:paraId="4CC85A1D" w14:textId="77777777" w:rsidR="006058B1" w:rsidRPr="00E14060" w:rsidRDefault="006058B1" w:rsidP="006058B1">
      <w:pPr>
        <w:pStyle w:val="Heading2"/>
        <w:tabs>
          <w:tab w:val="clear" w:pos="936"/>
          <w:tab w:val="clear" w:pos="1152"/>
          <w:tab w:val="left" w:pos="-90"/>
          <w:tab w:val="num" w:pos="0"/>
        </w:tabs>
        <w:ind w:left="0" w:firstLine="0"/>
        <w:rPr>
          <w:color w:val="auto"/>
          <w:lang w:val="en-GB"/>
        </w:rPr>
      </w:pPr>
      <w:bookmarkStart w:id="276" w:name="_Toc384683018"/>
      <w:bookmarkStart w:id="277" w:name="_Toc391913779"/>
      <w:bookmarkStart w:id="278" w:name="_Toc402543849"/>
      <w:r w:rsidRPr="00E14060">
        <w:rPr>
          <w:color w:val="auto"/>
          <w:lang w:val="en-GB"/>
        </w:rPr>
        <w:t>Frequentist analysis results</w:t>
      </w:r>
      <w:bookmarkEnd w:id="276"/>
      <w:bookmarkEnd w:id="277"/>
      <w:bookmarkEnd w:id="278"/>
    </w:p>
    <w:p w14:paraId="3D35DF94" w14:textId="77777777" w:rsidR="006058B1" w:rsidRPr="00E14060" w:rsidRDefault="006058B1" w:rsidP="009375DF">
      <w:pPr>
        <w:spacing w:before="240" w:after="240" w:line="360" w:lineRule="auto"/>
        <w:rPr>
          <w:b/>
          <w:sz w:val="24"/>
          <w:szCs w:val="24"/>
          <w:lang w:val="en-GB"/>
        </w:rPr>
      </w:pPr>
      <w:r w:rsidRPr="00E14060">
        <w:rPr>
          <w:b/>
          <w:sz w:val="24"/>
          <w:szCs w:val="24"/>
          <w:lang w:val="en-GB"/>
        </w:rPr>
        <w:t>ADHD-RS-IV change</w:t>
      </w:r>
    </w:p>
    <w:p w14:paraId="56CF10D3" w14:textId="62BDE73F" w:rsidR="006F46CD" w:rsidRPr="00E14060" w:rsidRDefault="006058B1" w:rsidP="003D7166">
      <w:pPr>
        <w:spacing w:before="240" w:after="240" w:line="360" w:lineRule="auto"/>
        <w:rPr>
          <w:lang w:val="en-GB" w:eastAsia="zh-CN"/>
        </w:rPr>
      </w:pPr>
      <w:r w:rsidRPr="00E14060">
        <w:rPr>
          <w:sz w:val="24"/>
          <w:szCs w:val="24"/>
          <w:lang w:val="en-GB"/>
        </w:rPr>
        <w:t>In the frequentist analysis, the results of the random effects and fixed effects models with combined doses were identical to one another in both mean</w:t>
      </w:r>
      <w:r w:rsidR="00F42747" w:rsidRPr="00E14060">
        <w:rPr>
          <w:sz w:val="24"/>
          <w:szCs w:val="24"/>
          <w:lang w:val="en-GB"/>
        </w:rPr>
        <w:t xml:space="preserve"> </w:t>
      </w:r>
      <w:r w:rsidRPr="00E14060">
        <w:rPr>
          <w:sz w:val="24"/>
          <w:szCs w:val="24"/>
          <w:lang w:val="en-GB"/>
        </w:rPr>
        <w:t>and confidence interval and were similar to the Bayesian fixed effects analysis.</w:t>
      </w:r>
      <w:r w:rsidR="009C1D6A" w:rsidRPr="00E14060">
        <w:rPr>
          <w:sz w:val="24"/>
          <w:szCs w:val="24"/>
          <w:lang w:val="en-GB"/>
        </w:rPr>
        <w:t xml:space="preserve"> For example, in the frequentist analysis, LDX had a mean change of -10.41 and 95% confidence interval of (-12.60, -8.22), while in the Bayesian fixed effects analysis, LDX had a mean change of -10.41 and 95% credible interval of (-12.60, -8.21).</w:t>
      </w:r>
      <w:r w:rsidRPr="00E14060">
        <w:rPr>
          <w:sz w:val="24"/>
          <w:szCs w:val="24"/>
          <w:lang w:val="en-GB"/>
        </w:rPr>
        <w:t xml:space="preserve"> For both random effects and fixed effects, LDX had the greatest ADHD-RS-IV change</w:t>
      </w:r>
      <w:r w:rsidR="00372617" w:rsidRPr="00E14060">
        <w:rPr>
          <w:sz w:val="24"/>
          <w:szCs w:val="24"/>
          <w:lang w:val="en-GB"/>
        </w:rPr>
        <w:t xml:space="preserve"> (-10.41)</w:t>
      </w:r>
      <w:r w:rsidRPr="00E14060">
        <w:rPr>
          <w:sz w:val="24"/>
          <w:szCs w:val="24"/>
          <w:lang w:val="en-GB"/>
        </w:rPr>
        <w:t>, followed by MPH-ER</w:t>
      </w:r>
      <w:r w:rsidR="00372617" w:rsidRPr="00E14060">
        <w:rPr>
          <w:sz w:val="24"/>
          <w:szCs w:val="24"/>
          <w:lang w:val="en-GB"/>
        </w:rPr>
        <w:t xml:space="preserve"> (-6.73)</w:t>
      </w:r>
      <w:r w:rsidRPr="00E14060">
        <w:rPr>
          <w:sz w:val="24"/>
          <w:szCs w:val="24"/>
          <w:lang w:val="en-GB"/>
        </w:rPr>
        <w:t xml:space="preserve"> and ATX</w:t>
      </w:r>
      <w:r w:rsidR="00372617" w:rsidRPr="00E14060">
        <w:rPr>
          <w:sz w:val="24"/>
          <w:szCs w:val="24"/>
          <w:lang w:val="en-GB"/>
        </w:rPr>
        <w:t xml:space="preserve"> (-6.43)</w:t>
      </w:r>
      <w:r w:rsidRPr="00E14060">
        <w:rPr>
          <w:sz w:val="24"/>
          <w:szCs w:val="24"/>
          <w:lang w:val="en-GB"/>
        </w:rPr>
        <w:t>. When adding</w:t>
      </w:r>
      <w:r w:rsidR="00E45DBF" w:rsidRPr="00E14060">
        <w:rPr>
          <w:sz w:val="24"/>
          <w:szCs w:val="24"/>
          <w:lang w:val="en-GB"/>
        </w:rPr>
        <w:t xml:space="preserve"> </w:t>
      </w:r>
      <w:r w:rsidR="006170ED" w:rsidRPr="00E14060">
        <w:rPr>
          <w:sz w:val="24"/>
          <w:szCs w:val="24"/>
          <w:lang w:val="en-GB"/>
        </w:rPr>
        <w:t>in</w:t>
      </w:r>
      <w:r w:rsidR="00E34550" w:rsidRPr="00E14060">
        <w:rPr>
          <w:sz w:val="24"/>
          <w:szCs w:val="24"/>
          <w:lang w:val="en-GB"/>
        </w:rPr>
        <w:t xml:space="preserve"> studies</w:t>
      </w:r>
      <w:r w:rsidR="006170ED" w:rsidRPr="00E14060">
        <w:rPr>
          <w:sz w:val="24"/>
          <w:szCs w:val="24"/>
          <w:lang w:val="en-GB"/>
        </w:rPr>
        <w:t xml:space="preserve"> </w:t>
      </w:r>
      <w:r w:rsidR="00F52D94" w:rsidRPr="00E14060">
        <w:rPr>
          <w:sz w:val="24"/>
          <w:szCs w:val="24"/>
          <w:lang w:val="en-GB"/>
        </w:rPr>
        <w:t>(Spencer 1998 for ATX</w:t>
      </w:r>
      <w:r w:rsidR="00B56D78" w:rsidRPr="00E14060">
        <w:rPr>
          <w:sz w:val="24"/>
          <w:szCs w:val="24"/>
          <w:lang w:val="en-GB"/>
        </w:rPr>
        <w:t xml:space="preserve"> in sensitivity </w:t>
      </w:r>
      <w:r w:rsidR="009C1D6A" w:rsidRPr="00E14060">
        <w:rPr>
          <w:sz w:val="24"/>
          <w:szCs w:val="24"/>
          <w:lang w:val="en-GB"/>
        </w:rPr>
        <w:t xml:space="preserve">analysis </w:t>
      </w:r>
      <w:r w:rsidR="00B56D78" w:rsidRPr="00E14060">
        <w:rPr>
          <w:sz w:val="24"/>
          <w:szCs w:val="24"/>
          <w:lang w:val="en-GB"/>
        </w:rPr>
        <w:t>2</w:t>
      </w:r>
      <w:r w:rsidR="00F52D94" w:rsidRPr="00E14060">
        <w:rPr>
          <w:sz w:val="24"/>
          <w:szCs w:val="24"/>
          <w:lang w:val="en-GB"/>
        </w:rPr>
        <w:t xml:space="preserve">) </w:t>
      </w:r>
      <w:r w:rsidR="009A1574" w:rsidRPr="00E14060">
        <w:rPr>
          <w:sz w:val="24"/>
          <w:szCs w:val="24"/>
          <w:lang w:val="en-GB"/>
        </w:rPr>
        <w:t xml:space="preserve">or </w:t>
      </w:r>
      <w:r w:rsidRPr="00E14060">
        <w:rPr>
          <w:sz w:val="24"/>
          <w:szCs w:val="24"/>
          <w:lang w:val="en-GB"/>
        </w:rPr>
        <w:t>removing studies</w:t>
      </w:r>
      <w:r w:rsidR="009B186A" w:rsidRPr="00E14060">
        <w:rPr>
          <w:sz w:val="24"/>
          <w:szCs w:val="24"/>
          <w:lang w:val="en-GB"/>
        </w:rPr>
        <w:t xml:space="preserve"> (NCT00937040 in sensitivity analysis 4 and </w:t>
      </w:r>
      <w:r w:rsidR="000076E3" w:rsidRPr="00E14060">
        <w:rPr>
          <w:sz w:val="24"/>
          <w:szCs w:val="24"/>
          <w:lang w:val="en-GB"/>
        </w:rPr>
        <w:t>Biederman 2012 for LDX in sensitivity</w:t>
      </w:r>
      <w:r w:rsidR="00680714" w:rsidRPr="00E14060">
        <w:rPr>
          <w:sz w:val="24"/>
          <w:szCs w:val="24"/>
          <w:lang w:val="en-GB"/>
        </w:rPr>
        <w:t xml:space="preserve"> analysis</w:t>
      </w:r>
      <w:r w:rsidR="000076E3" w:rsidRPr="00E14060">
        <w:rPr>
          <w:sz w:val="24"/>
          <w:szCs w:val="24"/>
          <w:lang w:val="en-GB"/>
        </w:rPr>
        <w:t xml:space="preserve"> 5)</w:t>
      </w:r>
      <w:r w:rsidRPr="00E14060">
        <w:rPr>
          <w:sz w:val="24"/>
          <w:szCs w:val="24"/>
          <w:lang w:val="en-GB"/>
        </w:rPr>
        <w:t>, LDX continued to have the greatest ADHD-RS-IV change, followed by either ATX or MPH-ER. When separating out the doses, LDX 70 mg/day had the greatest ADHD-RS-IV change</w:t>
      </w:r>
      <w:r w:rsidR="00A5067B" w:rsidRPr="00E14060">
        <w:rPr>
          <w:sz w:val="24"/>
          <w:szCs w:val="24"/>
          <w:lang w:val="en-GB"/>
        </w:rPr>
        <w:t xml:space="preserve"> (-11.10)</w:t>
      </w:r>
      <w:r w:rsidRPr="00E14060">
        <w:rPr>
          <w:sz w:val="24"/>
          <w:szCs w:val="24"/>
          <w:lang w:val="en-GB"/>
        </w:rPr>
        <w:t>, followed by LDX 50 mg/day</w:t>
      </w:r>
      <w:r w:rsidR="00A5067B" w:rsidRPr="00E14060">
        <w:rPr>
          <w:sz w:val="24"/>
          <w:szCs w:val="24"/>
          <w:lang w:val="en-GB"/>
        </w:rPr>
        <w:t xml:space="preserve"> (-9.66)</w:t>
      </w:r>
      <w:r w:rsidRPr="00E14060">
        <w:rPr>
          <w:sz w:val="24"/>
          <w:szCs w:val="24"/>
          <w:lang w:val="en-GB"/>
        </w:rPr>
        <w:t>, MPH-ER 40 mg/day</w:t>
      </w:r>
      <w:r w:rsidR="00CF0D31" w:rsidRPr="00E14060">
        <w:rPr>
          <w:sz w:val="24"/>
          <w:szCs w:val="24"/>
          <w:lang w:val="en-GB"/>
        </w:rPr>
        <w:t xml:space="preserve"> (-9.00)</w:t>
      </w:r>
      <w:r w:rsidRPr="00E14060">
        <w:rPr>
          <w:sz w:val="24"/>
          <w:szCs w:val="24"/>
          <w:lang w:val="en-GB"/>
        </w:rPr>
        <w:t>, and LDX 30 mg/day</w:t>
      </w:r>
      <w:r w:rsidR="00CF0D31" w:rsidRPr="00E14060">
        <w:rPr>
          <w:sz w:val="24"/>
          <w:szCs w:val="24"/>
          <w:lang w:val="en-GB"/>
        </w:rPr>
        <w:t xml:space="preserve"> (-8.46)</w:t>
      </w:r>
      <w:r w:rsidRPr="00E14060">
        <w:rPr>
          <w:sz w:val="24"/>
          <w:szCs w:val="24"/>
          <w:lang w:val="en-GB"/>
        </w:rPr>
        <w:t>.</w:t>
      </w:r>
      <w:r w:rsidR="00ED1F6C" w:rsidRPr="00E14060">
        <w:rPr>
          <w:sz w:val="24"/>
          <w:szCs w:val="24"/>
          <w:lang w:val="en-GB"/>
        </w:rPr>
        <w:t xml:space="preserve"> No statistically significant separation in the </w:t>
      </w:r>
      <w:r w:rsidR="009C1D6A" w:rsidRPr="00E14060">
        <w:rPr>
          <w:sz w:val="24"/>
          <w:szCs w:val="24"/>
          <w:lang w:val="en-GB"/>
        </w:rPr>
        <w:t>confidence intervals</w:t>
      </w:r>
      <w:r w:rsidR="00ED1F6C" w:rsidRPr="00E14060">
        <w:rPr>
          <w:sz w:val="24"/>
          <w:szCs w:val="24"/>
          <w:lang w:val="en-GB"/>
        </w:rPr>
        <w:t xml:space="preserve"> was found.</w:t>
      </w:r>
    </w:p>
    <w:p w14:paraId="60C5433F" w14:textId="77777777" w:rsidR="006F46CD" w:rsidRPr="00E14060" w:rsidRDefault="00212F8F" w:rsidP="006F46CD">
      <w:pPr>
        <w:pStyle w:val="AGbodytext0"/>
        <w:rPr>
          <w:b/>
          <w:sz w:val="24"/>
          <w:szCs w:val="24"/>
          <w:lang w:eastAsia="zh-CN"/>
        </w:rPr>
      </w:pPr>
      <w:r w:rsidRPr="00E14060">
        <w:rPr>
          <w:b/>
          <w:sz w:val="24"/>
          <w:szCs w:val="24"/>
          <w:lang w:eastAsia="zh-CN"/>
        </w:rPr>
        <w:lastRenderedPageBreak/>
        <w:t>ADHD-RS-IV or AISRS change</w:t>
      </w:r>
    </w:p>
    <w:p w14:paraId="0AB1A480" w14:textId="2A5D45C3" w:rsidR="006F46CD" w:rsidRPr="00E14060" w:rsidRDefault="006F46CD" w:rsidP="006F46CD">
      <w:pPr>
        <w:pStyle w:val="AGbodytext0"/>
        <w:rPr>
          <w:sz w:val="24"/>
          <w:szCs w:val="24"/>
          <w:lang w:eastAsia="zh-CN"/>
        </w:rPr>
      </w:pPr>
      <w:r w:rsidRPr="00E14060">
        <w:rPr>
          <w:sz w:val="24"/>
          <w:szCs w:val="24"/>
          <w:lang w:eastAsia="zh-CN"/>
        </w:rPr>
        <w:t xml:space="preserve">In the frequentist analysis, the results of the random effects and fixed effects models with combined doses were identical to one another in both mean and confidence interval and were similar to the results of the Bayesian </w:t>
      </w:r>
      <w:r w:rsidR="009B3B2E" w:rsidRPr="00E14060">
        <w:rPr>
          <w:sz w:val="24"/>
          <w:szCs w:val="24"/>
          <w:lang w:eastAsia="zh-CN"/>
        </w:rPr>
        <w:t xml:space="preserve">fixed effects </w:t>
      </w:r>
      <w:r w:rsidRPr="00E14060">
        <w:rPr>
          <w:sz w:val="24"/>
          <w:szCs w:val="24"/>
          <w:lang w:eastAsia="zh-CN"/>
        </w:rPr>
        <w:t>analysis. For both random effects and fixed effects, LDX had the greatest ADHD-RS-IV change</w:t>
      </w:r>
      <w:r w:rsidR="00064BFB" w:rsidRPr="00E14060">
        <w:rPr>
          <w:sz w:val="24"/>
          <w:szCs w:val="24"/>
          <w:lang w:eastAsia="zh-CN"/>
        </w:rPr>
        <w:t xml:space="preserve"> (-10.41)</w:t>
      </w:r>
      <w:r w:rsidRPr="00E14060">
        <w:rPr>
          <w:sz w:val="24"/>
          <w:szCs w:val="24"/>
          <w:lang w:eastAsia="zh-CN"/>
        </w:rPr>
        <w:t xml:space="preserve">, followed by MPH-ER </w:t>
      </w:r>
      <w:r w:rsidR="00064BFB" w:rsidRPr="00E14060">
        <w:rPr>
          <w:sz w:val="24"/>
          <w:szCs w:val="24"/>
          <w:lang w:eastAsia="zh-CN"/>
        </w:rPr>
        <w:t xml:space="preserve">(-5.82) </w:t>
      </w:r>
      <w:r w:rsidRPr="00E14060">
        <w:rPr>
          <w:sz w:val="24"/>
          <w:szCs w:val="24"/>
          <w:lang w:eastAsia="zh-CN"/>
        </w:rPr>
        <w:t>and ATX</w:t>
      </w:r>
      <w:r w:rsidR="00064BFB" w:rsidRPr="00E14060">
        <w:rPr>
          <w:sz w:val="24"/>
          <w:szCs w:val="24"/>
          <w:lang w:eastAsia="zh-CN"/>
        </w:rPr>
        <w:t xml:space="preserve"> (-5.47)</w:t>
      </w:r>
      <w:r w:rsidRPr="00E14060">
        <w:rPr>
          <w:sz w:val="24"/>
          <w:szCs w:val="24"/>
          <w:lang w:eastAsia="zh-CN"/>
        </w:rPr>
        <w:t>. These results were statistically significant.</w:t>
      </w:r>
    </w:p>
    <w:p w14:paraId="5C008975" w14:textId="77777777" w:rsidR="006058B1" w:rsidRPr="00E14060" w:rsidRDefault="006058B1" w:rsidP="009375DF">
      <w:pPr>
        <w:spacing w:before="240" w:after="240" w:line="360" w:lineRule="auto"/>
        <w:rPr>
          <w:b/>
          <w:sz w:val="24"/>
          <w:szCs w:val="24"/>
          <w:lang w:val="en-GB"/>
        </w:rPr>
      </w:pPr>
      <w:r w:rsidRPr="00E14060">
        <w:rPr>
          <w:b/>
          <w:sz w:val="24"/>
          <w:szCs w:val="24"/>
          <w:lang w:val="en-GB"/>
        </w:rPr>
        <w:t>CGI-I response</w:t>
      </w:r>
    </w:p>
    <w:p w14:paraId="1BA627DF" w14:textId="3E11A3A0" w:rsidR="006058B1" w:rsidRPr="00E14060" w:rsidRDefault="006058B1" w:rsidP="009375DF">
      <w:pPr>
        <w:spacing w:before="240" w:after="240" w:line="360" w:lineRule="auto"/>
        <w:rPr>
          <w:sz w:val="24"/>
          <w:szCs w:val="24"/>
          <w:lang w:val="en-GB"/>
        </w:rPr>
      </w:pPr>
      <w:r w:rsidRPr="00E14060">
        <w:rPr>
          <w:sz w:val="24"/>
          <w:szCs w:val="24"/>
          <w:lang w:val="en-GB"/>
        </w:rPr>
        <w:t xml:space="preserve">The results of the frequentist random effects and fixed effects combined dose analyses were identical </w:t>
      </w:r>
      <w:r w:rsidR="008F0D6B" w:rsidRPr="00E14060">
        <w:rPr>
          <w:sz w:val="24"/>
          <w:szCs w:val="24"/>
          <w:lang w:val="en-GB"/>
        </w:rPr>
        <w:t xml:space="preserve">to each other </w:t>
      </w:r>
      <w:r w:rsidR="000F142F" w:rsidRPr="00E14060">
        <w:rPr>
          <w:sz w:val="24"/>
          <w:szCs w:val="24"/>
          <w:lang w:val="en-GB"/>
        </w:rPr>
        <w:t>(estimated relative risk of 2.23 for LDX</w:t>
      </w:r>
      <w:r w:rsidR="00BA4DD2" w:rsidRPr="00E14060">
        <w:rPr>
          <w:sz w:val="24"/>
          <w:szCs w:val="24"/>
          <w:lang w:val="en-GB"/>
        </w:rPr>
        <w:t xml:space="preserve"> and 1.80 for MPH-ER</w:t>
      </w:r>
      <w:r w:rsidR="000F142F" w:rsidRPr="00E14060">
        <w:rPr>
          <w:sz w:val="24"/>
          <w:szCs w:val="24"/>
          <w:lang w:val="en-GB"/>
        </w:rPr>
        <w:t xml:space="preserve">) </w:t>
      </w:r>
      <w:r w:rsidRPr="00E14060">
        <w:rPr>
          <w:sz w:val="24"/>
          <w:szCs w:val="24"/>
          <w:lang w:val="en-GB"/>
        </w:rPr>
        <w:t xml:space="preserve">and similar to the </w:t>
      </w:r>
      <w:r w:rsidR="00D16394" w:rsidRPr="00E14060">
        <w:rPr>
          <w:sz w:val="24"/>
          <w:szCs w:val="24"/>
          <w:lang w:val="en-GB"/>
        </w:rPr>
        <w:t xml:space="preserve">results of </w:t>
      </w:r>
      <w:r w:rsidRPr="00E14060">
        <w:rPr>
          <w:sz w:val="24"/>
          <w:szCs w:val="24"/>
          <w:lang w:val="en-GB"/>
        </w:rPr>
        <w:t>Bayesian analysis</w:t>
      </w:r>
      <w:r w:rsidR="00F81338" w:rsidRPr="00E14060">
        <w:rPr>
          <w:sz w:val="24"/>
          <w:szCs w:val="24"/>
          <w:lang w:val="en-GB"/>
        </w:rPr>
        <w:t xml:space="preserve"> (estimated relative risk of 2.18 for LDX</w:t>
      </w:r>
      <w:r w:rsidR="00077C77" w:rsidRPr="00E14060">
        <w:rPr>
          <w:sz w:val="24"/>
          <w:szCs w:val="24"/>
          <w:lang w:val="en-GB"/>
        </w:rPr>
        <w:t xml:space="preserve"> and 1.85 for MPH-ER</w:t>
      </w:r>
      <w:r w:rsidR="00F81338" w:rsidRPr="00E14060">
        <w:rPr>
          <w:sz w:val="24"/>
          <w:szCs w:val="24"/>
          <w:lang w:val="en-GB"/>
        </w:rPr>
        <w:t>)</w:t>
      </w:r>
      <w:r w:rsidRPr="00E14060">
        <w:rPr>
          <w:sz w:val="24"/>
          <w:szCs w:val="24"/>
          <w:lang w:val="en-GB"/>
        </w:rPr>
        <w:t>. For both random effects and fixed effects, LDX had greater efficacy than MPH-ER.</w:t>
      </w:r>
      <w:r w:rsidR="00526ABA" w:rsidRPr="00E14060">
        <w:rPr>
          <w:sz w:val="24"/>
          <w:szCs w:val="24"/>
          <w:lang w:val="en-GB"/>
        </w:rPr>
        <w:t xml:space="preserve"> However, </w:t>
      </w:r>
      <w:r w:rsidR="009C1D6A" w:rsidRPr="00E14060">
        <w:rPr>
          <w:sz w:val="24"/>
          <w:szCs w:val="24"/>
          <w:lang w:val="en-GB"/>
        </w:rPr>
        <w:t>no statistically significant separation in the confidence intervals for LDX and MPH-ER was found</w:t>
      </w:r>
      <w:r w:rsidR="00526ABA" w:rsidRPr="00E14060">
        <w:rPr>
          <w:sz w:val="24"/>
          <w:szCs w:val="24"/>
          <w:lang w:val="en-GB"/>
        </w:rPr>
        <w:t>.</w:t>
      </w:r>
    </w:p>
    <w:p w14:paraId="50544BBC" w14:textId="7D448934" w:rsidR="00E34550" w:rsidRPr="00E14060" w:rsidRDefault="00E34550" w:rsidP="007C2DF4">
      <w:pPr>
        <w:spacing w:before="240" w:after="240" w:line="360" w:lineRule="auto"/>
        <w:rPr>
          <w:sz w:val="24"/>
          <w:szCs w:val="24"/>
          <w:lang w:val="en-GB"/>
        </w:rPr>
      </w:pPr>
      <w:r w:rsidRPr="00E14060">
        <w:rPr>
          <w:sz w:val="24"/>
          <w:szCs w:val="24"/>
          <w:lang w:val="en-GB"/>
        </w:rPr>
        <w:t xml:space="preserve">In a further analysis, CGI-I response data for ATX was extrapolated and added to the network. See </w:t>
      </w:r>
      <w:r w:rsidRPr="00E14060">
        <w:rPr>
          <w:b/>
          <w:sz w:val="24"/>
          <w:szCs w:val="24"/>
          <w:lang w:val="en-GB"/>
        </w:rPr>
        <w:t>Section</w:t>
      </w:r>
      <w:r w:rsidR="007C2DF4" w:rsidRPr="00E14060">
        <w:rPr>
          <w:b/>
          <w:sz w:val="24"/>
          <w:szCs w:val="24"/>
          <w:lang w:val="en-GB"/>
        </w:rPr>
        <w:t> </w:t>
      </w:r>
      <w:r w:rsidR="00976717" w:rsidRPr="00E14060">
        <w:rPr>
          <w:b/>
          <w:sz w:val="24"/>
          <w:szCs w:val="24"/>
          <w:lang w:val="en-GB"/>
        </w:rPr>
        <w:t>5.5.4</w:t>
      </w:r>
      <w:r w:rsidRPr="00E14060">
        <w:rPr>
          <w:sz w:val="24"/>
          <w:szCs w:val="24"/>
          <w:lang w:val="en-GB"/>
        </w:rPr>
        <w:t xml:space="preserve"> for frequentist MTC results incorporating ATX.</w:t>
      </w:r>
    </w:p>
    <w:p w14:paraId="4CEA4E34" w14:textId="77777777" w:rsidR="006058B1" w:rsidRPr="00E14060" w:rsidRDefault="006058B1" w:rsidP="009375DF">
      <w:pPr>
        <w:spacing w:before="240" w:after="240" w:line="360" w:lineRule="auto"/>
        <w:rPr>
          <w:b/>
          <w:sz w:val="24"/>
          <w:szCs w:val="24"/>
          <w:lang w:val="en-GB"/>
        </w:rPr>
      </w:pPr>
      <w:r w:rsidRPr="00E14060">
        <w:rPr>
          <w:b/>
          <w:sz w:val="24"/>
          <w:szCs w:val="24"/>
          <w:lang w:val="en-GB"/>
        </w:rPr>
        <w:t>All-cause discontinuation</w:t>
      </w:r>
    </w:p>
    <w:p w14:paraId="53C6F1BD" w14:textId="583D294F" w:rsidR="006058B1" w:rsidRPr="00E14060" w:rsidRDefault="006058B1" w:rsidP="009375DF">
      <w:pPr>
        <w:spacing w:before="240" w:after="240" w:line="360" w:lineRule="auto"/>
        <w:rPr>
          <w:sz w:val="24"/>
          <w:szCs w:val="24"/>
          <w:lang w:val="en-GB"/>
        </w:rPr>
      </w:pPr>
      <w:r w:rsidRPr="00E14060">
        <w:rPr>
          <w:sz w:val="24"/>
          <w:szCs w:val="24"/>
          <w:lang w:val="en-GB"/>
        </w:rPr>
        <w:t xml:space="preserve">The results of the frequentist random effects and fixed effects combined dose analyses were </w:t>
      </w:r>
      <w:r w:rsidR="00364569" w:rsidRPr="00E14060">
        <w:rPr>
          <w:sz w:val="24"/>
          <w:szCs w:val="24"/>
          <w:lang w:val="en-GB"/>
        </w:rPr>
        <w:t>similar. They were also</w:t>
      </w:r>
      <w:r w:rsidRPr="00E14060">
        <w:rPr>
          <w:sz w:val="24"/>
          <w:szCs w:val="24"/>
          <w:lang w:val="en-GB"/>
        </w:rPr>
        <w:t xml:space="preserve"> similar to the Bayesian analysis. For </w:t>
      </w:r>
      <w:r w:rsidR="00425C7A" w:rsidRPr="00E14060">
        <w:rPr>
          <w:sz w:val="24"/>
          <w:szCs w:val="24"/>
          <w:lang w:val="en-GB"/>
        </w:rPr>
        <w:t>the random effects core analysis</w:t>
      </w:r>
      <w:r w:rsidRPr="00E14060">
        <w:rPr>
          <w:sz w:val="24"/>
          <w:szCs w:val="24"/>
          <w:lang w:val="en-GB"/>
        </w:rPr>
        <w:t xml:space="preserve">, LDX had the lowest </w:t>
      </w:r>
      <w:r w:rsidR="002163E3" w:rsidRPr="00E14060">
        <w:rPr>
          <w:sz w:val="24"/>
          <w:szCs w:val="24"/>
          <w:lang w:val="en-GB"/>
        </w:rPr>
        <w:t>relative risk</w:t>
      </w:r>
      <w:r w:rsidR="006B4295" w:rsidRPr="00E14060">
        <w:rPr>
          <w:sz w:val="24"/>
          <w:szCs w:val="24"/>
          <w:lang w:val="en-GB"/>
        </w:rPr>
        <w:t xml:space="preserve"> (0.83)</w:t>
      </w:r>
      <w:r w:rsidR="002163E3" w:rsidRPr="00E14060">
        <w:rPr>
          <w:sz w:val="24"/>
          <w:szCs w:val="24"/>
          <w:lang w:val="en-GB"/>
        </w:rPr>
        <w:t xml:space="preserve"> </w:t>
      </w:r>
      <w:r w:rsidRPr="00E14060">
        <w:rPr>
          <w:sz w:val="24"/>
          <w:szCs w:val="24"/>
          <w:lang w:val="en-GB"/>
        </w:rPr>
        <w:t>for all-cause discontinuation, followed by MPH-IR</w:t>
      </w:r>
      <w:r w:rsidR="006B4295" w:rsidRPr="00E14060">
        <w:rPr>
          <w:sz w:val="24"/>
          <w:szCs w:val="24"/>
          <w:lang w:val="en-GB"/>
        </w:rPr>
        <w:t xml:space="preserve"> (1.05)</w:t>
      </w:r>
      <w:r w:rsidRPr="00E14060">
        <w:rPr>
          <w:sz w:val="24"/>
          <w:szCs w:val="24"/>
          <w:lang w:val="en-GB"/>
        </w:rPr>
        <w:t xml:space="preserve">, </w:t>
      </w:r>
      <w:r w:rsidR="002163E3" w:rsidRPr="00E14060">
        <w:rPr>
          <w:sz w:val="24"/>
          <w:szCs w:val="24"/>
          <w:lang w:val="en-GB"/>
        </w:rPr>
        <w:t>ATX</w:t>
      </w:r>
      <w:r w:rsidR="006B4295" w:rsidRPr="00E14060">
        <w:rPr>
          <w:sz w:val="24"/>
          <w:szCs w:val="24"/>
          <w:lang w:val="en-GB"/>
        </w:rPr>
        <w:t xml:space="preserve"> (1.09)</w:t>
      </w:r>
      <w:r w:rsidR="002163E3" w:rsidRPr="00E14060">
        <w:rPr>
          <w:sz w:val="24"/>
          <w:szCs w:val="24"/>
          <w:lang w:val="en-GB"/>
        </w:rPr>
        <w:t xml:space="preserve">, and </w:t>
      </w:r>
      <w:r w:rsidRPr="00E14060">
        <w:rPr>
          <w:sz w:val="24"/>
          <w:szCs w:val="24"/>
          <w:lang w:val="en-GB"/>
        </w:rPr>
        <w:t>MPH-ER</w:t>
      </w:r>
      <w:r w:rsidR="006B4295" w:rsidRPr="00E14060">
        <w:rPr>
          <w:sz w:val="24"/>
          <w:szCs w:val="24"/>
          <w:lang w:val="en-GB"/>
        </w:rPr>
        <w:t xml:space="preserve"> (1.11)</w:t>
      </w:r>
      <w:r w:rsidRPr="00E14060">
        <w:rPr>
          <w:sz w:val="24"/>
          <w:szCs w:val="24"/>
          <w:lang w:val="en-GB"/>
        </w:rPr>
        <w:t>.</w:t>
      </w:r>
      <w:r w:rsidR="00425C7A" w:rsidRPr="00E14060">
        <w:rPr>
          <w:sz w:val="24"/>
          <w:szCs w:val="24"/>
          <w:lang w:val="en-GB"/>
        </w:rPr>
        <w:t xml:space="preserve"> This ranking of treatments was the same for sensitivity analys</w:t>
      </w:r>
      <w:r w:rsidR="00797591" w:rsidRPr="00E14060">
        <w:rPr>
          <w:sz w:val="24"/>
          <w:szCs w:val="24"/>
          <w:lang w:val="en-GB"/>
        </w:rPr>
        <w:t>i</w:t>
      </w:r>
      <w:r w:rsidR="00425C7A" w:rsidRPr="00E14060">
        <w:rPr>
          <w:sz w:val="24"/>
          <w:szCs w:val="24"/>
          <w:lang w:val="en-GB"/>
        </w:rPr>
        <w:t>s excluding young adult studies.</w:t>
      </w:r>
      <w:r w:rsidR="00797591" w:rsidRPr="00E14060">
        <w:rPr>
          <w:sz w:val="24"/>
          <w:szCs w:val="24"/>
          <w:lang w:val="en-GB"/>
        </w:rPr>
        <w:t xml:space="preserve"> In the fixed effects model, </w:t>
      </w:r>
      <w:r w:rsidR="003D7CF3" w:rsidRPr="00E14060">
        <w:rPr>
          <w:sz w:val="24"/>
          <w:szCs w:val="24"/>
          <w:lang w:val="en-GB"/>
        </w:rPr>
        <w:t xml:space="preserve">LDX has the lowest relative risk </w:t>
      </w:r>
      <w:r w:rsidR="001164C5" w:rsidRPr="00E14060">
        <w:rPr>
          <w:sz w:val="24"/>
          <w:szCs w:val="24"/>
          <w:lang w:val="en-GB"/>
        </w:rPr>
        <w:t>(</w:t>
      </w:r>
      <w:r w:rsidR="003D7CF3" w:rsidRPr="00E14060">
        <w:rPr>
          <w:sz w:val="24"/>
          <w:szCs w:val="24"/>
          <w:lang w:val="en-GB"/>
        </w:rPr>
        <w:t>0.80</w:t>
      </w:r>
      <w:r w:rsidR="001164C5" w:rsidRPr="00E14060">
        <w:rPr>
          <w:sz w:val="24"/>
          <w:szCs w:val="24"/>
          <w:lang w:val="en-GB"/>
        </w:rPr>
        <w:t>)</w:t>
      </w:r>
      <w:r w:rsidR="003D7CF3" w:rsidRPr="00E14060">
        <w:rPr>
          <w:sz w:val="24"/>
          <w:szCs w:val="24"/>
          <w:lang w:val="en-GB"/>
        </w:rPr>
        <w:t>, followed by MPH-</w:t>
      </w:r>
      <w:r w:rsidR="006E5C12" w:rsidRPr="00E14060">
        <w:rPr>
          <w:sz w:val="24"/>
          <w:szCs w:val="24"/>
          <w:lang w:val="en-GB"/>
        </w:rPr>
        <w:t xml:space="preserve">IR </w:t>
      </w:r>
      <w:r w:rsidR="003D7CF3" w:rsidRPr="00E14060">
        <w:rPr>
          <w:sz w:val="24"/>
          <w:szCs w:val="24"/>
          <w:lang w:val="en-GB"/>
        </w:rPr>
        <w:t xml:space="preserve">(1.05) and </w:t>
      </w:r>
      <w:r w:rsidR="006E5C12" w:rsidRPr="00E14060">
        <w:rPr>
          <w:sz w:val="24"/>
          <w:szCs w:val="24"/>
          <w:lang w:val="en-GB"/>
        </w:rPr>
        <w:t>MPH</w:t>
      </w:r>
      <w:r w:rsidR="003D7CF3" w:rsidRPr="00E14060">
        <w:rPr>
          <w:sz w:val="24"/>
          <w:szCs w:val="24"/>
          <w:lang w:val="en-GB"/>
        </w:rPr>
        <w:t>-</w:t>
      </w:r>
      <w:r w:rsidR="006E5C12" w:rsidRPr="00E14060">
        <w:rPr>
          <w:sz w:val="24"/>
          <w:szCs w:val="24"/>
          <w:lang w:val="en-GB"/>
        </w:rPr>
        <w:t xml:space="preserve">ER </w:t>
      </w:r>
      <w:r w:rsidR="003D7CF3" w:rsidRPr="00E14060">
        <w:rPr>
          <w:sz w:val="24"/>
          <w:szCs w:val="24"/>
          <w:lang w:val="en-GB"/>
        </w:rPr>
        <w:t>(1.05), and then by ATX (1.18).</w:t>
      </w:r>
      <w:r w:rsidR="00425C7A" w:rsidRPr="00E14060">
        <w:rPr>
          <w:sz w:val="24"/>
          <w:szCs w:val="24"/>
          <w:lang w:val="en-GB"/>
        </w:rPr>
        <w:t xml:space="preserve"> </w:t>
      </w:r>
      <w:r w:rsidR="00ED1F6C" w:rsidRPr="00E14060">
        <w:rPr>
          <w:sz w:val="24"/>
          <w:szCs w:val="24"/>
          <w:lang w:val="en-GB"/>
        </w:rPr>
        <w:t xml:space="preserve">No statistically significant separation in the </w:t>
      </w:r>
      <w:r w:rsidR="006E5C12" w:rsidRPr="00E14060">
        <w:rPr>
          <w:sz w:val="24"/>
          <w:szCs w:val="24"/>
          <w:lang w:val="en-GB"/>
        </w:rPr>
        <w:t>confidence intervals</w:t>
      </w:r>
      <w:r w:rsidR="00ED1F6C" w:rsidRPr="00E14060">
        <w:rPr>
          <w:sz w:val="24"/>
          <w:szCs w:val="24"/>
          <w:lang w:val="en-GB"/>
        </w:rPr>
        <w:t xml:space="preserve"> was found.</w:t>
      </w:r>
    </w:p>
    <w:p w14:paraId="1234B921" w14:textId="77777777" w:rsidR="006058B1" w:rsidRPr="00E14060" w:rsidRDefault="006058B1" w:rsidP="009375DF">
      <w:pPr>
        <w:spacing w:before="240" w:after="240" w:line="360" w:lineRule="auto"/>
        <w:rPr>
          <w:b/>
          <w:sz w:val="24"/>
          <w:szCs w:val="24"/>
          <w:lang w:val="en-GB"/>
        </w:rPr>
      </w:pPr>
      <w:r w:rsidRPr="00E14060">
        <w:rPr>
          <w:b/>
          <w:sz w:val="24"/>
          <w:szCs w:val="24"/>
          <w:lang w:val="en-GB"/>
        </w:rPr>
        <w:t>Discontinuation due to adverse events</w:t>
      </w:r>
    </w:p>
    <w:p w14:paraId="0BAED5D2" w14:textId="37499BA4" w:rsidR="006058B1" w:rsidRPr="00E14060" w:rsidRDefault="006058B1" w:rsidP="009375DF">
      <w:pPr>
        <w:spacing w:before="240" w:after="240" w:line="360" w:lineRule="auto"/>
        <w:rPr>
          <w:sz w:val="24"/>
          <w:szCs w:val="24"/>
          <w:lang w:val="en-GB"/>
        </w:rPr>
      </w:pPr>
      <w:r w:rsidRPr="00E14060">
        <w:rPr>
          <w:sz w:val="24"/>
          <w:szCs w:val="24"/>
          <w:lang w:val="en-GB"/>
        </w:rPr>
        <w:lastRenderedPageBreak/>
        <w:t>The results of the frequentist random effects and fixed effects combined dose analyses were identical</w:t>
      </w:r>
      <w:r w:rsidR="00425C7A" w:rsidRPr="00E14060">
        <w:rPr>
          <w:sz w:val="24"/>
          <w:szCs w:val="24"/>
          <w:lang w:val="en-GB"/>
        </w:rPr>
        <w:t>.</w:t>
      </w:r>
      <w:r w:rsidRPr="00E14060">
        <w:rPr>
          <w:sz w:val="24"/>
          <w:szCs w:val="24"/>
          <w:lang w:val="en-GB"/>
        </w:rPr>
        <w:t xml:space="preserve"> </w:t>
      </w:r>
      <w:r w:rsidR="00425C7A" w:rsidRPr="00E14060">
        <w:rPr>
          <w:sz w:val="24"/>
          <w:szCs w:val="24"/>
          <w:lang w:val="en-GB"/>
        </w:rPr>
        <w:t>The relative risks for the ATX and MPH-ER arms were similar to the relative risks in the</w:t>
      </w:r>
      <w:r w:rsidRPr="00E14060">
        <w:rPr>
          <w:sz w:val="24"/>
          <w:szCs w:val="24"/>
          <w:lang w:val="en-GB"/>
        </w:rPr>
        <w:t xml:space="preserve"> fixed effects Bayesian analysis</w:t>
      </w:r>
      <w:r w:rsidR="008D12B5" w:rsidRPr="00E14060">
        <w:rPr>
          <w:sz w:val="24"/>
          <w:szCs w:val="24"/>
          <w:lang w:val="en-GB"/>
        </w:rPr>
        <w:t>, while the</w:t>
      </w:r>
      <w:r w:rsidR="00425C7A" w:rsidRPr="00E14060">
        <w:rPr>
          <w:sz w:val="24"/>
          <w:szCs w:val="24"/>
          <w:lang w:val="en-GB"/>
        </w:rPr>
        <w:t xml:space="preserve"> relative risks for LDX and MPH-IR were lower </w:t>
      </w:r>
      <w:r w:rsidR="00592ACE" w:rsidRPr="00E14060">
        <w:rPr>
          <w:sz w:val="24"/>
          <w:szCs w:val="24"/>
          <w:lang w:val="en-GB"/>
        </w:rPr>
        <w:t xml:space="preserve">than </w:t>
      </w:r>
      <w:r w:rsidR="00425C7A" w:rsidRPr="00E14060">
        <w:rPr>
          <w:sz w:val="24"/>
          <w:szCs w:val="24"/>
          <w:lang w:val="en-GB"/>
        </w:rPr>
        <w:t>in the fixed effects Bayesian analysis</w:t>
      </w:r>
      <w:r w:rsidRPr="00E14060">
        <w:rPr>
          <w:sz w:val="24"/>
          <w:szCs w:val="24"/>
          <w:lang w:val="en-GB"/>
        </w:rPr>
        <w:t xml:space="preserve">. </w:t>
      </w:r>
      <w:r w:rsidR="008D12B5" w:rsidRPr="00E14060">
        <w:rPr>
          <w:sz w:val="24"/>
          <w:szCs w:val="24"/>
          <w:lang w:val="en-GB"/>
        </w:rPr>
        <w:t>For both random effects and fixed effects</w:t>
      </w:r>
      <w:r w:rsidRPr="00E14060">
        <w:rPr>
          <w:sz w:val="24"/>
          <w:szCs w:val="24"/>
          <w:lang w:val="en-GB"/>
        </w:rPr>
        <w:t xml:space="preserve">, ATX had the lowest </w:t>
      </w:r>
      <w:r w:rsidR="00425C7A" w:rsidRPr="00E14060">
        <w:rPr>
          <w:sz w:val="24"/>
          <w:szCs w:val="24"/>
          <w:lang w:val="en-GB"/>
        </w:rPr>
        <w:t xml:space="preserve">relative risk </w:t>
      </w:r>
      <w:r w:rsidRPr="00E14060">
        <w:rPr>
          <w:sz w:val="24"/>
          <w:szCs w:val="24"/>
          <w:lang w:val="en-GB"/>
        </w:rPr>
        <w:t>for adverse events discontinuation</w:t>
      </w:r>
      <w:r w:rsidR="00425C7A" w:rsidRPr="00E14060">
        <w:rPr>
          <w:sz w:val="24"/>
          <w:szCs w:val="24"/>
          <w:lang w:val="en-GB"/>
        </w:rPr>
        <w:t xml:space="preserve"> (2.44)</w:t>
      </w:r>
      <w:r w:rsidRPr="00E14060">
        <w:rPr>
          <w:sz w:val="24"/>
          <w:szCs w:val="24"/>
          <w:lang w:val="en-GB"/>
        </w:rPr>
        <w:t>, followed by MPH-ER</w:t>
      </w:r>
      <w:r w:rsidR="00425C7A" w:rsidRPr="00E14060">
        <w:rPr>
          <w:sz w:val="24"/>
          <w:szCs w:val="24"/>
          <w:lang w:val="en-GB"/>
        </w:rPr>
        <w:t xml:space="preserve"> (2.59)</w:t>
      </w:r>
      <w:r w:rsidRPr="00E14060">
        <w:rPr>
          <w:sz w:val="24"/>
          <w:szCs w:val="24"/>
          <w:lang w:val="en-GB"/>
        </w:rPr>
        <w:t>, LDX</w:t>
      </w:r>
      <w:r w:rsidR="00425C7A" w:rsidRPr="00E14060">
        <w:rPr>
          <w:sz w:val="24"/>
          <w:szCs w:val="24"/>
          <w:lang w:val="en-GB"/>
        </w:rPr>
        <w:t xml:space="preserve"> (2.73)</w:t>
      </w:r>
      <w:r w:rsidRPr="00E14060">
        <w:rPr>
          <w:sz w:val="24"/>
          <w:szCs w:val="24"/>
          <w:lang w:val="en-GB"/>
        </w:rPr>
        <w:t>, and MPH-IR</w:t>
      </w:r>
      <w:r w:rsidR="00425C7A" w:rsidRPr="00E14060">
        <w:rPr>
          <w:sz w:val="24"/>
          <w:szCs w:val="24"/>
          <w:lang w:val="en-GB"/>
        </w:rPr>
        <w:t xml:space="preserve"> (3.23)</w:t>
      </w:r>
      <w:r w:rsidRPr="00E14060">
        <w:rPr>
          <w:sz w:val="24"/>
          <w:szCs w:val="24"/>
          <w:lang w:val="en-GB"/>
        </w:rPr>
        <w:t>.</w:t>
      </w:r>
      <w:r w:rsidR="00241DBD" w:rsidRPr="00E14060">
        <w:rPr>
          <w:sz w:val="24"/>
          <w:szCs w:val="24"/>
          <w:lang w:val="en-GB"/>
        </w:rPr>
        <w:t xml:space="preserve"> </w:t>
      </w:r>
      <w:r w:rsidR="00662CCE" w:rsidRPr="00E14060">
        <w:rPr>
          <w:sz w:val="24"/>
          <w:szCs w:val="24"/>
          <w:lang w:val="en-GB"/>
        </w:rPr>
        <w:t>In the</w:t>
      </w:r>
      <w:r w:rsidR="00425C7A" w:rsidRPr="00E14060">
        <w:rPr>
          <w:sz w:val="24"/>
          <w:szCs w:val="24"/>
          <w:lang w:val="en-GB"/>
        </w:rPr>
        <w:t xml:space="preserve"> sensitivity analys</w:t>
      </w:r>
      <w:r w:rsidR="00662CCE" w:rsidRPr="00E14060">
        <w:rPr>
          <w:sz w:val="24"/>
          <w:szCs w:val="24"/>
          <w:lang w:val="en-GB"/>
        </w:rPr>
        <w:t>i</w:t>
      </w:r>
      <w:r w:rsidR="00425C7A" w:rsidRPr="00E14060">
        <w:rPr>
          <w:sz w:val="24"/>
          <w:szCs w:val="24"/>
          <w:lang w:val="en-GB"/>
        </w:rPr>
        <w:t>s excluding young adult studies</w:t>
      </w:r>
      <w:r w:rsidR="00662CCE" w:rsidRPr="00E14060">
        <w:rPr>
          <w:sz w:val="24"/>
          <w:szCs w:val="24"/>
          <w:lang w:val="en-GB"/>
        </w:rPr>
        <w:t>, ATX had the lowest relative risk (2.29), followed by MPH-ER (2.58), MHP-IR (3.23), and LDX (3.27)</w:t>
      </w:r>
      <w:r w:rsidR="00425C7A" w:rsidRPr="00E14060">
        <w:rPr>
          <w:sz w:val="24"/>
          <w:szCs w:val="24"/>
          <w:lang w:val="en-GB"/>
        </w:rPr>
        <w:t>.</w:t>
      </w:r>
      <w:r w:rsidRPr="00E14060">
        <w:rPr>
          <w:sz w:val="24"/>
          <w:szCs w:val="24"/>
          <w:lang w:val="en-GB"/>
        </w:rPr>
        <w:t xml:space="preserve"> </w:t>
      </w:r>
      <w:r w:rsidR="00ED1F6C" w:rsidRPr="00E14060">
        <w:rPr>
          <w:sz w:val="24"/>
          <w:szCs w:val="24"/>
          <w:lang w:val="en-GB"/>
        </w:rPr>
        <w:t>No statistically significant separation in the credible intervals was found.</w:t>
      </w:r>
    </w:p>
    <w:p w14:paraId="4D4DA0EC" w14:textId="77777777" w:rsidR="0004428D" w:rsidRPr="00E14060" w:rsidRDefault="001A1109" w:rsidP="0004428D">
      <w:pPr>
        <w:pStyle w:val="Heading2"/>
        <w:tabs>
          <w:tab w:val="clear" w:pos="936"/>
          <w:tab w:val="clear" w:pos="1152"/>
          <w:tab w:val="left" w:pos="-90"/>
          <w:tab w:val="num" w:pos="0"/>
        </w:tabs>
        <w:ind w:left="0" w:firstLine="0"/>
        <w:rPr>
          <w:color w:val="auto"/>
          <w:lang w:val="en-GB"/>
        </w:rPr>
      </w:pPr>
      <w:bookmarkStart w:id="279" w:name="_Toc402543850"/>
      <w:r w:rsidRPr="00E14060">
        <w:rPr>
          <w:color w:val="auto"/>
          <w:lang w:val="en-GB"/>
        </w:rPr>
        <w:t>Heterogeneity and inconsisten</w:t>
      </w:r>
      <w:r w:rsidR="00D85691" w:rsidRPr="00E14060">
        <w:rPr>
          <w:color w:val="auto"/>
          <w:lang w:val="en-GB"/>
        </w:rPr>
        <w:t>c</w:t>
      </w:r>
      <w:r w:rsidRPr="00E14060">
        <w:rPr>
          <w:color w:val="auto"/>
          <w:lang w:val="en-GB"/>
        </w:rPr>
        <w:t>y assessments</w:t>
      </w:r>
      <w:bookmarkEnd w:id="279"/>
    </w:p>
    <w:p w14:paraId="36234A16" w14:textId="77777777" w:rsidR="00B303EC" w:rsidRPr="00E14060" w:rsidRDefault="00B303EC" w:rsidP="00B303EC">
      <w:pPr>
        <w:pStyle w:val="BMSBodyText"/>
        <w:rPr>
          <w:color w:val="auto"/>
          <w:szCs w:val="24"/>
          <w:lang w:val="en-GB"/>
        </w:rPr>
      </w:pPr>
      <w:r w:rsidRPr="00E14060">
        <w:rPr>
          <w:color w:val="auto"/>
          <w:szCs w:val="24"/>
          <w:lang w:val="en-GB"/>
        </w:rPr>
        <w:t>In accordance with NICE guidelines on the assessment of heterogeneity, I</w:t>
      </w:r>
      <w:r w:rsidRPr="00E14060">
        <w:rPr>
          <w:color w:val="auto"/>
          <w:szCs w:val="24"/>
          <w:vertAlign w:val="superscript"/>
          <w:lang w:val="en-GB"/>
        </w:rPr>
        <w:t>2</w:t>
      </w:r>
      <w:r w:rsidRPr="00E14060">
        <w:rPr>
          <w:color w:val="auto"/>
          <w:szCs w:val="24"/>
          <w:lang w:val="en-GB"/>
        </w:rPr>
        <w:t xml:space="preserve"> and Cochran’s Q statistics were calculated for trials comparing LDX and placebo in the core analyses for the efficacy outcomes</w:t>
      </w:r>
      <w:r w:rsidR="00433B92" w:rsidRPr="00E14060">
        <w:rPr>
          <w:color w:val="auto"/>
          <w:szCs w:val="24"/>
          <w:lang w:val="en-GB"/>
        </w:rPr>
        <w:t xml:space="preserve"> ADHD-RS-IV and CGI-I response</w:t>
      </w:r>
      <w:r w:rsidRPr="00E14060">
        <w:rPr>
          <w:color w:val="auto"/>
          <w:szCs w:val="24"/>
          <w:lang w:val="en-GB"/>
        </w:rPr>
        <w:t xml:space="preserve"> (</w:t>
      </w:r>
      <w:r w:rsidRPr="00E14060">
        <w:rPr>
          <w:b/>
          <w:color w:val="auto"/>
          <w:szCs w:val="24"/>
          <w:lang w:val="en-GB"/>
        </w:rPr>
        <w:t>Table 7</w:t>
      </w:r>
      <w:r w:rsidRPr="00E14060">
        <w:rPr>
          <w:color w:val="auto"/>
          <w:szCs w:val="24"/>
          <w:lang w:val="en-GB"/>
        </w:rPr>
        <w:t>). The Q statistic, which tests for the presence of heterogeneity, is not statistically significant as indicated by the p-value for both ADHD-RS-IV and CGI-I. I</w:t>
      </w:r>
      <w:r w:rsidRPr="00E14060">
        <w:rPr>
          <w:color w:val="auto"/>
          <w:szCs w:val="24"/>
          <w:vertAlign w:val="superscript"/>
          <w:lang w:val="en-GB"/>
        </w:rPr>
        <w:t>2</w:t>
      </w:r>
      <w:r w:rsidRPr="00E14060">
        <w:rPr>
          <w:color w:val="auto"/>
          <w:szCs w:val="24"/>
          <w:lang w:val="en-GB"/>
        </w:rPr>
        <w:t xml:space="preserve">, which measures the degree of heterogeneity, is zero for both ADHD-RS-IV and CGI-I in the core analyses. This suggests that the source of variability in effect size estimates is the sampling error within studies, rather than between-study differences (Huedo-Medina et al, 2006). </w:t>
      </w:r>
    </w:p>
    <w:p w14:paraId="02DE0B5B" w14:textId="77777777" w:rsidR="00B303EC" w:rsidRPr="00E14060" w:rsidRDefault="00B303EC" w:rsidP="00B303EC">
      <w:pPr>
        <w:spacing w:beforeLines="240" w:before="576" w:afterLines="240" w:after="576" w:line="360" w:lineRule="auto"/>
        <w:rPr>
          <w:sz w:val="24"/>
          <w:szCs w:val="24"/>
          <w:lang w:val="en-GB"/>
        </w:rPr>
      </w:pPr>
      <w:r w:rsidRPr="00E14060">
        <w:rPr>
          <w:sz w:val="24"/>
          <w:szCs w:val="24"/>
          <w:lang w:val="en-GB"/>
        </w:rPr>
        <w:t>The DIC was also compared between fixed effects and random effects models</w:t>
      </w:r>
      <w:r w:rsidR="00433B92" w:rsidRPr="00E14060">
        <w:rPr>
          <w:sz w:val="24"/>
          <w:szCs w:val="24"/>
          <w:lang w:val="en-GB"/>
        </w:rPr>
        <w:t xml:space="preserve"> for the ADHD-RS-IV, CGI-I, and ADHD-RS-IV/AISRS networks</w:t>
      </w:r>
      <w:r w:rsidRPr="00E14060">
        <w:rPr>
          <w:sz w:val="24"/>
          <w:szCs w:val="24"/>
          <w:lang w:val="en-GB"/>
        </w:rPr>
        <w:t xml:space="preserve">. Again, the results were qualitatively similar for both </w:t>
      </w:r>
      <w:r w:rsidR="00433B92" w:rsidRPr="00E14060">
        <w:rPr>
          <w:sz w:val="24"/>
          <w:szCs w:val="24"/>
          <w:lang w:val="en-GB"/>
        </w:rPr>
        <w:t>all three efficacy outcomes</w:t>
      </w:r>
      <w:r w:rsidRPr="00E14060">
        <w:rPr>
          <w:sz w:val="24"/>
          <w:szCs w:val="24"/>
          <w:lang w:val="en-GB"/>
        </w:rPr>
        <w:t xml:space="preserve"> (</w:t>
      </w:r>
      <w:r w:rsidRPr="00E14060">
        <w:rPr>
          <w:b/>
          <w:sz w:val="24"/>
          <w:szCs w:val="24"/>
          <w:lang w:val="en-GB"/>
        </w:rPr>
        <w:t>Table 8</w:t>
      </w:r>
      <w:r w:rsidRPr="00E14060">
        <w:rPr>
          <w:sz w:val="24"/>
          <w:szCs w:val="24"/>
          <w:lang w:val="en-GB"/>
        </w:rPr>
        <w:t>). Specifically, the fixed effects model had a lower DIC, and thus a better fit, than the random effects model in each case, indicating that heterogeneity is low in the network overall. In addition, the two types of models produced very similar estimates. The random effects models represent a more conservative choice.</w:t>
      </w:r>
    </w:p>
    <w:p w14:paraId="7844BF30" w14:textId="40416C04" w:rsidR="00976717" w:rsidRPr="00E14060" w:rsidRDefault="00475369" w:rsidP="00B303EC">
      <w:pPr>
        <w:spacing w:beforeLines="240" w:before="576" w:afterLines="240" w:after="576" w:line="360" w:lineRule="auto"/>
        <w:rPr>
          <w:sz w:val="24"/>
          <w:szCs w:val="24"/>
          <w:lang w:val="en-GB"/>
        </w:rPr>
      </w:pPr>
      <w:r w:rsidRPr="00E14060">
        <w:rPr>
          <w:sz w:val="24"/>
          <w:szCs w:val="24"/>
          <w:lang w:val="en-GB"/>
        </w:rPr>
        <w:lastRenderedPageBreak/>
        <w:t>The e</w:t>
      </w:r>
      <w:r w:rsidR="001B3F87" w:rsidRPr="00E14060">
        <w:rPr>
          <w:sz w:val="24"/>
          <w:szCs w:val="24"/>
          <w:lang w:val="en-GB"/>
        </w:rPr>
        <w:t xml:space="preserve">vidence network for ADHD-RS-IV included only one loop </w:t>
      </w:r>
      <w:r w:rsidR="001B3F87" w:rsidRPr="00E14060">
        <w:rPr>
          <w:szCs w:val="24"/>
          <w:lang w:val="en-GB"/>
        </w:rPr>
        <w:t xml:space="preserve">that </w:t>
      </w:r>
      <w:r w:rsidR="001B3F87" w:rsidRPr="00E14060">
        <w:rPr>
          <w:sz w:val="24"/>
          <w:szCs w:val="24"/>
          <w:lang w:val="en-GB"/>
        </w:rPr>
        <w:t>had both direct and indirect evidence comparing ATX and MPH (</w:t>
      </w:r>
      <w:r w:rsidR="001B3F87" w:rsidRPr="00E14060">
        <w:rPr>
          <w:b/>
          <w:sz w:val="24"/>
          <w:szCs w:val="24"/>
          <w:lang w:val="en-GB"/>
        </w:rPr>
        <w:t xml:space="preserve">Figure </w:t>
      </w:r>
      <w:r w:rsidR="00976717" w:rsidRPr="00E14060">
        <w:rPr>
          <w:b/>
          <w:sz w:val="24"/>
          <w:szCs w:val="24"/>
          <w:lang w:val="en-GB"/>
        </w:rPr>
        <w:t>2</w:t>
      </w:r>
      <w:r w:rsidR="001B3F87" w:rsidRPr="00E14060">
        <w:rPr>
          <w:sz w:val="24"/>
          <w:szCs w:val="24"/>
          <w:lang w:val="en-GB"/>
        </w:rPr>
        <w:t>). Following NICE guidelines, the Bucher method was applied to this section of network to evaluate inconsistency (Dias et al, 2011). S</w:t>
      </w:r>
      <w:r w:rsidR="00B303EC" w:rsidRPr="00E14060">
        <w:rPr>
          <w:sz w:val="24"/>
          <w:szCs w:val="24"/>
          <w:lang w:val="en-GB"/>
        </w:rPr>
        <w:t xml:space="preserve">pecifically, a two-stage assessment was conducted: </w:t>
      </w:r>
      <w:r w:rsidRPr="00E14060">
        <w:rPr>
          <w:sz w:val="24"/>
          <w:szCs w:val="24"/>
          <w:lang w:val="en-GB"/>
        </w:rPr>
        <w:t>t</w:t>
      </w:r>
      <w:r w:rsidR="00B303EC" w:rsidRPr="00E14060">
        <w:rPr>
          <w:sz w:val="24"/>
          <w:szCs w:val="24"/>
          <w:lang w:val="en-GB"/>
        </w:rPr>
        <w:t xml:space="preserve">he first stage involved measuring and synthesizing the </w:t>
      </w:r>
      <w:r w:rsidR="00F96199" w:rsidRPr="00E14060">
        <w:rPr>
          <w:sz w:val="24"/>
          <w:szCs w:val="24"/>
          <w:lang w:val="en-GB"/>
        </w:rPr>
        <w:t xml:space="preserve">indirect </w:t>
      </w:r>
      <w:r w:rsidR="00B303EC" w:rsidRPr="00E14060">
        <w:rPr>
          <w:sz w:val="24"/>
          <w:szCs w:val="24"/>
          <w:lang w:val="en-GB"/>
        </w:rPr>
        <w:t xml:space="preserve">treatment effect </w:t>
      </w:r>
      <w:r w:rsidR="00946C64" w:rsidRPr="00E14060">
        <w:rPr>
          <w:sz w:val="24"/>
          <w:szCs w:val="24"/>
          <w:lang w:val="en-GB"/>
        </w:rPr>
        <w:t xml:space="preserve">from the </w:t>
      </w:r>
      <w:r w:rsidR="00B303EC" w:rsidRPr="00E14060">
        <w:rPr>
          <w:sz w:val="24"/>
          <w:szCs w:val="24"/>
          <w:lang w:val="en-GB"/>
        </w:rPr>
        <w:t>ATX vs. placebo and MPH vs. placebo</w:t>
      </w:r>
      <w:r w:rsidR="00946C64" w:rsidRPr="00E14060">
        <w:rPr>
          <w:sz w:val="24"/>
          <w:szCs w:val="24"/>
          <w:lang w:val="en-GB"/>
        </w:rPr>
        <w:t xml:space="preserve"> comparisons</w:t>
      </w:r>
      <w:r w:rsidR="00E22AA5" w:rsidRPr="00E14060">
        <w:rPr>
          <w:sz w:val="24"/>
          <w:szCs w:val="24"/>
          <w:lang w:val="en-GB"/>
        </w:rPr>
        <w:t xml:space="preserve">, </w:t>
      </w:r>
      <w:r w:rsidRPr="00E14060">
        <w:rPr>
          <w:sz w:val="24"/>
          <w:szCs w:val="24"/>
          <w:lang w:val="en-GB"/>
        </w:rPr>
        <w:t xml:space="preserve">and computing its standard error </w:t>
      </w:r>
      <w:r w:rsidR="00E22AA5" w:rsidRPr="00E14060">
        <w:rPr>
          <w:sz w:val="24"/>
          <w:szCs w:val="24"/>
          <w:lang w:val="en-GB"/>
        </w:rPr>
        <w:t xml:space="preserve">accounting for correlation due to </w:t>
      </w:r>
      <w:r w:rsidR="00DF460E" w:rsidRPr="00E14060">
        <w:rPr>
          <w:sz w:val="24"/>
          <w:szCs w:val="24"/>
          <w:lang w:val="en-GB"/>
        </w:rPr>
        <w:t xml:space="preserve">a </w:t>
      </w:r>
      <w:r w:rsidR="00E22AA5" w:rsidRPr="00E14060">
        <w:rPr>
          <w:sz w:val="24"/>
          <w:szCs w:val="24"/>
          <w:lang w:val="en-GB"/>
        </w:rPr>
        <w:t xml:space="preserve">common </w:t>
      </w:r>
      <w:r w:rsidR="00DF460E" w:rsidRPr="00E14060">
        <w:rPr>
          <w:sz w:val="24"/>
          <w:szCs w:val="24"/>
          <w:lang w:val="en-GB"/>
        </w:rPr>
        <w:t xml:space="preserve">placebo </w:t>
      </w:r>
      <w:r w:rsidR="00E22AA5" w:rsidRPr="00E14060">
        <w:rPr>
          <w:sz w:val="24"/>
          <w:szCs w:val="24"/>
          <w:lang w:val="en-GB"/>
        </w:rPr>
        <w:t>arm</w:t>
      </w:r>
      <w:r w:rsidR="00B303EC" w:rsidRPr="00E14060">
        <w:rPr>
          <w:sz w:val="24"/>
          <w:szCs w:val="24"/>
          <w:lang w:val="en-GB"/>
        </w:rPr>
        <w:t>.</w:t>
      </w:r>
    </w:p>
    <w:p w14:paraId="292630F0" w14:textId="2B9DB573" w:rsidR="00976717" w:rsidRPr="00E14060" w:rsidRDefault="00976717" w:rsidP="007C2DF4">
      <w:pPr>
        <w:rPr>
          <w:sz w:val="24"/>
          <w:szCs w:val="24"/>
          <w:lang w:val="en-GB"/>
        </w:rPr>
      </w:pPr>
      <w:r w:rsidRPr="00E14060">
        <w:rPr>
          <w:b/>
          <w:sz w:val="24"/>
          <w:szCs w:val="24"/>
          <w:lang w:val="en-GB"/>
        </w:rPr>
        <w:t>Figure 2. Efficacy outcome: ADHD-RS-IV score</w:t>
      </w:r>
      <w:bookmarkStart w:id="280" w:name="_Toc384656921"/>
      <w:r w:rsidRPr="00E14060">
        <w:rPr>
          <w:noProof/>
          <w:lang w:val="en-GB" w:eastAsia="en-GB"/>
        </w:rPr>
        <w:drawing>
          <wp:inline distT="0" distB="0" distL="0" distR="0" wp14:anchorId="1743C49B" wp14:editId="1DDA2515">
            <wp:extent cx="5922887" cy="2828260"/>
            <wp:effectExtent l="0" t="0" r="190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23139" cy="2828381"/>
                    </a:xfrm>
                    <a:prstGeom prst="rect">
                      <a:avLst/>
                    </a:prstGeom>
                    <a:noFill/>
                    <a:ln>
                      <a:noFill/>
                    </a:ln>
                  </pic:spPr>
                </pic:pic>
              </a:graphicData>
            </a:graphic>
          </wp:inline>
        </w:drawing>
      </w:r>
    </w:p>
    <w:p w14:paraId="39303962" w14:textId="77777777" w:rsidR="00976717" w:rsidRPr="00E14060" w:rsidRDefault="00976717" w:rsidP="00976717">
      <w:pPr>
        <w:ind w:left="720"/>
        <w:rPr>
          <w:b/>
          <w:lang w:val="en-GB"/>
        </w:rPr>
      </w:pPr>
    </w:p>
    <w:p w14:paraId="0A164869" w14:textId="77777777" w:rsidR="00976717" w:rsidRPr="00E14060" w:rsidRDefault="00976717" w:rsidP="00976717">
      <w:pPr>
        <w:ind w:left="720"/>
        <w:rPr>
          <w:lang w:val="en-GB"/>
        </w:rPr>
      </w:pPr>
      <w:r w:rsidRPr="00E14060">
        <w:rPr>
          <w:b/>
          <w:lang w:val="en-GB"/>
        </w:rPr>
        <w:t>Abbreviations</w:t>
      </w:r>
      <w:r w:rsidRPr="00E14060">
        <w:rPr>
          <w:sz w:val="24"/>
          <w:szCs w:val="24"/>
          <w:lang w:val="en-GB"/>
        </w:rPr>
        <w:t xml:space="preserve">: </w:t>
      </w:r>
      <w:r w:rsidRPr="00E14060">
        <w:rPr>
          <w:lang w:val="en-GB"/>
        </w:rPr>
        <w:t xml:space="preserve">LDX: lisdexamfetamine; ATX: atomoxetine; MPH-OROS/ER: methylphenidate extended release; MPH-IR: methylphenidate immediate release. </w:t>
      </w:r>
    </w:p>
    <w:p w14:paraId="13E49586" w14:textId="77777777" w:rsidR="00976717" w:rsidRPr="00E14060" w:rsidRDefault="00976717" w:rsidP="00976717">
      <w:pPr>
        <w:ind w:left="720"/>
        <w:rPr>
          <w:lang w:val="en-GB"/>
        </w:rPr>
      </w:pPr>
    </w:p>
    <w:bookmarkEnd w:id="280"/>
    <w:p w14:paraId="4349040E" w14:textId="77777777" w:rsidR="00976717" w:rsidRPr="00E14060" w:rsidRDefault="00976717" w:rsidP="00976717">
      <w:pPr>
        <w:ind w:left="936"/>
        <w:rPr>
          <w:lang w:val="en-GB"/>
        </w:rPr>
      </w:pPr>
      <w:r w:rsidRPr="00E14060">
        <w:rPr>
          <w:b/>
          <w:lang w:val="en-GB"/>
        </w:rPr>
        <w:t>Notes:</w:t>
      </w:r>
    </w:p>
    <w:p w14:paraId="632D66C6" w14:textId="77777777" w:rsidR="00976717" w:rsidRPr="00E14060" w:rsidRDefault="00976717" w:rsidP="00976717">
      <w:pPr>
        <w:pStyle w:val="ListParagraph"/>
        <w:numPr>
          <w:ilvl w:val="0"/>
          <w:numId w:val="29"/>
        </w:numPr>
        <w:ind w:left="1296"/>
        <w:rPr>
          <w:rFonts w:ascii="Times New Roman" w:hAnsi="Times New Roman"/>
          <w:i w:val="0"/>
          <w:lang w:val="en-GB"/>
        </w:rPr>
      </w:pPr>
      <w:r w:rsidRPr="00E14060">
        <w:rPr>
          <w:rFonts w:ascii="Times New Roman" w:hAnsi="Times New Roman"/>
          <w:i w:val="0"/>
          <w:lang w:val="en-GB"/>
        </w:rPr>
        <w:t>All studies not marked with an asterisk are included in the core analysis. Studies marked with an asterisk are included only in sensitivity analyses.</w:t>
      </w:r>
    </w:p>
    <w:p w14:paraId="5FCCA407" w14:textId="0A41BC3F" w:rsidR="00976717" w:rsidRPr="00E14060" w:rsidRDefault="00976717" w:rsidP="00976717">
      <w:pPr>
        <w:pStyle w:val="ListParagraph"/>
        <w:numPr>
          <w:ilvl w:val="0"/>
          <w:numId w:val="29"/>
        </w:numPr>
        <w:ind w:left="1296"/>
        <w:rPr>
          <w:rFonts w:ascii="Times New Roman" w:hAnsi="Times New Roman"/>
          <w:i w:val="0"/>
          <w:lang w:val="en-GB"/>
        </w:rPr>
      </w:pPr>
      <w:r w:rsidRPr="00E14060">
        <w:rPr>
          <w:rFonts w:ascii="Times New Roman" w:hAnsi="Times New Roman"/>
          <w:i w:val="0"/>
          <w:lang w:val="en-GB"/>
        </w:rPr>
        <w:t>Biederman (2012) and Durell (2013) ar</w:t>
      </w:r>
      <w:r w:rsidR="007C2DF4" w:rsidRPr="00E14060">
        <w:rPr>
          <w:rFonts w:ascii="Times New Roman" w:hAnsi="Times New Roman"/>
          <w:i w:val="0"/>
          <w:lang w:val="en-GB"/>
        </w:rPr>
        <w:t>e included in the core analysis</w:t>
      </w:r>
      <w:r w:rsidRPr="00E14060">
        <w:rPr>
          <w:rFonts w:ascii="Times New Roman" w:hAnsi="Times New Roman"/>
          <w:i w:val="0"/>
          <w:lang w:val="en-GB"/>
        </w:rPr>
        <w:t xml:space="preserve"> but are the only two studies containing only young adults (all participants are 30 years old or younger). The tables include sensitivity analyses in which Biederman (2012) is excluded for ADHD-RS-IV change, and Biederman (2012) and Durell (2013) are excluded for all-cause discontinuation and discontinuation due to adverse events.</w:t>
      </w:r>
    </w:p>
    <w:p w14:paraId="48BD822D" w14:textId="6914DDF3" w:rsidR="00976717" w:rsidRPr="00E14060" w:rsidRDefault="00976717" w:rsidP="007C2DF4">
      <w:pPr>
        <w:pStyle w:val="ListParagraph"/>
        <w:numPr>
          <w:ilvl w:val="0"/>
          <w:numId w:val="29"/>
        </w:numPr>
        <w:ind w:left="1296"/>
        <w:rPr>
          <w:rFonts w:ascii="Times New Roman" w:hAnsi="Times New Roman"/>
          <w:i w:val="0"/>
          <w:lang w:val="en-GB"/>
        </w:rPr>
      </w:pPr>
      <w:r w:rsidRPr="00E14060">
        <w:rPr>
          <w:rFonts w:ascii="Times New Roman" w:hAnsi="Times New Roman"/>
          <w:i w:val="0"/>
          <w:lang w:val="en-GB"/>
        </w:rPr>
        <w:t>Spencer (1998), a cross-over study, is not included in the core analysis because it is unclear whether the results reported are pre</w:t>
      </w:r>
      <w:r w:rsidR="007C2DF4" w:rsidRPr="00E14060">
        <w:rPr>
          <w:rFonts w:ascii="Times New Roman" w:hAnsi="Times New Roman"/>
          <w:i w:val="0"/>
          <w:lang w:val="en-GB"/>
        </w:rPr>
        <w:t>–</w:t>
      </w:r>
      <w:r w:rsidRPr="00E14060">
        <w:rPr>
          <w:rFonts w:ascii="Times New Roman" w:hAnsi="Times New Roman"/>
          <w:i w:val="0"/>
          <w:lang w:val="en-GB"/>
        </w:rPr>
        <w:t>cross-over.</w:t>
      </w:r>
      <w:r w:rsidR="00241DBD" w:rsidRPr="00E14060">
        <w:rPr>
          <w:rFonts w:ascii="Times New Roman" w:hAnsi="Times New Roman"/>
          <w:i w:val="0"/>
          <w:lang w:val="en-GB"/>
        </w:rPr>
        <w:t xml:space="preserve"> </w:t>
      </w:r>
      <w:r w:rsidRPr="00E14060">
        <w:rPr>
          <w:rFonts w:ascii="Times New Roman" w:hAnsi="Times New Roman"/>
          <w:i w:val="0"/>
          <w:lang w:val="en-GB"/>
        </w:rPr>
        <w:t>The tables include a sensitivity analysis in which Spencer (1998) is included for ADHD-RS-IV change.</w:t>
      </w:r>
    </w:p>
    <w:p w14:paraId="2937C5D3" w14:textId="77777777" w:rsidR="00976717" w:rsidRPr="00E14060" w:rsidRDefault="00976717" w:rsidP="00976717">
      <w:pPr>
        <w:pStyle w:val="ListParagraph"/>
        <w:numPr>
          <w:ilvl w:val="0"/>
          <w:numId w:val="29"/>
        </w:numPr>
        <w:ind w:left="1296"/>
        <w:rPr>
          <w:rFonts w:ascii="Times New Roman" w:hAnsi="Times New Roman"/>
          <w:i w:val="0"/>
          <w:lang w:val="en-GB"/>
        </w:rPr>
      </w:pPr>
      <w:r w:rsidRPr="00E14060">
        <w:rPr>
          <w:rFonts w:ascii="Times New Roman" w:hAnsi="Times New Roman"/>
          <w:i w:val="0"/>
          <w:lang w:val="en-GB"/>
        </w:rPr>
        <w:t>Among MPH-OROS/ER studies, only Spencer (2007) is MPH-ER. The remaining studies use the MPH-OROS formulation.</w:t>
      </w:r>
    </w:p>
    <w:p w14:paraId="5BAD0272" w14:textId="77777777" w:rsidR="00976717" w:rsidRPr="00E14060" w:rsidRDefault="00976717" w:rsidP="00976717">
      <w:pPr>
        <w:pStyle w:val="ListParagraph"/>
        <w:numPr>
          <w:ilvl w:val="0"/>
          <w:numId w:val="29"/>
        </w:numPr>
        <w:ind w:left="1296"/>
        <w:rPr>
          <w:rFonts w:ascii="Times New Roman" w:hAnsi="Times New Roman"/>
          <w:i w:val="0"/>
          <w:lang w:val="en-GB"/>
        </w:rPr>
      </w:pPr>
      <w:r w:rsidRPr="00E14060">
        <w:rPr>
          <w:rFonts w:ascii="Times New Roman" w:hAnsi="Times New Roman"/>
          <w:i w:val="0"/>
          <w:lang w:val="en-GB"/>
        </w:rPr>
        <w:t>NCT00937040 is included in the core analysis, but there is a sensitivity for the ADHD-RS-IV outcome in which it is excluded because it reports ADHD-RS-IV rated by significant others.</w:t>
      </w:r>
    </w:p>
    <w:p w14:paraId="266BA7BC" w14:textId="77777777" w:rsidR="007C2DF4" w:rsidRPr="00E14060" w:rsidRDefault="007C2DF4" w:rsidP="00976717">
      <w:pPr>
        <w:pStyle w:val="ListParagraph"/>
        <w:numPr>
          <w:ilvl w:val="0"/>
          <w:numId w:val="29"/>
        </w:numPr>
        <w:ind w:left="1296"/>
        <w:rPr>
          <w:rFonts w:ascii="Times New Roman" w:hAnsi="Times New Roman"/>
          <w:i w:val="0"/>
          <w:lang w:val="en-GB"/>
        </w:rPr>
        <w:sectPr w:rsidR="007C2DF4" w:rsidRPr="00E14060" w:rsidSect="00A26D49">
          <w:endnotePr>
            <w:numFmt w:val="decimal"/>
          </w:endnotePr>
          <w:pgSz w:w="12240" w:h="15840" w:code="9"/>
          <w:pgMar w:top="720" w:right="720" w:bottom="720" w:left="720" w:header="1440" w:footer="1440" w:gutter="0"/>
          <w:cols w:space="720"/>
          <w:formProt w:val="0"/>
          <w:docGrid w:linePitch="272"/>
        </w:sectPr>
      </w:pPr>
    </w:p>
    <w:p w14:paraId="1B6661FA" w14:textId="4BA8F4AA" w:rsidR="00B303EC" w:rsidRPr="00E14060" w:rsidRDefault="00B303EC" w:rsidP="00B303EC">
      <w:pPr>
        <w:spacing w:beforeLines="240" w:before="576" w:afterLines="240" w:after="576" w:line="360" w:lineRule="auto"/>
        <w:rPr>
          <w:lang w:val="en-GB"/>
        </w:rPr>
      </w:pPr>
      <w:r w:rsidRPr="00E14060">
        <w:rPr>
          <w:sz w:val="24"/>
          <w:szCs w:val="24"/>
          <w:lang w:val="en-GB"/>
        </w:rPr>
        <w:lastRenderedPageBreak/>
        <w:t>The second stage included a</w:t>
      </w:r>
      <w:r w:rsidR="00F96199" w:rsidRPr="00E14060">
        <w:rPr>
          <w:sz w:val="24"/>
          <w:szCs w:val="24"/>
          <w:lang w:val="en-GB"/>
        </w:rPr>
        <w:t>nalysis o</w:t>
      </w:r>
      <w:r w:rsidRPr="00E14060">
        <w:rPr>
          <w:sz w:val="24"/>
          <w:szCs w:val="24"/>
          <w:lang w:val="en-GB"/>
        </w:rPr>
        <w:t xml:space="preserve">f whether the direct </w:t>
      </w:r>
      <w:r w:rsidR="00F96199" w:rsidRPr="00E14060">
        <w:rPr>
          <w:sz w:val="24"/>
          <w:szCs w:val="24"/>
          <w:lang w:val="en-GB"/>
        </w:rPr>
        <w:t xml:space="preserve">ATX vs. MPH treatment effect </w:t>
      </w:r>
      <w:r w:rsidRPr="00E14060">
        <w:rPr>
          <w:sz w:val="24"/>
          <w:szCs w:val="24"/>
          <w:lang w:val="en-GB"/>
        </w:rPr>
        <w:t>estimate was in conflict with the indirect estimate</w:t>
      </w:r>
      <w:r w:rsidR="00303D04" w:rsidRPr="00E14060">
        <w:rPr>
          <w:sz w:val="24"/>
          <w:szCs w:val="24"/>
          <w:lang w:val="en-GB"/>
        </w:rPr>
        <w:t xml:space="preserve">, </w:t>
      </w:r>
      <w:r w:rsidR="00475369" w:rsidRPr="00E14060">
        <w:rPr>
          <w:sz w:val="24"/>
          <w:szCs w:val="24"/>
          <w:lang w:val="en-GB"/>
        </w:rPr>
        <w:t xml:space="preserve">using a standard error estimate </w:t>
      </w:r>
      <w:r w:rsidR="00303D04" w:rsidRPr="00E14060">
        <w:rPr>
          <w:sz w:val="24"/>
          <w:szCs w:val="24"/>
          <w:lang w:val="en-GB"/>
        </w:rPr>
        <w:t xml:space="preserve">accounting for correlation due to common </w:t>
      </w:r>
      <w:r w:rsidR="008F0737" w:rsidRPr="00E14060">
        <w:rPr>
          <w:sz w:val="24"/>
          <w:szCs w:val="24"/>
          <w:lang w:val="en-GB"/>
        </w:rPr>
        <w:t>ATX and MPH arms</w:t>
      </w:r>
      <w:r w:rsidRPr="00E14060">
        <w:rPr>
          <w:sz w:val="24"/>
          <w:szCs w:val="24"/>
          <w:lang w:val="en-GB"/>
        </w:rPr>
        <w:t xml:space="preserve">. </w:t>
      </w:r>
      <w:r w:rsidR="00DA24FB" w:rsidRPr="00E14060">
        <w:rPr>
          <w:sz w:val="24"/>
          <w:szCs w:val="24"/>
          <w:lang w:val="en-GB"/>
        </w:rPr>
        <w:t>S</w:t>
      </w:r>
      <w:r w:rsidRPr="00E14060">
        <w:rPr>
          <w:sz w:val="24"/>
          <w:szCs w:val="24"/>
          <w:lang w:val="en-GB"/>
        </w:rPr>
        <w:t>tatistical comparison revealed that there was no significant inconsistency in the section of ADHD-RS-IV network comparing ATX and MPH</w:t>
      </w:r>
      <w:r w:rsidR="00F02718" w:rsidRPr="00E14060">
        <w:rPr>
          <w:sz w:val="24"/>
          <w:szCs w:val="24"/>
          <w:lang w:val="en-GB"/>
        </w:rPr>
        <w:t xml:space="preserve"> </w:t>
      </w:r>
      <w:r w:rsidR="00F02718" w:rsidRPr="00E14060">
        <w:rPr>
          <w:b/>
          <w:sz w:val="24"/>
          <w:szCs w:val="24"/>
          <w:lang w:val="en-GB"/>
        </w:rPr>
        <w:t>(Table 9)</w:t>
      </w:r>
      <w:r w:rsidR="00F02718" w:rsidRPr="00E14060">
        <w:rPr>
          <w:sz w:val="24"/>
          <w:szCs w:val="24"/>
          <w:lang w:val="en-GB"/>
        </w:rPr>
        <w:t>.</w:t>
      </w:r>
    </w:p>
    <w:tbl>
      <w:tblPr>
        <w:tblW w:w="9556" w:type="dxa"/>
        <w:jc w:val="center"/>
        <w:tblLook w:val="04A0" w:firstRow="1" w:lastRow="0" w:firstColumn="1" w:lastColumn="0" w:noHBand="0" w:noVBand="1"/>
      </w:tblPr>
      <w:tblGrid>
        <w:gridCol w:w="1767"/>
        <w:gridCol w:w="1329"/>
        <w:gridCol w:w="1850"/>
        <w:gridCol w:w="1835"/>
        <w:gridCol w:w="1756"/>
        <w:gridCol w:w="1019"/>
      </w:tblGrid>
      <w:tr w:rsidR="0004428D" w:rsidRPr="00E14060" w14:paraId="66339B4B" w14:textId="77777777" w:rsidTr="00531F3E">
        <w:trPr>
          <w:trHeight w:val="300"/>
          <w:jc w:val="center"/>
        </w:trPr>
        <w:tc>
          <w:tcPr>
            <w:tcW w:w="9556" w:type="dxa"/>
            <w:gridSpan w:val="6"/>
            <w:tcBorders>
              <w:top w:val="nil"/>
              <w:left w:val="nil"/>
              <w:bottom w:val="nil"/>
              <w:right w:val="nil"/>
            </w:tcBorders>
            <w:shd w:val="clear" w:color="auto" w:fill="auto"/>
            <w:noWrap/>
            <w:vAlign w:val="bottom"/>
            <w:hideMark/>
          </w:tcPr>
          <w:p w14:paraId="41C964FA" w14:textId="77777777" w:rsidR="0004428D" w:rsidRPr="00E14060" w:rsidRDefault="0004428D" w:rsidP="00F02718">
            <w:pPr>
              <w:jc w:val="center"/>
              <w:rPr>
                <w:b/>
                <w:bCs/>
                <w:sz w:val="22"/>
                <w:szCs w:val="22"/>
                <w:lang w:val="en-GB"/>
              </w:rPr>
            </w:pPr>
            <w:bookmarkStart w:id="281" w:name="_Toc384683019"/>
            <w:r w:rsidRPr="00E14060">
              <w:rPr>
                <w:b/>
                <w:bCs/>
                <w:sz w:val="22"/>
                <w:szCs w:val="22"/>
                <w:lang w:val="en-GB"/>
              </w:rPr>
              <w:t xml:space="preserve">Table </w:t>
            </w:r>
            <w:r w:rsidR="00F02718" w:rsidRPr="00E14060">
              <w:rPr>
                <w:b/>
                <w:bCs/>
                <w:sz w:val="22"/>
                <w:szCs w:val="22"/>
                <w:lang w:val="en-GB"/>
              </w:rPr>
              <w:t>7</w:t>
            </w:r>
            <w:r w:rsidRPr="00E14060">
              <w:rPr>
                <w:b/>
                <w:bCs/>
                <w:sz w:val="22"/>
                <w:szCs w:val="22"/>
                <w:lang w:val="en-GB"/>
              </w:rPr>
              <w:t>. Heterogeneity Assessment: LDX vs. Placebo</w:t>
            </w:r>
          </w:p>
        </w:tc>
      </w:tr>
      <w:tr w:rsidR="0004428D" w:rsidRPr="00E14060" w14:paraId="03A6E63D" w14:textId="77777777" w:rsidTr="00531F3E">
        <w:trPr>
          <w:trHeight w:val="345"/>
          <w:jc w:val="center"/>
        </w:trPr>
        <w:tc>
          <w:tcPr>
            <w:tcW w:w="9556" w:type="dxa"/>
            <w:gridSpan w:val="6"/>
            <w:tcBorders>
              <w:top w:val="nil"/>
              <w:left w:val="nil"/>
              <w:bottom w:val="single" w:sz="4" w:space="0" w:color="auto"/>
              <w:right w:val="nil"/>
            </w:tcBorders>
            <w:shd w:val="clear" w:color="auto" w:fill="auto"/>
            <w:noWrap/>
            <w:vAlign w:val="bottom"/>
            <w:hideMark/>
          </w:tcPr>
          <w:p w14:paraId="64D9693B" w14:textId="77777777" w:rsidR="0004428D" w:rsidRPr="00E14060" w:rsidRDefault="0004428D" w:rsidP="00531F3E">
            <w:pPr>
              <w:jc w:val="center"/>
              <w:rPr>
                <w:b/>
                <w:bCs/>
                <w:sz w:val="22"/>
                <w:szCs w:val="22"/>
                <w:lang w:val="en-GB"/>
              </w:rPr>
            </w:pPr>
            <w:r w:rsidRPr="00E14060">
              <w:rPr>
                <w:b/>
                <w:bCs/>
                <w:sz w:val="22"/>
                <w:szCs w:val="22"/>
                <w:lang w:val="en-GB"/>
              </w:rPr>
              <w:t>I</w:t>
            </w:r>
            <w:r w:rsidRPr="00E14060">
              <w:rPr>
                <w:b/>
                <w:bCs/>
                <w:sz w:val="22"/>
                <w:szCs w:val="22"/>
                <w:vertAlign w:val="superscript"/>
                <w:lang w:val="en-GB"/>
              </w:rPr>
              <w:t>2</w:t>
            </w:r>
            <w:r w:rsidRPr="00E14060">
              <w:rPr>
                <w:b/>
                <w:bCs/>
                <w:sz w:val="22"/>
                <w:szCs w:val="22"/>
                <w:lang w:val="en-GB"/>
              </w:rPr>
              <w:t xml:space="preserve"> and Q test</w:t>
            </w:r>
          </w:p>
        </w:tc>
      </w:tr>
      <w:tr w:rsidR="0004428D" w:rsidRPr="00E14060" w14:paraId="6FCA3BEB" w14:textId="77777777" w:rsidTr="00531F3E">
        <w:trPr>
          <w:trHeight w:val="930"/>
          <w:jc w:val="center"/>
        </w:trPr>
        <w:tc>
          <w:tcPr>
            <w:tcW w:w="1767" w:type="dxa"/>
            <w:tcBorders>
              <w:top w:val="nil"/>
              <w:left w:val="nil"/>
              <w:bottom w:val="single" w:sz="4" w:space="0" w:color="auto"/>
              <w:right w:val="nil"/>
            </w:tcBorders>
            <w:shd w:val="clear" w:color="auto" w:fill="auto"/>
            <w:noWrap/>
            <w:vAlign w:val="center"/>
            <w:hideMark/>
          </w:tcPr>
          <w:p w14:paraId="34DB518E" w14:textId="77777777" w:rsidR="0004428D" w:rsidRPr="00E14060" w:rsidRDefault="0004428D" w:rsidP="00531F3E">
            <w:pPr>
              <w:jc w:val="center"/>
              <w:rPr>
                <w:b/>
                <w:bCs/>
                <w:sz w:val="22"/>
                <w:szCs w:val="22"/>
                <w:lang w:val="en-GB"/>
              </w:rPr>
            </w:pPr>
            <w:r w:rsidRPr="00E14060">
              <w:rPr>
                <w:b/>
                <w:bCs/>
                <w:sz w:val="22"/>
                <w:szCs w:val="22"/>
                <w:lang w:val="en-GB"/>
              </w:rPr>
              <w:t>Outcome</w:t>
            </w:r>
          </w:p>
        </w:tc>
        <w:tc>
          <w:tcPr>
            <w:tcW w:w="1329" w:type="dxa"/>
            <w:tcBorders>
              <w:top w:val="nil"/>
              <w:left w:val="nil"/>
              <w:bottom w:val="single" w:sz="4" w:space="0" w:color="auto"/>
              <w:right w:val="nil"/>
            </w:tcBorders>
            <w:shd w:val="clear" w:color="auto" w:fill="auto"/>
            <w:vAlign w:val="center"/>
            <w:hideMark/>
          </w:tcPr>
          <w:p w14:paraId="5CD4928B" w14:textId="77777777" w:rsidR="0004428D" w:rsidRPr="00E14060" w:rsidRDefault="0004428D" w:rsidP="00531F3E">
            <w:pPr>
              <w:jc w:val="center"/>
              <w:rPr>
                <w:b/>
                <w:bCs/>
                <w:sz w:val="22"/>
                <w:szCs w:val="22"/>
                <w:lang w:val="en-GB"/>
              </w:rPr>
            </w:pPr>
            <w:r w:rsidRPr="00E14060">
              <w:rPr>
                <w:b/>
                <w:bCs/>
                <w:sz w:val="22"/>
                <w:szCs w:val="22"/>
                <w:lang w:val="en-GB"/>
              </w:rPr>
              <w:t>I</w:t>
            </w:r>
            <w:r w:rsidRPr="00E14060">
              <w:rPr>
                <w:b/>
                <w:bCs/>
                <w:sz w:val="22"/>
                <w:szCs w:val="22"/>
                <w:vertAlign w:val="superscript"/>
                <w:lang w:val="en-GB"/>
              </w:rPr>
              <w:t>2</w:t>
            </w:r>
          </w:p>
        </w:tc>
        <w:tc>
          <w:tcPr>
            <w:tcW w:w="1850" w:type="dxa"/>
            <w:tcBorders>
              <w:top w:val="nil"/>
              <w:left w:val="nil"/>
              <w:bottom w:val="single" w:sz="4" w:space="0" w:color="auto"/>
              <w:right w:val="nil"/>
            </w:tcBorders>
            <w:shd w:val="clear" w:color="auto" w:fill="auto"/>
            <w:vAlign w:val="center"/>
            <w:hideMark/>
          </w:tcPr>
          <w:p w14:paraId="6206D628" w14:textId="77777777" w:rsidR="0004428D" w:rsidRPr="00E14060" w:rsidRDefault="0004428D" w:rsidP="00531F3E">
            <w:pPr>
              <w:jc w:val="center"/>
              <w:rPr>
                <w:b/>
                <w:bCs/>
                <w:sz w:val="22"/>
                <w:szCs w:val="22"/>
                <w:lang w:val="en-GB"/>
              </w:rPr>
            </w:pPr>
            <w:r w:rsidRPr="00E14060">
              <w:rPr>
                <w:b/>
                <w:bCs/>
                <w:sz w:val="22"/>
                <w:szCs w:val="22"/>
                <w:lang w:val="en-GB"/>
              </w:rPr>
              <w:t>I</w:t>
            </w:r>
            <w:r w:rsidRPr="00E14060">
              <w:rPr>
                <w:b/>
                <w:bCs/>
                <w:sz w:val="22"/>
                <w:szCs w:val="22"/>
                <w:vertAlign w:val="superscript"/>
                <w:lang w:val="en-GB"/>
              </w:rPr>
              <w:t>2</w:t>
            </w:r>
            <w:r w:rsidRPr="00E14060">
              <w:rPr>
                <w:b/>
                <w:bCs/>
                <w:sz w:val="22"/>
                <w:szCs w:val="22"/>
                <w:lang w:val="en-GB"/>
              </w:rPr>
              <w:t xml:space="preserve"> Confidence Interval</w:t>
            </w:r>
          </w:p>
        </w:tc>
        <w:tc>
          <w:tcPr>
            <w:tcW w:w="1835" w:type="dxa"/>
            <w:tcBorders>
              <w:top w:val="nil"/>
              <w:left w:val="nil"/>
              <w:bottom w:val="single" w:sz="4" w:space="0" w:color="auto"/>
              <w:right w:val="nil"/>
            </w:tcBorders>
            <w:shd w:val="clear" w:color="auto" w:fill="auto"/>
            <w:vAlign w:val="center"/>
            <w:hideMark/>
          </w:tcPr>
          <w:p w14:paraId="3B529971" w14:textId="77777777" w:rsidR="0004428D" w:rsidRPr="00E14060" w:rsidRDefault="0004428D" w:rsidP="00531F3E">
            <w:pPr>
              <w:jc w:val="center"/>
              <w:rPr>
                <w:b/>
                <w:bCs/>
                <w:sz w:val="22"/>
                <w:szCs w:val="22"/>
                <w:lang w:val="en-GB"/>
              </w:rPr>
            </w:pPr>
            <w:r w:rsidRPr="00E14060">
              <w:rPr>
                <w:b/>
                <w:bCs/>
                <w:sz w:val="22"/>
                <w:szCs w:val="22"/>
                <w:lang w:val="en-GB"/>
              </w:rPr>
              <w:t>Q-statistic</w:t>
            </w:r>
          </w:p>
        </w:tc>
        <w:tc>
          <w:tcPr>
            <w:tcW w:w="1756" w:type="dxa"/>
            <w:tcBorders>
              <w:top w:val="nil"/>
              <w:left w:val="nil"/>
              <w:bottom w:val="single" w:sz="4" w:space="0" w:color="auto"/>
              <w:right w:val="nil"/>
            </w:tcBorders>
            <w:shd w:val="clear" w:color="auto" w:fill="auto"/>
            <w:vAlign w:val="center"/>
            <w:hideMark/>
          </w:tcPr>
          <w:p w14:paraId="6AD566E1" w14:textId="77777777" w:rsidR="0004428D" w:rsidRPr="00E14060" w:rsidRDefault="0004428D" w:rsidP="00531F3E">
            <w:pPr>
              <w:jc w:val="center"/>
              <w:rPr>
                <w:b/>
                <w:bCs/>
                <w:sz w:val="22"/>
                <w:szCs w:val="22"/>
                <w:lang w:val="en-GB"/>
              </w:rPr>
            </w:pPr>
            <w:r w:rsidRPr="00E14060">
              <w:rPr>
                <w:b/>
                <w:bCs/>
                <w:sz w:val="22"/>
                <w:szCs w:val="22"/>
                <w:lang w:val="en-GB"/>
              </w:rPr>
              <w:t xml:space="preserve">Q Degrees </w:t>
            </w:r>
            <w:r w:rsidRPr="00E14060">
              <w:rPr>
                <w:b/>
                <w:bCs/>
                <w:sz w:val="22"/>
                <w:szCs w:val="22"/>
                <w:lang w:val="en-GB"/>
              </w:rPr>
              <w:br/>
              <w:t>of Freedom</w:t>
            </w:r>
          </w:p>
        </w:tc>
        <w:tc>
          <w:tcPr>
            <w:tcW w:w="1019" w:type="dxa"/>
            <w:tcBorders>
              <w:top w:val="nil"/>
              <w:left w:val="nil"/>
              <w:bottom w:val="single" w:sz="4" w:space="0" w:color="auto"/>
              <w:right w:val="nil"/>
            </w:tcBorders>
            <w:shd w:val="clear" w:color="auto" w:fill="auto"/>
            <w:vAlign w:val="center"/>
            <w:hideMark/>
          </w:tcPr>
          <w:p w14:paraId="17D8B5FC" w14:textId="77777777" w:rsidR="0004428D" w:rsidRPr="00E14060" w:rsidRDefault="0004428D" w:rsidP="00531F3E">
            <w:pPr>
              <w:jc w:val="center"/>
              <w:rPr>
                <w:b/>
                <w:bCs/>
                <w:sz w:val="22"/>
                <w:szCs w:val="22"/>
                <w:lang w:val="en-GB"/>
              </w:rPr>
            </w:pPr>
            <w:r w:rsidRPr="00E14060">
              <w:rPr>
                <w:b/>
                <w:bCs/>
                <w:sz w:val="22"/>
                <w:szCs w:val="22"/>
                <w:lang w:val="en-GB"/>
              </w:rPr>
              <w:t xml:space="preserve">Q </w:t>
            </w:r>
            <w:r w:rsidRPr="00E14060">
              <w:rPr>
                <w:b/>
                <w:bCs/>
                <w:sz w:val="22"/>
                <w:szCs w:val="22"/>
                <w:lang w:val="en-GB"/>
              </w:rPr>
              <w:br/>
              <w:t>p-value</w:t>
            </w:r>
          </w:p>
        </w:tc>
      </w:tr>
      <w:tr w:rsidR="0004428D" w:rsidRPr="00E14060" w14:paraId="35CC45B7" w14:textId="77777777" w:rsidTr="00531F3E">
        <w:trPr>
          <w:trHeight w:val="300"/>
          <w:jc w:val="center"/>
        </w:trPr>
        <w:tc>
          <w:tcPr>
            <w:tcW w:w="1767" w:type="dxa"/>
            <w:tcBorders>
              <w:top w:val="nil"/>
              <w:left w:val="nil"/>
              <w:bottom w:val="nil"/>
              <w:right w:val="nil"/>
            </w:tcBorders>
            <w:shd w:val="clear" w:color="auto" w:fill="auto"/>
            <w:noWrap/>
            <w:vAlign w:val="bottom"/>
            <w:hideMark/>
          </w:tcPr>
          <w:p w14:paraId="3C698921" w14:textId="77777777" w:rsidR="0004428D" w:rsidRPr="00E14060" w:rsidRDefault="0004428D" w:rsidP="00531F3E">
            <w:pPr>
              <w:rPr>
                <w:b/>
                <w:bCs/>
                <w:sz w:val="22"/>
                <w:szCs w:val="22"/>
                <w:lang w:val="en-GB"/>
              </w:rPr>
            </w:pPr>
            <w:r w:rsidRPr="00E14060">
              <w:rPr>
                <w:b/>
                <w:bCs/>
                <w:sz w:val="22"/>
                <w:szCs w:val="22"/>
                <w:lang w:val="en-GB"/>
              </w:rPr>
              <w:t>ADHD-RS-IV</w:t>
            </w:r>
          </w:p>
        </w:tc>
        <w:tc>
          <w:tcPr>
            <w:tcW w:w="1329" w:type="dxa"/>
            <w:tcBorders>
              <w:top w:val="nil"/>
              <w:left w:val="nil"/>
              <w:bottom w:val="nil"/>
              <w:right w:val="nil"/>
            </w:tcBorders>
            <w:shd w:val="clear" w:color="auto" w:fill="auto"/>
            <w:noWrap/>
            <w:vAlign w:val="center"/>
            <w:hideMark/>
          </w:tcPr>
          <w:p w14:paraId="37BE7A0D" w14:textId="77777777" w:rsidR="0004428D" w:rsidRPr="00E14060" w:rsidRDefault="0004428D" w:rsidP="00531F3E">
            <w:pPr>
              <w:jc w:val="center"/>
              <w:rPr>
                <w:sz w:val="22"/>
                <w:szCs w:val="22"/>
                <w:lang w:val="en-GB"/>
              </w:rPr>
            </w:pPr>
            <w:r w:rsidRPr="00E14060">
              <w:rPr>
                <w:sz w:val="22"/>
                <w:szCs w:val="22"/>
                <w:lang w:val="en-GB"/>
              </w:rPr>
              <w:t>0.00</w:t>
            </w:r>
          </w:p>
        </w:tc>
        <w:tc>
          <w:tcPr>
            <w:tcW w:w="1850" w:type="dxa"/>
            <w:tcBorders>
              <w:top w:val="nil"/>
              <w:left w:val="nil"/>
              <w:bottom w:val="nil"/>
              <w:right w:val="nil"/>
            </w:tcBorders>
            <w:shd w:val="clear" w:color="auto" w:fill="auto"/>
            <w:noWrap/>
            <w:vAlign w:val="center"/>
            <w:hideMark/>
          </w:tcPr>
          <w:p w14:paraId="215D0E01" w14:textId="77777777" w:rsidR="0004428D" w:rsidRPr="00E14060" w:rsidRDefault="0004428D" w:rsidP="00531F3E">
            <w:pPr>
              <w:jc w:val="center"/>
              <w:rPr>
                <w:sz w:val="22"/>
                <w:szCs w:val="22"/>
                <w:lang w:val="en-GB"/>
              </w:rPr>
            </w:pPr>
            <w:r w:rsidRPr="00E14060">
              <w:rPr>
                <w:sz w:val="22"/>
                <w:szCs w:val="22"/>
                <w:lang w:val="en-GB"/>
              </w:rPr>
              <w:t>(0.00, 0.86)</w:t>
            </w:r>
          </w:p>
        </w:tc>
        <w:tc>
          <w:tcPr>
            <w:tcW w:w="1835" w:type="dxa"/>
            <w:tcBorders>
              <w:top w:val="nil"/>
              <w:left w:val="nil"/>
              <w:bottom w:val="nil"/>
              <w:right w:val="nil"/>
            </w:tcBorders>
            <w:shd w:val="clear" w:color="auto" w:fill="auto"/>
            <w:noWrap/>
            <w:vAlign w:val="center"/>
            <w:hideMark/>
          </w:tcPr>
          <w:p w14:paraId="09EF0892" w14:textId="77777777" w:rsidR="0004428D" w:rsidRPr="00E14060" w:rsidRDefault="0004428D" w:rsidP="00531F3E">
            <w:pPr>
              <w:jc w:val="center"/>
              <w:rPr>
                <w:sz w:val="22"/>
                <w:szCs w:val="22"/>
                <w:lang w:val="en-GB"/>
              </w:rPr>
            </w:pPr>
            <w:r w:rsidRPr="00E14060">
              <w:rPr>
                <w:sz w:val="22"/>
                <w:szCs w:val="22"/>
                <w:lang w:val="en-GB"/>
              </w:rPr>
              <w:t>1.52</w:t>
            </w:r>
          </w:p>
        </w:tc>
        <w:tc>
          <w:tcPr>
            <w:tcW w:w="1756" w:type="dxa"/>
            <w:tcBorders>
              <w:top w:val="nil"/>
              <w:left w:val="nil"/>
              <w:bottom w:val="nil"/>
              <w:right w:val="nil"/>
            </w:tcBorders>
            <w:shd w:val="clear" w:color="auto" w:fill="auto"/>
            <w:noWrap/>
            <w:vAlign w:val="center"/>
            <w:hideMark/>
          </w:tcPr>
          <w:p w14:paraId="3228721A" w14:textId="77777777" w:rsidR="0004428D" w:rsidRPr="00E14060" w:rsidRDefault="0004428D" w:rsidP="00531F3E">
            <w:pPr>
              <w:jc w:val="center"/>
              <w:rPr>
                <w:sz w:val="22"/>
                <w:szCs w:val="22"/>
                <w:lang w:val="en-GB"/>
              </w:rPr>
            </w:pPr>
            <w:r w:rsidRPr="00E14060">
              <w:rPr>
                <w:sz w:val="22"/>
                <w:szCs w:val="22"/>
                <w:lang w:val="en-GB"/>
              </w:rPr>
              <w:t>2</w:t>
            </w:r>
          </w:p>
        </w:tc>
        <w:tc>
          <w:tcPr>
            <w:tcW w:w="1019" w:type="dxa"/>
            <w:tcBorders>
              <w:top w:val="nil"/>
              <w:left w:val="nil"/>
              <w:bottom w:val="nil"/>
              <w:right w:val="nil"/>
            </w:tcBorders>
            <w:shd w:val="clear" w:color="auto" w:fill="auto"/>
            <w:noWrap/>
            <w:vAlign w:val="center"/>
            <w:hideMark/>
          </w:tcPr>
          <w:p w14:paraId="54AE179A" w14:textId="77777777" w:rsidR="0004428D" w:rsidRPr="00E14060" w:rsidRDefault="0004428D" w:rsidP="00531F3E">
            <w:pPr>
              <w:jc w:val="center"/>
              <w:rPr>
                <w:sz w:val="22"/>
                <w:szCs w:val="22"/>
                <w:lang w:val="en-GB"/>
              </w:rPr>
            </w:pPr>
            <w:r w:rsidRPr="00E14060">
              <w:rPr>
                <w:sz w:val="22"/>
                <w:szCs w:val="22"/>
                <w:lang w:val="en-GB"/>
              </w:rPr>
              <w:t>0.47</w:t>
            </w:r>
          </w:p>
        </w:tc>
      </w:tr>
      <w:tr w:rsidR="0004428D" w:rsidRPr="00E14060" w14:paraId="6171E240" w14:textId="77777777" w:rsidTr="00531F3E">
        <w:trPr>
          <w:trHeight w:val="360"/>
          <w:jc w:val="center"/>
        </w:trPr>
        <w:tc>
          <w:tcPr>
            <w:tcW w:w="1767" w:type="dxa"/>
            <w:tcBorders>
              <w:top w:val="nil"/>
              <w:left w:val="nil"/>
              <w:bottom w:val="single" w:sz="4" w:space="0" w:color="auto"/>
              <w:right w:val="nil"/>
            </w:tcBorders>
            <w:shd w:val="clear" w:color="auto" w:fill="auto"/>
            <w:noWrap/>
            <w:vAlign w:val="bottom"/>
            <w:hideMark/>
          </w:tcPr>
          <w:p w14:paraId="789B3DFE" w14:textId="77777777" w:rsidR="0004428D" w:rsidRPr="00E14060" w:rsidRDefault="0004428D" w:rsidP="00531F3E">
            <w:pPr>
              <w:rPr>
                <w:b/>
                <w:bCs/>
                <w:sz w:val="22"/>
                <w:szCs w:val="22"/>
                <w:lang w:val="en-GB"/>
              </w:rPr>
            </w:pPr>
            <w:r w:rsidRPr="00E14060">
              <w:rPr>
                <w:b/>
                <w:bCs/>
                <w:sz w:val="22"/>
                <w:szCs w:val="22"/>
                <w:lang w:val="en-GB"/>
              </w:rPr>
              <w:t>CGI-I</w:t>
            </w:r>
          </w:p>
        </w:tc>
        <w:tc>
          <w:tcPr>
            <w:tcW w:w="1329" w:type="dxa"/>
            <w:tcBorders>
              <w:top w:val="nil"/>
              <w:left w:val="nil"/>
              <w:bottom w:val="single" w:sz="4" w:space="0" w:color="auto"/>
              <w:right w:val="nil"/>
            </w:tcBorders>
            <w:shd w:val="clear" w:color="auto" w:fill="auto"/>
            <w:noWrap/>
            <w:vAlign w:val="center"/>
            <w:hideMark/>
          </w:tcPr>
          <w:p w14:paraId="76A6222C" w14:textId="77777777" w:rsidR="0004428D" w:rsidRPr="00E14060" w:rsidRDefault="0004428D" w:rsidP="00531F3E">
            <w:pPr>
              <w:jc w:val="center"/>
              <w:rPr>
                <w:sz w:val="22"/>
                <w:szCs w:val="22"/>
                <w:lang w:val="en-GB"/>
              </w:rPr>
            </w:pPr>
            <w:r w:rsidRPr="00E14060">
              <w:rPr>
                <w:sz w:val="22"/>
                <w:szCs w:val="22"/>
                <w:lang w:val="en-GB"/>
              </w:rPr>
              <w:t>0.00</w:t>
            </w:r>
          </w:p>
        </w:tc>
        <w:tc>
          <w:tcPr>
            <w:tcW w:w="1850" w:type="dxa"/>
            <w:tcBorders>
              <w:top w:val="nil"/>
              <w:left w:val="nil"/>
              <w:bottom w:val="single" w:sz="4" w:space="0" w:color="auto"/>
              <w:right w:val="nil"/>
            </w:tcBorders>
            <w:shd w:val="clear" w:color="auto" w:fill="auto"/>
            <w:noWrap/>
            <w:vAlign w:val="center"/>
            <w:hideMark/>
          </w:tcPr>
          <w:p w14:paraId="5E79D736" w14:textId="77777777" w:rsidR="0004428D" w:rsidRPr="00E14060" w:rsidRDefault="00F02718" w:rsidP="00F02718">
            <w:pPr>
              <w:jc w:val="center"/>
              <w:rPr>
                <w:sz w:val="22"/>
                <w:szCs w:val="22"/>
                <w:lang w:val="en-GB"/>
              </w:rPr>
            </w:pPr>
            <w:r w:rsidRPr="00E14060">
              <w:rPr>
                <w:sz w:val="22"/>
                <w:szCs w:val="22"/>
                <w:lang w:val="en-GB"/>
              </w:rPr>
              <w:t>--</w:t>
            </w:r>
            <w:r w:rsidR="0004428D" w:rsidRPr="00E14060">
              <w:rPr>
                <w:sz w:val="22"/>
                <w:szCs w:val="22"/>
                <w:vertAlign w:val="superscript"/>
                <w:lang w:val="en-GB"/>
              </w:rPr>
              <w:t>[1]</w:t>
            </w:r>
          </w:p>
        </w:tc>
        <w:tc>
          <w:tcPr>
            <w:tcW w:w="1835" w:type="dxa"/>
            <w:tcBorders>
              <w:top w:val="nil"/>
              <w:left w:val="nil"/>
              <w:bottom w:val="single" w:sz="4" w:space="0" w:color="auto"/>
              <w:right w:val="nil"/>
            </w:tcBorders>
            <w:shd w:val="clear" w:color="auto" w:fill="auto"/>
            <w:noWrap/>
            <w:vAlign w:val="center"/>
            <w:hideMark/>
          </w:tcPr>
          <w:p w14:paraId="03421BBF" w14:textId="77777777" w:rsidR="0004428D" w:rsidRPr="00E14060" w:rsidRDefault="0004428D" w:rsidP="00531F3E">
            <w:pPr>
              <w:jc w:val="center"/>
              <w:rPr>
                <w:sz w:val="22"/>
                <w:szCs w:val="22"/>
                <w:lang w:val="en-GB"/>
              </w:rPr>
            </w:pPr>
            <w:r w:rsidRPr="00E14060">
              <w:rPr>
                <w:sz w:val="22"/>
                <w:szCs w:val="22"/>
                <w:lang w:val="en-GB"/>
              </w:rPr>
              <w:t>0.24</w:t>
            </w:r>
          </w:p>
        </w:tc>
        <w:tc>
          <w:tcPr>
            <w:tcW w:w="1756" w:type="dxa"/>
            <w:tcBorders>
              <w:top w:val="nil"/>
              <w:left w:val="nil"/>
              <w:bottom w:val="single" w:sz="4" w:space="0" w:color="auto"/>
              <w:right w:val="nil"/>
            </w:tcBorders>
            <w:shd w:val="clear" w:color="auto" w:fill="auto"/>
            <w:noWrap/>
            <w:vAlign w:val="center"/>
            <w:hideMark/>
          </w:tcPr>
          <w:p w14:paraId="1A2F1BCC" w14:textId="77777777" w:rsidR="0004428D" w:rsidRPr="00E14060" w:rsidRDefault="0004428D" w:rsidP="00531F3E">
            <w:pPr>
              <w:jc w:val="center"/>
              <w:rPr>
                <w:sz w:val="22"/>
                <w:szCs w:val="22"/>
                <w:lang w:val="en-GB"/>
              </w:rPr>
            </w:pPr>
            <w:r w:rsidRPr="00E14060">
              <w:rPr>
                <w:sz w:val="22"/>
                <w:szCs w:val="22"/>
                <w:lang w:val="en-GB"/>
              </w:rPr>
              <w:t>1</w:t>
            </w:r>
          </w:p>
        </w:tc>
        <w:tc>
          <w:tcPr>
            <w:tcW w:w="1019" w:type="dxa"/>
            <w:tcBorders>
              <w:top w:val="nil"/>
              <w:left w:val="nil"/>
              <w:bottom w:val="single" w:sz="4" w:space="0" w:color="auto"/>
              <w:right w:val="nil"/>
            </w:tcBorders>
            <w:shd w:val="clear" w:color="auto" w:fill="auto"/>
            <w:noWrap/>
            <w:vAlign w:val="center"/>
            <w:hideMark/>
          </w:tcPr>
          <w:p w14:paraId="1C4A1770" w14:textId="77777777" w:rsidR="0004428D" w:rsidRPr="00E14060" w:rsidRDefault="0004428D" w:rsidP="00531F3E">
            <w:pPr>
              <w:jc w:val="center"/>
              <w:rPr>
                <w:sz w:val="22"/>
                <w:szCs w:val="22"/>
                <w:lang w:val="en-GB"/>
              </w:rPr>
            </w:pPr>
            <w:r w:rsidRPr="00E14060">
              <w:rPr>
                <w:sz w:val="22"/>
                <w:szCs w:val="22"/>
                <w:lang w:val="en-GB"/>
              </w:rPr>
              <w:t>0.63</w:t>
            </w:r>
          </w:p>
        </w:tc>
      </w:tr>
    </w:tbl>
    <w:p w14:paraId="6901A4CA" w14:textId="77777777" w:rsidR="0004428D" w:rsidRPr="00E14060" w:rsidRDefault="0004428D" w:rsidP="0004428D">
      <w:pPr>
        <w:rPr>
          <w:lang w:val="en-GB"/>
        </w:rPr>
      </w:pPr>
    </w:p>
    <w:p w14:paraId="7F1BB6AA" w14:textId="77777777" w:rsidR="0004428D" w:rsidRPr="00E14060" w:rsidRDefault="0004428D" w:rsidP="0004428D">
      <w:pPr>
        <w:rPr>
          <w:lang w:val="en-GB"/>
        </w:rPr>
      </w:pPr>
    </w:p>
    <w:tbl>
      <w:tblPr>
        <w:tblW w:w="7248" w:type="dxa"/>
        <w:jc w:val="center"/>
        <w:tblLook w:val="04A0" w:firstRow="1" w:lastRow="0" w:firstColumn="1" w:lastColumn="0" w:noHBand="0" w:noVBand="1"/>
      </w:tblPr>
      <w:tblGrid>
        <w:gridCol w:w="2503"/>
        <w:gridCol w:w="2539"/>
        <w:gridCol w:w="2206"/>
      </w:tblGrid>
      <w:tr w:rsidR="00F334F9" w:rsidRPr="00E14060" w14:paraId="3B136099" w14:textId="77777777" w:rsidTr="0082241D">
        <w:trPr>
          <w:trHeight w:val="300"/>
          <w:jc w:val="center"/>
        </w:trPr>
        <w:tc>
          <w:tcPr>
            <w:tcW w:w="7248" w:type="dxa"/>
            <w:gridSpan w:val="3"/>
            <w:tcBorders>
              <w:top w:val="nil"/>
              <w:left w:val="nil"/>
              <w:bottom w:val="nil"/>
              <w:right w:val="nil"/>
            </w:tcBorders>
            <w:shd w:val="clear" w:color="auto" w:fill="auto"/>
            <w:noWrap/>
            <w:vAlign w:val="bottom"/>
            <w:hideMark/>
          </w:tcPr>
          <w:p w14:paraId="653B9D6E" w14:textId="77777777" w:rsidR="0004428D" w:rsidRPr="00E14060" w:rsidRDefault="0004428D" w:rsidP="00F02718">
            <w:pPr>
              <w:jc w:val="center"/>
              <w:rPr>
                <w:b/>
                <w:bCs/>
                <w:sz w:val="22"/>
                <w:szCs w:val="22"/>
                <w:lang w:val="en-GB"/>
              </w:rPr>
            </w:pPr>
            <w:r w:rsidRPr="00E14060">
              <w:rPr>
                <w:b/>
                <w:bCs/>
                <w:sz w:val="22"/>
                <w:szCs w:val="22"/>
                <w:lang w:val="en-GB"/>
              </w:rPr>
              <w:t xml:space="preserve">Table </w:t>
            </w:r>
            <w:r w:rsidR="00F02718" w:rsidRPr="00E14060">
              <w:rPr>
                <w:b/>
                <w:bCs/>
                <w:sz w:val="22"/>
                <w:szCs w:val="22"/>
                <w:lang w:val="en-GB"/>
              </w:rPr>
              <w:t>8</w:t>
            </w:r>
            <w:r w:rsidRPr="00E14060">
              <w:rPr>
                <w:b/>
                <w:bCs/>
                <w:sz w:val="22"/>
                <w:szCs w:val="22"/>
                <w:lang w:val="en-GB"/>
              </w:rPr>
              <w:t>. Heterogeneity Assessment</w:t>
            </w:r>
          </w:p>
        </w:tc>
      </w:tr>
      <w:tr w:rsidR="00F334F9" w:rsidRPr="00E14060" w14:paraId="17944236" w14:textId="77777777" w:rsidTr="0082241D">
        <w:trPr>
          <w:trHeight w:val="300"/>
          <w:jc w:val="center"/>
        </w:trPr>
        <w:tc>
          <w:tcPr>
            <w:tcW w:w="7248" w:type="dxa"/>
            <w:gridSpan w:val="3"/>
            <w:tcBorders>
              <w:top w:val="nil"/>
              <w:left w:val="nil"/>
              <w:bottom w:val="nil"/>
              <w:right w:val="nil"/>
            </w:tcBorders>
            <w:shd w:val="clear" w:color="auto" w:fill="auto"/>
            <w:noWrap/>
            <w:vAlign w:val="bottom"/>
            <w:hideMark/>
          </w:tcPr>
          <w:p w14:paraId="716DAD0A" w14:textId="77777777" w:rsidR="0004428D" w:rsidRPr="00E14060" w:rsidRDefault="0004428D" w:rsidP="00531F3E">
            <w:pPr>
              <w:jc w:val="center"/>
              <w:rPr>
                <w:b/>
                <w:bCs/>
                <w:sz w:val="22"/>
                <w:szCs w:val="22"/>
                <w:lang w:val="en-GB"/>
              </w:rPr>
            </w:pPr>
            <w:r w:rsidRPr="00E14060">
              <w:rPr>
                <w:b/>
                <w:bCs/>
                <w:sz w:val="22"/>
                <w:szCs w:val="22"/>
                <w:lang w:val="en-GB"/>
              </w:rPr>
              <w:t>Deviance Information Criterion (DIC)</w:t>
            </w:r>
          </w:p>
        </w:tc>
      </w:tr>
      <w:tr w:rsidR="00F334F9" w:rsidRPr="00E14060" w14:paraId="577D2E2C" w14:textId="77777777" w:rsidTr="0082241D">
        <w:trPr>
          <w:trHeight w:val="615"/>
          <w:jc w:val="center"/>
        </w:trPr>
        <w:tc>
          <w:tcPr>
            <w:tcW w:w="2503" w:type="dxa"/>
            <w:tcBorders>
              <w:top w:val="single" w:sz="4" w:space="0" w:color="auto"/>
              <w:left w:val="nil"/>
              <w:bottom w:val="single" w:sz="4" w:space="0" w:color="auto"/>
              <w:right w:val="nil"/>
            </w:tcBorders>
            <w:shd w:val="clear" w:color="auto" w:fill="auto"/>
            <w:noWrap/>
            <w:vAlign w:val="center"/>
            <w:hideMark/>
          </w:tcPr>
          <w:p w14:paraId="2DBCC28C" w14:textId="77777777" w:rsidR="0004428D" w:rsidRPr="00E14060" w:rsidRDefault="0004428D" w:rsidP="00531F3E">
            <w:pPr>
              <w:jc w:val="center"/>
              <w:rPr>
                <w:b/>
                <w:bCs/>
                <w:sz w:val="22"/>
                <w:szCs w:val="22"/>
                <w:lang w:val="en-GB"/>
              </w:rPr>
            </w:pPr>
            <w:r w:rsidRPr="00E14060">
              <w:rPr>
                <w:b/>
                <w:bCs/>
                <w:sz w:val="22"/>
                <w:szCs w:val="22"/>
                <w:lang w:val="en-GB"/>
              </w:rPr>
              <w:t>Outcome</w:t>
            </w:r>
          </w:p>
        </w:tc>
        <w:tc>
          <w:tcPr>
            <w:tcW w:w="2539" w:type="dxa"/>
            <w:tcBorders>
              <w:top w:val="single" w:sz="4" w:space="0" w:color="auto"/>
              <w:left w:val="nil"/>
              <w:bottom w:val="single" w:sz="4" w:space="0" w:color="auto"/>
              <w:right w:val="nil"/>
            </w:tcBorders>
            <w:shd w:val="clear" w:color="auto" w:fill="auto"/>
            <w:vAlign w:val="center"/>
            <w:hideMark/>
          </w:tcPr>
          <w:p w14:paraId="3D803FCA" w14:textId="77777777" w:rsidR="0004428D" w:rsidRPr="00E14060" w:rsidRDefault="0004428D" w:rsidP="00531F3E">
            <w:pPr>
              <w:jc w:val="center"/>
              <w:rPr>
                <w:b/>
                <w:bCs/>
                <w:sz w:val="22"/>
                <w:szCs w:val="22"/>
                <w:lang w:val="en-GB"/>
              </w:rPr>
            </w:pPr>
            <w:r w:rsidRPr="00E14060">
              <w:rPr>
                <w:b/>
                <w:bCs/>
                <w:sz w:val="22"/>
                <w:szCs w:val="22"/>
                <w:lang w:val="en-GB"/>
              </w:rPr>
              <w:t>Random Effects</w:t>
            </w:r>
          </w:p>
        </w:tc>
        <w:tc>
          <w:tcPr>
            <w:tcW w:w="2206" w:type="dxa"/>
            <w:tcBorders>
              <w:top w:val="single" w:sz="4" w:space="0" w:color="auto"/>
              <w:left w:val="nil"/>
              <w:bottom w:val="single" w:sz="4" w:space="0" w:color="auto"/>
              <w:right w:val="nil"/>
            </w:tcBorders>
            <w:shd w:val="clear" w:color="auto" w:fill="auto"/>
            <w:noWrap/>
            <w:vAlign w:val="center"/>
            <w:hideMark/>
          </w:tcPr>
          <w:p w14:paraId="7C1BF46F" w14:textId="77777777" w:rsidR="0004428D" w:rsidRPr="00E14060" w:rsidRDefault="0004428D" w:rsidP="00531F3E">
            <w:pPr>
              <w:jc w:val="center"/>
              <w:rPr>
                <w:b/>
                <w:bCs/>
                <w:sz w:val="22"/>
                <w:szCs w:val="22"/>
                <w:lang w:val="en-GB"/>
              </w:rPr>
            </w:pPr>
            <w:r w:rsidRPr="00E14060">
              <w:rPr>
                <w:b/>
                <w:bCs/>
                <w:sz w:val="22"/>
                <w:szCs w:val="22"/>
                <w:lang w:val="en-GB"/>
              </w:rPr>
              <w:t>Fixed Effects</w:t>
            </w:r>
          </w:p>
        </w:tc>
      </w:tr>
      <w:tr w:rsidR="00F334F9" w:rsidRPr="00E14060" w14:paraId="4DC82923" w14:textId="77777777" w:rsidTr="0082241D">
        <w:trPr>
          <w:trHeight w:val="300"/>
          <w:jc w:val="center"/>
        </w:trPr>
        <w:tc>
          <w:tcPr>
            <w:tcW w:w="2503" w:type="dxa"/>
            <w:tcBorders>
              <w:top w:val="nil"/>
              <w:left w:val="nil"/>
              <w:right w:val="nil"/>
            </w:tcBorders>
            <w:shd w:val="clear" w:color="auto" w:fill="auto"/>
            <w:noWrap/>
            <w:vAlign w:val="bottom"/>
            <w:hideMark/>
          </w:tcPr>
          <w:p w14:paraId="786144E4" w14:textId="77777777" w:rsidR="0004428D" w:rsidRPr="00E14060" w:rsidRDefault="0004428D" w:rsidP="00531F3E">
            <w:pPr>
              <w:jc w:val="center"/>
              <w:rPr>
                <w:b/>
                <w:bCs/>
                <w:sz w:val="22"/>
                <w:szCs w:val="22"/>
                <w:lang w:val="en-GB"/>
              </w:rPr>
            </w:pPr>
            <w:r w:rsidRPr="00E14060">
              <w:rPr>
                <w:b/>
                <w:bCs/>
                <w:sz w:val="22"/>
                <w:szCs w:val="22"/>
                <w:lang w:val="en-GB"/>
              </w:rPr>
              <w:t>ADHD-RS-IV</w:t>
            </w:r>
          </w:p>
        </w:tc>
        <w:tc>
          <w:tcPr>
            <w:tcW w:w="2539" w:type="dxa"/>
            <w:tcBorders>
              <w:top w:val="nil"/>
              <w:left w:val="nil"/>
              <w:right w:val="nil"/>
            </w:tcBorders>
            <w:shd w:val="clear" w:color="auto" w:fill="auto"/>
            <w:noWrap/>
            <w:vAlign w:val="bottom"/>
            <w:hideMark/>
          </w:tcPr>
          <w:p w14:paraId="469CE925" w14:textId="77777777" w:rsidR="0004428D" w:rsidRPr="00E14060" w:rsidRDefault="0004428D" w:rsidP="00531F3E">
            <w:pPr>
              <w:jc w:val="center"/>
              <w:rPr>
                <w:sz w:val="22"/>
                <w:szCs w:val="22"/>
                <w:lang w:val="en-GB"/>
              </w:rPr>
            </w:pPr>
            <w:r w:rsidRPr="00E14060">
              <w:rPr>
                <w:sz w:val="22"/>
                <w:szCs w:val="22"/>
                <w:lang w:val="en-GB"/>
              </w:rPr>
              <w:t>70.19</w:t>
            </w:r>
          </w:p>
        </w:tc>
        <w:tc>
          <w:tcPr>
            <w:tcW w:w="2206" w:type="dxa"/>
            <w:tcBorders>
              <w:top w:val="nil"/>
              <w:left w:val="nil"/>
              <w:right w:val="nil"/>
            </w:tcBorders>
            <w:shd w:val="clear" w:color="auto" w:fill="auto"/>
            <w:noWrap/>
            <w:vAlign w:val="bottom"/>
            <w:hideMark/>
          </w:tcPr>
          <w:p w14:paraId="0CA91646" w14:textId="77777777" w:rsidR="0004428D" w:rsidRPr="00E14060" w:rsidRDefault="0004428D" w:rsidP="00531F3E">
            <w:pPr>
              <w:jc w:val="center"/>
              <w:rPr>
                <w:sz w:val="22"/>
                <w:szCs w:val="22"/>
                <w:lang w:val="en-GB"/>
              </w:rPr>
            </w:pPr>
            <w:r w:rsidRPr="00E14060">
              <w:rPr>
                <w:sz w:val="22"/>
                <w:szCs w:val="22"/>
                <w:lang w:val="en-GB"/>
              </w:rPr>
              <w:t>69.27</w:t>
            </w:r>
          </w:p>
        </w:tc>
      </w:tr>
      <w:tr w:rsidR="00F334F9" w:rsidRPr="00E14060" w14:paraId="3E412AB1" w14:textId="77777777" w:rsidTr="0082241D">
        <w:trPr>
          <w:trHeight w:val="300"/>
          <w:jc w:val="center"/>
        </w:trPr>
        <w:tc>
          <w:tcPr>
            <w:tcW w:w="2503" w:type="dxa"/>
            <w:tcBorders>
              <w:top w:val="nil"/>
              <w:left w:val="nil"/>
              <w:right w:val="nil"/>
            </w:tcBorders>
            <w:shd w:val="clear" w:color="auto" w:fill="auto"/>
            <w:noWrap/>
            <w:vAlign w:val="bottom"/>
          </w:tcPr>
          <w:p w14:paraId="12DEF5EA" w14:textId="77777777" w:rsidR="0082241D" w:rsidRPr="00E14060" w:rsidRDefault="0082241D" w:rsidP="00531F3E">
            <w:pPr>
              <w:jc w:val="center"/>
              <w:rPr>
                <w:b/>
                <w:bCs/>
                <w:sz w:val="22"/>
                <w:szCs w:val="22"/>
                <w:lang w:val="en-GB"/>
              </w:rPr>
            </w:pPr>
            <w:r w:rsidRPr="00E14060">
              <w:rPr>
                <w:b/>
                <w:bCs/>
                <w:sz w:val="22"/>
                <w:szCs w:val="22"/>
                <w:lang w:val="en-GB"/>
              </w:rPr>
              <w:t>ADHD-RS-IV or AISRS</w:t>
            </w:r>
          </w:p>
        </w:tc>
        <w:tc>
          <w:tcPr>
            <w:tcW w:w="2539" w:type="dxa"/>
            <w:tcBorders>
              <w:top w:val="nil"/>
              <w:left w:val="nil"/>
              <w:right w:val="nil"/>
            </w:tcBorders>
            <w:shd w:val="clear" w:color="auto" w:fill="auto"/>
            <w:noWrap/>
            <w:vAlign w:val="bottom"/>
          </w:tcPr>
          <w:p w14:paraId="0E8CCF74" w14:textId="77777777" w:rsidR="0082241D" w:rsidRPr="00E14060" w:rsidRDefault="0082241D" w:rsidP="00531F3E">
            <w:pPr>
              <w:jc w:val="center"/>
              <w:rPr>
                <w:sz w:val="22"/>
                <w:szCs w:val="22"/>
                <w:lang w:val="en-GB"/>
              </w:rPr>
            </w:pPr>
            <w:r w:rsidRPr="00E14060">
              <w:rPr>
                <w:sz w:val="22"/>
                <w:szCs w:val="22"/>
                <w:lang w:val="en-GB"/>
              </w:rPr>
              <w:t>111.05</w:t>
            </w:r>
          </w:p>
        </w:tc>
        <w:tc>
          <w:tcPr>
            <w:tcW w:w="2206" w:type="dxa"/>
            <w:tcBorders>
              <w:top w:val="nil"/>
              <w:left w:val="nil"/>
              <w:right w:val="nil"/>
            </w:tcBorders>
            <w:shd w:val="clear" w:color="auto" w:fill="auto"/>
            <w:noWrap/>
            <w:vAlign w:val="bottom"/>
          </w:tcPr>
          <w:p w14:paraId="4AFF4685" w14:textId="77777777" w:rsidR="0082241D" w:rsidRPr="00E14060" w:rsidRDefault="0082241D" w:rsidP="00531F3E">
            <w:pPr>
              <w:jc w:val="center"/>
              <w:rPr>
                <w:sz w:val="22"/>
                <w:szCs w:val="22"/>
                <w:lang w:val="en-GB"/>
              </w:rPr>
            </w:pPr>
            <w:r w:rsidRPr="00E14060">
              <w:rPr>
                <w:sz w:val="22"/>
                <w:szCs w:val="22"/>
                <w:lang w:val="en-GB"/>
              </w:rPr>
              <w:t>108.51</w:t>
            </w:r>
          </w:p>
        </w:tc>
      </w:tr>
      <w:tr w:rsidR="00F334F9" w:rsidRPr="00E14060" w14:paraId="533AE5E6" w14:textId="77777777" w:rsidTr="0082241D">
        <w:trPr>
          <w:trHeight w:val="300"/>
          <w:jc w:val="center"/>
        </w:trPr>
        <w:tc>
          <w:tcPr>
            <w:tcW w:w="2503" w:type="dxa"/>
            <w:tcBorders>
              <w:left w:val="nil"/>
              <w:bottom w:val="single" w:sz="4" w:space="0" w:color="auto"/>
              <w:right w:val="nil"/>
            </w:tcBorders>
            <w:shd w:val="clear" w:color="auto" w:fill="auto"/>
            <w:noWrap/>
            <w:vAlign w:val="bottom"/>
            <w:hideMark/>
          </w:tcPr>
          <w:p w14:paraId="650FA1FD" w14:textId="77777777" w:rsidR="0004428D" w:rsidRPr="00E14060" w:rsidRDefault="0004428D" w:rsidP="00531F3E">
            <w:pPr>
              <w:jc w:val="center"/>
              <w:rPr>
                <w:b/>
                <w:bCs/>
                <w:sz w:val="22"/>
                <w:szCs w:val="22"/>
                <w:lang w:val="en-GB"/>
              </w:rPr>
            </w:pPr>
            <w:r w:rsidRPr="00E14060">
              <w:rPr>
                <w:b/>
                <w:bCs/>
                <w:sz w:val="22"/>
                <w:szCs w:val="22"/>
                <w:lang w:val="en-GB"/>
              </w:rPr>
              <w:t>CGI-I</w:t>
            </w:r>
          </w:p>
        </w:tc>
        <w:tc>
          <w:tcPr>
            <w:tcW w:w="2539" w:type="dxa"/>
            <w:tcBorders>
              <w:left w:val="nil"/>
              <w:bottom w:val="single" w:sz="4" w:space="0" w:color="auto"/>
              <w:right w:val="nil"/>
            </w:tcBorders>
            <w:shd w:val="clear" w:color="auto" w:fill="auto"/>
            <w:noWrap/>
            <w:vAlign w:val="center"/>
            <w:hideMark/>
          </w:tcPr>
          <w:p w14:paraId="23C65103" w14:textId="77777777" w:rsidR="0004428D" w:rsidRPr="00E14060" w:rsidRDefault="0004428D" w:rsidP="00531F3E">
            <w:pPr>
              <w:jc w:val="center"/>
              <w:rPr>
                <w:sz w:val="22"/>
                <w:szCs w:val="22"/>
                <w:lang w:val="en-GB"/>
              </w:rPr>
            </w:pPr>
            <w:r w:rsidRPr="00E14060">
              <w:rPr>
                <w:sz w:val="22"/>
                <w:szCs w:val="22"/>
                <w:lang w:val="en-GB"/>
              </w:rPr>
              <w:t>86.55</w:t>
            </w:r>
          </w:p>
        </w:tc>
        <w:tc>
          <w:tcPr>
            <w:tcW w:w="2206" w:type="dxa"/>
            <w:tcBorders>
              <w:left w:val="nil"/>
              <w:bottom w:val="single" w:sz="4" w:space="0" w:color="auto"/>
              <w:right w:val="nil"/>
            </w:tcBorders>
            <w:shd w:val="clear" w:color="auto" w:fill="auto"/>
            <w:noWrap/>
            <w:vAlign w:val="bottom"/>
            <w:hideMark/>
          </w:tcPr>
          <w:p w14:paraId="0A1E9B5D" w14:textId="77777777" w:rsidR="0004428D" w:rsidRPr="00E14060" w:rsidRDefault="0004428D" w:rsidP="00531F3E">
            <w:pPr>
              <w:jc w:val="center"/>
              <w:rPr>
                <w:sz w:val="22"/>
                <w:szCs w:val="22"/>
                <w:lang w:val="en-GB"/>
              </w:rPr>
            </w:pPr>
            <w:r w:rsidRPr="00E14060">
              <w:rPr>
                <w:sz w:val="22"/>
                <w:szCs w:val="22"/>
                <w:lang w:val="en-GB"/>
              </w:rPr>
              <w:t>84.91</w:t>
            </w:r>
          </w:p>
        </w:tc>
      </w:tr>
    </w:tbl>
    <w:p w14:paraId="15927B5A" w14:textId="77777777" w:rsidR="00AD3C3C" w:rsidRPr="00E14060" w:rsidRDefault="00AD3C3C" w:rsidP="0004428D">
      <w:pPr>
        <w:rPr>
          <w:lang w:val="en-GB"/>
        </w:rPr>
      </w:pPr>
    </w:p>
    <w:p w14:paraId="2F92FA85" w14:textId="77777777" w:rsidR="00AD3C3C" w:rsidRPr="00E14060" w:rsidRDefault="00AD3C3C">
      <w:pPr>
        <w:rPr>
          <w:lang w:val="en-GB"/>
        </w:rPr>
      </w:pPr>
      <w:r w:rsidRPr="00E14060">
        <w:rPr>
          <w:lang w:val="en-GB"/>
        </w:rPr>
        <w:br w:type="page"/>
      </w:r>
    </w:p>
    <w:p w14:paraId="34A19D74" w14:textId="77777777" w:rsidR="0004428D" w:rsidRPr="00E14060" w:rsidRDefault="0004428D" w:rsidP="0004428D">
      <w:pPr>
        <w:rPr>
          <w:lang w:val="en-GB"/>
        </w:rPr>
      </w:pPr>
    </w:p>
    <w:p w14:paraId="37223C83" w14:textId="77777777" w:rsidR="0004428D" w:rsidRPr="00E14060" w:rsidRDefault="0004428D" w:rsidP="0004428D">
      <w:pPr>
        <w:rPr>
          <w:lang w:val="en-GB"/>
        </w:rPr>
      </w:pPr>
    </w:p>
    <w:tbl>
      <w:tblPr>
        <w:tblW w:w="8474" w:type="dxa"/>
        <w:jc w:val="center"/>
        <w:tblLook w:val="04A0" w:firstRow="1" w:lastRow="0" w:firstColumn="1" w:lastColumn="0" w:noHBand="0" w:noVBand="1"/>
      </w:tblPr>
      <w:tblGrid>
        <w:gridCol w:w="2392"/>
        <w:gridCol w:w="271"/>
        <w:gridCol w:w="3015"/>
        <w:gridCol w:w="2796"/>
      </w:tblGrid>
      <w:tr w:rsidR="0004428D" w:rsidRPr="00E14060" w14:paraId="59EE4597" w14:textId="77777777" w:rsidTr="00531F3E">
        <w:trPr>
          <w:trHeight w:val="300"/>
          <w:jc w:val="center"/>
        </w:trPr>
        <w:tc>
          <w:tcPr>
            <w:tcW w:w="8474" w:type="dxa"/>
            <w:gridSpan w:val="4"/>
            <w:vMerge w:val="restart"/>
            <w:tcBorders>
              <w:top w:val="nil"/>
              <w:left w:val="nil"/>
              <w:bottom w:val="single" w:sz="4" w:space="0" w:color="000000"/>
              <w:right w:val="nil"/>
            </w:tcBorders>
            <w:shd w:val="clear" w:color="auto" w:fill="auto"/>
            <w:vAlign w:val="bottom"/>
            <w:hideMark/>
          </w:tcPr>
          <w:p w14:paraId="37785178" w14:textId="77777777" w:rsidR="0004428D" w:rsidRPr="00E14060" w:rsidRDefault="0004428D" w:rsidP="00531F3E">
            <w:pPr>
              <w:jc w:val="center"/>
              <w:rPr>
                <w:b/>
                <w:bCs/>
                <w:sz w:val="22"/>
                <w:szCs w:val="22"/>
                <w:lang w:val="en-GB"/>
              </w:rPr>
            </w:pPr>
            <w:r w:rsidRPr="00E14060">
              <w:rPr>
                <w:b/>
                <w:bCs/>
                <w:sz w:val="22"/>
                <w:szCs w:val="22"/>
                <w:lang w:val="en-GB"/>
              </w:rPr>
              <w:t xml:space="preserve">Table </w:t>
            </w:r>
            <w:r w:rsidR="008E787A" w:rsidRPr="00E14060">
              <w:rPr>
                <w:b/>
                <w:bCs/>
                <w:sz w:val="22"/>
                <w:szCs w:val="22"/>
                <w:lang w:val="en-GB"/>
              </w:rPr>
              <w:t>9</w:t>
            </w:r>
            <w:r w:rsidRPr="00E14060">
              <w:rPr>
                <w:b/>
                <w:bCs/>
                <w:sz w:val="22"/>
                <w:szCs w:val="22"/>
                <w:lang w:val="en-GB"/>
              </w:rPr>
              <w:t>. Inconsistency Assessment: Bucher Method</w:t>
            </w:r>
          </w:p>
          <w:p w14:paraId="1DDA474E" w14:textId="77777777" w:rsidR="0004428D" w:rsidRPr="00E14060" w:rsidRDefault="0004428D" w:rsidP="00531F3E">
            <w:pPr>
              <w:jc w:val="center"/>
              <w:rPr>
                <w:b/>
                <w:bCs/>
                <w:sz w:val="22"/>
                <w:szCs w:val="22"/>
                <w:lang w:val="en-GB"/>
              </w:rPr>
            </w:pPr>
            <w:r w:rsidRPr="00E14060">
              <w:rPr>
                <w:b/>
                <w:bCs/>
                <w:sz w:val="22"/>
                <w:szCs w:val="22"/>
                <w:lang w:val="en-GB"/>
              </w:rPr>
              <w:t>Indirect vs. Direct Comparison of MPH vs. ATX in the Core ADHD-RS-IV Analysis</w:t>
            </w:r>
          </w:p>
        </w:tc>
      </w:tr>
      <w:tr w:rsidR="0004428D" w:rsidRPr="00E14060" w14:paraId="3B349CF3" w14:textId="77777777" w:rsidTr="00531F3E">
        <w:trPr>
          <w:trHeight w:val="253"/>
          <w:jc w:val="center"/>
        </w:trPr>
        <w:tc>
          <w:tcPr>
            <w:tcW w:w="8474" w:type="dxa"/>
            <w:gridSpan w:val="4"/>
            <w:vMerge/>
            <w:tcBorders>
              <w:top w:val="nil"/>
              <w:left w:val="nil"/>
              <w:bottom w:val="single" w:sz="4" w:space="0" w:color="000000"/>
              <w:right w:val="nil"/>
            </w:tcBorders>
            <w:vAlign w:val="center"/>
            <w:hideMark/>
          </w:tcPr>
          <w:p w14:paraId="24F08BEC" w14:textId="77777777" w:rsidR="0004428D" w:rsidRPr="00E14060" w:rsidRDefault="0004428D" w:rsidP="00531F3E">
            <w:pPr>
              <w:rPr>
                <w:b/>
                <w:bCs/>
                <w:sz w:val="22"/>
                <w:szCs w:val="22"/>
                <w:lang w:val="en-GB"/>
              </w:rPr>
            </w:pPr>
          </w:p>
        </w:tc>
      </w:tr>
      <w:tr w:rsidR="0004428D" w:rsidRPr="00E14060" w14:paraId="34D5A963" w14:textId="77777777" w:rsidTr="00531F3E">
        <w:trPr>
          <w:trHeight w:val="900"/>
          <w:jc w:val="center"/>
        </w:trPr>
        <w:tc>
          <w:tcPr>
            <w:tcW w:w="2663" w:type="dxa"/>
            <w:gridSpan w:val="2"/>
            <w:tcBorders>
              <w:top w:val="single" w:sz="4" w:space="0" w:color="auto"/>
              <w:left w:val="nil"/>
              <w:bottom w:val="single" w:sz="4" w:space="0" w:color="auto"/>
              <w:right w:val="nil"/>
            </w:tcBorders>
            <w:shd w:val="clear" w:color="auto" w:fill="auto"/>
            <w:noWrap/>
            <w:vAlign w:val="center"/>
            <w:hideMark/>
          </w:tcPr>
          <w:p w14:paraId="6C75E34D" w14:textId="77777777" w:rsidR="0004428D" w:rsidRPr="00E14060" w:rsidRDefault="0004428D" w:rsidP="00531F3E">
            <w:pPr>
              <w:jc w:val="center"/>
              <w:rPr>
                <w:b/>
                <w:bCs/>
                <w:sz w:val="22"/>
                <w:szCs w:val="22"/>
                <w:lang w:val="en-GB"/>
              </w:rPr>
            </w:pPr>
            <w:r w:rsidRPr="00E14060">
              <w:rPr>
                <w:b/>
                <w:bCs/>
                <w:sz w:val="22"/>
                <w:szCs w:val="22"/>
                <w:lang w:val="en-GB"/>
              </w:rPr>
              <w:t>Treatment Effect Estimates</w:t>
            </w:r>
          </w:p>
        </w:tc>
        <w:tc>
          <w:tcPr>
            <w:tcW w:w="3015" w:type="dxa"/>
            <w:tcBorders>
              <w:top w:val="nil"/>
              <w:left w:val="nil"/>
              <w:bottom w:val="single" w:sz="4" w:space="0" w:color="auto"/>
              <w:right w:val="nil"/>
            </w:tcBorders>
            <w:shd w:val="clear" w:color="auto" w:fill="auto"/>
            <w:vAlign w:val="center"/>
            <w:hideMark/>
          </w:tcPr>
          <w:p w14:paraId="019DF6B0" w14:textId="77777777" w:rsidR="0004428D" w:rsidRPr="00E14060" w:rsidRDefault="0004428D" w:rsidP="00531F3E">
            <w:pPr>
              <w:jc w:val="center"/>
              <w:rPr>
                <w:b/>
                <w:bCs/>
                <w:sz w:val="22"/>
                <w:szCs w:val="22"/>
                <w:lang w:val="en-GB"/>
              </w:rPr>
            </w:pPr>
            <w:r w:rsidRPr="00E14060">
              <w:rPr>
                <w:b/>
                <w:bCs/>
                <w:sz w:val="22"/>
                <w:szCs w:val="22"/>
                <w:lang w:val="en-GB"/>
              </w:rPr>
              <w:t xml:space="preserve">Mean of </w:t>
            </w:r>
            <w:r w:rsidRPr="00E14060">
              <w:rPr>
                <w:b/>
                <w:bCs/>
                <w:sz w:val="22"/>
                <w:szCs w:val="22"/>
                <w:lang w:val="en-GB"/>
              </w:rPr>
              <w:br/>
              <w:t>ADHD-RS-IV Improvement</w:t>
            </w:r>
          </w:p>
        </w:tc>
        <w:tc>
          <w:tcPr>
            <w:tcW w:w="2796" w:type="dxa"/>
            <w:tcBorders>
              <w:top w:val="nil"/>
              <w:left w:val="nil"/>
              <w:bottom w:val="single" w:sz="4" w:space="0" w:color="auto"/>
              <w:right w:val="nil"/>
            </w:tcBorders>
            <w:shd w:val="clear" w:color="auto" w:fill="auto"/>
            <w:vAlign w:val="center"/>
            <w:hideMark/>
          </w:tcPr>
          <w:p w14:paraId="240D7F34" w14:textId="77777777" w:rsidR="0004428D" w:rsidRPr="00E14060" w:rsidRDefault="0004428D" w:rsidP="00531F3E">
            <w:pPr>
              <w:jc w:val="center"/>
              <w:rPr>
                <w:b/>
                <w:bCs/>
                <w:sz w:val="22"/>
                <w:szCs w:val="22"/>
                <w:lang w:val="en-GB"/>
              </w:rPr>
            </w:pPr>
            <w:r w:rsidRPr="00E14060">
              <w:rPr>
                <w:b/>
                <w:bCs/>
                <w:sz w:val="22"/>
                <w:szCs w:val="22"/>
                <w:lang w:val="en-GB"/>
              </w:rPr>
              <w:t>Standard Error of ADHD-RS-IV Improvement</w:t>
            </w:r>
          </w:p>
        </w:tc>
      </w:tr>
      <w:tr w:rsidR="0004428D" w:rsidRPr="00E14060" w14:paraId="60E5FA15" w14:textId="77777777" w:rsidTr="00531F3E">
        <w:trPr>
          <w:trHeight w:val="360"/>
          <w:jc w:val="center"/>
        </w:trPr>
        <w:tc>
          <w:tcPr>
            <w:tcW w:w="2663" w:type="dxa"/>
            <w:gridSpan w:val="2"/>
            <w:tcBorders>
              <w:top w:val="nil"/>
              <w:left w:val="nil"/>
              <w:bottom w:val="nil"/>
              <w:right w:val="nil"/>
            </w:tcBorders>
            <w:shd w:val="clear" w:color="auto" w:fill="auto"/>
            <w:noWrap/>
            <w:vAlign w:val="bottom"/>
            <w:hideMark/>
          </w:tcPr>
          <w:p w14:paraId="03D0027D" w14:textId="77777777" w:rsidR="0004428D" w:rsidRPr="00E14060" w:rsidRDefault="0004428D" w:rsidP="00531F3E">
            <w:pPr>
              <w:rPr>
                <w:sz w:val="22"/>
                <w:szCs w:val="22"/>
                <w:lang w:val="en-GB"/>
              </w:rPr>
            </w:pPr>
            <w:r w:rsidRPr="00E14060">
              <w:rPr>
                <w:sz w:val="22"/>
                <w:szCs w:val="22"/>
                <w:lang w:val="en-GB"/>
              </w:rPr>
              <w:t>Direct (MPH vs. placebo)</w:t>
            </w:r>
            <w:r w:rsidRPr="00E14060">
              <w:rPr>
                <w:sz w:val="22"/>
                <w:szCs w:val="22"/>
                <w:vertAlign w:val="superscript"/>
                <w:lang w:val="en-GB"/>
              </w:rPr>
              <w:t>[2]</w:t>
            </w:r>
          </w:p>
        </w:tc>
        <w:tc>
          <w:tcPr>
            <w:tcW w:w="3015" w:type="dxa"/>
            <w:tcBorders>
              <w:top w:val="nil"/>
              <w:left w:val="nil"/>
              <w:bottom w:val="nil"/>
              <w:right w:val="nil"/>
            </w:tcBorders>
            <w:shd w:val="clear" w:color="auto" w:fill="auto"/>
            <w:noWrap/>
            <w:vAlign w:val="bottom"/>
            <w:hideMark/>
          </w:tcPr>
          <w:p w14:paraId="5DFC2420" w14:textId="77777777" w:rsidR="0004428D" w:rsidRPr="00E14060" w:rsidRDefault="0004428D" w:rsidP="00531F3E">
            <w:pPr>
              <w:jc w:val="center"/>
              <w:rPr>
                <w:sz w:val="22"/>
                <w:szCs w:val="22"/>
                <w:lang w:val="en-GB"/>
              </w:rPr>
            </w:pPr>
            <w:r w:rsidRPr="00E14060">
              <w:rPr>
                <w:sz w:val="22"/>
                <w:szCs w:val="22"/>
                <w:lang w:val="en-GB"/>
              </w:rPr>
              <w:t>-6.00</w:t>
            </w:r>
          </w:p>
        </w:tc>
        <w:tc>
          <w:tcPr>
            <w:tcW w:w="2796" w:type="dxa"/>
            <w:tcBorders>
              <w:top w:val="nil"/>
              <w:left w:val="nil"/>
              <w:bottom w:val="nil"/>
              <w:right w:val="nil"/>
            </w:tcBorders>
            <w:shd w:val="clear" w:color="auto" w:fill="auto"/>
            <w:noWrap/>
            <w:vAlign w:val="bottom"/>
            <w:hideMark/>
          </w:tcPr>
          <w:p w14:paraId="2D02D65A" w14:textId="77777777" w:rsidR="0004428D" w:rsidRPr="00E14060" w:rsidRDefault="0004428D" w:rsidP="00531F3E">
            <w:pPr>
              <w:jc w:val="center"/>
              <w:rPr>
                <w:sz w:val="22"/>
                <w:szCs w:val="22"/>
                <w:lang w:val="en-GB"/>
              </w:rPr>
            </w:pPr>
            <w:r w:rsidRPr="00E14060">
              <w:rPr>
                <w:sz w:val="22"/>
                <w:szCs w:val="22"/>
                <w:lang w:val="en-GB"/>
              </w:rPr>
              <w:t>0.94</w:t>
            </w:r>
          </w:p>
        </w:tc>
      </w:tr>
      <w:tr w:rsidR="0004428D" w:rsidRPr="00E14060" w14:paraId="5845384A" w14:textId="77777777" w:rsidTr="00531F3E">
        <w:trPr>
          <w:trHeight w:val="300"/>
          <w:jc w:val="center"/>
        </w:trPr>
        <w:tc>
          <w:tcPr>
            <w:tcW w:w="2663" w:type="dxa"/>
            <w:gridSpan w:val="2"/>
            <w:tcBorders>
              <w:top w:val="nil"/>
              <w:left w:val="nil"/>
              <w:bottom w:val="single" w:sz="4" w:space="0" w:color="auto"/>
              <w:right w:val="nil"/>
            </w:tcBorders>
            <w:shd w:val="clear" w:color="auto" w:fill="auto"/>
            <w:noWrap/>
            <w:vAlign w:val="bottom"/>
            <w:hideMark/>
          </w:tcPr>
          <w:p w14:paraId="71B7EB17" w14:textId="77777777" w:rsidR="0004428D" w:rsidRPr="00E14060" w:rsidRDefault="0004428D" w:rsidP="00531F3E">
            <w:pPr>
              <w:rPr>
                <w:sz w:val="22"/>
                <w:szCs w:val="22"/>
                <w:lang w:val="en-GB"/>
              </w:rPr>
            </w:pPr>
            <w:r w:rsidRPr="00E14060">
              <w:rPr>
                <w:sz w:val="22"/>
                <w:szCs w:val="22"/>
                <w:lang w:val="en-GB"/>
              </w:rPr>
              <w:t>Direct (ATX vs. placebo)</w:t>
            </w:r>
          </w:p>
        </w:tc>
        <w:tc>
          <w:tcPr>
            <w:tcW w:w="3015" w:type="dxa"/>
            <w:tcBorders>
              <w:top w:val="nil"/>
              <w:left w:val="nil"/>
              <w:bottom w:val="single" w:sz="4" w:space="0" w:color="auto"/>
              <w:right w:val="nil"/>
            </w:tcBorders>
            <w:shd w:val="clear" w:color="auto" w:fill="auto"/>
            <w:noWrap/>
            <w:vAlign w:val="bottom"/>
            <w:hideMark/>
          </w:tcPr>
          <w:p w14:paraId="37C2CE09" w14:textId="77777777" w:rsidR="0004428D" w:rsidRPr="00E14060" w:rsidRDefault="0004428D" w:rsidP="00531F3E">
            <w:pPr>
              <w:jc w:val="center"/>
              <w:rPr>
                <w:sz w:val="22"/>
                <w:szCs w:val="22"/>
                <w:lang w:val="en-GB"/>
              </w:rPr>
            </w:pPr>
            <w:r w:rsidRPr="00E14060">
              <w:rPr>
                <w:sz w:val="22"/>
                <w:szCs w:val="22"/>
                <w:lang w:val="en-GB"/>
              </w:rPr>
              <w:t>-6.50</w:t>
            </w:r>
          </w:p>
        </w:tc>
        <w:tc>
          <w:tcPr>
            <w:tcW w:w="2796" w:type="dxa"/>
            <w:tcBorders>
              <w:top w:val="nil"/>
              <w:left w:val="nil"/>
              <w:bottom w:val="single" w:sz="4" w:space="0" w:color="auto"/>
              <w:right w:val="nil"/>
            </w:tcBorders>
            <w:shd w:val="clear" w:color="auto" w:fill="auto"/>
            <w:noWrap/>
            <w:vAlign w:val="bottom"/>
            <w:hideMark/>
          </w:tcPr>
          <w:p w14:paraId="476712B3" w14:textId="77777777" w:rsidR="0004428D" w:rsidRPr="00E14060" w:rsidRDefault="0004428D" w:rsidP="00531F3E">
            <w:pPr>
              <w:jc w:val="center"/>
              <w:rPr>
                <w:sz w:val="22"/>
                <w:szCs w:val="22"/>
                <w:lang w:val="en-GB"/>
              </w:rPr>
            </w:pPr>
            <w:r w:rsidRPr="00E14060">
              <w:rPr>
                <w:sz w:val="22"/>
                <w:szCs w:val="22"/>
                <w:lang w:val="en-GB"/>
              </w:rPr>
              <w:t>2.18</w:t>
            </w:r>
          </w:p>
        </w:tc>
      </w:tr>
      <w:tr w:rsidR="0004428D" w:rsidRPr="00E14060" w14:paraId="229967F4" w14:textId="77777777" w:rsidTr="00531F3E">
        <w:trPr>
          <w:trHeight w:val="360"/>
          <w:jc w:val="center"/>
        </w:trPr>
        <w:tc>
          <w:tcPr>
            <w:tcW w:w="2663" w:type="dxa"/>
            <w:gridSpan w:val="2"/>
            <w:tcBorders>
              <w:top w:val="nil"/>
              <w:left w:val="nil"/>
              <w:bottom w:val="nil"/>
              <w:right w:val="nil"/>
            </w:tcBorders>
            <w:shd w:val="clear" w:color="auto" w:fill="auto"/>
            <w:noWrap/>
            <w:vAlign w:val="bottom"/>
            <w:hideMark/>
          </w:tcPr>
          <w:p w14:paraId="728D51DC" w14:textId="77777777" w:rsidR="0004428D" w:rsidRPr="00E14060" w:rsidRDefault="0004428D" w:rsidP="00531F3E">
            <w:pPr>
              <w:rPr>
                <w:sz w:val="22"/>
                <w:szCs w:val="22"/>
                <w:lang w:val="en-GB"/>
              </w:rPr>
            </w:pPr>
            <w:r w:rsidRPr="00E14060">
              <w:rPr>
                <w:b/>
                <w:bCs/>
                <w:sz w:val="22"/>
                <w:szCs w:val="22"/>
                <w:lang w:val="en-GB"/>
              </w:rPr>
              <w:t>Indirect</w:t>
            </w:r>
            <w:r w:rsidRPr="00E14060">
              <w:rPr>
                <w:sz w:val="22"/>
                <w:szCs w:val="22"/>
                <w:lang w:val="en-GB"/>
              </w:rPr>
              <w:t xml:space="preserve"> (MPH vs. ATX)</w:t>
            </w:r>
            <w:r w:rsidRPr="00E14060">
              <w:rPr>
                <w:sz w:val="22"/>
                <w:szCs w:val="22"/>
                <w:vertAlign w:val="superscript"/>
                <w:lang w:val="en-GB"/>
              </w:rPr>
              <w:t>[3]</w:t>
            </w:r>
          </w:p>
        </w:tc>
        <w:tc>
          <w:tcPr>
            <w:tcW w:w="3015" w:type="dxa"/>
            <w:tcBorders>
              <w:top w:val="nil"/>
              <w:left w:val="nil"/>
              <w:bottom w:val="nil"/>
              <w:right w:val="nil"/>
            </w:tcBorders>
            <w:shd w:val="clear" w:color="auto" w:fill="auto"/>
            <w:noWrap/>
            <w:vAlign w:val="bottom"/>
            <w:hideMark/>
          </w:tcPr>
          <w:p w14:paraId="328A631A" w14:textId="77777777" w:rsidR="0004428D" w:rsidRPr="00E14060" w:rsidRDefault="0004428D" w:rsidP="00531F3E">
            <w:pPr>
              <w:jc w:val="center"/>
              <w:rPr>
                <w:sz w:val="22"/>
                <w:szCs w:val="22"/>
                <w:lang w:val="en-GB"/>
              </w:rPr>
            </w:pPr>
            <w:r w:rsidRPr="00E14060">
              <w:rPr>
                <w:sz w:val="22"/>
                <w:szCs w:val="22"/>
                <w:lang w:val="en-GB"/>
              </w:rPr>
              <w:t>0.50</w:t>
            </w:r>
          </w:p>
        </w:tc>
        <w:tc>
          <w:tcPr>
            <w:tcW w:w="2796" w:type="dxa"/>
            <w:tcBorders>
              <w:top w:val="nil"/>
              <w:left w:val="nil"/>
              <w:bottom w:val="nil"/>
              <w:right w:val="nil"/>
            </w:tcBorders>
            <w:shd w:val="clear" w:color="auto" w:fill="auto"/>
            <w:noWrap/>
            <w:vAlign w:val="bottom"/>
            <w:hideMark/>
          </w:tcPr>
          <w:p w14:paraId="0208B1CB" w14:textId="77777777" w:rsidR="0004428D" w:rsidRPr="00E14060" w:rsidRDefault="0004428D" w:rsidP="00531F3E">
            <w:pPr>
              <w:jc w:val="center"/>
              <w:rPr>
                <w:sz w:val="22"/>
                <w:szCs w:val="22"/>
                <w:lang w:val="en-GB"/>
              </w:rPr>
            </w:pPr>
            <w:r w:rsidRPr="00E14060">
              <w:rPr>
                <w:sz w:val="22"/>
                <w:szCs w:val="22"/>
                <w:lang w:val="en-GB"/>
              </w:rPr>
              <w:t>2.20</w:t>
            </w:r>
          </w:p>
        </w:tc>
      </w:tr>
      <w:tr w:rsidR="0004428D" w:rsidRPr="00E14060" w14:paraId="5A648081" w14:textId="77777777" w:rsidTr="00531F3E">
        <w:trPr>
          <w:trHeight w:val="300"/>
          <w:jc w:val="center"/>
        </w:trPr>
        <w:tc>
          <w:tcPr>
            <w:tcW w:w="2663" w:type="dxa"/>
            <w:gridSpan w:val="2"/>
            <w:tcBorders>
              <w:top w:val="nil"/>
              <w:left w:val="nil"/>
              <w:bottom w:val="single" w:sz="4" w:space="0" w:color="auto"/>
              <w:right w:val="nil"/>
            </w:tcBorders>
            <w:shd w:val="clear" w:color="auto" w:fill="auto"/>
            <w:noWrap/>
            <w:vAlign w:val="bottom"/>
            <w:hideMark/>
          </w:tcPr>
          <w:p w14:paraId="7235BFC0" w14:textId="77777777" w:rsidR="0004428D" w:rsidRPr="00E14060" w:rsidRDefault="0004428D" w:rsidP="00531F3E">
            <w:pPr>
              <w:rPr>
                <w:sz w:val="22"/>
                <w:szCs w:val="22"/>
                <w:lang w:val="en-GB"/>
              </w:rPr>
            </w:pPr>
            <w:r w:rsidRPr="00E14060">
              <w:rPr>
                <w:b/>
                <w:bCs/>
                <w:sz w:val="22"/>
                <w:szCs w:val="22"/>
                <w:lang w:val="en-GB"/>
              </w:rPr>
              <w:t xml:space="preserve">Direct </w:t>
            </w:r>
            <w:r w:rsidRPr="00E14060">
              <w:rPr>
                <w:sz w:val="22"/>
                <w:szCs w:val="22"/>
                <w:lang w:val="en-GB"/>
              </w:rPr>
              <w:t>(MPH vs. ATX)</w:t>
            </w:r>
          </w:p>
        </w:tc>
        <w:tc>
          <w:tcPr>
            <w:tcW w:w="3015" w:type="dxa"/>
            <w:tcBorders>
              <w:top w:val="nil"/>
              <w:left w:val="nil"/>
              <w:bottom w:val="single" w:sz="4" w:space="0" w:color="auto"/>
              <w:right w:val="nil"/>
            </w:tcBorders>
            <w:shd w:val="clear" w:color="auto" w:fill="auto"/>
            <w:noWrap/>
            <w:vAlign w:val="bottom"/>
            <w:hideMark/>
          </w:tcPr>
          <w:p w14:paraId="130A1DDE" w14:textId="77777777" w:rsidR="0004428D" w:rsidRPr="00E14060" w:rsidRDefault="0004428D" w:rsidP="00531F3E">
            <w:pPr>
              <w:jc w:val="center"/>
              <w:rPr>
                <w:sz w:val="22"/>
                <w:szCs w:val="22"/>
                <w:lang w:val="en-GB"/>
              </w:rPr>
            </w:pPr>
            <w:r w:rsidRPr="00E14060">
              <w:rPr>
                <w:sz w:val="22"/>
                <w:szCs w:val="22"/>
                <w:lang w:val="en-GB"/>
              </w:rPr>
              <w:t>-0.40</w:t>
            </w:r>
          </w:p>
        </w:tc>
        <w:tc>
          <w:tcPr>
            <w:tcW w:w="2796" w:type="dxa"/>
            <w:tcBorders>
              <w:top w:val="nil"/>
              <w:left w:val="nil"/>
              <w:bottom w:val="single" w:sz="4" w:space="0" w:color="auto"/>
              <w:right w:val="nil"/>
            </w:tcBorders>
            <w:shd w:val="clear" w:color="auto" w:fill="auto"/>
            <w:noWrap/>
            <w:vAlign w:val="bottom"/>
            <w:hideMark/>
          </w:tcPr>
          <w:p w14:paraId="06287D88" w14:textId="77777777" w:rsidR="0004428D" w:rsidRPr="00E14060" w:rsidRDefault="0004428D" w:rsidP="00531F3E">
            <w:pPr>
              <w:jc w:val="center"/>
              <w:rPr>
                <w:sz w:val="22"/>
                <w:szCs w:val="22"/>
                <w:lang w:val="en-GB"/>
              </w:rPr>
            </w:pPr>
            <w:r w:rsidRPr="00E14060">
              <w:rPr>
                <w:sz w:val="22"/>
                <w:szCs w:val="22"/>
                <w:lang w:val="en-GB"/>
              </w:rPr>
              <w:t>2.35</w:t>
            </w:r>
          </w:p>
        </w:tc>
      </w:tr>
      <w:tr w:rsidR="0004428D" w:rsidRPr="00E14060" w14:paraId="2042741F" w14:textId="77777777" w:rsidTr="00531F3E">
        <w:trPr>
          <w:trHeight w:val="300"/>
          <w:jc w:val="center"/>
        </w:trPr>
        <w:tc>
          <w:tcPr>
            <w:tcW w:w="2663" w:type="dxa"/>
            <w:gridSpan w:val="2"/>
            <w:vMerge w:val="restart"/>
            <w:tcBorders>
              <w:top w:val="single" w:sz="4" w:space="0" w:color="auto"/>
              <w:left w:val="nil"/>
              <w:bottom w:val="nil"/>
              <w:right w:val="nil"/>
            </w:tcBorders>
            <w:shd w:val="clear" w:color="auto" w:fill="auto"/>
            <w:hideMark/>
          </w:tcPr>
          <w:p w14:paraId="5CA2B43F" w14:textId="77777777" w:rsidR="0004428D" w:rsidRPr="00E14060" w:rsidRDefault="0004428D" w:rsidP="00531F3E">
            <w:pPr>
              <w:jc w:val="center"/>
              <w:rPr>
                <w:b/>
                <w:bCs/>
                <w:sz w:val="22"/>
                <w:szCs w:val="22"/>
                <w:lang w:val="en-GB"/>
              </w:rPr>
            </w:pPr>
            <w:r w:rsidRPr="00E14060">
              <w:rPr>
                <w:b/>
                <w:bCs/>
                <w:sz w:val="22"/>
                <w:szCs w:val="22"/>
                <w:lang w:val="en-GB"/>
              </w:rPr>
              <w:t xml:space="preserve">Indirect (MPH vs. ATX) vs. Direct </w:t>
            </w:r>
            <w:r w:rsidRPr="00E14060">
              <w:rPr>
                <w:b/>
                <w:bCs/>
                <w:sz w:val="22"/>
                <w:szCs w:val="22"/>
                <w:lang w:val="en-GB"/>
              </w:rPr>
              <w:br/>
              <w:t>(MPH vs. ATX)</w:t>
            </w:r>
            <w:r w:rsidRPr="00E14060">
              <w:rPr>
                <w:b/>
                <w:bCs/>
                <w:sz w:val="22"/>
                <w:szCs w:val="22"/>
                <w:vertAlign w:val="superscript"/>
                <w:lang w:val="en-GB"/>
              </w:rPr>
              <w:t>[4]</w:t>
            </w:r>
          </w:p>
        </w:tc>
        <w:tc>
          <w:tcPr>
            <w:tcW w:w="3015" w:type="dxa"/>
            <w:tcBorders>
              <w:top w:val="nil"/>
              <w:left w:val="nil"/>
              <w:bottom w:val="nil"/>
              <w:right w:val="nil"/>
            </w:tcBorders>
            <w:shd w:val="clear" w:color="auto" w:fill="auto"/>
            <w:noWrap/>
            <w:vAlign w:val="bottom"/>
            <w:hideMark/>
          </w:tcPr>
          <w:p w14:paraId="68E9B77D" w14:textId="77777777" w:rsidR="0004428D" w:rsidRPr="00E14060" w:rsidRDefault="0004428D" w:rsidP="00531F3E">
            <w:pPr>
              <w:rPr>
                <w:sz w:val="22"/>
                <w:szCs w:val="22"/>
                <w:lang w:val="en-GB"/>
              </w:rPr>
            </w:pPr>
          </w:p>
        </w:tc>
        <w:tc>
          <w:tcPr>
            <w:tcW w:w="2796" w:type="dxa"/>
            <w:tcBorders>
              <w:top w:val="nil"/>
              <w:left w:val="nil"/>
              <w:bottom w:val="nil"/>
              <w:right w:val="nil"/>
            </w:tcBorders>
            <w:shd w:val="clear" w:color="auto" w:fill="auto"/>
            <w:noWrap/>
            <w:vAlign w:val="bottom"/>
            <w:hideMark/>
          </w:tcPr>
          <w:p w14:paraId="6931381C" w14:textId="77777777" w:rsidR="0004428D" w:rsidRPr="00E14060" w:rsidRDefault="0004428D" w:rsidP="00531F3E">
            <w:pPr>
              <w:rPr>
                <w:sz w:val="22"/>
                <w:szCs w:val="22"/>
                <w:lang w:val="en-GB"/>
              </w:rPr>
            </w:pPr>
          </w:p>
        </w:tc>
      </w:tr>
      <w:tr w:rsidR="0004428D" w:rsidRPr="00E14060" w14:paraId="07BA0A8F" w14:textId="77777777" w:rsidTr="00531F3E">
        <w:trPr>
          <w:trHeight w:val="330"/>
          <w:jc w:val="center"/>
        </w:trPr>
        <w:tc>
          <w:tcPr>
            <w:tcW w:w="2663" w:type="dxa"/>
            <w:gridSpan w:val="2"/>
            <w:vMerge/>
            <w:tcBorders>
              <w:top w:val="single" w:sz="4" w:space="0" w:color="auto"/>
              <w:left w:val="nil"/>
              <w:bottom w:val="nil"/>
              <w:right w:val="nil"/>
            </w:tcBorders>
            <w:vAlign w:val="center"/>
            <w:hideMark/>
          </w:tcPr>
          <w:p w14:paraId="306D9CF5" w14:textId="77777777" w:rsidR="0004428D" w:rsidRPr="00E14060" w:rsidRDefault="0004428D" w:rsidP="00531F3E">
            <w:pPr>
              <w:rPr>
                <w:b/>
                <w:bCs/>
                <w:sz w:val="22"/>
                <w:szCs w:val="22"/>
                <w:lang w:val="en-GB"/>
              </w:rPr>
            </w:pPr>
          </w:p>
        </w:tc>
        <w:tc>
          <w:tcPr>
            <w:tcW w:w="3015" w:type="dxa"/>
            <w:tcBorders>
              <w:top w:val="nil"/>
              <w:left w:val="nil"/>
              <w:bottom w:val="nil"/>
              <w:right w:val="nil"/>
            </w:tcBorders>
            <w:shd w:val="clear" w:color="auto" w:fill="auto"/>
            <w:noWrap/>
            <w:vAlign w:val="bottom"/>
            <w:hideMark/>
          </w:tcPr>
          <w:p w14:paraId="782B38B8" w14:textId="77777777" w:rsidR="0004428D" w:rsidRPr="00E14060" w:rsidRDefault="0004428D" w:rsidP="00531F3E">
            <w:pPr>
              <w:jc w:val="center"/>
              <w:rPr>
                <w:sz w:val="22"/>
                <w:szCs w:val="22"/>
                <w:lang w:val="en-GB"/>
              </w:rPr>
            </w:pPr>
            <w:r w:rsidRPr="00E14060">
              <w:rPr>
                <w:sz w:val="22"/>
                <w:szCs w:val="22"/>
                <w:lang w:val="en-GB"/>
              </w:rPr>
              <w:t>0.90</w:t>
            </w:r>
          </w:p>
        </w:tc>
        <w:tc>
          <w:tcPr>
            <w:tcW w:w="2796" w:type="dxa"/>
            <w:tcBorders>
              <w:top w:val="nil"/>
              <w:left w:val="nil"/>
              <w:bottom w:val="nil"/>
              <w:right w:val="nil"/>
            </w:tcBorders>
            <w:shd w:val="clear" w:color="auto" w:fill="auto"/>
            <w:noWrap/>
            <w:vAlign w:val="bottom"/>
            <w:hideMark/>
          </w:tcPr>
          <w:p w14:paraId="2D2BE341" w14:textId="77777777" w:rsidR="0004428D" w:rsidRPr="00E14060" w:rsidRDefault="0004428D" w:rsidP="00531F3E">
            <w:pPr>
              <w:jc w:val="center"/>
              <w:rPr>
                <w:sz w:val="22"/>
                <w:szCs w:val="22"/>
                <w:lang w:val="en-GB"/>
              </w:rPr>
            </w:pPr>
            <w:r w:rsidRPr="00E14060">
              <w:rPr>
                <w:sz w:val="22"/>
                <w:szCs w:val="22"/>
                <w:lang w:val="en-GB"/>
              </w:rPr>
              <w:t>1.84</w:t>
            </w:r>
          </w:p>
        </w:tc>
      </w:tr>
      <w:tr w:rsidR="0004428D" w:rsidRPr="00E14060" w14:paraId="5ADF0836" w14:textId="77777777" w:rsidTr="00531F3E">
        <w:trPr>
          <w:trHeight w:val="300"/>
          <w:jc w:val="center"/>
        </w:trPr>
        <w:tc>
          <w:tcPr>
            <w:tcW w:w="2392" w:type="dxa"/>
            <w:tcBorders>
              <w:top w:val="nil"/>
              <w:left w:val="nil"/>
              <w:bottom w:val="single" w:sz="4" w:space="0" w:color="auto"/>
              <w:right w:val="nil"/>
            </w:tcBorders>
            <w:shd w:val="clear" w:color="auto" w:fill="auto"/>
            <w:noWrap/>
            <w:vAlign w:val="bottom"/>
            <w:hideMark/>
          </w:tcPr>
          <w:p w14:paraId="0733D08B" w14:textId="77777777" w:rsidR="0004428D" w:rsidRPr="00E14060" w:rsidRDefault="0004428D" w:rsidP="00531F3E">
            <w:pPr>
              <w:rPr>
                <w:sz w:val="22"/>
                <w:szCs w:val="22"/>
                <w:lang w:val="en-GB"/>
              </w:rPr>
            </w:pPr>
            <w:r w:rsidRPr="00E14060">
              <w:rPr>
                <w:sz w:val="22"/>
                <w:szCs w:val="22"/>
                <w:lang w:val="en-GB"/>
              </w:rPr>
              <w:t>p-value</w:t>
            </w:r>
          </w:p>
        </w:tc>
        <w:tc>
          <w:tcPr>
            <w:tcW w:w="271" w:type="dxa"/>
            <w:tcBorders>
              <w:top w:val="nil"/>
              <w:left w:val="nil"/>
              <w:bottom w:val="single" w:sz="4" w:space="0" w:color="auto"/>
              <w:right w:val="nil"/>
            </w:tcBorders>
            <w:shd w:val="clear" w:color="auto" w:fill="auto"/>
            <w:noWrap/>
            <w:vAlign w:val="center"/>
            <w:hideMark/>
          </w:tcPr>
          <w:p w14:paraId="69D407A3" w14:textId="77777777" w:rsidR="0004428D" w:rsidRPr="00E14060" w:rsidRDefault="0004428D" w:rsidP="00531F3E">
            <w:pPr>
              <w:rPr>
                <w:sz w:val="22"/>
                <w:szCs w:val="22"/>
                <w:lang w:val="en-GB"/>
              </w:rPr>
            </w:pPr>
            <w:r w:rsidRPr="00E14060">
              <w:rPr>
                <w:sz w:val="22"/>
                <w:szCs w:val="22"/>
                <w:lang w:val="en-GB"/>
              </w:rPr>
              <w:t> </w:t>
            </w:r>
          </w:p>
        </w:tc>
        <w:tc>
          <w:tcPr>
            <w:tcW w:w="5811" w:type="dxa"/>
            <w:gridSpan w:val="2"/>
            <w:tcBorders>
              <w:top w:val="nil"/>
              <w:left w:val="nil"/>
              <w:bottom w:val="single" w:sz="4" w:space="0" w:color="auto"/>
              <w:right w:val="nil"/>
            </w:tcBorders>
            <w:shd w:val="clear" w:color="auto" w:fill="auto"/>
            <w:noWrap/>
            <w:vAlign w:val="bottom"/>
            <w:hideMark/>
          </w:tcPr>
          <w:p w14:paraId="0635D953" w14:textId="77777777" w:rsidR="0004428D" w:rsidRPr="00E14060" w:rsidRDefault="0004428D" w:rsidP="00531F3E">
            <w:pPr>
              <w:jc w:val="center"/>
              <w:rPr>
                <w:sz w:val="22"/>
                <w:szCs w:val="22"/>
                <w:lang w:val="en-GB"/>
              </w:rPr>
            </w:pPr>
            <w:r w:rsidRPr="00E14060">
              <w:rPr>
                <w:sz w:val="22"/>
                <w:szCs w:val="22"/>
                <w:lang w:val="en-GB"/>
              </w:rPr>
              <w:t>0.62</w:t>
            </w:r>
          </w:p>
        </w:tc>
      </w:tr>
    </w:tbl>
    <w:p w14:paraId="394AEF43" w14:textId="77777777" w:rsidR="0004428D" w:rsidRPr="00E14060" w:rsidRDefault="0004428D" w:rsidP="0004428D">
      <w:pPr>
        <w:rPr>
          <w:lang w:val="en-GB"/>
        </w:rPr>
      </w:pPr>
    </w:p>
    <w:p w14:paraId="0AC9A98C" w14:textId="7787D7E6" w:rsidR="0004428D" w:rsidRPr="00E14060" w:rsidRDefault="0004428D" w:rsidP="006F772A">
      <w:pPr>
        <w:spacing w:line="288" w:lineRule="auto"/>
        <w:ind w:left="806"/>
        <w:rPr>
          <w:b/>
          <w:lang w:val="en-GB"/>
        </w:rPr>
      </w:pPr>
      <w:r w:rsidRPr="00E14060">
        <w:rPr>
          <w:b/>
          <w:lang w:val="en-GB"/>
        </w:rPr>
        <w:t>Notes:</w:t>
      </w:r>
      <w:r w:rsidRPr="00E14060">
        <w:rPr>
          <w:b/>
          <w:lang w:val="en-GB"/>
        </w:rPr>
        <w:tab/>
      </w:r>
    </w:p>
    <w:p w14:paraId="757A08EB" w14:textId="33064795" w:rsidR="0004428D" w:rsidRPr="00E14060" w:rsidRDefault="0004428D" w:rsidP="006F772A">
      <w:pPr>
        <w:pStyle w:val="ListParagraph"/>
        <w:numPr>
          <w:ilvl w:val="0"/>
          <w:numId w:val="135"/>
        </w:numPr>
        <w:spacing w:afterLines="200" w:after="480"/>
        <w:rPr>
          <w:rFonts w:ascii="Times New Roman" w:hAnsi="Times New Roman"/>
          <w:i w:val="0"/>
          <w:iCs w:val="0"/>
          <w:lang w:val="en-GB"/>
        </w:rPr>
      </w:pPr>
      <w:r w:rsidRPr="00E14060">
        <w:rPr>
          <w:rFonts w:ascii="Times New Roman" w:hAnsi="Times New Roman"/>
          <w:i w:val="0"/>
          <w:iCs w:val="0"/>
          <w:lang w:val="en-GB"/>
        </w:rPr>
        <w:t xml:space="preserve">The CGI-I evidence network contained only 2 studies with LDX and placebo arms in the core analysis. </w:t>
      </w:r>
    </w:p>
    <w:p w14:paraId="6DE2BAAB" w14:textId="12F4DCDF" w:rsidR="0004428D" w:rsidRPr="00E14060" w:rsidRDefault="0004428D" w:rsidP="006F772A">
      <w:pPr>
        <w:pStyle w:val="ListParagraph"/>
        <w:numPr>
          <w:ilvl w:val="0"/>
          <w:numId w:val="135"/>
        </w:numPr>
        <w:spacing w:afterLines="200" w:after="480"/>
        <w:rPr>
          <w:rFonts w:ascii="Times New Roman" w:hAnsi="Times New Roman"/>
          <w:i w:val="0"/>
          <w:iCs w:val="0"/>
          <w:lang w:val="en-GB"/>
        </w:rPr>
      </w:pPr>
      <w:r w:rsidRPr="00E14060">
        <w:rPr>
          <w:rFonts w:ascii="Times New Roman" w:hAnsi="Times New Roman"/>
          <w:i w:val="0"/>
          <w:iCs w:val="0"/>
          <w:lang w:val="en-GB"/>
        </w:rPr>
        <w:t xml:space="preserve">The ADHD-RS-IV mean change and standard error were first computed by pooling all MPH arms, weighted by sample size, in Spencer (2007). The mean and standard error of the direct MPH vs. placebo treatment effect were then computed using the pooled values. </w:t>
      </w:r>
    </w:p>
    <w:p w14:paraId="21772BA9" w14:textId="56CA2443" w:rsidR="00E10E22" w:rsidRPr="00E14060" w:rsidRDefault="0004428D" w:rsidP="006F772A">
      <w:pPr>
        <w:pStyle w:val="ListParagraph"/>
        <w:numPr>
          <w:ilvl w:val="0"/>
          <w:numId w:val="135"/>
        </w:numPr>
        <w:spacing w:afterLines="200" w:after="480"/>
        <w:rPr>
          <w:rFonts w:ascii="Times New Roman" w:hAnsi="Times New Roman"/>
          <w:i w:val="0"/>
          <w:iCs w:val="0"/>
          <w:lang w:val="en-GB"/>
        </w:rPr>
      </w:pPr>
      <w:r w:rsidRPr="00E14060">
        <w:rPr>
          <w:rFonts w:ascii="Times New Roman" w:hAnsi="Times New Roman"/>
          <w:i w:val="0"/>
          <w:iCs w:val="0"/>
          <w:lang w:val="en-GB"/>
        </w:rPr>
        <w:t>Calculations of the standard error of the indirect MPH vs. ATX treatment effect incorporate covariance due to a common placebo arm.</w:t>
      </w:r>
    </w:p>
    <w:p w14:paraId="770C2152" w14:textId="23DE0299" w:rsidR="0004428D" w:rsidRPr="00E14060" w:rsidRDefault="0004428D" w:rsidP="006F772A">
      <w:pPr>
        <w:pStyle w:val="ListParagraph"/>
        <w:numPr>
          <w:ilvl w:val="0"/>
          <w:numId w:val="135"/>
        </w:numPr>
        <w:spacing w:afterLines="200" w:after="480"/>
        <w:rPr>
          <w:rFonts w:ascii="Times New Roman" w:hAnsi="Times New Roman"/>
          <w:i w:val="0"/>
          <w:iCs w:val="0"/>
          <w:lang w:val="en-GB"/>
        </w:rPr>
      </w:pPr>
      <w:r w:rsidRPr="00E14060">
        <w:rPr>
          <w:rFonts w:ascii="Times New Roman" w:hAnsi="Times New Roman"/>
          <w:i w:val="0"/>
          <w:iCs w:val="0"/>
          <w:lang w:val="en-GB"/>
        </w:rPr>
        <w:t>Calculations of the standard error of the difference of indirect and direct MPH vs. ATX treatment effects incorporate covariance due to common ATX and MPH arms.</w:t>
      </w:r>
    </w:p>
    <w:p w14:paraId="40F00673" w14:textId="17165C69" w:rsidR="0004428D" w:rsidRPr="00E14060" w:rsidRDefault="0004428D" w:rsidP="006F772A">
      <w:pPr>
        <w:pStyle w:val="ListParagraph"/>
        <w:numPr>
          <w:ilvl w:val="0"/>
          <w:numId w:val="135"/>
        </w:numPr>
        <w:spacing w:afterLines="200" w:after="480"/>
        <w:rPr>
          <w:rFonts w:ascii="Times New Roman" w:hAnsi="Times New Roman"/>
          <w:i w:val="0"/>
          <w:iCs w:val="0"/>
          <w:lang w:val="en-GB"/>
        </w:rPr>
      </w:pPr>
      <w:r w:rsidRPr="00E14060">
        <w:rPr>
          <w:rFonts w:ascii="Times New Roman" w:hAnsi="Times New Roman"/>
          <w:i w:val="0"/>
          <w:iCs w:val="0"/>
          <w:lang w:val="en-GB"/>
        </w:rPr>
        <w:t>In one study with multiple LDX arms (Adler, 2008), the ADHD-RS-IV mean change and standard deviation were first computed by pooling all LDX arms, weighted by sample size. Similarly, the CGI-I response rate and sample size were computed by pooling all LDX arms. The I</w:t>
      </w:r>
      <w:r w:rsidRPr="00E14060">
        <w:rPr>
          <w:rFonts w:ascii="Times New Roman" w:hAnsi="Times New Roman"/>
          <w:i w:val="0"/>
          <w:iCs w:val="0"/>
          <w:vertAlign w:val="superscript"/>
          <w:lang w:val="en-GB"/>
        </w:rPr>
        <w:t>2</w:t>
      </w:r>
      <w:r w:rsidRPr="00E14060">
        <w:rPr>
          <w:rFonts w:ascii="Times New Roman" w:hAnsi="Times New Roman"/>
          <w:i w:val="0"/>
          <w:iCs w:val="0"/>
          <w:lang w:val="en-GB"/>
        </w:rPr>
        <w:t xml:space="preserve"> and Q statistics were then computed using the pooled values. The Q statistic tests for the presence of heterogeneity. I</w:t>
      </w:r>
      <w:r w:rsidRPr="00E14060">
        <w:rPr>
          <w:rFonts w:ascii="Times New Roman" w:hAnsi="Times New Roman"/>
          <w:i w:val="0"/>
          <w:iCs w:val="0"/>
          <w:vertAlign w:val="superscript"/>
          <w:lang w:val="en-GB"/>
        </w:rPr>
        <w:t>2</w:t>
      </w:r>
      <w:r w:rsidRPr="00E14060">
        <w:rPr>
          <w:rFonts w:ascii="Times New Roman" w:hAnsi="Times New Roman"/>
          <w:i w:val="0"/>
          <w:iCs w:val="0"/>
          <w:lang w:val="en-GB"/>
        </w:rPr>
        <w:t xml:space="preserve"> measures the degree of heterogeneity. For example, I</w:t>
      </w:r>
      <w:r w:rsidRPr="00E14060">
        <w:rPr>
          <w:rFonts w:ascii="Times New Roman" w:hAnsi="Times New Roman"/>
          <w:i w:val="0"/>
          <w:iCs w:val="0"/>
          <w:vertAlign w:val="superscript"/>
          <w:lang w:val="en-GB"/>
        </w:rPr>
        <w:t>2</w:t>
      </w:r>
      <w:r w:rsidRPr="00E14060">
        <w:rPr>
          <w:rFonts w:ascii="Times New Roman" w:hAnsi="Times New Roman"/>
          <w:i w:val="0"/>
          <w:iCs w:val="0"/>
          <w:lang w:val="en-GB"/>
        </w:rPr>
        <w:t xml:space="preserve"> = 0 implies that all variability in effect size estimates is due to sampling error within studies. I</w:t>
      </w:r>
      <w:r w:rsidRPr="00E14060">
        <w:rPr>
          <w:rFonts w:ascii="Times New Roman" w:hAnsi="Times New Roman"/>
          <w:i w:val="0"/>
          <w:iCs w:val="0"/>
          <w:vertAlign w:val="superscript"/>
          <w:lang w:val="en-GB"/>
        </w:rPr>
        <w:t>2</w:t>
      </w:r>
      <w:r w:rsidRPr="00E14060">
        <w:rPr>
          <w:rFonts w:ascii="Times New Roman" w:hAnsi="Times New Roman"/>
          <w:i w:val="0"/>
          <w:iCs w:val="0"/>
          <w:lang w:val="en-GB"/>
        </w:rPr>
        <w:t xml:space="preserve">= 50 means that half of the total variability among effect sizes is caused not by sampling error, but by true heterogeneity between studies. </w:t>
      </w:r>
    </w:p>
    <w:p w14:paraId="1857A776" w14:textId="0FE9AA00" w:rsidR="00E617C7" w:rsidRPr="00E14060" w:rsidRDefault="0004428D" w:rsidP="006F772A">
      <w:pPr>
        <w:pStyle w:val="ListParagraph"/>
        <w:numPr>
          <w:ilvl w:val="0"/>
          <w:numId w:val="135"/>
        </w:numPr>
        <w:spacing w:afterLines="200" w:after="480"/>
        <w:rPr>
          <w:rFonts w:ascii="Times New Roman" w:hAnsi="Times New Roman"/>
          <w:i w:val="0"/>
          <w:iCs w:val="0"/>
          <w:lang w:val="en-GB"/>
        </w:rPr>
      </w:pPr>
      <w:r w:rsidRPr="00E14060">
        <w:rPr>
          <w:rFonts w:ascii="Times New Roman" w:hAnsi="Times New Roman"/>
          <w:i w:val="0"/>
          <w:iCs w:val="0"/>
          <w:lang w:val="en-GB"/>
        </w:rPr>
        <w:t>The Deviance Information Criterion (DIC) is a measure of the fit of the fixed effects and random effects models.</w:t>
      </w:r>
      <w:r w:rsidR="00241DBD" w:rsidRPr="00E14060">
        <w:rPr>
          <w:rFonts w:ascii="Times New Roman" w:hAnsi="Times New Roman"/>
          <w:i w:val="0"/>
          <w:iCs w:val="0"/>
          <w:lang w:val="en-GB"/>
        </w:rPr>
        <w:t xml:space="preserve"> </w:t>
      </w:r>
      <w:r w:rsidRPr="00E14060">
        <w:rPr>
          <w:rFonts w:ascii="Times New Roman" w:hAnsi="Times New Roman"/>
          <w:i w:val="0"/>
          <w:iCs w:val="0"/>
          <w:lang w:val="en-GB"/>
        </w:rPr>
        <w:t>Lower DIC indicates a better fit.</w:t>
      </w:r>
      <w:r w:rsidR="00241DBD" w:rsidRPr="00E14060">
        <w:rPr>
          <w:rFonts w:ascii="Times New Roman" w:hAnsi="Times New Roman"/>
          <w:i w:val="0"/>
          <w:iCs w:val="0"/>
          <w:lang w:val="en-GB"/>
        </w:rPr>
        <w:t xml:space="preserve"> </w:t>
      </w:r>
      <w:r w:rsidRPr="00E14060">
        <w:rPr>
          <w:rFonts w:ascii="Times New Roman" w:hAnsi="Times New Roman"/>
          <w:i w:val="0"/>
          <w:iCs w:val="0"/>
          <w:lang w:val="en-GB"/>
        </w:rPr>
        <w:t>A better fit (lower DIC) for the fixed effects model would indicate that between-study heterogeneity in the effect size is low.</w:t>
      </w:r>
    </w:p>
    <w:p w14:paraId="0F91035B" w14:textId="3D7B5E8B" w:rsidR="006F772A" w:rsidRPr="00E14060" w:rsidRDefault="0004428D" w:rsidP="006F772A">
      <w:pPr>
        <w:pStyle w:val="ListParagraph"/>
        <w:numPr>
          <w:ilvl w:val="0"/>
          <w:numId w:val="135"/>
        </w:numPr>
        <w:spacing w:afterLines="200" w:after="480"/>
        <w:rPr>
          <w:lang w:val="en-GB"/>
        </w:rPr>
      </w:pPr>
      <w:r w:rsidRPr="00E14060">
        <w:rPr>
          <w:rFonts w:ascii="Times New Roman" w:hAnsi="Times New Roman"/>
          <w:i w:val="0"/>
          <w:iCs w:val="0"/>
          <w:lang w:val="en-GB"/>
        </w:rPr>
        <w:t>The Bucher method assesses inconsistency in the ATX-MPH-placebo loop in the ADHD-RS-IV evidence network, whereby the direct ATX vs. MPH treatment effect estimate is compared against the difference of the ATX vs. placebo and MPH vs. placebo treatment effect estimates (i.e., the indirect estimate).</w:t>
      </w:r>
    </w:p>
    <w:p w14:paraId="62EF6499" w14:textId="493A71BB" w:rsidR="00012701" w:rsidRPr="00E14060" w:rsidRDefault="00012701" w:rsidP="0004428D">
      <w:pPr>
        <w:rPr>
          <w:b/>
          <w:sz w:val="28"/>
          <w:lang w:val="en-GB"/>
        </w:rPr>
      </w:pPr>
      <w:r w:rsidRPr="00E14060">
        <w:rPr>
          <w:lang w:val="en-GB"/>
        </w:rPr>
        <w:br w:type="page"/>
      </w:r>
    </w:p>
    <w:p w14:paraId="14F32577" w14:textId="77777777" w:rsidR="006058B1" w:rsidRPr="00E14060" w:rsidRDefault="00C923B0" w:rsidP="006058B1">
      <w:pPr>
        <w:pStyle w:val="Heading2"/>
        <w:tabs>
          <w:tab w:val="clear" w:pos="936"/>
          <w:tab w:val="clear" w:pos="1152"/>
          <w:tab w:val="left" w:pos="-90"/>
          <w:tab w:val="num" w:pos="0"/>
        </w:tabs>
        <w:ind w:left="0" w:firstLine="0"/>
        <w:rPr>
          <w:color w:val="auto"/>
          <w:lang w:val="en-GB"/>
        </w:rPr>
      </w:pPr>
      <w:bookmarkStart w:id="282" w:name="_Toc391913780"/>
      <w:bookmarkStart w:id="283" w:name="_Toc402543851"/>
      <w:r w:rsidRPr="00E14060">
        <w:rPr>
          <w:color w:val="auto"/>
          <w:lang w:val="en-GB"/>
        </w:rPr>
        <w:lastRenderedPageBreak/>
        <w:t>Imputation</w:t>
      </w:r>
      <w:r w:rsidR="006058B1" w:rsidRPr="00E14060">
        <w:rPr>
          <w:color w:val="auto"/>
          <w:lang w:val="en-GB"/>
        </w:rPr>
        <w:t xml:space="preserve"> Analysis Results</w:t>
      </w:r>
      <w:bookmarkEnd w:id="281"/>
      <w:bookmarkEnd w:id="282"/>
      <w:bookmarkEnd w:id="283"/>
    </w:p>
    <w:p w14:paraId="4EF0FE93" w14:textId="77777777" w:rsidR="006058B1" w:rsidRPr="00E14060" w:rsidRDefault="006058B1" w:rsidP="009375DF">
      <w:pPr>
        <w:pStyle w:val="Heading3"/>
        <w:rPr>
          <w:color w:val="auto"/>
          <w:lang w:val="en-GB"/>
        </w:rPr>
      </w:pPr>
      <w:bookmarkStart w:id="284" w:name="_Toc384683020"/>
      <w:bookmarkStart w:id="285" w:name="_Toc391913781"/>
      <w:bookmarkStart w:id="286" w:name="_Toc402543852"/>
      <w:r w:rsidRPr="00E14060">
        <w:rPr>
          <w:color w:val="auto"/>
          <w:lang w:val="en-GB"/>
        </w:rPr>
        <w:t>Calculation of cut-off values</w:t>
      </w:r>
      <w:bookmarkEnd w:id="284"/>
      <w:bookmarkEnd w:id="285"/>
      <w:bookmarkEnd w:id="286"/>
    </w:p>
    <w:p w14:paraId="0E633E06" w14:textId="2F76E661" w:rsidR="00E83109" w:rsidRPr="00E14060" w:rsidRDefault="008A29D1" w:rsidP="009375DF">
      <w:pPr>
        <w:spacing w:before="240" w:after="240" w:line="360" w:lineRule="auto"/>
        <w:rPr>
          <w:sz w:val="24"/>
          <w:szCs w:val="24"/>
          <w:lang w:val="en-GB"/>
        </w:rPr>
      </w:pPr>
      <w:r w:rsidRPr="00E14060">
        <w:rPr>
          <w:sz w:val="24"/>
          <w:szCs w:val="24"/>
          <w:lang w:val="en-GB"/>
        </w:rPr>
        <w:t xml:space="preserve">As shown </w:t>
      </w:r>
      <w:r w:rsidR="00C139FB" w:rsidRPr="00E14060">
        <w:rPr>
          <w:sz w:val="24"/>
          <w:szCs w:val="24"/>
          <w:lang w:val="en-GB"/>
        </w:rPr>
        <w:t>by the histogram, Q-Q plot, and estimated CDF plots in</w:t>
      </w:r>
      <w:r w:rsidRPr="00E14060">
        <w:rPr>
          <w:sz w:val="24"/>
          <w:szCs w:val="24"/>
          <w:lang w:val="en-GB"/>
        </w:rPr>
        <w:t xml:space="preserve"> </w:t>
      </w:r>
      <w:r w:rsidR="00C139FB" w:rsidRPr="00E14060">
        <w:rPr>
          <w:b/>
          <w:sz w:val="24"/>
          <w:szCs w:val="24"/>
          <w:lang w:val="en-GB"/>
        </w:rPr>
        <w:t>S</w:t>
      </w:r>
      <w:r w:rsidRPr="00E14060">
        <w:rPr>
          <w:b/>
          <w:sz w:val="24"/>
          <w:szCs w:val="24"/>
          <w:lang w:val="en-GB"/>
        </w:rPr>
        <w:t>tep 1</w:t>
      </w:r>
      <w:r w:rsidRPr="00E14060">
        <w:rPr>
          <w:sz w:val="24"/>
          <w:szCs w:val="24"/>
          <w:lang w:val="en-GB"/>
        </w:rPr>
        <w:t xml:space="preserve"> of </w:t>
      </w:r>
      <w:r w:rsidRPr="00E14060">
        <w:rPr>
          <w:b/>
          <w:sz w:val="24"/>
          <w:szCs w:val="24"/>
          <w:lang w:val="en-GB"/>
        </w:rPr>
        <w:t xml:space="preserve">Appendix </w:t>
      </w:r>
      <w:r w:rsidR="00F553CC">
        <w:rPr>
          <w:b/>
          <w:sz w:val="24"/>
          <w:szCs w:val="24"/>
          <w:lang w:val="en-GB"/>
        </w:rPr>
        <w:t>B</w:t>
      </w:r>
      <w:r w:rsidRPr="00E14060">
        <w:rPr>
          <w:sz w:val="24"/>
          <w:szCs w:val="24"/>
          <w:lang w:val="en-GB"/>
        </w:rPr>
        <w:t xml:space="preserve">, the ADHD-RS-IV score change data in the SPD489-303 trial was approximately normally distributed. </w:t>
      </w:r>
      <w:r w:rsidR="00D413CD" w:rsidRPr="00E14060">
        <w:rPr>
          <w:sz w:val="24"/>
          <w:szCs w:val="24"/>
          <w:lang w:val="en-GB"/>
        </w:rPr>
        <w:t xml:space="preserve">In particular, the data showed excellent agreement with the normal distribution except in the tails, which was less of a concern since the cutoffs were not located in the tails. </w:t>
      </w:r>
    </w:p>
    <w:p w14:paraId="104F1FE2" w14:textId="77777777" w:rsidR="00D167C3" w:rsidRPr="00E14060" w:rsidRDefault="00D167C3" w:rsidP="009375DF">
      <w:pPr>
        <w:spacing w:before="240" w:after="240" w:line="360" w:lineRule="auto"/>
        <w:rPr>
          <w:sz w:val="24"/>
          <w:szCs w:val="24"/>
          <w:lang w:val="en-GB"/>
        </w:rPr>
      </w:pPr>
      <w:r w:rsidRPr="00E14060">
        <w:rPr>
          <w:sz w:val="24"/>
          <w:szCs w:val="24"/>
          <w:lang w:val="en-GB"/>
        </w:rPr>
        <w:t>T</w:t>
      </w:r>
      <w:r w:rsidR="00BE7E89" w:rsidRPr="00E14060">
        <w:rPr>
          <w:sz w:val="24"/>
          <w:szCs w:val="24"/>
          <w:lang w:val="en-GB"/>
        </w:rPr>
        <w:t xml:space="preserve">wo models, linear and quadratic, </w:t>
      </w:r>
      <w:r w:rsidRPr="00E14060">
        <w:rPr>
          <w:sz w:val="24"/>
          <w:szCs w:val="24"/>
          <w:lang w:val="en-GB"/>
        </w:rPr>
        <w:t xml:space="preserve">were evaluated </w:t>
      </w:r>
      <w:r w:rsidR="00BE7E89" w:rsidRPr="00E14060">
        <w:rPr>
          <w:sz w:val="24"/>
          <w:szCs w:val="24"/>
          <w:lang w:val="en-GB"/>
        </w:rPr>
        <w:t xml:space="preserve">in </w:t>
      </w:r>
      <w:r w:rsidRPr="00E14060">
        <w:rPr>
          <w:sz w:val="24"/>
          <w:szCs w:val="24"/>
          <w:lang w:val="en-GB"/>
        </w:rPr>
        <w:t xml:space="preserve">the </w:t>
      </w:r>
      <w:r w:rsidR="00E83109" w:rsidRPr="00E14060">
        <w:rPr>
          <w:sz w:val="24"/>
          <w:szCs w:val="24"/>
          <w:lang w:val="en-GB"/>
        </w:rPr>
        <w:t>Goodman method</w:t>
      </w:r>
      <w:r w:rsidRPr="00E14060">
        <w:rPr>
          <w:sz w:val="24"/>
          <w:szCs w:val="24"/>
          <w:lang w:val="en-GB"/>
        </w:rPr>
        <w:t xml:space="preserve"> relating CGI-I and ADHD-RS-IV</w:t>
      </w:r>
      <w:r w:rsidR="00E83109" w:rsidRPr="00E14060">
        <w:rPr>
          <w:sz w:val="24"/>
          <w:szCs w:val="24"/>
          <w:lang w:val="en-GB"/>
        </w:rPr>
        <w:t>. The quadratic model was chosen for two reasons: (1) the relationship between CGI-I and ADHD-RS-IV in the SPD489-303 IPD did not appear linear and the quadratic model provided better fit</w:t>
      </w:r>
      <w:r w:rsidR="00DC6D5E" w:rsidRPr="00E14060">
        <w:rPr>
          <w:sz w:val="24"/>
          <w:szCs w:val="24"/>
          <w:lang w:val="en-GB"/>
        </w:rPr>
        <w:t xml:space="preserve"> (visually as well as using the R</w:t>
      </w:r>
      <w:r w:rsidR="00DC6D5E" w:rsidRPr="00E14060">
        <w:rPr>
          <w:sz w:val="24"/>
          <w:szCs w:val="24"/>
          <w:vertAlign w:val="superscript"/>
          <w:lang w:val="en-GB"/>
        </w:rPr>
        <w:t>2</w:t>
      </w:r>
      <w:r w:rsidR="00DC6D5E" w:rsidRPr="00E14060">
        <w:rPr>
          <w:sz w:val="24"/>
          <w:szCs w:val="24"/>
          <w:lang w:val="en-GB"/>
        </w:rPr>
        <w:t xml:space="preserve"> statistic)</w:t>
      </w:r>
      <w:r w:rsidR="00E83109" w:rsidRPr="00E14060">
        <w:rPr>
          <w:sz w:val="24"/>
          <w:szCs w:val="24"/>
          <w:lang w:val="en-GB"/>
        </w:rPr>
        <w:t xml:space="preserve">, and (2) during validation in other trials, the quadratic model consistently overestimated the percent response in the ATX arm, which would provide a conservative estimate for LDX performance once this information was incorporated into the network. The Goodman method with a linear model consistently underestimated the percent response in the ATX arm, and was therefore not used. </w:t>
      </w:r>
    </w:p>
    <w:p w14:paraId="4686E151" w14:textId="77777777" w:rsidR="00C55B10" w:rsidRPr="00E14060" w:rsidRDefault="00C55B10" w:rsidP="009375DF">
      <w:pPr>
        <w:spacing w:before="240" w:after="240" w:line="360" w:lineRule="auto"/>
        <w:rPr>
          <w:sz w:val="24"/>
          <w:szCs w:val="24"/>
          <w:lang w:val="en-GB"/>
        </w:rPr>
      </w:pPr>
      <w:r w:rsidRPr="00E14060">
        <w:rPr>
          <w:sz w:val="24"/>
          <w:szCs w:val="24"/>
          <w:lang w:val="en-GB"/>
        </w:rPr>
        <w:t>The direct method alternated between overestimating and underestimating and was therefore used as a more realistic estimate compared to the conservative estimate using the Goodman method with quadratic regression.</w:t>
      </w:r>
    </w:p>
    <w:p w14:paraId="3F7EAD74" w14:textId="1E26C7E0" w:rsidR="008A29D1" w:rsidRPr="00E14060" w:rsidRDefault="00735EDB" w:rsidP="009375DF">
      <w:pPr>
        <w:spacing w:before="240" w:after="240" w:line="360" w:lineRule="auto"/>
        <w:rPr>
          <w:sz w:val="24"/>
          <w:szCs w:val="24"/>
          <w:lang w:val="en-GB"/>
        </w:rPr>
      </w:pPr>
      <w:r w:rsidRPr="00E14060">
        <w:rPr>
          <w:b/>
          <w:sz w:val="24"/>
          <w:szCs w:val="24"/>
          <w:lang w:val="en-GB"/>
        </w:rPr>
        <w:t>Step 2</w:t>
      </w:r>
      <w:r w:rsidRPr="00E14060">
        <w:rPr>
          <w:sz w:val="24"/>
          <w:szCs w:val="24"/>
          <w:lang w:val="en-GB"/>
        </w:rPr>
        <w:t xml:space="preserve"> summarizes t</w:t>
      </w:r>
      <w:r w:rsidR="00451CAC" w:rsidRPr="00E14060">
        <w:rPr>
          <w:sz w:val="24"/>
          <w:szCs w:val="24"/>
          <w:lang w:val="en-GB"/>
        </w:rPr>
        <w:t xml:space="preserve">he </w:t>
      </w:r>
      <w:r w:rsidR="00D167C3" w:rsidRPr="00E14060">
        <w:rPr>
          <w:sz w:val="24"/>
          <w:szCs w:val="24"/>
          <w:lang w:val="en-GB"/>
        </w:rPr>
        <w:t xml:space="preserve">results of the </w:t>
      </w:r>
      <w:r w:rsidR="00451CAC" w:rsidRPr="00E14060">
        <w:rPr>
          <w:sz w:val="24"/>
          <w:szCs w:val="24"/>
          <w:lang w:val="en-GB"/>
        </w:rPr>
        <w:t>Goodman method with quadratic regression</w:t>
      </w:r>
      <w:r w:rsidR="00D167C3" w:rsidRPr="00E14060">
        <w:rPr>
          <w:sz w:val="24"/>
          <w:szCs w:val="24"/>
          <w:lang w:val="en-GB"/>
        </w:rPr>
        <w:t>, which</w:t>
      </w:r>
      <w:r w:rsidR="00451CAC" w:rsidRPr="00E14060">
        <w:rPr>
          <w:sz w:val="24"/>
          <w:szCs w:val="24"/>
          <w:lang w:val="en-GB"/>
        </w:rPr>
        <w:t xml:space="preserve"> </w:t>
      </w:r>
      <w:r w:rsidRPr="00E14060">
        <w:rPr>
          <w:sz w:val="24"/>
          <w:szCs w:val="24"/>
          <w:lang w:val="en-GB"/>
        </w:rPr>
        <w:t>produced an ADHD-RS-IV change distribution cutoff of -13.636 points, while the direct estimation method produced a cutoff of -14.405. The sensitivity and specificity were used to judge how well the cutoff was performing. Sensitivity and specificity were relatively high for both methods, with all values near 90 percent. For the Goodman method with quadratic regression, the sensitivity was slightly higher than the specificity. For the direct estimation method, the specificity was slightly higher than the sensitivity.</w:t>
      </w:r>
    </w:p>
    <w:p w14:paraId="79D10A7D" w14:textId="77777777" w:rsidR="006058B1" w:rsidRPr="00E14060" w:rsidRDefault="006058B1" w:rsidP="009375DF">
      <w:pPr>
        <w:pStyle w:val="Heading3"/>
        <w:rPr>
          <w:color w:val="auto"/>
          <w:lang w:val="en-GB"/>
        </w:rPr>
      </w:pPr>
      <w:bookmarkStart w:id="287" w:name="_Toc384683021"/>
      <w:bookmarkStart w:id="288" w:name="_Toc391913782"/>
      <w:bookmarkStart w:id="289" w:name="_Toc402543853"/>
      <w:r w:rsidRPr="00E14060">
        <w:rPr>
          <w:color w:val="auto"/>
          <w:lang w:val="en-GB"/>
        </w:rPr>
        <w:lastRenderedPageBreak/>
        <w:t>In-</w:t>
      </w:r>
      <w:r w:rsidR="00522DD0" w:rsidRPr="00E14060">
        <w:rPr>
          <w:color w:val="auto"/>
          <w:lang w:val="en-GB"/>
        </w:rPr>
        <w:t>trial</w:t>
      </w:r>
      <w:r w:rsidRPr="00E14060">
        <w:rPr>
          <w:color w:val="auto"/>
          <w:lang w:val="en-GB"/>
        </w:rPr>
        <w:t xml:space="preserve"> and out of </w:t>
      </w:r>
      <w:r w:rsidR="00522DD0" w:rsidRPr="00E14060">
        <w:rPr>
          <w:color w:val="auto"/>
          <w:lang w:val="en-GB"/>
        </w:rPr>
        <w:t>trial</w:t>
      </w:r>
      <w:r w:rsidRPr="00E14060">
        <w:rPr>
          <w:color w:val="auto"/>
          <w:lang w:val="en-GB"/>
        </w:rPr>
        <w:t xml:space="preserve"> validation results</w:t>
      </w:r>
      <w:bookmarkEnd w:id="287"/>
      <w:bookmarkEnd w:id="288"/>
      <w:bookmarkEnd w:id="289"/>
    </w:p>
    <w:p w14:paraId="638C44F6" w14:textId="7EA4F341" w:rsidR="00C139FB" w:rsidRPr="00E14060" w:rsidRDefault="00735EDB" w:rsidP="009375DF">
      <w:pPr>
        <w:spacing w:before="240" w:after="240" w:line="360" w:lineRule="auto"/>
        <w:rPr>
          <w:sz w:val="24"/>
          <w:szCs w:val="24"/>
          <w:lang w:val="en-GB"/>
        </w:rPr>
      </w:pPr>
      <w:r w:rsidRPr="00E14060">
        <w:rPr>
          <w:b/>
          <w:sz w:val="24"/>
          <w:szCs w:val="24"/>
          <w:lang w:val="en-GB"/>
        </w:rPr>
        <w:t>Step 3</w:t>
      </w:r>
      <w:r w:rsidRPr="00E14060">
        <w:rPr>
          <w:sz w:val="24"/>
          <w:szCs w:val="24"/>
          <w:lang w:val="en-GB"/>
        </w:rPr>
        <w:t xml:space="preserve"> shows the validation performance of these cutoffs in predicting the percent response in CGI-I.</w:t>
      </w:r>
      <w:r w:rsidR="00450399" w:rsidRPr="00E14060">
        <w:rPr>
          <w:sz w:val="24"/>
          <w:szCs w:val="24"/>
          <w:lang w:val="en-GB"/>
        </w:rPr>
        <w:t xml:space="preserve"> The </w:t>
      </w:r>
      <w:r w:rsidR="00E76EDF" w:rsidRPr="00E14060">
        <w:rPr>
          <w:sz w:val="24"/>
          <w:szCs w:val="24"/>
          <w:lang w:val="en-GB"/>
        </w:rPr>
        <w:t>bias</w:t>
      </w:r>
      <w:r w:rsidR="00450399" w:rsidRPr="00E14060">
        <w:rPr>
          <w:sz w:val="24"/>
          <w:szCs w:val="24"/>
          <w:lang w:val="en-GB"/>
        </w:rPr>
        <w:t xml:space="preserve"> in the validation sample of the SPD489-303 trial IPD was </w:t>
      </w:r>
      <w:r w:rsidR="00B422C6" w:rsidRPr="00E14060">
        <w:rPr>
          <w:sz w:val="24"/>
          <w:szCs w:val="24"/>
          <w:lang w:val="en-GB"/>
        </w:rPr>
        <w:t>3.2</w:t>
      </w:r>
      <w:r w:rsidR="00450399" w:rsidRPr="00E14060">
        <w:rPr>
          <w:sz w:val="24"/>
          <w:szCs w:val="24"/>
          <w:lang w:val="en-GB"/>
        </w:rPr>
        <w:t xml:space="preserve"> </w:t>
      </w:r>
      <w:r w:rsidR="002D41AB" w:rsidRPr="00E14060">
        <w:rPr>
          <w:sz w:val="24"/>
          <w:szCs w:val="24"/>
          <w:lang w:val="en-GB"/>
        </w:rPr>
        <w:t xml:space="preserve">percentage points </w:t>
      </w:r>
      <w:r w:rsidR="00450399" w:rsidRPr="00E14060">
        <w:rPr>
          <w:sz w:val="24"/>
          <w:szCs w:val="24"/>
          <w:lang w:val="en-GB"/>
        </w:rPr>
        <w:t xml:space="preserve">with the </w:t>
      </w:r>
      <w:r w:rsidR="00303DC4" w:rsidRPr="00E14060">
        <w:rPr>
          <w:sz w:val="24"/>
          <w:szCs w:val="24"/>
          <w:lang w:val="en-GB"/>
        </w:rPr>
        <w:t xml:space="preserve">(quadratic) </w:t>
      </w:r>
      <w:r w:rsidR="00450399" w:rsidRPr="00E14060">
        <w:rPr>
          <w:sz w:val="24"/>
          <w:szCs w:val="24"/>
          <w:lang w:val="en-GB"/>
        </w:rPr>
        <w:t xml:space="preserve">Goodman method and </w:t>
      </w:r>
      <w:r w:rsidR="00B422C6" w:rsidRPr="00E14060">
        <w:rPr>
          <w:sz w:val="24"/>
          <w:szCs w:val="24"/>
          <w:lang w:val="en-GB"/>
        </w:rPr>
        <w:t>0.6</w:t>
      </w:r>
      <w:r w:rsidR="00450399" w:rsidRPr="00E14060">
        <w:rPr>
          <w:sz w:val="24"/>
          <w:szCs w:val="24"/>
          <w:lang w:val="en-GB"/>
        </w:rPr>
        <w:t xml:space="preserve"> </w:t>
      </w:r>
      <w:r w:rsidR="00E76EDF" w:rsidRPr="00E14060">
        <w:rPr>
          <w:sz w:val="24"/>
          <w:szCs w:val="24"/>
          <w:lang w:val="en-GB"/>
        </w:rPr>
        <w:t xml:space="preserve">percentage points </w:t>
      </w:r>
      <w:r w:rsidR="00450399" w:rsidRPr="00E14060">
        <w:rPr>
          <w:sz w:val="24"/>
          <w:szCs w:val="24"/>
          <w:lang w:val="en-GB"/>
        </w:rPr>
        <w:t>with the direct method.</w:t>
      </w:r>
      <w:r w:rsidR="00522DD0" w:rsidRPr="00E14060">
        <w:rPr>
          <w:sz w:val="24"/>
          <w:szCs w:val="24"/>
          <w:lang w:val="en-GB"/>
        </w:rPr>
        <w:t xml:space="preserve"> The extrapolated rates of response were similar to actual rates when extrapolating in trials reporting both CGI-I and ADHD-RS-IV</w:t>
      </w:r>
      <w:r w:rsidR="002B3FCE" w:rsidRPr="00E14060">
        <w:rPr>
          <w:sz w:val="24"/>
          <w:szCs w:val="24"/>
          <w:lang w:val="en-GB"/>
        </w:rPr>
        <w:t xml:space="preserve"> or both CGI-I and AISRS</w:t>
      </w:r>
      <w:r w:rsidR="00522DD0" w:rsidRPr="00E14060">
        <w:rPr>
          <w:sz w:val="24"/>
          <w:szCs w:val="24"/>
          <w:lang w:val="en-GB"/>
        </w:rPr>
        <w:t>.</w:t>
      </w:r>
      <w:r w:rsidR="00241DBD" w:rsidRPr="00E14060">
        <w:rPr>
          <w:sz w:val="24"/>
          <w:szCs w:val="24"/>
          <w:lang w:val="en-GB"/>
        </w:rPr>
        <w:t xml:space="preserve"> </w:t>
      </w:r>
      <w:r w:rsidR="00B422C6" w:rsidRPr="00E14060">
        <w:rPr>
          <w:sz w:val="24"/>
          <w:szCs w:val="24"/>
          <w:lang w:val="en-GB"/>
        </w:rPr>
        <w:t xml:space="preserve">The bias under the Goodman method ranged from 1.0 to 12.0 percentage points. The bias under direct estimation ranged in absolute value from 0.1 percentage points to 8.8 percentage points. The </w:t>
      </w:r>
      <w:r w:rsidR="00E76EDF" w:rsidRPr="00E14060">
        <w:rPr>
          <w:sz w:val="24"/>
          <w:szCs w:val="24"/>
          <w:lang w:val="en-GB"/>
        </w:rPr>
        <w:t xml:space="preserve">results using the </w:t>
      </w:r>
      <w:r w:rsidR="00B422C6" w:rsidRPr="00E14060">
        <w:rPr>
          <w:sz w:val="24"/>
          <w:szCs w:val="24"/>
          <w:lang w:val="en-GB"/>
        </w:rPr>
        <w:t xml:space="preserve">Goodman method with quadratic regression </w:t>
      </w:r>
      <w:r w:rsidR="00E76EDF" w:rsidRPr="00E14060">
        <w:rPr>
          <w:sz w:val="24"/>
          <w:szCs w:val="24"/>
          <w:lang w:val="en-GB"/>
        </w:rPr>
        <w:t xml:space="preserve">were conservative in the sense that they </w:t>
      </w:r>
      <w:r w:rsidR="00B422C6" w:rsidRPr="00E14060">
        <w:rPr>
          <w:sz w:val="24"/>
          <w:szCs w:val="24"/>
          <w:lang w:val="en-GB"/>
        </w:rPr>
        <w:t>consistently overestimated the rate of response in ATX patients, while the direct estimation method fluctuated between under and over-estimation.</w:t>
      </w:r>
    </w:p>
    <w:p w14:paraId="173E6C68" w14:textId="77777777" w:rsidR="006058B1" w:rsidRPr="00E14060" w:rsidRDefault="003B4399" w:rsidP="009375DF">
      <w:pPr>
        <w:pStyle w:val="Heading3"/>
        <w:rPr>
          <w:color w:val="auto"/>
          <w:lang w:val="en-GB"/>
        </w:rPr>
      </w:pPr>
      <w:bookmarkStart w:id="290" w:name="_Toc384683022"/>
      <w:bookmarkStart w:id="291" w:name="_Toc391913783"/>
      <w:bookmarkStart w:id="292" w:name="_Toc402543854"/>
      <w:r w:rsidRPr="00E14060">
        <w:rPr>
          <w:color w:val="auto"/>
          <w:lang w:val="en-GB"/>
        </w:rPr>
        <w:t xml:space="preserve">Bayesian </w:t>
      </w:r>
      <w:r w:rsidR="006058B1" w:rsidRPr="00E14060">
        <w:rPr>
          <w:color w:val="auto"/>
          <w:lang w:val="en-GB"/>
        </w:rPr>
        <w:t xml:space="preserve">MTC results incorporating </w:t>
      </w:r>
      <w:bookmarkEnd w:id="290"/>
      <w:bookmarkEnd w:id="291"/>
      <w:r w:rsidR="00277D4F" w:rsidRPr="00E14060">
        <w:rPr>
          <w:color w:val="auto"/>
          <w:lang w:val="en-GB"/>
        </w:rPr>
        <w:t>data extrapolated from ADHD-RS-IV</w:t>
      </w:r>
      <w:bookmarkEnd w:id="292"/>
    </w:p>
    <w:p w14:paraId="50D19FDB" w14:textId="3CB0A6D8" w:rsidR="00A37DD6" w:rsidRPr="00E14060" w:rsidRDefault="006058B1" w:rsidP="009375DF">
      <w:pPr>
        <w:spacing w:before="240" w:after="240" w:line="360" w:lineRule="auto"/>
        <w:rPr>
          <w:sz w:val="24"/>
          <w:szCs w:val="24"/>
          <w:lang w:val="en-GB"/>
        </w:rPr>
      </w:pPr>
      <w:r w:rsidRPr="00E14060">
        <w:rPr>
          <w:sz w:val="24"/>
          <w:szCs w:val="24"/>
          <w:lang w:val="en-GB"/>
        </w:rPr>
        <w:t xml:space="preserve">Adding CGI-I response of ATX imputed from </w:t>
      </w:r>
      <w:r w:rsidR="00006F21" w:rsidRPr="00E14060">
        <w:rPr>
          <w:sz w:val="24"/>
          <w:szCs w:val="24"/>
          <w:lang w:val="en-GB"/>
        </w:rPr>
        <w:t xml:space="preserve">ADHD-RS-IV in the </w:t>
      </w:r>
      <w:r w:rsidR="00C923B0" w:rsidRPr="00E14060">
        <w:rPr>
          <w:sz w:val="24"/>
          <w:szCs w:val="24"/>
          <w:lang w:val="en-GB"/>
        </w:rPr>
        <w:t>imputation</w:t>
      </w:r>
      <w:r w:rsidRPr="00E14060">
        <w:rPr>
          <w:sz w:val="24"/>
          <w:szCs w:val="24"/>
          <w:lang w:val="en-GB"/>
        </w:rPr>
        <w:t xml:space="preserve"> analyses to the Bayesian MTC, LDX continued to be the treatment with the highest probability of being the most effective. </w:t>
      </w:r>
      <w:r w:rsidR="008A29D1" w:rsidRPr="00E14060">
        <w:rPr>
          <w:sz w:val="24"/>
          <w:szCs w:val="24"/>
          <w:lang w:val="en-GB"/>
        </w:rPr>
        <w:t xml:space="preserve">The two methods of cutoff estimation </w:t>
      </w:r>
      <w:r w:rsidR="006B61A8" w:rsidRPr="00E14060">
        <w:rPr>
          <w:sz w:val="24"/>
          <w:szCs w:val="24"/>
          <w:lang w:val="en-GB"/>
        </w:rPr>
        <w:t xml:space="preserve">ultimately </w:t>
      </w:r>
      <w:r w:rsidR="008A29D1" w:rsidRPr="00E14060">
        <w:rPr>
          <w:sz w:val="24"/>
          <w:szCs w:val="24"/>
          <w:lang w:val="en-GB"/>
        </w:rPr>
        <w:t xml:space="preserve">yielded similar MTC results. </w:t>
      </w:r>
      <w:r w:rsidRPr="00E14060">
        <w:rPr>
          <w:sz w:val="24"/>
          <w:szCs w:val="24"/>
          <w:lang w:val="en-GB"/>
        </w:rPr>
        <w:t xml:space="preserve">Using the Goodman method for the </w:t>
      </w:r>
      <w:r w:rsidR="00C923B0" w:rsidRPr="00E14060">
        <w:rPr>
          <w:sz w:val="24"/>
          <w:szCs w:val="24"/>
          <w:lang w:val="en-GB"/>
        </w:rPr>
        <w:t>imputation</w:t>
      </w:r>
      <w:r w:rsidRPr="00E14060">
        <w:rPr>
          <w:sz w:val="24"/>
          <w:szCs w:val="24"/>
          <w:lang w:val="en-GB"/>
        </w:rPr>
        <w:t xml:space="preserve"> analysis, LDX had the highest probability of being the most effective treatment (</w:t>
      </w:r>
      <w:r w:rsidR="008B01F7" w:rsidRPr="00E14060">
        <w:rPr>
          <w:sz w:val="24"/>
          <w:szCs w:val="24"/>
          <w:lang w:val="en-GB"/>
        </w:rPr>
        <w:t>80.62</w:t>
      </w:r>
      <w:r w:rsidRPr="00E14060">
        <w:rPr>
          <w:sz w:val="24"/>
          <w:szCs w:val="24"/>
          <w:lang w:val="en-GB"/>
        </w:rPr>
        <w:t xml:space="preserve">%), followed by </w:t>
      </w:r>
      <w:r w:rsidR="008A4574" w:rsidRPr="00E14060">
        <w:rPr>
          <w:sz w:val="24"/>
          <w:szCs w:val="24"/>
          <w:lang w:val="en-GB"/>
        </w:rPr>
        <w:t xml:space="preserve">MPH-ER and </w:t>
      </w:r>
      <w:r w:rsidRPr="00E14060">
        <w:rPr>
          <w:sz w:val="24"/>
          <w:szCs w:val="24"/>
          <w:lang w:val="en-GB"/>
        </w:rPr>
        <w:t>ATX.</w:t>
      </w:r>
      <w:r w:rsidR="00241DBD" w:rsidRPr="00E14060">
        <w:rPr>
          <w:sz w:val="24"/>
          <w:szCs w:val="24"/>
          <w:lang w:val="en-GB"/>
        </w:rPr>
        <w:t xml:space="preserve"> </w:t>
      </w:r>
      <w:r w:rsidRPr="00E14060">
        <w:rPr>
          <w:sz w:val="24"/>
          <w:szCs w:val="24"/>
          <w:lang w:val="en-GB"/>
        </w:rPr>
        <w:t xml:space="preserve">Using the direct method for the </w:t>
      </w:r>
      <w:r w:rsidR="00C923B0" w:rsidRPr="00E14060">
        <w:rPr>
          <w:sz w:val="24"/>
          <w:szCs w:val="24"/>
          <w:lang w:val="en-GB"/>
        </w:rPr>
        <w:t>imputation</w:t>
      </w:r>
      <w:r w:rsidRPr="00E14060">
        <w:rPr>
          <w:sz w:val="24"/>
          <w:szCs w:val="24"/>
          <w:lang w:val="en-GB"/>
        </w:rPr>
        <w:t xml:space="preserve"> analysis, LDX had the highest probability of being the most effective treatment (</w:t>
      </w:r>
      <w:r w:rsidR="006672E0" w:rsidRPr="00E14060">
        <w:rPr>
          <w:sz w:val="24"/>
          <w:szCs w:val="24"/>
          <w:lang w:val="en-GB"/>
        </w:rPr>
        <w:t>81.83</w:t>
      </w:r>
      <w:r w:rsidRPr="00E14060">
        <w:rPr>
          <w:sz w:val="24"/>
          <w:szCs w:val="24"/>
          <w:lang w:val="en-GB"/>
        </w:rPr>
        <w:t>%), followed by MPH-ER and ATX.</w:t>
      </w:r>
      <w:r w:rsidR="00241DBD" w:rsidRPr="00E14060">
        <w:rPr>
          <w:sz w:val="24"/>
          <w:szCs w:val="24"/>
          <w:lang w:val="en-GB"/>
        </w:rPr>
        <w:t xml:space="preserve"> </w:t>
      </w:r>
      <w:r w:rsidRPr="00E14060">
        <w:rPr>
          <w:sz w:val="24"/>
          <w:szCs w:val="24"/>
          <w:lang w:val="en-GB"/>
        </w:rPr>
        <w:t xml:space="preserve">Complete </w:t>
      </w:r>
      <w:r w:rsidR="00DD31FC" w:rsidRPr="00E14060">
        <w:rPr>
          <w:sz w:val="24"/>
          <w:szCs w:val="24"/>
          <w:lang w:val="en-GB"/>
        </w:rPr>
        <w:t xml:space="preserve">Bayesian </w:t>
      </w:r>
      <w:r w:rsidRPr="00E14060">
        <w:rPr>
          <w:sz w:val="24"/>
          <w:szCs w:val="24"/>
          <w:lang w:val="en-GB"/>
        </w:rPr>
        <w:t xml:space="preserve">MTC results are presented in </w:t>
      </w:r>
      <w:r w:rsidR="00C139FB" w:rsidRPr="00E14060">
        <w:rPr>
          <w:b/>
          <w:sz w:val="24"/>
          <w:szCs w:val="24"/>
          <w:lang w:val="en-GB"/>
        </w:rPr>
        <w:t xml:space="preserve">Table </w:t>
      </w:r>
      <w:r w:rsidR="00AE7A8B" w:rsidRPr="00E14060">
        <w:rPr>
          <w:b/>
          <w:sz w:val="24"/>
          <w:szCs w:val="24"/>
          <w:lang w:val="en-GB"/>
        </w:rPr>
        <w:t>10</w:t>
      </w:r>
      <w:r w:rsidR="00C139FB" w:rsidRPr="00E14060">
        <w:rPr>
          <w:sz w:val="24"/>
          <w:szCs w:val="24"/>
          <w:lang w:val="en-GB"/>
        </w:rPr>
        <w:t xml:space="preserve"> and </w:t>
      </w:r>
      <w:r w:rsidR="00C139FB" w:rsidRPr="00E14060">
        <w:rPr>
          <w:b/>
          <w:sz w:val="24"/>
          <w:szCs w:val="24"/>
          <w:lang w:val="en-GB"/>
        </w:rPr>
        <w:t xml:space="preserve">Table </w:t>
      </w:r>
      <w:r w:rsidR="00AE7A8B" w:rsidRPr="00E14060">
        <w:rPr>
          <w:b/>
          <w:sz w:val="24"/>
          <w:szCs w:val="24"/>
          <w:lang w:val="en-GB"/>
        </w:rPr>
        <w:t>11</w:t>
      </w:r>
      <w:r w:rsidRPr="00E14060">
        <w:rPr>
          <w:sz w:val="24"/>
          <w:szCs w:val="24"/>
          <w:lang w:val="en-GB"/>
        </w:rPr>
        <w:t>.</w:t>
      </w:r>
      <w:r w:rsidR="00241DBD" w:rsidRPr="00E14060">
        <w:rPr>
          <w:sz w:val="24"/>
          <w:szCs w:val="24"/>
          <w:lang w:val="en-GB"/>
        </w:rPr>
        <w:t xml:space="preserve"> </w:t>
      </w:r>
      <w:r w:rsidRPr="00E14060">
        <w:rPr>
          <w:sz w:val="24"/>
          <w:szCs w:val="24"/>
          <w:lang w:val="en-GB"/>
        </w:rPr>
        <w:t xml:space="preserve">The posterior distribution of LDX was concentrated at a higher relative risk for CGI-I response than MPH-ER and ATX. This was observed when using both the Goodman and direct estimation methods. </w:t>
      </w:r>
    </w:p>
    <w:p w14:paraId="14EE78BE" w14:textId="77777777" w:rsidR="00B422C6" w:rsidRPr="00E14060" w:rsidRDefault="00B422C6" w:rsidP="009375DF">
      <w:pPr>
        <w:spacing w:before="240" w:after="240" w:line="360" w:lineRule="auto"/>
        <w:rPr>
          <w:sz w:val="24"/>
          <w:szCs w:val="24"/>
          <w:lang w:val="en-GB"/>
        </w:rPr>
      </w:pPr>
    </w:p>
    <w:p w14:paraId="1B9ABEE2" w14:textId="77777777" w:rsidR="00321D72" w:rsidRPr="00E14060" w:rsidRDefault="00321D72">
      <w:pPr>
        <w:rPr>
          <w:lang w:val="en-GB"/>
        </w:rPr>
      </w:pPr>
      <w:r w:rsidRPr="00E14060">
        <w:rPr>
          <w:lang w:val="en-GB"/>
        </w:rPr>
        <w:br w:type="page"/>
      </w:r>
    </w:p>
    <w:tbl>
      <w:tblPr>
        <w:tblW w:w="10713" w:type="dxa"/>
        <w:tblInd w:w="108" w:type="dxa"/>
        <w:tblLook w:val="04A0" w:firstRow="1" w:lastRow="0" w:firstColumn="1" w:lastColumn="0" w:noHBand="0" w:noVBand="1"/>
      </w:tblPr>
      <w:tblGrid>
        <w:gridCol w:w="222"/>
        <w:gridCol w:w="1301"/>
        <w:gridCol w:w="271"/>
        <w:gridCol w:w="1733"/>
        <w:gridCol w:w="2126"/>
        <w:gridCol w:w="2692"/>
        <w:gridCol w:w="2368"/>
      </w:tblGrid>
      <w:tr w:rsidR="00A37DD6" w:rsidRPr="00E14060" w14:paraId="124A4F94" w14:textId="77777777" w:rsidTr="009375DF">
        <w:trPr>
          <w:trHeight w:val="600"/>
        </w:trPr>
        <w:tc>
          <w:tcPr>
            <w:tcW w:w="10713" w:type="dxa"/>
            <w:gridSpan w:val="7"/>
            <w:tcBorders>
              <w:top w:val="nil"/>
              <w:left w:val="nil"/>
              <w:bottom w:val="nil"/>
              <w:right w:val="nil"/>
            </w:tcBorders>
            <w:shd w:val="clear" w:color="auto" w:fill="auto"/>
            <w:vAlign w:val="bottom"/>
            <w:hideMark/>
          </w:tcPr>
          <w:p w14:paraId="1A999DE0" w14:textId="77777777" w:rsidR="00A37DD6" w:rsidRPr="00E14060" w:rsidRDefault="00A37DD6" w:rsidP="00AE7A8B">
            <w:pPr>
              <w:jc w:val="center"/>
              <w:rPr>
                <w:b/>
                <w:bCs/>
                <w:sz w:val="22"/>
                <w:szCs w:val="22"/>
                <w:lang w:val="en-GB"/>
              </w:rPr>
            </w:pPr>
            <w:r w:rsidRPr="00E14060">
              <w:rPr>
                <w:b/>
                <w:bCs/>
                <w:sz w:val="22"/>
                <w:szCs w:val="22"/>
                <w:lang w:val="en-GB"/>
              </w:rPr>
              <w:lastRenderedPageBreak/>
              <w:t xml:space="preserve">Table </w:t>
            </w:r>
            <w:r w:rsidR="00AE7A8B" w:rsidRPr="00E14060">
              <w:rPr>
                <w:b/>
                <w:bCs/>
                <w:sz w:val="22"/>
                <w:szCs w:val="22"/>
                <w:lang w:val="en-GB"/>
              </w:rPr>
              <w:t>10</w:t>
            </w:r>
            <w:r w:rsidRPr="00E14060">
              <w:rPr>
                <w:b/>
                <w:bCs/>
                <w:sz w:val="22"/>
                <w:szCs w:val="22"/>
                <w:lang w:val="en-GB"/>
              </w:rPr>
              <w:t>. Odds ratios and relative risks for treatment response, as defined by a rating of 1 or 2 in CGI-I score (drug vs. placebo)</w:t>
            </w:r>
          </w:p>
        </w:tc>
      </w:tr>
      <w:tr w:rsidR="00A37DD6" w:rsidRPr="00E14060" w14:paraId="4D9F2286" w14:textId="77777777" w:rsidTr="009375DF">
        <w:trPr>
          <w:trHeight w:val="300"/>
        </w:trPr>
        <w:tc>
          <w:tcPr>
            <w:tcW w:w="10713" w:type="dxa"/>
            <w:gridSpan w:val="7"/>
            <w:tcBorders>
              <w:top w:val="nil"/>
              <w:left w:val="nil"/>
              <w:bottom w:val="nil"/>
              <w:right w:val="nil"/>
            </w:tcBorders>
            <w:shd w:val="clear" w:color="auto" w:fill="auto"/>
            <w:noWrap/>
            <w:vAlign w:val="bottom"/>
            <w:hideMark/>
          </w:tcPr>
          <w:p w14:paraId="47DB92E4" w14:textId="77777777" w:rsidR="00A37DD6" w:rsidRPr="00E14060" w:rsidRDefault="00A37DD6" w:rsidP="00A37DD6">
            <w:pPr>
              <w:jc w:val="center"/>
              <w:rPr>
                <w:b/>
                <w:bCs/>
                <w:sz w:val="22"/>
                <w:szCs w:val="22"/>
                <w:lang w:val="en-GB"/>
              </w:rPr>
            </w:pPr>
            <w:r w:rsidRPr="00E14060">
              <w:rPr>
                <w:b/>
                <w:bCs/>
                <w:sz w:val="22"/>
                <w:szCs w:val="22"/>
                <w:lang w:val="en-GB"/>
              </w:rPr>
              <w:t>Quadratic regression (Goodman) extrapolation method for ATX arm (random effects model, combined doses)</w:t>
            </w:r>
          </w:p>
        </w:tc>
      </w:tr>
      <w:tr w:rsidR="00A37DD6" w:rsidRPr="00E14060" w14:paraId="0ADCAC35" w14:textId="77777777" w:rsidTr="009375DF">
        <w:trPr>
          <w:trHeight w:val="300"/>
        </w:trPr>
        <w:tc>
          <w:tcPr>
            <w:tcW w:w="222" w:type="dxa"/>
            <w:tcBorders>
              <w:top w:val="nil"/>
              <w:left w:val="nil"/>
              <w:bottom w:val="nil"/>
              <w:right w:val="nil"/>
            </w:tcBorders>
            <w:shd w:val="clear" w:color="auto" w:fill="auto"/>
            <w:noWrap/>
            <w:vAlign w:val="bottom"/>
            <w:hideMark/>
          </w:tcPr>
          <w:p w14:paraId="6CFC4585" w14:textId="77777777" w:rsidR="00A37DD6" w:rsidRPr="00E14060" w:rsidRDefault="00A37DD6" w:rsidP="00A37DD6">
            <w:pPr>
              <w:rPr>
                <w:sz w:val="22"/>
                <w:szCs w:val="22"/>
                <w:lang w:val="en-GB"/>
              </w:rPr>
            </w:pPr>
          </w:p>
        </w:tc>
        <w:tc>
          <w:tcPr>
            <w:tcW w:w="1301" w:type="dxa"/>
            <w:tcBorders>
              <w:top w:val="nil"/>
              <w:left w:val="nil"/>
              <w:bottom w:val="nil"/>
              <w:right w:val="nil"/>
            </w:tcBorders>
            <w:shd w:val="clear" w:color="auto" w:fill="auto"/>
            <w:noWrap/>
            <w:vAlign w:val="bottom"/>
            <w:hideMark/>
          </w:tcPr>
          <w:p w14:paraId="2503ED2A" w14:textId="77777777" w:rsidR="00A37DD6" w:rsidRPr="00E14060" w:rsidRDefault="00A37DD6" w:rsidP="00A37DD6">
            <w:pPr>
              <w:rPr>
                <w:sz w:val="22"/>
                <w:szCs w:val="22"/>
                <w:lang w:val="en-GB"/>
              </w:rPr>
            </w:pPr>
          </w:p>
        </w:tc>
        <w:tc>
          <w:tcPr>
            <w:tcW w:w="271" w:type="dxa"/>
            <w:tcBorders>
              <w:top w:val="nil"/>
              <w:left w:val="nil"/>
              <w:bottom w:val="nil"/>
              <w:right w:val="nil"/>
            </w:tcBorders>
            <w:shd w:val="clear" w:color="auto" w:fill="auto"/>
            <w:noWrap/>
            <w:vAlign w:val="bottom"/>
            <w:hideMark/>
          </w:tcPr>
          <w:p w14:paraId="22AE22D3" w14:textId="77777777" w:rsidR="00A37DD6" w:rsidRPr="00E14060" w:rsidRDefault="00A37DD6" w:rsidP="00A37DD6">
            <w:pPr>
              <w:rPr>
                <w:sz w:val="22"/>
                <w:szCs w:val="22"/>
                <w:lang w:val="en-GB"/>
              </w:rPr>
            </w:pPr>
          </w:p>
        </w:tc>
        <w:tc>
          <w:tcPr>
            <w:tcW w:w="1733" w:type="dxa"/>
            <w:tcBorders>
              <w:top w:val="nil"/>
              <w:left w:val="nil"/>
              <w:bottom w:val="nil"/>
              <w:right w:val="nil"/>
            </w:tcBorders>
            <w:shd w:val="clear" w:color="auto" w:fill="auto"/>
            <w:noWrap/>
            <w:vAlign w:val="bottom"/>
            <w:hideMark/>
          </w:tcPr>
          <w:p w14:paraId="0D7AC5D5" w14:textId="77777777" w:rsidR="00A37DD6" w:rsidRPr="00E14060" w:rsidRDefault="00A37DD6" w:rsidP="00A37DD6">
            <w:pPr>
              <w:rPr>
                <w:sz w:val="22"/>
                <w:szCs w:val="22"/>
                <w:lang w:val="en-GB"/>
              </w:rPr>
            </w:pPr>
          </w:p>
        </w:tc>
        <w:tc>
          <w:tcPr>
            <w:tcW w:w="2126" w:type="dxa"/>
            <w:tcBorders>
              <w:top w:val="nil"/>
              <w:left w:val="nil"/>
              <w:bottom w:val="nil"/>
              <w:right w:val="nil"/>
            </w:tcBorders>
            <w:shd w:val="clear" w:color="auto" w:fill="auto"/>
            <w:noWrap/>
            <w:vAlign w:val="bottom"/>
            <w:hideMark/>
          </w:tcPr>
          <w:p w14:paraId="3A04334D" w14:textId="77777777" w:rsidR="00A37DD6" w:rsidRPr="00E14060" w:rsidRDefault="00A37DD6" w:rsidP="00A37DD6">
            <w:pPr>
              <w:rPr>
                <w:sz w:val="22"/>
                <w:szCs w:val="22"/>
                <w:lang w:val="en-GB"/>
              </w:rPr>
            </w:pPr>
          </w:p>
        </w:tc>
        <w:tc>
          <w:tcPr>
            <w:tcW w:w="2692" w:type="dxa"/>
            <w:tcBorders>
              <w:top w:val="nil"/>
              <w:left w:val="nil"/>
              <w:bottom w:val="nil"/>
              <w:right w:val="nil"/>
            </w:tcBorders>
            <w:shd w:val="clear" w:color="auto" w:fill="auto"/>
            <w:noWrap/>
            <w:vAlign w:val="bottom"/>
            <w:hideMark/>
          </w:tcPr>
          <w:p w14:paraId="4E30F048" w14:textId="77777777" w:rsidR="00A37DD6" w:rsidRPr="00E14060" w:rsidRDefault="00A37DD6" w:rsidP="00A37DD6">
            <w:pPr>
              <w:rPr>
                <w:sz w:val="22"/>
                <w:szCs w:val="22"/>
                <w:lang w:val="en-GB"/>
              </w:rPr>
            </w:pPr>
          </w:p>
        </w:tc>
        <w:tc>
          <w:tcPr>
            <w:tcW w:w="2368" w:type="dxa"/>
            <w:tcBorders>
              <w:top w:val="nil"/>
              <w:left w:val="nil"/>
              <w:bottom w:val="nil"/>
              <w:right w:val="nil"/>
            </w:tcBorders>
            <w:shd w:val="clear" w:color="auto" w:fill="auto"/>
            <w:noWrap/>
            <w:vAlign w:val="bottom"/>
            <w:hideMark/>
          </w:tcPr>
          <w:p w14:paraId="467ED5CB" w14:textId="77777777" w:rsidR="00A37DD6" w:rsidRPr="00E14060" w:rsidRDefault="00A37DD6" w:rsidP="00A37DD6">
            <w:pPr>
              <w:rPr>
                <w:sz w:val="22"/>
                <w:szCs w:val="22"/>
                <w:lang w:val="en-GB"/>
              </w:rPr>
            </w:pPr>
          </w:p>
        </w:tc>
      </w:tr>
      <w:tr w:rsidR="00A37DD6" w:rsidRPr="00E14060" w14:paraId="26BB6B99" w14:textId="77777777" w:rsidTr="009375DF">
        <w:trPr>
          <w:trHeight w:val="870"/>
        </w:trPr>
        <w:tc>
          <w:tcPr>
            <w:tcW w:w="222" w:type="dxa"/>
            <w:tcBorders>
              <w:top w:val="nil"/>
              <w:left w:val="nil"/>
              <w:bottom w:val="nil"/>
              <w:right w:val="nil"/>
            </w:tcBorders>
            <w:shd w:val="clear" w:color="auto" w:fill="auto"/>
            <w:noWrap/>
            <w:vAlign w:val="bottom"/>
            <w:hideMark/>
          </w:tcPr>
          <w:p w14:paraId="4EC73077" w14:textId="77777777" w:rsidR="00A37DD6" w:rsidRPr="00E14060" w:rsidRDefault="00A37DD6" w:rsidP="00A37DD6">
            <w:pPr>
              <w:rPr>
                <w:sz w:val="22"/>
                <w:szCs w:val="22"/>
                <w:lang w:val="en-GB"/>
              </w:rPr>
            </w:pPr>
          </w:p>
        </w:tc>
        <w:tc>
          <w:tcPr>
            <w:tcW w:w="1301" w:type="dxa"/>
            <w:tcBorders>
              <w:top w:val="single" w:sz="4" w:space="0" w:color="auto"/>
              <w:left w:val="nil"/>
              <w:bottom w:val="nil"/>
              <w:right w:val="nil"/>
            </w:tcBorders>
            <w:shd w:val="clear" w:color="auto" w:fill="auto"/>
            <w:noWrap/>
            <w:vAlign w:val="bottom"/>
            <w:hideMark/>
          </w:tcPr>
          <w:p w14:paraId="4A9B1C72" w14:textId="77777777" w:rsidR="00A37DD6" w:rsidRPr="00E14060" w:rsidRDefault="00A37DD6" w:rsidP="00A37DD6">
            <w:pPr>
              <w:rPr>
                <w:sz w:val="22"/>
                <w:szCs w:val="22"/>
                <w:lang w:val="en-GB"/>
              </w:rPr>
            </w:pPr>
            <w:r w:rsidRPr="00E14060">
              <w:rPr>
                <w:sz w:val="22"/>
                <w:szCs w:val="22"/>
                <w:lang w:val="en-GB"/>
              </w:rPr>
              <w:t> </w:t>
            </w:r>
          </w:p>
        </w:tc>
        <w:tc>
          <w:tcPr>
            <w:tcW w:w="271" w:type="dxa"/>
            <w:tcBorders>
              <w:top w:val="single" w:sz="4" w:space="0" w:color="auto"/>
              <w:left w:val="nil"/>
              <w:bottom w:val="nil"/>
              <w:right w:val="nil"/>
            </w:tcBorders>
            <w:shd w:val="clear" w:color="auto" w:fill="auto"/>
            <w:noWrap/>
            <w:vAlign w:val="bottom"/>
            <w:hideMark/>
          </w:tcPr>
          <w:p w14:paraId="3B9F2BBD" w14:textId="77777777" w:rsidR="00A37DD6" w:rsidRPr="00E14060" w:rsidRDefault="00A37DD6" w:rsidP="00A37DD6">
            <w:pPr>
              <w:rPr>
                <w:sz w:val="22"/>
                <w:szCs w:val="22"/>
                <w:lang w:val="en-GB"/>
              </w:rPr>
            </w:pPr>
            <w:r w:rsidRPr="00E14060">
              <w:rPr>
                <w:sz w:val="22"/>
                <w:szCs w:val="22"/>
                <w:lang w:val="en-GB"/>
              </w:rPr>
              <w:t> </w:t>
            </w:r>
          </w:p>
        </w:tc>
        <w:tc>
          <w:tcPr>
            <w:tcW w:w="1733" w:type="dxa"/>
            <w:tcBorders>
              <w:top w:val="single" w:sz="4" w:space="0" w:color="auto"/>
              <w:left w:val="nil"/>
              <w:bottom w:val="single" w:sz="4" w:space="0" w:color="auto"/>
              <w:right w:val="nil"/>
            </w:tcBorders>
            <w:shd w:val="clear" w:color="auto" w:fill="auto"/>
            <w:vAlign w:val="bottom"/>
            <w:hideMark/>
          </w:tcPr>
          <w:p w14:paraId="645DC1D5" w14:textId="77777777" w:rsidR="00A37DD6" w:rsidRPr="00E14060" w:rsidRDefault="00A37DD6" w:rsidP="00A37DD6">
            <w:pPr>
              <w:jc w:val="center"/>
              <w:rPr>
                <w:b/>
                <w:bCs/>
                <w:sz w:val="22"/>
                <w:szCs w:val="22"/>
                <w:lang w:val="en-GB"/>
              </w:rPr>
            </w:pPr>
            <w:r w:rsidRPr="00E14060">
              <w:rPr>
                <w:b/>
                <w:bCs/>
                <w:sz w:val="22"/>
                <w:szCs w:val="22"/>
                <w:lang w:val="en-GB"/>
              </w:rPr>
              <w:t>Odds Ratio</w:t>
            </w:r>
          </w:p>
        </w:tc>
        <w:tc>
          <w:tcPr>
            <w:tcW w:w="2126" w:type="dxa"/>
            <w:tcBorders>
              <w:top w:val="single" w:sz="4" w:space="0" w:color="auto"/>
              <w:left w:val="nil"/>
              <w:bottom w:val="single" w:sz="4" w:space="0" w:color="auto"/>
              <w:right w:val="nil"/>
            </w:tcBorders>
            <w:shd w:val="clear" w:color="auto" w:fill="auto"/>
            <w:vAlign w:val="bottom"/>
            <w:hideMark/>
          </w:tcPr>
          <w:p w14:paraId="7BE1EFDA" w14:textId="77777777" w:rsidR="00A37DD6" w:rsidRPr="00E14060" w:rsidRDefault="00A37DD6" w:rsidP="00A37DD6">
            <w:pPr>
              <w:jc w:val="center"/>
              <w:rPr>
                <w:b/>
                <w:bCs/>
                <w:sz w:val="22"/>
                <w:szCs w:val="22"/>
                <w:lang w:val="en-GB"/>
              </w:rPr>
            </w:pPr>
            <w:r w:rsidRPr="00E14060">
              <w:rPr>
                <w:b/>
                <w:bCs/>
                <w:sz w:val="22"/>
                <w:szCs w:val="22"/>
                <w:lang w:val="en-GB"/>
              </w:rPr>
              <w:t>95% Credible Interval</w:t>
            </w:r>
          </w:p>
        </w:tc>
        <w:tc>
          <w:tcPr>
            <w:tcW w:w="2692" w:type="dxa"/>
            <w:tcBorders>
              <w:top w:val="single" w:sz="4" w:space="0" w:color="auto"/>
              <w:left w:val="nil"/>
              <w:bottom w:val="single" w:sz="4" w:space="0" w:color="auto"/>
              <w:right w:val="nil"/>
            </w:tcBorders>
            <w:shd w:val="clear" w:color="auto" w:fill="auto"/>
            <w:vAlign w:val="bottom"/>
            <w:hideMark/>
          </w:tcPr>
          <w:p w14:paraId="25BB787B" w14:textId="77777777" w:rsidR="00A37DD6" w:rsidRPr="00E14060" w:rsidRDefault="00A37DD6" w:rsidP="00A37DD6">
            <w:pPr>
              <w:jc w:val="center"/>
              <w:rPr>
                <w:b/>
                <w:bCs/>
                <w:sz w:val="22"/>
                <w:szCs w:val="22"/>
                <w:lang w:val="en-GB"/>
              </w:rPr>
            </w:pPr>
            <w:r w:rsidRPr="00E14060">
              <w:rPr>
                <w:b/>
                <w:bCs/>
                <w:sz w:val="22"/>
                <w:szCs w:val="22"/>
                <w:lang w:val="en-GB"/>
              </w:rPr>
              <w:t>Probability of the treatment being most effective among all</w:t>
            </w:r>
          </w:p>
        </w:tc>
        <w:tc>
          <w:tcPr>
            <w:tcW w:w="2368" w:type="dxa"/>
            <w:tcBorders>
              <w:top w:val="single" w:sz="4" w:space="0" w:color="auto"/>
              <w:left w:val="nil"/>
              <w:bottom w:val="single" w:sz="4" w:space="0" w:color="auto"/>
              <w:right w:val="nil"/>
            </w:tcBorders>
            <w:shd w:val="clear" w:color="auto" w:fill="auto"/>
            <w:vAlign w:val="bottom"/>
            <w:hideMark/>
          </w:tcPr>
          <w:p w14:paraId="2409CAF2" w14:textId="77777777" w:rsidR="00A37DD6" w:rsidRPr="00E14060" w:rsidRDefault="00A37DD6" w:rsidP="003168CE">
            <w:pPr>
              <w:jc w:val="center"/>
              <w:rPr>
                <w:b/>
                <w:bCs/>
                <w:sz w:val="22"/>
                <w:szCs w:val="22"/>
                <w:lang w:val="en-GB"/>
              </w:rPr>
            </w:pPr>
            <w:r w:rsidRPr="00E14060">
              <w:rPr>
                <w:b/>
                <w:bCs/>
                <w:sz w:val="22"/>
                <w:szCs w:val="22"/>
                <w:lang w:val="en-GB"/>
              </w:rPr>
              <w:t xml:space="preserve">Probability of LDX being more effective compared to </w:t>
            </w:r>
            <w:r w:rsidR="00E00B7B" w:rsidRPr="00E14060">
              <w:rPr>
                <w:b/>
                <w:bCs/>
                <w:sz w:val="22"/>
                <w:szCs w:val="22"/>
                <w:lang w:val="en-GB"/>
              </w:rPr>
              <w:t>each</w:t>
            </w:r>
            <w:r w:rsidRPr="00E14060">
              <w:rPr>
                <w:b/>
                <w:bCs/>
                <w:sz w:val="22"/>
                <w:szCs w:val="22"/>
                <w:lang w:val="en-GB"/>
              </w:rPr>
              <w:t xml:space="preserve"> treatment</w:t>
            </w:r>
          </w:p>
        </w:tc>
      </w:tr>
      <w:tr w:rsidR="00B913FA" w:rsidRPr="00E14060" w14:paraId="33D51D98" w14:textId="77777777" w:rsidTr="009375DF">
        <w:trPr>
          <w:trHeight w:val="300"/>
        </w:trPr>
        <w:tc>
          <w:tcPr>
            <w:tcW w:w="222" w:type="dxa"/>
            <w:tcBorders>
              <w:top w:val="nil"/>
              <w:left w:val="nil"/>
              <w:bottom w:val="nil"/>
              <w:right w:val="nil"/>
            </w:tcBorders>
            <w:shd w:val="clear" w:color="auto" w:fill="auto"/>
            <w:noWrap/>
            <w:vAlign w:val="bottom"/>
            <w:hideMark/>
          </w:tcPr>
          <w:p w14:paraId="7F1BA392" w14:textId="77777777" w:rsidR="00B913FA" w:rsidRPr="00E14060" w:rsidRDefault="00B913FA" w:rsidP="00A37DD6">
            <w:pPr>
              <w:rPr>
                <w:sz w:val="22"/>
                <w:szCs w:val="22"/>
                <w:lang w:val="en-GB"/>
              </w:rPr>
            </w:pPr>
          </w:p>
        </w:tc>
        <w:tc>
          <w:tcPr>
            <w:tcW w:w="1301" w:type="dxa"/>
            <w:tcBorders>
              <w:top w:val="nil"/>
              <w:left w:val="nil"/>
              <w:bottom w:val="nil"/>
              <w:right w:val="nil"/>
            </w:tcBorders>
            <w:shd w:val="clear" w:color="auto" w:fill="auto"/>
            <w:noWrap/>
            <w:vAlign w:val="bottom"/>
            <w:hideMark/>
          </w:tcPr>
          <w:p w14:paraId="625F13D2" w14:textId="77777777" w:rsidR="00B913FA" w:rsidRPr="00E14060" w:rsidRDefault="00B913FA" w:rsidP="00A37DD6">
            <w:pPr>
              <w:rPr>
                <w:b/>
                <w:bCs/>
                <w:sz w:val="22"/>
                <w:szCs w:val="22"/>
                <w:lang w:val="en-GB"/>
              </w:rPr>
            </w:pPr>
            <w:r w:rsidRPr="00E14060">
              <w:rPr>
                <w:b/>
                <w:bCs/>
                <w:sz w:val="22"/>
                <w:szCs w:val="22"/>
                <w:lang w:val="en-GB"/>
              </w:rPr>
              <w:t>LDX</w:t>
            </w:r>
          </w:p>
        </w:tc>
        <w:tc>
          <w:tcPr>
            <w:tcW w:w="271" w:type="dxa"/>
            <w:tcBorders>
              <w:top w:val="nil"/>
              <w:left w:val="nil"/>
              <w:bottom w:val="nil"/>
              <w:right w:val="nil"/>
            </w:tcBorders>
            <w:shd w:val="clear" w:color="auto" w:fill="auto"/>
            <w:noWrap/>
            <w:vAlign w:val="bottom"/>
            <w:hideMark/>
          </w:tcPr>
          <w:p w14:paraId="74883BD3" w14:textId="77777777" w:rsidR="00B913FA" w:rsidRPr="00E14060" w:rsidRDefault="00B913FA" w:rsidP="00A37DD6">
            <w:pPr>
              <w:rPr>
                <w:b/>
                <w:bCs/>
                <w:sz w:val="22"/>
                <w:szCs w:val="22"/>
                <w:lang w:val="en-GB"/>
              </w:rPr>
            </w:pPr>
          </w:p>
        </w:tc>
        <w:tc>
          <w:tcPr>
            <w:tcW w:w="1733" w:type="dxa"/>
            <w:tcBorders>
              <w:top w:val="nil"/>
              <w:left w:val="nil"/>
              <w:bottom w:val="nil"/>
              <w:right w:val="nil"/>
            </w:tcBorders>
            <w:shd w:val="clear" w:color="auto" w:fill="auto"/>
            <w:noWrap/>
            <w:vAlign w:val="bottom"/>
            <w:hideMark/>
          </w:tcPr>
          <w:p w14:paraId="296BF402" w14:textId="77777777" w:rsidR="00B913FA" w:rsidRPr="00E14060" w:rsidRDefault="00B913FA" w:rsidP="00A37DD6">
            <w:pPr>
              <w:jc w:val="center"/>
              <w:rPr>
                <w:sz w:val="22"/>
                <w:szCs w:val="22"/>
                <w:lang w:val="en-GB"/>
              </w:rPr>
            </w:pPr>
            <w:r w:rsidRPr="00E14060">
              <w:rPr>
                <w:sz w:val="22"/>
                <w:szCs w:val="22"/>
                <w:lang w:val="en-GB"/>
              </w:rPr>
              <w:t>4.37</w:t>
            </w:r>
          </w:p>
        </w:tc>
        <w:tc>
          <w:tcPr>
            <w:tcW w:w="2126" w:type="dxa"/>
            <w:tcBorders>
              <w:top w:val="nil"/>
              <w:left w:val="nil"/>
              <w:bottom w:val="nil"/>
              <w:right w:val="nil"/>
            </w:tcBorders>
            <w:shd w:val="clear" w:color="auto" w:fill="auto"/>
            <w:noWrap/>
            <w:vAlign w:val="bottom"/>
            <w:hideMark/>
          </w:tcPr>
          <w:p w14:paraId="2D7CA900" w14:textId="77777777" w:rsidR="00B913FA" w:rsidRPr="00E14060" w:rsidRDefault="00B913FA" w:rsidP="00A37DD6">
            <w:pPr>
              <w:jc w:val="center"/>
              <w:rPr>
                <w:sz w:val="22"/>
                <w:szCs w:val="22"/>
                <w:lang w:val="en-GB"/>
              </w:rPr>
            </w:pPr>
            <w:r w:rsidRPr="00E14060">
              <w:rPr>
                <w:sz w:val="22"/>
                <w:szCs w:val="22"/>
                <w:lang w:val="en-GB"/>
              </w:rPr>
              <w:t>(2.55, 7.67)</w:t>
            </w:r>
          </w:p>
        </w:tc>
        <w:tc>
          <w:tcPr>
            <w:tcW w:w="2692" w:type="dxa"/>
            <w:tcBorders>
              <w:top w:val="nil"/>
              <w:left w:val="nil"/>
              <w:bottom w:val="nil"/>
              <w:right w:val="nil"/>
            </w:tcBorders>
            <w:shd w:val="clear" w:color="auto" w:fill="auto"/>
            <w:noWrap/>
            <w:vAlign w:val="bottom"/>
            <w:hideMark/>
          </w:tcPr>
          <w:p w14:paraId="226C284A" w14:textId="77777777" w:rsidR="00B913FA" w:rsidRPr="00E14060" w:rsidRDefault="00B913FA" w:rsidP="00A37DD6">
            <w:pPr>
              <w:jc w:val="center"/>
              <w:rPr>
                <w:sz w:val="22"/>
                <w:szCs w:val="22"/>
                <w:lang w:val="en-GB"/>
              </w:rPr>
            </w:pPr>
            <w:r w:rsidRPr="00E14060">
              <w:rPr>
                <w:sz w:val="22"/>
                <w:szCs w:val="22"/>
                <w:lang w:val="en-GB"/>
              </w:rPr>
              <w:t>80.62%</w:t>
            </w:r>
          </w:p>
        </w:tc>
        <w:tc>
          <w:tcPr>
            <w:tcW w:w="2368" w:type="dxa"/>
            <w:tcBorders>
              <w:top w:val="nil"/>
              <w:left w:val="nil"/>
              <w:bottom w:val="nil"/>
              <w:right w:val="nil"/>
            </w:tcBorders>
            <w:shd w:val="clear" w:color="auto" w:fill="auto"/>
            <w:noWrap/>
            <w:vAlign w:val="bottom"/>
            <w:hideMark/>
          </w:tcPr>
          <w:p w14:paraId="2A5256B5" w14:textId="77777777" w:rsidR="00B913FA" w:rsidRPr="00E14060" w:rsidRDefault="00B913FA" w:rsidP="00A37DD6">
            <w:pPr>
              <w:jc w:val="center"/>
              <w:rPr>
                <w:sz w:val="22"/>
                <w:szCs w:val="22"/>
                <w:lang w:val="en-GB"/>
              </w:rPr>
            </w:pPr>
            <w:r w:rsidRPr="00E14060">
              <w:rPr>
                <w:sz w:val="22"/>
                <w:szCs w:val="22"/>
                <w:lang w:val="en-GB"/>
              </w:rPr>
              <w:t>--</w:t>
            </w:r>
          </w:p>
        </w:tc>
      </w:tr>
      <w:tr w:rsidR="00B913FA" w:rsidRPr="00E14060" w14:paraId="2A98568B" w14:textId="77777777" w:rsidTr="009375DF">
        <w:trPr>
          <w:trHeight w:val="300"/>
        </w:trPr>
        <w:tc>
          <w:tcPr>
            <w:tcW w:w="222" w:type="dxa"/>
            <w:tcBorders>
              <w:top w:val="nil"/>
              <w:left w:val="nil"/>
              <w:bottom w:val="nil"/>
              <w:right w:val="nil"/>
            </w:tcBorders>
            <w:shd w:val="clear" w:color="auto" w:fill="auto"/>
            <w:noWrap/>
            <w:vAlign w:val="bottom"/>
            <w:hideMark/>
          </w:tcPr>
          <w:p w14:paraId="11DD20C5" w14:textId="77777777" w:rsidR="00B913FA" w:rsidRPr="00E14060" w:rsidRDefault="00B913FA" w:rsidP="00A37DD6">
            <w:pPr>
              <w:rPr>
                <w:sz w:val="22"/>
                <w:szCs w:val="22"/>
                <w:lang w:val="en-GB"/>
              </w:rPr>
            </w:pPr>
          </w:p>
        </w:tc>
        <w:tc>
          <w:tcPr>
            <w:tcW w:w="1301" w:type="dxa"/>
            <w:tcBorders>
              <w:top w:val="nil"/>
              <w:left w:val="nil"/>
              <w:bottom w:val="nil"/>
              <w:right w:val="nil"/>
            </w:tcBorders>
            <w:shd w:val="clear" w:color="auto" w:fill="auto"/>
            <w:noWrap/>
            <w:vAlign w:val="bottom"/>
            <w:hideMark/>
          </w:tcPr>
          <w:p w14:paraId="6B3EE328" w14:textId="77777777" w:rsidR="00B913FA" w:rsidRPr="00E14060" w:rsidRDefault="00B913FA" w:rsidP="00A37DD6">
            <w:pPr>
              <w:rPr>
                <w:b/>
                <w:bCs/>
                <w:sz w:val="22"/>
                <w:szCs w:val="22"/>
                <w:lang w:val="en-GB"/>
              </w:rPr>
            </w:pPr>
            <w:r w:rsidRPr="00E14060">
              <w:rPr>
                <w:b/>
                <w:bCs/>
                <w:sz w:val="22"/>
                <w:szCs w:val="22"/>
                <w:lang w:val="en-GB"/>
              </w:rPr>
              <w:t>ATX</w:t>
            </w:r>
          </w:p>
        </w:tc>
        <w:tc>
          <w:tcPr>
            <w:tcW w:w="271" w:type="dxa"/>
            <w:tcBorders>
              <w:top w:val="nil"/>
              <w:left w:val="nil"/>
              <w:bottom w:val="nil"/>
              <w:right w:val="nil"/>
            </w:tcBorders>
            <w:shd w:val="clear" w:color="auto" w:fill="auto"/>
            <w:noWrap/>
            <w:vAlign w:val="bottom"/>
            <w:hideMark/>
          </w:tcPr>
          <w:p w14:paraId="669D5B35" w14:textId="77777777" w:rsidR="00B913FA" w:rsidRPr="00E14060" w:rsidRDefault="00B913FA" w:rsidP="00A37DD6">
            <w:pPr>
              <w:rPr>
                <w:b/>
                <w:bCs/>
                <w:sz w:val="22"/>
                <w:szCs w:val="22"/>
                <w:lang w:val="en-GB"/>
              </w:rPr>
            </w:pPr>
          </w:p>
        </w:tc>
        <w:tc>
          <w:tcPr>
            <w:tcW w:w="1733" w:type="dxa"/>
            <w:tcBorders>
              <w:top w:val="nil"/>
              <w:left w:val="nil"/>
              <w:bottom w:val="nil"/>
              <w:right w:val="nil"/>
            </w:tcBorders>
            <w:shd w:val="clear" w:color="auto" w:fill="auto"/>
            <w:noWrap/>
            <w:vAlign w:val="bottom"/>
            <w:hideMark/>
          </w:tcPr>
          <w:p w14:paraId="3DC0ECD3" w14:textId="77777777" w:rsidR="00B913FA" w:rsidRPr="00E14060" w:rsidRDefault="00B913FA" w:rsidP="00A37DD6">
            <w:pPr>
              <w:jc w:val="center"/>
              <w:rPr>
                <w:sz w:val="22"/>
                <w:szCs w:val="22"/>
                <w:lang w:val="en-GB"/>
              </w:rPr>
            </w:pPr>
            <w:r w:rsidRPr="00E14060">
              <w:rPr>
                <w:sz w:val="22"/>
                <w:szCs w:val="22"/>
                <w:lang w:val="en-GB"/>
              </w:rPr>
              <w:t>2.32</w:t>
            </w:r>
          </w:p>
        </w:tc>
        <w:tc>
          <w:tcPr>
            <w:tcW w:w="2126" w:type="dxa"/>
            <w:tcBorders>
              <w:top w:val="nil"/>
              <w:left w:val="nil"/>
              <w:bottom w:val="nil"/>
              <w:right w:val="nil"/>
            </w:tcBorders>
            <w:shd w:val="clear" w:color="auto" w:fill="auto"/>
            <w:noWrap/>
            <w:vAlign w:val="bottom"/>
            <w:hideMark/>
          </w:tcPr>
          <w:p w14:paraId="2D4A3C10" w14:textId="77777777" w:rsidR="00B913FA" w:rsidRPr="00E14060" w:rsidRDefault="00B913FA" w:rsidP="00A37DD6">
            <w:pPr>
              <w:jc w:val="center"/>
              <w:rPr>
                <w:sz w:val="22"/>
                <w:szCs w:val="22"/>
                <w:lang w:val="en-GB"/>
              </w:rPr>
            </w:pPr>
            <w:r w:rsidRPr="00E14060">
              <w:rPr>
                <w:sz w:val="22"/>
                <w:szCs w:val="22"/>
                <w:lang w:val="en-GB"/>
              </w:rPr>
              <w:t>(0.99, 5.43)</w:t>
            </w:r>
          </w:p>
        </w:tc>
        <w:tc>
          <w:tcPr>
            <w:tcW w:w="2692" w:type="dxa"/>
            <w:tcBorders>
              <w:top w:val="nil"/>
              <w:left w:val="nil"/>
              <w:bottom w:val="nil"/>
              <w:right w:val="nil"/>
            </w:tcBorders>
            <w:shd w:val="clear" w:color="auto" w:fill="auto"/>
            <w:noWrap/>
            <w:vAlign w:val="bottom"/>
            <w:hideMark/>
          </w:tcPr>
          <w:p w14:paraId="13EEEA63" w14:textId="77777777" w:rsidR="00B913FA" w:rsidRPr="00E14060" w:rsidRDefault="00B913FA" w:rsidP="00A37DD6">
            <w:pPr>
              <w:jc w:val="center"/>
              <w:rPr>
                <w:sz w:val="22"/>
                <w:szCs w:val="22"/>
                <w:lang w:val="en-GB"/>
              </w:rPr>
            </w:pPr>
            <w:r w:rsidRPr="00E14060">
              <w:rPr>
                <w:sz w:val="22"/>
                <w:szCs w:val="22"/>
                <w:lang w:val="en-GB"/>
              </w:rPr>
              <w:t>8.19%</w:t>
            </w:r>
          </w:p>
        </w:tc>
        <w:tc>
          <w:tcPr>
            <w:tcW w:w="2368" w:type="dxa"/>
            <w:tcBorders>
              <w:top w:val="nil"/>
              <w:left w:val="nil"/>
              <w:bottom w:val="nil"/>
              <w:right w:val="nil"/>
            </w:tcBorders>
            <w:shd w:val="clear" w:color="auto" w:fill="auto"/>
            <w:noWrap/>
            <w:vAlign w:val="bottom"/>
            <w:hideMark/>
          </w:tcPr>
          <w:p w14:paraId="4FA290C3" w14:textId="77777777" w:rsidR="00B913FA" w:rsidRPr="00E14060" w:rsidRDefault="00B913FA" w:rsidP="00A37DD6">
            <w:pPr>
              <w:jc w:val="center"/>
              <w:rPr>
                <w:sz w:val="22"/>
                <w:szCs w:val="22"/>
                <w:lang w:val="en-GB"/>
              </w:rPr>
            </w:pPr>
            <w:r w:rsidRPr="00E14060">
              <w:rPr>
                <w:sz w:val="22"/>
                <w:szCs w:val="22"/>
                <w:lang w:val="en-GB"/>
              </w:rPr>
              <w:t>90.35%</w:t>
            </w:r>
          </w:p>
        </w:tc>
      </w:tr>
      <w:tr w:rsidR="00B913FA" w:rsidRPr="00E14060" w14:paraId="429174C1" w14:textId="77777777" w:rsidTr="00A73A4C">
        <w:trPr>
          <w:trHeight w:val="300"/>
        </w:trPr>
        <w:tc>
          <w:tcPr>
            <w:tcW w:w="222" w:type="dxa"/>
            <w:tcBorders>
              <w:top w:val="nil"/>
              <w:left w:val="nil"/>
              <w:bottom w:val="nil"/>
              <w:right w:val="nil"/>
            </w:tcBorders>
            <w:shd w:val="clear" w:color="auto" w:fill="auto"/>
            <w:noWrap/>
            <w:vAlign w:val="bottom"/>
            <w:hideMark/>
          </w:tcPr>
          <w:p w14:paraId="313CD3D6" w14:textId="77777777" w:rsidR="00B913FA" w:rsidRPr="00E14060" w:rsidRDefault="00B913FA" w:rsidP="00A37DD6">
            <w:pPr>
              <w:rPr>
                <w:sz w:val="22"/>
                <w:szCs w:val="22"/>
                <w:lang w:val="en-GB"/>
              </w:rPr>
            </w:pPr>
          </w:p>
        </w:tc>
        <w:tc>
          <w:tcPr>
            <w:tcW w:w="1301" w:type="dxa"/>
            <w:tcBorders>
              <w:top w:val="nil"/>
              <w:left w:val="nil"/>
              <w:bottom w:val="single" w:sz="4" w:space="0" w:color="auto"/>
              <w:right w:val="nil"/>
            </w:tcBorders>
            <w:shd w:val="clear" w:color="auto" w:fill="auto"/>
            <w:noWrap/>
            <w:vAlign w:val="bottom"/>
            <w:hideMark/>
          </w:tcPr>
          <w:p w14:paraId="05977B35" w14:textId="77777777" w:rsidR="00B913FA" w:rsidRPr="00E14060" w:rsidRDefault="00B913FA" w:rsidP="00A37DD6">
            <w:pPr>
              <w:rPr>
                <w:b/>
                <w:bCs/>
                <w:sz w:val="22"/>
                <w:szCs w:val="22"/>
                <w:lang w:val="en-GB"/>
              </w:rPr>
            </w:pPr>
            <w:r w:rsidRPr="00E14060">
              <w:rPr>
                <w:b/>
                <w:bCs/>
                <w:sz w:val="22"/>
                <w:szCs w:val="22"/>
                <w:lang w:val="en-GB"/>
              </w:rPr>
              <w:t>MPH-ER</w:t>
            </w:r>
          </w:p>
        </w:tc>
        <w:tc>
          <w:tcPr>
            <w:tcW w:w="271" w:type="dxa"/>
            <w:tcBorders>
              <w:top w:val="nil"/>
              <w:left w:val="nil"/>
              <w:bottom w:val="single" w:sz="4" w:space="0" w:color="auto"/>
              <w:right w:val="nil"/>
            </w:tcBorders>
            <w:shd w:val="clear" w:color="auto" w:fill="auto"/>
            <w:noWrap/>
            <w:vAlign w:val="bottom"/>
            <w:hideMark/>
          </w:tcPr>
          <w:p w14:paraId="1F5E5827" w14:textId="77777777" w:rsidR="00B913FA" w:rsidRPr="00E14060" w:rsidRDefault="00B913FA" w:rsidP="00A37DD6">
            <w:pPr>
              <w:rPr>
                <w:b/>
                <w:bCs/>
                <w:sz w:val="22"/>
                <w:szCs w:val="22"/>
                <w:lang w:val="en-GB"/>
              </w:rPr>
            </w:pPr>
            <w:r w:rsidRPr="00E14060">
              <w:rPr>
                <w:b/>
                <w:bCs/>
                <w:sz w:val="22"/>
                <w:szCs w:val="22"/>
                <w:lang w:val="en-GB"/>
              </w:rPr>
              <w:t> </w:t>
            </w:r>
          </w:p>
        </w:tc>
        <w:tc>
          <w:tcPr>
            <w:tcW w:w="1733" w:type="dxa"/>
            <w:tcBorders>
              <w:top w:val="nil"/>
              <w:left w:val="nil"/>
              <w:bottom w:val="single" w:sz="4" w:space="0" w:color="auto"/>
              <w:right w:val="nil"/>
            </w:tcBorders>
            <w:shd w:val="clear" w:color="auto" w:fill="auto"/>
            <w:noWrap/>
            <w:vAlign w:val="bottom"/>
            <w:hideMark/>
          </w:tcPr>
          <w:p w14:paraId="016896FB" w14:textId="77777777" w:rsidR="00B913FA" w:rsidRPr="00E14060" w:rsidRDefault="00B913FA" w:rsidP="00A37DD6">
            <w:pPr>
              <w:jc w:val="center"/>
              <w:rPr>
                <w:sz w:val="22"/>
                <w:szCs w:val="22"/>
                <w:lang w:val="en-GB"/>
              </w:rPr>
            </w:pPr>
            <w:r w:rsidRPr="00E14060">
              <w:rPr>
                <w:sz w:val="22"/>
                <w:szCs w:val="22"/>
                <w:lang w:val="en-GB"/>
              </w:rPr>
              <w:t>2.94</w:t>
            </w:r>
          </w:p>
        </w:tc>
        <w:tc>
          <w:tcPr>
            <w:tcW w:w="2126" w:type="dxa"/>
            <w:tcBorders>
              <w:top w:val="nil"/>
              <w:left w:val="nil"/>
              <w:bottom w:val="single" w:sz="4" w:space="0" w:color="auto"/>
              <w:right w:val="nil"/>
            </w:tcBorders>
            <w:shd w:val="clear" w:color="auto" w:fill="auto"/>
            <w:noWrap/>
            <w:vAlign w:val="bottom"/>
            <w:hideMark/>
          </w:tcPr>
          <w:p w14:paraId="2474C140" w14:textId="77777777" w:rsidR="00B913FA" w:rsidRPr="00E14060" w:rsidRDefault="00B913FA" w:rsidP="00A37DD6">
            <w:pPr>
              <w:jc w:val="center"/>
              <w:rPr>
                <w:sz w:val="22"/>
                <w:szCs w:val="22"/>
                <w:lang w:val="en-GB"/>
              </w:rPr>
            </w:pPr>
            <w:r w:rsidRPr="00E14060">
              <w:rPr>
                <w:sz w:val="22"/>
                <w:szCs w:val="22"/>
                <w:lang w:val="en-GB"/>
              </w:rPr>
              <w:t>(1.79, 4.74)</w:t>
            </w:r>
          </w:p>
        </w:tc>
        <w:tc>
          <w:tcPr>
            <w:tcW w:w="2692" w:type="dxa"/>
            <w:tcBorders>
              <w:top w:val="nil"/>
              <w:left w:val="nil"/>
              <w:bottom w:val="single" w:sz="4" w:space="0" w:color="auto"/>
              <w:right w:val="nil"/>
            </w:tcBorders>
            <w:shd w:val="clear" w:color="auto" w:fill="auto"/>
            <w:noWrap/>
            <w:vAlign w:val="bottom"/>
            <w:hideMark/>
          </w:tcPr>
          <w:p w14:paraId="2E267238" w14:textId="77777777" w:rsidR="00B913FA" w:rsidRPr="00E14060" w:rsidRDefault="00B913FA" w:rsidP="00A37DD6">
            <w:pPr>
              <w:jc w:val="center"/>
              <w:rPr>
                <w:sz w:val="22"/>
                <w:szCs w:val="22"/>
                <w:lang w:val="en-GB"/>
              </w:rPr>
            </w:pPr>
            <w:r w:rsidRPr="00E14060">
              <w:rPr>
                <w:sz w:val="22"/>
                <w:szCs w:val="22"/>
                <w:lang w:val="en-GB"/>
              </w:rPr>
              <w:t>11.19%</w:t>
            </w:r>
          </w:p>
        </w:tc>
        <w:tc>
          <w:tcPr>
            <w:tcW w:w="2368" w:type="dxa"/>
            <w:tcBorders>
              <w:top w:val="nil"/>
              <w:left w:val="nil"/>
              <w:bottom w:val="single" w:sz="4" w:space="0" w:color="auto"/>
              <w:right w:val="nil"/>
            </w:tcBorders>
            <w:shd w:val="clear" w:color="auto" w:fill="auto"/>
            <w:noWrap/>
            <w:vAlign w:val="bottom"/>
            <w:hideMark/>
          </w:tcPr>
          <w:p w14:paraId="13F895A4" w14:textId="77777777" w:rsidR="00B913FA" w:rsidRPr="00E14060" w:rsidRDefault="00B913FA" w:rsidP="00A37DD6">
            <w:pPr>
              <w:jc w:val="center"/>
              <w:rPr>
                <w:sz w:val="22"/>
                <w:szCs w:val="22"/>
                <w:lang w:val="en-GB"/>
              </w:rPr>
            </w:pPr>
            <w:r w:rsidRPr="00E14060">
              <w:rPr>
                <w:sz w:val="22"/>
                <w:szCs w:val="22"/>
                <w:lang w:val="en-GB"/>
              </w:rPr>
              <w:t>86.88%</w:t>
            </w:r>
          </w:p>
        </w:tc>
      </w:tr>
      <w:tr w:rsidR="00A37DD6" w:rsidRPr="00E14060" w14:paraId="2C6535C7" w14:textId="77777777" w:rsidTr="00A73A4C">
        <w:trPr>
          <w:trHeight w:val="300"/>
        </w:trPr>
        <w:tc>
          <w:tcPr>
            <w:tcW w:w="222" w:type="dxa"/>
            <w:tcBorders>
              <w:top w:val="nil"/>
              <w:left w:val="nil"/>
              <w:bottom w:val="nil"/>
              <w:right w:val="nil"/>
            </w:tcBorders>
            <w:shd w:val="clear" w:color="auto" w:fill="auto"/>
            <w:noWrap/>
            <w:vAlign w:val="bottom"/>
            <w:hideMark/>
          </w:tcPr>
          <w:p w14:paraId="6138ECD6" w14:textId="77777777" w:rsidR="00A37DD6" w:rsidRPr="00E14060" w:rsidRDefault="00A37DD6" w:rsidP="00A37DD6">
            <w:pPr>
              <w:rPr>
                <w:sz w:val="22"/>
                <w:szCs w:val="22"/>
                <w:lang w:val="en-GB"/>
              </w:rPr>
            </w:pPr>
          </w:p>
        </w:tc>
        <w:tc>
          <w:tcPr>
            <w:tcW w:w="1301" w:type="dxa"/>
            <w:tcBorders>
              <w:top w:val="nil"/>
              <w:left w:val="nil"/>
              <w:bottom w:val="nil"/>
              <w:right w:val="nil"/>
            </w:tcBorders>
            <w:shd w:val="clear" w:color="auto" w:fill="auto"/>
            <w:noWrap/>
            <w:vAlign w:val="bottom"/>
            <w:hideMark/>
          </w:tcPr>
          <w:p w14:paraId="5FE2B24B" w14:textId="77777777" w:rsidR="00A37DD6" w:rsidRPr="00E14060" w:rsidRDefault="00A37DD6" w:rsidP="00A37DD6">
            <w:pPr>
              <w:rPr>
                <w:sz w:val="22"/>
                <w:szCs w:val="22"/>
                <w:lang w:val="en-GB"/>
              </w:rPr>
            </w:pPr>
          </w:p>
        </w:tc>
        <w:tc>
          <w:tcPr>
            <w:tcW w:w="271" w:type="dxa"/>
            <w:tcBorders>
              <w:top w:val="nil"/>
              <w:left w:val="nil"/>
              <w:bottom w:val="nil"/>
              <w:right w:val="nil"/>
            </w:tcBorders>
            <w:shd w:val="clear" w:color="auto" w:fill="auto"/>
            <w:noWrap/>
            <w:vAlign w:val="bottom"/>
            <w:hideMark/>
          </w:tcPr>
          <w:p w14:paraId="16DEDE4F" w14:textId="77777777" w:rsidR="00A37DD6" w:rsidRPr="00E14060" w:rsidRDefault="00A37DD6" w:rsidP="00A37DD6">
            <w:pPr>
              <w:rPr>
                <w:sz w:val="22"/>
                <w:szCs w:val="22"/>
                <w:lang w:val="en-GB"/>
              </w:rPr>
            </w:pPr>
          </w:p>
        </w:tc>
        <w:tc>
          <w:tcPr>
            <w:tcW w:w="1733" w:type="dxa"/>
            <w:tcBorders>
              <w:top w:val="nil"/>
              <w:left w:val="nil"/>
              <w:bottom w:val="nil"/>
              <w:right w:val="nil"/>
            </w:tcBorders>
            <w:shd w:val="clear" w:color="auto" w:fill="auto"/>
            <w:noWrap/>
            <w:vAlign w:val="bottom"/>
            <w:hideMark/>
          </w:tcPr>
          <w:p w14:paraId="7F034839" w14:textId="77777777" w:rsidR="00A37DD6" w:rsidRPr="00E14060" w:rsidRDefault="00A37DD6" w:rsidP="00A37DD6">
            <w:pPr>
              <w:rPr>
                <w:sz w:val="22"/>
                <w:szCs w:val="22"/>
                <w:lang w:val="en-GB"/>
              </w:rPr>
            </w:pPr>
          </w:p>
        </w:tc>
        <w:tc>
          <w:tcPr>
            <w:tcW w:w="2126" w:type="dxa"/>
            <w:tcBorders>
              <w:top w:val="single" w:sz="4" w:space="0" w:color="auto"/>
              <w:left w:val="nil"/>
              <w:bottom w:val="single" w:sz="4" w:space="0" w:color="auto"/>
              <w:right w:val="nil"/>
            </w:tcBorders>
            <w:shd w:val="clear" w:color="auto" w:fill="auto"/>
            <w:noWrap/>
            <w:vAlign w:val="bottom"/>
            <w:hideMark/>
          </w:tcPr>
          <w:p w14:paraId="3BF6B682" w14:textId="77777777" w:rsidR="00A37DD6" w:rsidRPr="00E14060" w:rsidRDefault="00A37DD6" w:rsidP="00A37DD6">
            <w:pPr>
              <w:jc w:val="center"/>
              <w:rPr>
                <w:sz w:val="22"/>
                <w:szCs w:val="22"/>
                <w:lang w:val="en-GB"/>
              </w:rPr>
            </w:pPr>
          </w:p>
        </w:tc>
        <w:tc>
          <w:tcPr>
            <w:tcW w:w="2692" w:type="dxa"/>
            <w:tcBorders>
              <w:top w:val="single" w:sz="4" w:space="0" w:color="auto"/>
              <w:left w:val="nil"/>
              <w:bottom w:val="single" w:sz="4" w:space="0" w:color="auto"/>
              <w:right w:val="nil"/>
            </w:tcBorders>
            <w:shd w:val="clear" w:color="auto" w:fill="auto"/>
            <w:noWrap/>
            <w:vAlign w:val="bottom"/>
            <w:hideMark/>
          </w:tcPr>
          <w:p w14:paraId="02C46030" w14:textId="77777777" w:rsidR="00A37DD6" w:rsidRPr="00E14060" w:rsidRDefault="00A37DD6" w:rsidP="00A37DD6">
            <w:pPr>
              <w:rPr>
                <w:sz w:val="22"/>
                <w:szCs w:val="22"/>
                <w:lang w:val="en-GB"/>
              </w:rPr>
            </w:pPr>
          </w:p>
        </w:tc>
        <w:tc>
          <w:tcPr>
            <w:tcW w:w="2368" w:type="dxa"/>
            <w:tcBorders>
              <w:top w:val="nil"/>
              <w:left w:val="nil"/>
              <w:bottom w:val="nil"/>
              <w:right w:val="nil"/>
            </w:tcBorders>
            <w:shd w:val="clear" w:color="auto" w:fill="auto"/>
            <w:noWrap/>
            <w:vAlign w:val="bottom"/>
            <w:hideMark/>
          </w:tcPr>
          <w:p w14:paraId="42AAC570" w14:textId="77777777" w:rsidR="00A37DD6" w:rsidRPr="00E14060" w:rsidRDefault="00A37DD6" w:rsidP="00A37DD6">
            <w:pPr>
              <w:rPr>
                <w:sz w:val="22"/>
                <w:szCs w:val="22"/>
                <w:lang w:val="en-GB"/>
              </w:rPr>
            </w:pPr>
          </w:p>
        </w:tc>
      </w:tr>
      <w:tr w:rsidR="00F13389" w:rsidRPr="00E14060" w14:paraId="4EE5F67F" w14:textId="77777777" w:rsidTr="00A73A4C">
        <w:trPr>
          <w:trHeight w:val="870"/>
        </w:trPr>
        <w:tc>
          <w:tcPr>
            <w:tcW w:w="222" w:type="dxa"/>
            <w:tcBorders>
              <w:top w:val="nil"/>
              <w:left w:val="nil"/>
              <w:bottom w:val="nil"/>
              <w:right w:val="nil"/>
            </w:tcBorders>
            <w:shd w:val="clear" w:color="auto" w:fill="auto"/>
            <w:noWrap/>
            <w:vAlign w:val="bottom"/>
            <w:hideMark/>
          </w:tcPr>
          <w:p w14:paraId="41CCE6D7" w14:textId="77777777" w:rsidR="00F13389" w:rsidRPr="00E14060" w:rsidRDefault="00F13389" w:rsidP="00A37DD6">
            <w:pPr>
              <w:rPr>
                <w:sz w:val="22"/>
                <w:szCs w:val="22"/>
                <w:lang w:val="en-GB"/>
              </w:rPr>
            </w:pPr>
          </w:p>
        </w:tc>
        <w:tc>
          <w:tcPr>
            <w:tcW w:w="1301" w:type="dxa"/>
            <w:tcBorders>
              <w:top w:val="single" w:sz="4" w:space="0" w:color="auto"/>
              <w:left w:val="nil"/>
              <w:bottom w:val="nil"/>
              <w:right w:val="nil"/>
            </w:tcBorders>
            <w:shd w:val="clear" w:color="auto" w:fill="auto"/>
            <w:noWrap/>
            <w:vAlign w:val="bottom"/>
            <w:hideMark/>
          </w:tcPr>
          <w:p w14:paraId="6CC08DE2" w14:textId="77777777" w:rsidR="00F13389" w:rsidRPr="00E14060" w:rsidRDefault="00F13389" w:rsidP="00A37DD6">
            <w:pPr>
              <w:rPr>
                <w:sz w:val="22"/>
                <w:szCs w:val="22"/>
                <w:lang w:val="en-GB"/>
              </w:rPr>
            </w:pPr>
            <w:r w:rsidRPr="00E14060">
              <w:rPr>
                <w:sz w:val="22"/>
                <w:szCs w:val="22"/>
                <w:lang w:val="en-GB"/>
              </w:rPr>
              <w:t> </w:t>
            </w:r>
          </w:p>
        </w:tc>
        <w:tc>
          <w:tcPr>
            <w:tcW w:w="271" w:type="dxa"/>
            <w:tcBorders>
              <w:top w:val="single" w:sz="4" w:space="0" w:color="auto"/>
              <w:left w:val="nil"/>
              <w:bottom w:val="nil"/>
              <w:right w:val="nil"/>
            </w:tcBorders>
            <w:shd w:val="clear" w:color="auto" w:fill="auto"/>
            <w:noWrap/>
            <w:vAlign w:val="bottom"/>
            <w:hideMark/>
          </w:tcPr>
          <w:p w14:paraId="321017C1" w14:textId="77777777" w:rsidR="00F13389" w:rsidRPr="00E14060" w:rsidRDefault="00F13389" w:rsidP="00A37DD6">
            <w:pPr>
              <w:rPr>
                <w:sz w:val="22"/>
                <w:szCs w:val="22"/>
                <w:lang w:val="en-GB"/>
              </w:rPr>
            </w:pPr>
            <w:r w:rsidRPr="00E14060">
              <w:rPr>
                <w:sz w:val="22"/>
                <w:szCs w:val="22"/>
                <w:lang w:val="en-GB"/>
              </w:rPr>
              <w:t> </w:t>
            </w:r>
          </w:p>
        </w:tc>
        <w:tc>
          <w:tcPr>
            <w:tcW w:w="1733" w:type="dxa"/>
            <w:tcBorders>
              <w:top w:val="single" w:sz="4" w:space="0" w:color="auto"/>
              <w:left w:val="nil"/>
              <w:bottom w:val="single" w:sz="4" w:space="0" w:color="auto"/>
              <w:right w:val="nil"/>
            </w:tcBorders>
            <w:shd w:val="clear" w:color="auto" w:fill="auto"/>
            <w:vAlign w:val="bottom"/>
            <w:hideMark/>
          </w:tcPr>
          <w:p w14:paraId="2E6C1C4F" w14:textId="77777777" w:rsidR="00F13389" w:rsidRPr="00E14060" w:rsidRDefault="00F13389" w:rsidP="00A37DD6">
            <w:pPr>
              <w:jc w:val="center"/>
              <w:rPr>
                <w:b/>
                <w:bCs/>
                <w:sz w:val="22"/>
                <w:szCs w:val="22"/>
                <w:lang w:val="en-GB"/>
              </w:rPr>
            </w:pPr>
            <w:r w:rsidRPr="00E14060">
              <w:rPr>
                <w:b/>
                <w:bCs/>
                <w:sz w:val="22"/>
                <w:szCs w:val="22"/>
                <w:lang w:val="en-GB"/>
              </w:rPr>
              <w:t>Relative risk of drug vs. placebo</w:t>
            </w:r>
          </w:p>
        </w:tc>
        <w:tc>
          <w:tcPr>
            <w:tcW w:w="2126" w:type="dxa"/>
            <w:tcBorders>
              <w:top w:val="single" w:sz="4" w:space="0" w:color="auto"/>
              <w:left w:val="nil"/>
              <w:bottom w:val="single" w:sz="4" w:space="0" w:color="auto"/>
              <w:right w:val="nil"/>
            </w:tcBorders>
            <w:shd w:val="clear" w:color="auto" w:fill="auto"/>
            <w:vAlign w:val="bottom"/>
            <w:hideMark/>
          </w:tcPr>
          <w:p w14:paraId="0486CA56" w14:textId="77777777" w:rsidR="00F13389" w:rsidRPr="00E14060" w:rsidRDefault="00F13389" w:rsidP="00A37DD6">
            <w:pPr>
              <w:jc w:val="center"/>
              <w:rPr>
                <w:b/>
                <w:bCs/>
                <w:sz w:val="22"/>
                <w:szCs w:val="22"/>
                <w:lang w:val="en-GB"/>
              </w:rPr>
            </w:pPr>
            <w:r w:rsidRPr="00E14060">
              <w:rPr>
                <w:b/>
                <w:bCs/>
                <w:sz w:val="22"/>
                <w:szCs w:val="22"/>
                <w:lang w:val="en-GB"/>
              </w:rPr>
              <w:t>95% Credible interval for relative risk</w:t>
            </w:r>
          </w:p>
        </w:tc>
        <w:tc>
          <w:tcPr>
            <w:tcW w:w="2692" w:type="dxa"/>
            <w:tcBorders>
              <w:top w:val="single" w:sz="4" w:space="0" w:color="auto"/>
              <w:left w:val="nil"/>
              <w:bottom w:val="single" w:sz="4" w:space="0" w:color="auto"/>
              <w:right w:val="nil"/>
            </w:tcBorders>
            <w:shd w:val="clear" w:color="auto" w:fill="auto"/>
            <w:vAlign w:val="bottom"/>
          </w:tcPr>
          <w:p w14:paraId="420CEB3B" w14:textId="77777777" w:rsidR="00FD69F7" w:rsidRPr="00E14060" w:rsidRDefault="00FD69F7" w:rsidP="00FD69F7">
            <w:pPr>
              <w:jc w:val="center"/>
              <w:rPr>
                <w:b/>
                <w:sz w:val="22"/>
                <w:szCs w:val="22"/>
                <w:lang w:val="en-GB"/>
              </w:rPr>
            </w:pPr>
            <w:r w:rsidRPr="00E14060">
              <w:rPr>
                <w:b/>
                <w:sz w:val="22"/>
                <w:szCs w:val="22"/>
                <w:lang w:val="en-GB"/>
              </w:rPr>
              <w:t>Response rate</w:t>
            </w:r>
          </w:p>
          <w:p w14:paraId="04A913CC" w14:textId="77777777" w:rsidR="00F13389" w:rsidRPr="00E14060" w:rsidRDefault="00F13389" w:rsidP="009401E4">
            <w:pPr>
              <w:jc w:val="center"/>
              <w:rPr>
                <w:b/>
                <w:bCs/>
                <w:sz w:val="22"/>
                <w:szCs w:val="22"/>
                <w:lang w:val="en-GB"/>
              </w:rPr>
            </w:pPr>
          </w:p>
        </w:tc>
        <w:tc>
          <w:tcPr>
            <w:tcW w:w="2368" w:type="dxa"/>
            <w:tcBorders>
              <w:top w:val="nil"/>
              <w:left w:val="nil"/>
              <w:bottom w:val="nil"/>
              <w:right w:val="nil"/>
            </w:tcBorders>
            <w:shd w:val="clear" w:color="auto" w:fill="auto"/>
            <w:vAlign w:val="bottom"/>
            <w:hideMark/>
          </w:tcPr>
          <w:p w14:paraId="65693905" w14:textId="77777777" w:rsidR="00F13389" w:rsidRPr="00E14060" w:rsidRDefault="00F13389" w:rsidP="00A37DD6">
            <w:pPr>
              <w:jc w:val="center"/>
              <w:rPr>
                <w:b/>
                <w:bCs/>
                <w:sz w:val="22"/>
                <w:szCs w:val="22"/>
                <w:lang w:val="en-GB"/>
              </w:rPr>
            </w:pPr>
            <w:r w:rsidRPr="00E14060">
              <w:rPr>
                <w:b/>
                <w:bCs/>
                <w:sz w:val="22"/>
                <w:szCs w:val="22"/>
                <w:lang w:val="en-GB"/>
              </w:rPr>
              <w:t xml:space="preserve">Placebo Risk </w:t>
            </w:r>
          </w:p>
          <w:p w14:paraId="10BD72B3" w14:textId="77777777" w:rsidR="00F13389" w:rsidRPr="00E14060" w:rsidRDefault="00F13389" w:rsidP="00A37DD6">
            <w:pPr>
              <w:jc w:val="center"/>
              <w:rPr>
                <w:b/>
                <w:bCs/>
                <w:sz w:val="22"/>
                <w:szCs w:val="22"/>
                <w:lang w:val="en-GB"/>
              </w:rPr>
            </w:pPr>
            <w:r w:rsidRPr="00E14060">
              <w:rPr>
                <w:b/>
                <w:bCs/>
                <w:sz w:val="22"/>
                <w:szCs w:val="22"/>
                <w:lang w:val="en-GB"/>
              </w:rPr>
              <w:t>(95% CI)</w:t>
            </w:r>
            <w:r w:rsidRPr="00E14060">
              <w:rPr>
                <w:rStyle w:val="FootnoteReference"/>
                <w:b/>
                <w:bCs/>
                <w:sz w:val="22"/>
                <w:szCs w:val="22"/>
                <w:lang w:val="en-GB"/>
              </w:rPr>
              <w:footnoteReference w:id="7"/>
            </w:r>
            <w:r w:rsidRPr="00E14060" w:rsidDel="001A78D0">
              <w:rPr>
                <w:b/>
                <w:bCs/>
                <w:sz w:val="22"/>
                <w:szCs w:val="22"/>
                <w:vertAlign w:val="superscript"/>
                <w:lang w:val="en-GB"/>
              </w:rPr>
              <w:t xml:space="preserve"> </w:t>
            </w:r>
          </w:p>
        </w:tc>
      </w:tr>
      <w:tr w:rsidR="00F85DC0" w:rsidRPr="00E14060" w14:paraId="6874AD61" w14:textId="77777777" w:rsidTr="00A73A4C">
        <w:trPr>
          <w:trHeight w:val="300"/>
        </w:trPr>
        <w:tc>
          <w:tcPr>
            <w:tcW w:w="222" w:type="dxa"/>
            <w:tcBorders>
              <w:top w:val="nil"/>
              <w:left w:val="nil"/>
              <w:bottom w:val="nil"/>
              <w:right w:val="nil"/>
            </w:tcBorders>
            <w:shd w:val="clear" w:color="auto" w:fill="auto"/>
            <w:noWrap/>
            <w:vAlign w:val="bottom"/>
            <w:hideMark/>
          </w:tcPr>
          <w:p w14:paraId="672E4C30" w14:textId="77777777" w:rsidR="00F85DC0" w:rsidRPr="00E14060" w:rsidRDefault="00F85DC0" w:rsidP="00A37DD6">
            <w:pPr>
              <w:rPr>
                <w:sz w:val="22"/>
                <w:szCs w:val="22"/>
                <w:lang w:val="en-GB"/>
              </w:rPr>
            </w:pPr>
          </w:p>
        </w:tc>
        <w:tc>
          <w:tcPr>
            <w:tcW w:w="1301" w:type="dxa"/>
            <w:tcBorders>
              <w:top w:val="nil"/>
              <w:left w:val="nil"/>
              <w:bottom w:val="nil"/>
              <w:right w:val="nil"/>
            </w:tcBorders>
            <w:shd w:val="clear" w:color="auto" w:fill="auto"/>
            <w:noWrap/>
            <w:vAlign w:val="bottom"/>
            <w:hideMark/>
          </w:tcPr>
          <w:p w14:paraId="762DB669" w14:textId="77777777" w:rsidR="00F85DC0" w:rsidRPr="00E14060" w:rsidRDefault="00F85DC0" w:rsidP="00A37DD6">
            <w:pPr>
              <w:rPr>
                <w:b/>
                <w:bCs/>
                <w:sz w:val="22"/>
                <w:szCs w:val="22"/>
                <w:lang w:val="en-GB"/>
              </w:rPr>
            </w:pPr>
            <w:r w:rsidRPr="00E14060">
              <w:rPr>
                <w:b/>
                <w:bCs/>
                <w:sz w:val="22"/>
                <w:szCs w:val="22"/>
                <w:lang w:val="en-GB"/>
              </w:rPr>
              <w:t>LDX</w:t>
            </w:r>
          </w:p>
        </w:tc>
        <w:tc>
          <w:tcPr>
            <w:tcW w:w="271" w:type="dxa"/>
            <w:tcBorders>
              <w:top w:val="nil"/>
              <w:left w:val="nil"/>
              <w:bottom w:val="nil"/>
              <w:right w:val="nil"/>
            </w:tcBorders>
            <w:shd w:val="clear" w:color="auto" w:fill="auto"/>
            <w:noWrap/>
            <w:vAlign w:val="bottom"/>
            <w:hideMark/>
          </w:tcPr>
          <w:p w14:paraId="52BBC657" w14:textId="77777777" w:rsidR="00F85DC0" w:rsidRPr="00E14060" w:rsidRDefault="00F85DC0" w:rsidP="00A37DD6">
            <w:pPr>
              <w:rPr>
                <w:sz w:val="22"/>
                <w:szCs w:val="22"/>
                <w:lang w:val="en-GB"/>
              </w:rPr>
            </w:pPr>
          </w:p>
        </w:tc>
        <w:tc>
          <w:tcPr>
            <w:tcW w:w="1733" w:type="dxa"/>
            <w:tcBorders>
              <w:top w:val="nil"/>
              <w:left w:val="nil"/>
              <w:bottom w:val="nil"/>
              <w:right w:val="nil"/>
            </w:tcBorders>
            <w:shd w:val="clear" w:color="auto" w:fill="auto"/>
            <w:noWrap/>
            <w:vAlign w:val="bottom"/>
            <w:hideMark/>
          </w:tcPr>
          <w:p w14:paraId="08B4DC8A" w14:textId="77777777" w:rsidR="00F85DC0" w:rsidRPr="00E14060" w:rsidRDefault="00F85DC0" w:rsidP="00A37DD6">
            <w:pPr>
              <w:jc w:val="center"/>
              <w:rPr>
                <w:sz w:val="22"/>
                <w:szCs w:val="22"/>
                <w:lang w:val="en-GB"/>
              </w:rPr>
            </w:pPr>
            <w:r w:rsidRPr="00E14060">
              <w:rPr>
                <w:sz w:val="22"/>
                <w:szCs w:val="22"/>
                <w:lang w:val="en-GB"/>
              </w:rPr>
              <w:t>2.14</w:t>
            </w:r>
          </w:p>
        </w:tc>
        <w:tc>
          <w:tcPr>
            <w:tcW w:w="2126" w:type="dxa"/>
            <w:tcBorders>
              <w:top w:val="single" w:sz="4" w:space="0" w:color="auto"/>
              <w:left w:val="nil"/>
              <w:bottom w:val="nil"/>
              <w:right w:val="nil"/>
            </w:tcBorders>
            <w:shd w:val="clear" w:color="auto" w:fill="auto"/>
            <w:noWrap/>
            <w:vAlign w:val="bottom"/>
            <w:hideMark/>
          </w:tcPr>
          <w:p w14:paraId="1D7D40F3" w14:textId="77777777" w:rsidR="00F85DC0" w:rsidRPr="00E14060" w:rsidRDefault="00F85DC0" w:rsidP="00A37DD6">
            <w:pPr>
              <w:jc w:val="center"/>
              <w:rPr>
                <w:sz w:val="22"/>
                <w:szCs w:val="22"/>
                <w:lang w:val="en-GB"/>
              </w:rPr>
            </w:pPr>
            <w:r w:rsidRPr="00E14060">
              <w:rPr>
                <w:sz w:val="22"/>
                <w:szCs w:val="22"/>
                <w:lang w:val="en-GB"/>
              </w:rPr>
              <w:t>(1.71, 2.57)</w:t>
            </w:r>
          </w:p>
        </w:tc>
        <w:tc>
          <w:tcPr>
            <w:tcW w:w="2692" w:type="dxa"/>
            <w:tcBorders>
              <w:top w:val="single" w:sz="4" w:space="0" w:color="auto"/>
              <w:left w:val="nil"/>
              <w:bottom w:val="nil"/>
              <w:right w:val="nil"/>
            </w:tcBorders>
            <w:shd w:val="clear" w:color="auto" w:fill="auto"/>
            <w:noWrap/>
            <w:vAlign w:val="bottom"/>
          </w:tcPr>
          <w:p w14:paraId="69316133" w14:textId="77777777" w:rsidR="00F85DC0" w:rsidRPr="00E14060" w:rsidRDefault="00F85DC0" w:rsidP="003F26FD">
            <w:pPr>
              <w:jc w:val="center"/>
              <w:rPr>
                <w:sz w:val="22"/>
                <w:szCs w:val="22"/>
                <w:lang w:val="en-GB"/>
              </w:rPr>
            </w:pPr>
            <w:r w:rsidRPr="00E14060">
              <w:rPr>
                <w:sz w:val="22"/>
                <w:szCs w:val="22"/>
                <w:lang w:val="en-GB"/>
              </w:rPr>
              <w:t>0.66</w:t>
            </w:r>
          </w:p>
        </w:tc>
        <w:tc>
          <w:tcPr>
            <w:tcW w:w="2368" w:type="dxa"/>
            <w:tcBorders>
              <w:top w:val="nil"/>
              <w:left w:val="nil"/>
              <w:bottom w:val="nil"/>
              <w:right w:val="nil"/>
            </w:tcBorders>
            <w:shd w:val="clear" w:color="auto" w:fill="auto"/>
            <w:noWrap/>
            <w:vAlign w:val="bottom"/>
            <w:hideMark/>
          </w:tcPr>
          <w:p w14:paraId="266AC0D7" w14:textId="77777777" w:rsidR="00F85DC0" w:rsidRPr="00E14060" w:rsidRDefault="00F85DC0" w:rsidP="00A37DD6">
            <w:pPr>
              <w:jc w:val="center"/>
              <w:rPr>
                <w:sz w:val="22"/>
                <w:szCs w:val="22"/>
                <w:lang w:val="en-GB"/>
              </w:rPr>
            </w:pPr>
            <w:r w:rsidRPr="00E14060">
              <w:rPr>
                <w:sz w:val="22"/>
                <w:szCs w:val="22"/>
                <w:lang w:val="en-GB"/>
              </w:rPr>
              <w:t>0.3084</w:t>
            </w:r>
          </w:p>
        </w:tc>
      </w:tr>
      <w:tr w:rsidR="00F85DC0" w:rsidRPr="00E14060" w14:paraId="0AB5D027" w14:textId="77777777" w:rsidTr="00A73A4C">
        <w:trPr>
          <w:trHeight w:val="300"/>
        </w:trPr>
        <w:tc>
          <w:tcPr>
            <w:tcW w:w="222" w:type="dxa"/>
            <w:tcBorders>
              <w:top w:val="nil"/>
              <w:left w:val="nil"/>
              <w:bottom w:val="nil"/>
              <w:right w:val="nil"/>
            </w:tcBorders>
            <w:shd w:val="clear" w:color="auto" w:fill="auto"/>
            <w:noWrap/>
            <w:vAlign w:val="bottom"/>
            <w:hideMark/>
          </w:tcPr>
          <w:p w14:paraId="5F2C41B2" w14:textId="77777777" w:rsidR="00F85DC0" w:rsidRPr="00E14060" w:rsidRDefault="00F85DC0" w:rsidP="00A37DD6">
            <w:pPr>
              <w:rPr>
                <w:sz w:val="22"/>
                <w:szCs w:val="22"/>
                <w:lang w:val="en-GB"/>
              </w:rPr>
            </w:pPr>
          </w:p>
        </w:tc>
        <w:tc>
          <w:tcPr>
            <w:tcW w:w="1301" w:type="dxa"/>
            <w:tcBorders>
              <w:top w:val="nil"/>
              <w:left w:val="nil"/>
              <w:bottom w:val="nil"/>
              <w:right w:val="nil"/>
            </w:tcBorders>
            <w:shd w:val="clear" w:color="auto" w:fill="auto"/>
            <w:noWrap/>
            <w:vAlign w:val="bottom"/>
            <w:hideMark/>
          </w:tcPr>
          <w:p w14:paraId="3FE1333D" w14:textId="77777777" w:rsidR="00F85DC0" w:rsidRPr="00E14060" w:rsidRDefault="00F85DC0" w:rsidP="00A37DD6">
            <w:pPr>
              <w:rPr>
                <w:b/>
                <w:bCs/>
                <w:sz w:val="22"/>
                <w:szCs w:val="22"/>
                <w:lang w:val="en-GB"/>
              </w:rPr>
            </w:pPr>
            <w:r w:rsidRPr="00E14060">
              <w:rPr>
                <w:b/>
                <w:bCs/>
                <w:sz w:val="22"/>
                <w:szCs w:val="22"/>
                <w:lang w:val="en-GB"/>
              </w:rPr>
              <w:t>ATX</w:t>
            </w:r>
          </w:p>
        </w:tc>
        <w:tc>
          <w:tcPr>
            <w:tcW w:w="271" w:type="dxa"/>
            <w:tcBorders>
              <w:top w:val="nil"/>
              <w:left w:val="nil"/>
              <w:bottom w:val="nil"/>
              <w:right w:val="nil"/>
            </w:tcBorders>
            <w:shd w:val="clear" w:color="auto" w:fill="auto"/>
            <w:noWrap/>
            <w:vAlign w:val="bottom"/>
            <w:hideMark/>
          </w:tcPr>
          <w:p w14:paraId="3D778261" w14:textId="77777777" w:rsidR="00F85DC0" w:rsidRPr="00E14060" w:rsidRDefault="00F85DC0" w:rsidP="00A37DD6">
            <w:pPr>
              <w:rPr>
                <w:sz w:val="22"/>
                <w:szCs w:val="22"/>
                <w:lang w:val="en-GB"/>
              </w:rPr>
            </w:pPr>
          </w:p>
        </w:tc>
        <w:tc>
          <w:tcPr>
            <w:tcW w:w="1733" w:type="dxa"/>
            <w:tcBorders>
              <w:top w:val="nil"/>
              <w:left w:val="nil"/>
              <w:bottom w:val="nil"/>
              <w:right w:val="nil"/>
            </w:tcBorders>
            <w:shd w:val="clear" w:color="auto" w:fill="auto"/>
            <w:noWrap/>
            <w:vAlign w:val="bottom"/>
            <w:hideMark/>
          </w:tcPr>
          <w:p w14:paraId="2CD18733" w14:textId="77777777" w:rsidR="00F85DC0" w:rsidRPr="00E14060" w:rsidRDefault="00F85DC0" w:rsidP="00A37DD6">
            <w:pPr>
              <w:jc w:val="center"/>
              <w:rPr>
                <w:sz w:val="22"/>
                <w:szCs w:val="22"/>
                <w:lang w:val="en-GB"/>
              </w:rPr>
            </w:pPr>
            <w:r w:rsidRPr="00E14060">
              <w:rPr>
                <w:sz w:val="22"/>
                <w:szCs w:val="22"/>
                <w:lang w:val="en-GB"/>
              </w:rPr>
              <w:t>1.65</w:t>
            </w:r>
          </w:p>
        </w:tc>
        <w:tc>
          <w:tcPr>
            <w:tcW w:w="2126" w:type="dxa"/>
            <w:tcBorders>
              <w:top w:val="nil"/>
              <w:left w:val="nil"/>
              <w:bottom w:val="nil"/>
              <w:right w:val="nil"/>
            </w:tcBorders>
            <w:shd w:val="clear" w:color="auto" w:fill="auto"/>
            <w:noWrap/>
            <w:vAlign w:val="bottom"/>
            <w:hideMark/>
          </w:tcPr>
          <w:p w14:paraId="7D3C7FB2" w14:textId="77777777" w:rsidR="00F85DC0" w:rsidRPr="00E14060" w:rsidRDefault="00F85DC0" w:rsidP="00A37DD6">
            <w:pPr>
              <w:jc w:val="center"/>
              <w:rPr>
                <w:sz w:val="22"/>
                <w:szCs w:val="22"/>
                <w:lang w:val="en-GB"/>
              </w:rPr>
            </w:pPr>
            <w:r w:rsidRPr="00E14060">
              <w:rPr>
                <w:sz w:val="22"/>
                <w:szCs w:val="22"/>
                <w:lang w:val="en-GB"/>
              </w:rPr>
              <w:t>(1.00, 2.32)</w:t>
            </w:r>
          </w:p>
        </w:tc>
        <w:tc>
          <w:tcPr>
            <w:tcW w:w="2692" w:type="dxa"/>
            <w:tcBorders>
              <w:top w:val="nil"/>
              <w:left w:val="nil"/>
              <w:bottom w:val="nil"/>
              <w:right w:val="nil"/>
            </w:tcBorders>
            <w:shd w:val="clear" w:color="auto" w:fill="auto"/>
            <w:noWrap/>
            <w:vAlign w:val="bottom"/>
          </w:tcPr>
          <w:p w14:paraId="14FBDD82" w14:textId="77777777" w:rsidR="00F85DC0" w:rsidRPr="00E14060" w:rsidRDefault="00F85DC0" w:rsidP="00A37DD6">
            <w:pPr>
              <w:jc w:val="center"/>
              <w:rPr>
                <w:sz w:val="22"/>
                <w:szCs w:val="22"/>
                <w:lang w:val="en-GB"/>
              </w:rPr>
            </w:pPr>
            <w:r w:rsidRPr="00E14060">
              <w:rPr>
                <w:sz w:val="22"/>
                <w:szCs w:val="22"/>
                <w:lang w:val="en-GB"/>
              </w:rPr>
              <w:t>0.51</w:t>
            </w:r>
          </w:p>
        </w:tc>
        <w:tc>
          <w:tcPr>
            <w:tcW w:w="2368" w:type="dxa"/>
            <w:tcBorders>
              <w:top w:val="nil"/>
              <w:left w:val="nil"/>
              <w:bottom w:val="nil"/>
              <w:right w:val="nil"/>
            </w:tcBorders>
            <w:shd w:val="clear" w:color="auto" w:fill="auto"/>
            <w:noWrap/>
            <w:vAlign w:val="bottom"/>
            <w:hideMark/>
          </w:tcPr>
          <w:p w14:paraId="1D6D71DC" w14:textId="77777777" w:rsidR="00F85DC0" w:rsidRPr="00E14060" w:rsidRDefault="00F85DC0" w:rsidP="00A37DD6">
            <w:pPr>
              <w:jc w:val="center"/>
              <w:rPr>
                <w:sz w:val="22"/>
                <w:szCs w:val="22"/>
                <w:lang w:val="en-GB"/>
              </w:rPr>
            </w:pPr>
            <w:r w:rsidRPr="00E14060">
              <w:rPr>
                <w:sz w:val="22"/>
                <w:szCs w:val="22"/>
                <w:lang w:val="en-GB"/>
              </w:rPr>
              <w:t>(0.264, 0.353)</w:t>
            </w:r>
          </w:p>
        </w:tc>
      </w:tr>
      <w:tr w:rsidR="00F85DC0" w:rsidRPr="00E14060" w14:paraId="30EF8C62" w14:textId="77777777" w:rsidTr="00A73A4C">
        <w:trPr>
          <w:trHeight w:val="300"/>
        </w:trPr>
        <w:tc>
          <w:tcPr>
            <w:tcW w:w="222" w:type="dxa"/>
            <w:tcBorders>
              <w:top w:val="nil"/>
              <w:left w:val="nil"/>
              <w:bottom w:val="nil"/>
              <w:right w:val="nil"/>
            </w:tcBorders>
            <w:shd w:val="clear" w:color="auto" w:fill="auto"/>
            <w:noWrap/>
            <w:vAlign w:val="bottom"/>
            <w:hideMark/>
          </w:tcPr>
          <w:p w14:paraId="7BFF29BA" w14:textId="77777777" w:rsidR="00F85DC0" w:rsidRPr="00E14060" w:rsidRDefault="00F85DC0" w:rsidP="00A37DD6">
            <w:pPr>
              <w:rPr>
                <w:sz w:val="22"/>
                <w:szCs w:val="22"/>
                <w:lang w:val="en-GB"/>
              </w:rPr>
            </w:pPr>
          </w:p>
        </w:tc>
        <w:tc>
          <w:tcPr>
            <w:tcW w:w="1301" w:type="dxa"/>
            <w:tcBorders>
              <w:top w:val="nil"/>
              <w:left w:val="nil"/>
              <w:bottom w:val="single" w:sz="4" w:space="0" w:color="auto"/>
              <w:right w:val="nil"/>
            </w:tcBorders>
            <w:shd w:val="clear" w:color="auto" w:fill="auto"/>
            <w:noWrap/>
            <w:vAlign w:val="bottom"/>
            <w:hideMark/>
          </w:tcPr>
          <w:p w14:paraId="06F0C24E" w14:textId="77777777" w:rsidR="00F85DC0" w:rsidRPr="00E14060" w:rsidRDefault="00F85DC0" w:rsidP="00A37DD6">
            <w:pPr>
              <w:rPr>
                <w:b/>
                <w:bCs/>
                <w:sz w:val="22"/>
                <w:szCs w:val="22"/>
                <w:lang w:val="en-GB"/>
              </w:rPr>
            </w:pPr>
            <w:r w:rsidRPr="00E14060">
              <w:rPr>
                <w:b/>
                <w:bCs/>
                <w:sz w:val="22"/>
                <w:szCs w:val="22"/>
                <w:lang w:val="en-GB"/>
              </w:rPr>
              <w:t>MPH-ER</w:t>
            </w:r>
          </w:p>
        </w:tc>
        <w:tc>
          <w:tcPr>
            <w:tcW w:w="271" w:type="dxa"/>
            <w:tcBorders>
              <w:top w:val="nil"/>
              <w:left w:val="nil"/>
              <w:bottom w:val="single" w:sz="4" w:space="0" w:color="auto"/>
              <w:right w:val="nil"/>
            </w:tcBorders>
            <w:shd w:val="clear" w:color="auto" w:fill="auto"/>
            <w:noWrap/>
            <w:vAlign w:val="bottom"/>
            <w:hideMark/>
          </w:tcPr>
          <w:p w14:paraId="5D5AD605" w14:textId="77777777" w:rsidR="00F85DC0" w:rsidRPr="00E14060" w:rsidRDefault="00F85DC0" w:rsidP="00A37DD6">
            <w:pPr>
              <w:rPr>
                <w:sz w:val="22"/>
                <w:szCs w:val="22"/>
                <w:lang w:val="en-GB"/>
              </w:rPr>
            </w:pPr>
            <w:r w:rsidRPr="00E14060">
              <w:rPr>
                <w:sz w:val="22"/>
                <w:szCs w:val="22"/>
                <w:lang w:val="en-GB"/>
              </w:rPr>
              <w:t> </w:t>
            </w:r>
          </w:p>
        </w:tc>
        <w:tc>
          <w:tcPr>
            <w:tcW w:w="1733" w:type="dxa"/>
            <w:tcBorders>
              <w:top w:val="nil"/>
              <w:left w:val="nil"/>
              <w:bottom w:val="single" w:sz="4" w:space="0" w:color="auto"/>
              <w:right w:val="nil"/>
            </w:tcBorders>
            <w:shd w:val="clear" w:color="auto" w:fill="auto"/>
            <w:noWrap/>
            <w:vAlign w:val="bottom"/>
            <w:hideMark/>
          </w:tcPr>
          <w:p w14:paraId="00D153B0" w14:textId="77777777" w:rsidR="00F85DC0" w:rsidRPr="00E14060" w:rsidRDefault="00F85DC0" w:rsidP="00A37DD6">
            <w:pPr>
              <w:jc w:val="center"/>
              <w:rPr>
                <w:sz w:val="22"/>
                <w:szCs w:val="22"/>
                <w:lang w:val="en-GB"/>
              </w:rPr>
            </w:pPr>
            <w:r w:rsidRPr="00E14060">
              <w:rPr>
                <w:sz w:val="22"/>
                <w:szCs w:val="22"/>
                <w:lang w:val="en-GB"/>
              </w:rPr>
              <w:t>1.84</w:t>
            </w:r>
          </w:p>
        </w:tc>
        <w:tc>
          <w:tcPr>
            <w:tcW w:w="2126" w:type="dxa"/>
            <w:tcBorders>
              <w:top w:val="nil"/>
              <w:left w:val="nil"/>
              <w:bottom w:val="single" w:sz="4" w:space="0" w:color="auto"/>
              <w:right w:val="nil"/>
            </w:tcBorders>
            <w:shd w:val="clear" w:color="auto" w:fill="auto"/>
            <w:noWrap/>
            <w:vAlign w:val="bottom"/>
            <w:hideMark/>
          </w:tcPr>
          <w:p w14:paraId="7984408E" w14:textId="77777777" w:rsidR="00F85DC0" w:rsidRPr="00E14060" w:rsidRDefault="00F85DC0" w:rsidP="00A37DD6">
            <w:pPr>
              <w:jc w:val="center"/>
              <w:rPr>
                <w:sz w:val="22"/>
                <w:szCs w:val="22"/>
                <w:lang w:val="en-GB"/>
              </w:rPr>
            </w:pPr>
            <w:r w:rsidRPr="00E14060">
              <w:rPr>
                <w:sz w:val="22"/>
                <w:szCs w:val="22"/>
                <w:lang w:val="en-GB"/>
              </w:rPr>
              <w:t>(1.44, 2.23)</w:t>
            </w:r>
          </w:p>
        </w:tc>
        <w:tc>
          <w:tcPr>
            <w:tcW w:w="2692" w:type="dxa"/>
            <w:tcBorders>
              <w:top w:val="nil"/>
              <w:left w:val="nil"/>
              <w:bottom w:val="single" w:sz="4" w:space="0" w:color="auto"/>
              <w:right w:val="nil"/>
            </w:tcBorders>
            <w:shd w:val="clear" w:color="auto" w:fill="auto"/>
            <w:noWrap/>
            <w:vAlign w:val="bottom"/>
            <w:hideMark/>
          </w:tcPr>
          <w:p w14:paraId="61AD7B93" w14:textId="77777777" w:rsidR="00F85DC0" w:rsidRPr="00E14060" w:rsidRDefault="00F85DC0" w:rsidP="00A37DD6">
            <w:pPr>
              <w:jc w:val="center"/>
              <w:rPr>
                <w:sz w:val="22"/>
                <w:szCs w:val="22"/>
                <w:lang w:val="en-GB"/>
              </w:rPr>
            </w:pPr>
            <w:r w:rsidRPr="00E14060">
              <w:rPr>
                <w:sz w:val="22"/>
                <w:szCs w:val="22"/>
                <w:lang w:val="en-GB"/>
              </w:rPr>
              <w:t>0.57</w:t>
            </w:r>
          </w:p>
        </w:tc>
        <w:tc>
          <w:tcPr>
            <w:tcW w:w="2368" w:type="dxa"/>
            <w:tcBorders>
              <w:top w:val="nil"/>
              <w:left w:val="nil"/>
              <w:bottom w:val="nil"/>
              <w:right w:val="nil"/>
            </w:tcBorders>
            <w:shd w:val="clear" w:color="auto" w:fill="auto"/>
            <w:noWrap/>
            <w:vAlign w:val="bottom"/>
            <w:hideMark/>
          </w:tcPr>
          <w:p w14:paraId="576AA2AC" w14:textId="77777777" w:rsidR="00F85DC0" w:rsidRPr="00E14060" w:rsidRDefault="00F85DC0" w:rsidP="00A37DD6">
            <w:pPr>
              <w:jc w:val="center"/>
              <w:rPr>
                <w:sz w:val="22"/>
                <w:szCs w:val="22"/>
                <w:lang w:val="en-GB"/>
              </w:rPr>
            </w:pPr>
          </w:p>
        </w:tc>
      </w:tr>
    </w:tbl>
    <w:p w14:paraId="70E954A7" w14:textId="77777777" w:rsidR="006058B1" w:rsidRPr="00E14060" w:rsidRDefault="006058B1" w:rsidP="009375DF">
      <w:pPr>
        <w:rPr>
          <w:lang w:val="en-GB"/>
        </w:rPr>
      </w:pPr>
    </w:p>
    <w:p w14:paraId="42618EB1" w14:textId="77777777" w:rsidR="00A37DD6" w:rsidRPr="00E14060" w:rsidRDefault="00A37DD6" w:rsidP="009375DF">
      <w:pPr>
        <w:rPr>
          <w:lang w:val="en-GB"/>
        </w:rPr>
      </w:pPr>
      <w:r w:rsidRPr="00E14060">
        <w:rPr>
          <w:lang w:val="en-GB"/>
        </w:rPr>
        <w:br w:type="page"/>
      </w:r>
    </w:p>
    <w:tbl>
      <w:tblPr>
        <w:tblW w:w="10779" w:type="dxa"/>
        <w:tblInd w:w="108" w:type="dxa"/>
        <w:tblLook w:val="04A0" w:firstRow="1" w:lastRow="0" w:firstColumn="1" w:lastColumn="0" w:noHBand="0" w:noVBand="1"/>
      </w:tblPr>
      <w:tblGrid>
        <w:gridCol w:w="236"/>
        <w:gridCol w:w="1152"/>
        <w:gridCol w:w="271"/>
        <w:gridCol w:w="1917"/>
        <w:gridCol w:w="2340"/>
        <w:gridCol w:w="2464"/>
        <w:gridCol w:w="2399"/>
      </w:tblGrid>
      <w:tr w:rsidR="00A37DD6" w:rsidRPr="00E14060" w14:paraId="675F1120" w14:textId="77777777" w:rsidTr="005D5F3A">
        <w:trPr>
          <w:trHeight w:val="585"/>
        </w:trPr>
        <w:tc>
          <w:tcPr>
            <w:tcW w:w="10779" w:type="dxa"/>
            <w:gridSpan w:val="7"/>
            <w:tcBorders>
              <w:top w:val="nil"/>
              <w:left w:val="nil"/>
              <w:bottom w:val="nil"/>
              <w:right w:val="nil"/>
            </w:tcBorders>
            <w:shd w:val="clear" w:color="auto" w:fill="auto"/>
            <w:vAlign w:val="bottom"/>
            <w:hideMark/>
          </w:tcPr>
          <w:p w14:paraId="33ABF83D" w14:textId="77777777" w:rsidR="00A37DD6" w:rsidRPr="00E14060" w:rsidRDefault="00A37DD6" w:rsidP="00AE7A8B">
            <w:pPr>
              <w:jc w:val="center"/>
              <w:rPr>
                <w:b/>
                <w:bCs/>
                <w:sz w:val="22"/>
                <w:szCs w:val="22"/>
                <w:lang w:val="en-GB"/>
              </w:rPr>
            </w:pPr>
            <w:r w:rsidRPr="00E14060">
              <w:rPr>
                <w:b/>
                <w:bCs/>
                <w:sz w:val="22"/>
                <w:szCs w:val="22"/>
                <w:lang w:val="en-GB"/>
              </w:rPr>
              <w:lastRenderedPageBreak/>
              <w:t xml:space="preserve">Table </w:t>
            </w:r>
            <w:r w:rsidR="00AE7A8B" w:rsidRPr="00E14060">
              <w:rPr>
                <w:b/>
                <w:bCs/>
                <w:sz w:val="22"/>
                <w:szCs w:val="22"/>
                <w:lang w:val="en-GB"/>
              </w:rPr>
              <w:t>11</w:t>
            </w:r>
            <w:r w:rsidRPr="00E14060">
              <w:rPr>
                <w:b/>
                <w:bCs/>
                <w:sz w:val="22"/>
                <w:szCs w:val="22"/>
                <w:lang w:val="en-GB"/>
              </w:rPr>
              <w:t>. Odds ratios and relative risks for treatment response, as defined by a rating of 1 or 2 in CGI-I score (drug vs. placebo)</w:t>
            </w:r>
          </w:p>
        </w:tc>
      </w:tr>
      <w:tr w:rsidR="00A37DD6" w:rsidRPr="00E14060" w14:paraId="1CD9EFFC" w14:textId="77777777" w:rsidTr="005D5F3A">
        <w:trPr>
          <w:trHeight w:val="300"/>
        </w:trPr>
        <w:tc>
          <w:tcPr>
            <w:tcW w:w="10779" w:type="dxa"/>
            <w:gridSpan w:val="7"/>
            <w:tcBorders>
              <w:top w:val="nil"/>
              <w:left w:val="nil"/>
              <w:bottom w:val="nil"/>
              <w:right w:val="nil"/>
            </w:tcBorders>
            <w:shd w:val="clear" w:color="auto" w:fill="auto"/>
            <w:noWrap/>
            <w:vAlign w:val="bottom"/>
            <w:hideMark/>
          </w:tcPr>
          <w:p w14:paraId="4520F814" w14:textId="77777777" w:rsidR="00A37DD6" w:rsidRPr="00E14060" w:rsidRDefault="00A37DD6" w:rsidP="00A37DD6">
            <w:pPr>
              <w:jc w:val="center"/>
              <w:rPr>
                <w:b/>
                <w:bCs/>
                <w:sz w:val="22"/>
                <w:szCs w:val="22"/>
                <w:lang w:val="en-GB"/>
              </w:rPr>
            </w:pPr>
            <w:r w:rsidRPr="00E14060">
              <w:rPr>
                <w:b/>
                <w:bCs/>
                <w:sz w:val="22"/>
                <w:szCs w:val="22"/>
                <w:lang w:val="en-GB"/>
              </w:rPr>
              <w:t>Direct extrapolation method for ATX arm (random effects model, combined doses)</w:t>
            </w:r>
          </w:p>
        </w:tc>
      </w:tr>
      <w:tr w:rsidR="00A37DD6" w:rsidRPr="00E14060" w14:paraId="37E69D66" w14:textId="77777777" w:rsidTr="00A73A4C">
        <w:trPr>
          <w:trHeight w:val="300"/>
        </w:trPr>
        <w:tc>
          <w:tcPr>
            <w:tcW w:w="236" w:type="dxa"/>
            <w:tcBorders>
              <w:top w:val="nil"/>
              <w:left w:val="nil"/>
              <w:bottom w:val="nil"/>
              <w:right w:val="nil"/>
            </w:tcBorders>
            <w:shd w:val="clear" w:color="auto" w:fill="auto"/>
            <w:noWrap/>
            <w:vAlign w:val="bottom"/>
            <w:hideMark/>
          </w:tcPr>
          <w:p w14:paraId="6FD84C6B" w14:textId="77777777" w:rsidR="00A37DD6" w:rsidRPr="00E14060" w:rsidRDefault="00A37DD6" w:rsidP="00A37DD6">
            <w:pPr>
              <w:rPr>
                <w:sz w:val="22"/>
                <w:szCs w:val="22"/>
                <w:lang w:val="en-GB"/>
              </w:rPr>
            </w:pPr>
          </w:p>
        </w:tc>
        <w:tc>
          <w:tcPr>
            <w:tcW w:w="1152" w:type="dxa"/>
            <w:tcBorders>
              <w:top w:val="nil"/>
              <w:left w:val="nil"/>
              <w:bottom w:val="nil"/>
              <w:right w:val="nil"/>
            </w:tcBorders>
            <w:shd w:val="clear" w:color="auto" w:fill="auto"/>
            <w:noWrap/>
            <w:vAlign w:val="bottom"/>
            <w:hideMark/>
          </w:tcPr>
          <w:p w14:paraId="57F895B6" w14:textId="77777777" w:rsidR="00A37DD6" w:rsidRPr="00E14060" w:rsidRDefault="00A37DD6" w:rsidP="00A37DD6">
            <w:pPr>
              <w:rPr>
                <w:sz w:val="22"/>
                <w:szCs w:val="22"/>
                <w:lang w:val="en-GB"/>
              </w:rPr>
            </w:pPr>
          </w:p>
        </w:tc>
        <w:tc>
          <w:tcPr>
            <w:tcW w:w="271" w:type="dxa"/>
            <w:tcBorders>
              <w:top w:val="nil"/>
              <w:left w:val="nil"/>
              <w:bottom w:val="nil"/>
              <w:right w:val="nil"/>
            </w:tcBorders>
            <w:shd w:val="clear" w:color="auto" w:fill="auto"/>
            <w:noWrap/>
            <w:vAlign w:val="bottom"/>
            <w:hideMark/>
          </w:tcPr>
          <w:p w14:paraId="7694563C" w14:textId="77777777" w:rsidR="00A37DD6" w:rsidRPr="00E14060" w:rsidRDefault="00A37DD6" w:rsidP="00A37DD6">
            <w:pPr>
              <w:rPr>
                <w:sz w:val="22"/>
                <w:szCs w:val="22"/>
                <w:lang w:val="en-GB"/>
              </w:rPr>
            </w:pPr>
          </w:p>
        </w:tc>
        <w:tc>
          <w:tcPr>
            <w:tcW w:w="1917" w:type="dxa"/>
            <w:tcBorders>
              <w:top w:val="nil"/>
              <w:left w:val="nil"/>
              <w:bottom w:val="nil"/>
              <w:right w:val="nil"/>
            </w:tcBorders>
            <w:shd w:val="clear" w:color="auto" w:fill="auto"/>
            <w:noWrap/>
            <w:vAlign w:val="bottom"/>
            <w:hideMark/>
          </w:tcPr>
          <w:p w14:paraId="33BD23F3" w14:textId="77777777" w:rsidR="00A37DD6" w:rsidRPr="00E14060" w:rsidRDefault="00A37DD6" w:rsidP="00A37DD6">
            <w:pPr>
              <w:rPr>
                <w:sz w:val="22"/>
                <w:szCs w:val="22"/>
                <w:lang w:val="en-GB"/>
              </w:rPr>
            </w:pPr>
          </w:p>
        </w:tc>
        <w:tc>
          <w:tcPr>
            <w:tcW w:w="2340" w:type="dxa"/>
            <w:tcBorders>
              <w:top w:val="nil"/>
              <w:left w:val="nil"/>
              <w:bottom w:val="nil"/>
              <w:right w:val="nil"/>
            </w:tcBorders>
            <w:shd w:val="clear" w:color="auto" w:fill="auto"/>
            <w:noWrap/>
            <w:vAlign w:val="bottom"/>
            <w:hideMark/>
          </w:tcPr>
          <w:p w14:paraId="7A18E755" w14:textId="77777777" w:rsidR="00A37DD6" w:rsidRPr="00E14060" w:rsidRDefault="00A37DD6" w:rsidP="00A37DD6">
            <w:pPr>
              <w:rPr>
                <w:sz w:val="22"/>
                <w:szCs w:val="22"/>
                <w:lang w:val="en-GB"/>
              </w:rPr>
            </w:pPr>
          </w:p>
        </w:tc>
        <w:tc>
          <w:tcPr>
            <w:tcW w:w="2464" w:type="dxa"/>
            <w:tcBorders>
              <w:top w:val="nil"/>
              <w:left w:val="nil"/>
              <w:bottom w:val="nil"/>
              <w:right w:val="nil"/>
            </w:tcBorders>
            <w:shd w:val="clear" w:color="auto" w:fill="auto"/>
            <w:noWrap/>
            <w:vAlign w:val="bottom"/>
            <w:hideMark/>
          </w:tcPr>
          <w:p w14:paraId="286FA1B7" w14:textId="77777777" w:rsidR="00A37DD6" w:rsidRPr="00E14060" w:rsidRDefault="00A37DD6" w:rsidP="00A37DD6">
            <w:pPr>
              <w:rPr>
                <w:sz w:val="22"/>
                <w:szCs w:val="22"/>
                <w:lang w:val="en-GB"/>
              </w:rPr>
            </w:pPr>
          </w:p>
        </w:tc>
        <w:tc>
          <w:tcPr>
            <w:tcW w:w="2399" w:type="dxa"/>
            <w:tcBorders>
              <w:top w:val="nil"/>
              <w:left w:val="nil"/>
              <w:bottom w:val="nil"/>
              <w:right w:val="nil"/>
            </w:tcBorders>
            <w:shd w:val="clear" w:color="auto" w:fill="auto"/>
            <w:noWrap/>
            <w:vAlign w:val="bottom"/>
            <w:hideMark/>
          </w:tcPr>
          <w:p w14:paraId="5D9BAA71" w14:textId="77777777" w:rsidR="00A37DD6" w:rsidRPr="00E14060" w:rsidRDefault="00A37DD6" w:rsidP="00A37DD6">
            <w:pPr>
              <w:rPr>
                <w:sz w:val="22"/>
                <w:szCs w:val="22"/>
                <w:lang w:val="en-GB"/>
              </w:rPr>
            </w:pPr>
          </w:p>
        </w:tc>
      </w:tr>
      <w:tr w:rsidR="00A37DD6" w:rsidRPr="00E14060" w14:paraId="021E35E2" w14:textId="77777777" w:rsidTr="00A73A4C">
        <w:trPr>
          <w:trHeight w:val="870"/>
        </w:trPr>
        <w:tc>
          <w:tcPr>
            <w:tcW w:w="236" w:type="dxa"/>
            <w:tcBorders>
              <w:top w:val="nil"/>
              <w:left w:val="nil"/>
              <w:bottom w:val="nil"/>
              <w:right w:val="nil"/>
            </w:tcBorders>
            <w:shd w:val="clear" w:color="auto" w:fill="auto"/>
            <w:noWrap/>
            <w:vAlign w:val="bottom"/>
            <w:hideMark/>
          </w:tcPr>
          <w:p w14:paraId="25311E8F" w14:textId="77777777" w:rsidR="00A37DD6" w:rsidRPr="00E14060" w:rsidRDefault="00A37DD6" w:rsidP="00A37DD6">
            <w:pPr>
              <w:rPr>
                <w:sz w:val="22"/>
                <w:szCs w:val="22"/>
                <w:lang w:val="en-GB"/>
              </w:rPr>
            </w:pPr>
          </w:p>
        </w:tc>
        <w:tc>
          <w:tcPr>
            <w:tcW w:w="1152" w:type="dxa"/>
            <w:tcBorders>
              <w:top w:val="single" w:sz="4" w:space="0" w:color="auto"/>
              <w:left w:val="nil"/>
              <w:bottom w:val="nil"/>
              <w:right w:val="nil"/>
            </w:tcBorders>
            <w:shd w:val="clear" w:color="auto" w:fill="auto"/>
            <w:noWrap/>
            <w:vAlign w:val="bottom"/>
            <w:hideMark/>
          </w:tcPr>
          <w:p w14:paraId="686E18E2" w14:textId="77777777" w:rsidR="00A37DD6" w:rsidRPr="00E14060" w:rsidRDefault="00A37DD6" w:rsidP="00A37DD6">
            <w:pPr>
              <w:rPr>
                <w:sz w:val="22"/>
                <w:szCs w:val="22"/>
                <w:lang w:val="en-GB"/>
              </w:rPr>
            </w:pPr>
            <w:r w:rsidRPr="00E14060">
              <w:rPr>
                <w:sz w:val="22"/>
                <w:szCs w:val="22"/>
                <w:lang w:val="en-GB"/>
              </w:rPr>
              <w:t> </w:t>
            </w:r>
          </w:p>
        </w:tc>
        <w:tc>
          <w:tcPr>
            <w:tcW w:w="271" w:type="dxa"/>
            <w:tcBorders>
              <w:top w:val="single" w:sz="4" w:space="0" w:color="auto"/>
              <w:left w:val="nil"/>
              <w:bottom w:val="nil"/>
              <w:right w:val="nil"/>
            </w:tcBorders>
            <w:shd w:val="clear" w:color="auto" w:fill="auto"/>
            <w:noWrap/>
            <w:vAlign w:val="bottom"/>
            <w:hideMark/>
          </w:tcPr>
          <w:p w14:paraId="62BD7423" w14:textId="77777777" w:rsidR="00A37DD6" w:rsidRPr="00E14060" w:rsidRDefault="00A37DD6" w:rsidP="00A37DD6">
            <w:pPr>
              <w:rPr>
                <w:sz w:val="22"/>
                <w:szCs w:val="22"/>
                <w:lang w:val="en-GB"/>
              </w:rPr>
            </w:pPr>
            <w:r w:rsidRPr="00E14060">
              <w:rPr>
                <w:sz w:val="22"/>
                <w:szCs w:val="22"/>
                <w:lang w:val="en-GB"/>
              </w:rPr>
              <w:t> </w:t>
            </w:r>
          </w:p>
        </w:tc>
        <w:tc>
          <w:tcPr>
            <w:tcW w:w="1917" w:type="dxa"/>
            <w:tcBorders>
              <w:top w:val="single" w:sz="4" w:space="0" w:color="auto"/>
              <w:left w:val="nil"/>
              <w:bottom w:val="single" w:sz="4" w:space="0" w:color="auto"/>
              <w:right w:val="nil"/>
            </w:tcBorders>
            <w:shd w:val="clear" w:color="auto" w:fill="auto"/>
            <w:vAlign w:val="bottom"/>
            <w:hideMark/>
          </w:tcPr>
          <w:p w14:paraId="191D3AFC" w14:textId="77777777" w:rsidR="00A37DD6" w:rsidRPr="00E14060" w:rsidRDefault="00A37DD6" w:rsidP="00A37DD6">
            <w:pPr>
              <w:jc w:val="center"/>
              <w:rPr>
                <w:b/>
                <w:bCs/>
                <w:sz w:val="22"/>
                <w:szCs w:val="22"/>
                <w:lang w:val="en-GB"/>
              </w:rPr>
            </w:pPr>
            <w:r w:rsidRPr="00E14060">
              <w:rPr>
                <w:b/>
                <w:bCs/>
                <w:sz w:val="22"/>
                <w:szCs w:val="22"/>
                <w:lang w:val="en-GB"/>
              </w:rPr>
              <w:t>Odds Ratio</w:t>
            </w:r>
          </w:p>
        </w:tc>
        <w:tc>
          <w:tcPr>
            <w:tcW w:w="2340" w:type="dxa"/>
            <w:tcBorders>
              <w:top w:val="single" w:sz="4" w:space="0" w:color="auto"/>
              <w:left w:val="nil"/>
              <w:bottom w:val="single" w:sz="4" w:space="0" w:color="auto"/>
              <w:right w:val="nil"/>
            </w:tcBorders>
            <w:shd w:val="clear" w:color="auto" w:fill="auto"/>
            <w:vAlign w:val="bottom"/>
            <w:hideMark/>
          </w:tcPr>
          <w:p w14:paraId="116C87FA" w14:textId="77777777" w:rsidR="00A37DD6" w:rsidRPr="00E14060" w:rsidRDefault="00A37DD6" w:rsidP="00A37DD6">
            <w:pPr>
              <w:jc w:val="center"/>
              <w:rPr>
                <w:b/>
                <w:bCs/>
                <w:sz w:val="22"/>
                <w:szCs w:val="22"/>
                <w:lang w:val="en-GB"/>
              </w:rPr>
            </w:pPr>
            <w:r w:rsidRPr="00E14060">
              <w:rPr>
                <w:b/>
                <w:bCs/>
                <w:sz w:val="22"/>
                <w:szCs w:val="22"/>
                <w:lang w:val="en-GB"/>
              </w:rPr>
              <w:t>95% Credible Interval</w:t>
            </w:r>
          </w:p>
        </w:tc>
        <w:tc>
          <w:tcPr>
            <w:tcW w:w="2464" w:type="dxa"/>
            <w:tcBorders>
              <w:top w:val="single" w:sz="4" w:space="0" w:color="auto"/>
              <w:left w:val="nil"/>
              <w:bottom w:val="single" w:sz="4" w:space="0" w:color="auto"/>
              <w:right w:val="nil"/>
            </w:tcBorders>
            <w:shd w:val="clear" w:color="auto" w:fill="auto"/>
            <w:vAlign w:val="bottom"/>
            <w:hideMark/>
          </w:tcPr>
          <w:p w14:paraId="0BA93EAA" w14:textId="77777777" w:rsidR="00A37DD6" w:rsidRPr="00E14060" w:rsidRDefault="00A37DD6" w:rsidP="00A37DD6">
            <w:pPr>
              <w:jc w:val="center"/>
              <w:rPr>
                <w:b/>
                <w:bCs/>
                <w:sz w:val="22"/>
                <w:szCs w:val="22"/>
                <w:lang w:val="en-GB"/>
              </w:rPr>
            </w:pPr>
            <w:r w:rsidRPr="00E14060">
              <w:rPr>
                <w:b/>
                <w:bCs/>
                <w:sz w:val="22"/>
                <w:szCs w:val="22"/>
                <w:lang w:val="en-GB"/>
              </w:rPr>
              <w:t>Probability of the treatment being most effective among all</w:t>
            </w:r>
          </w:p>
        </w:tc>
        <w:tc>
          <w:tcPr>
            <w:tcW w:w="2399" w:type="dxa"/>
            <w:tcBorders>
              <w:top w:val="single" w:sz="4" w:space="0" w:color="auto"/>
              <w:left w:val="nil"/>
              <w:bottom w:val="single" w:sz="4" w:space="0" w:color="auto"/>
              <w:right w:val="nil"/>
            </w:tcBorders>
            <w:shd w:val="clear" w:color="auto" w:fill="auto"/>
            <w:vAlign w:val="bottom"/>
            <w:hideMark/>
          </w:tcPr>
          <w:p w14:paraId="76D5C61D" w14:textId="77777777" w:rsidR="00A37DD6" w:rsidRPr="00E14060" w:rsidRDefault="00A37DD6" w:rsidP="003168CE">
            <w:pPr>
              <w:jc w:val="center"/>
              <w:rPr>
                <w:b/>
                <w:bCs/>
                <w:sz w:val="22"/>
                <w:szCs w:val="22"/>
                <w:lang w:val="en-GB"/>
              </w:rPr>
            </w:pPr>
            <w:r w:rsidRPr="00E14060">
              <w:rPr>
                <w:b/>
                <w:bCs/>
                <w:sz w:val="22"/>
                <w:szCs w:val="22"/>
                <w:lang w:val="en-GB"/>
              </w:rPr>
              <w:t xml:space="preserve">Probability of LDX being more effective compared to </w:t>
            </w:r>
            <w:r w:rsidR="00686D80" w:rsidRPr="00E14060">
              <w:rPr>
                <w:b/>
                <w:bCs/>
                <w:sz w:val="22"/>
                <w:szCs w:val="22"/>
                <w:lang w:val="en-GB"/>
              </w:rPr>
              <w:t>each</w:t>
            </w:r>
            <w:r w:rsidRPr="00E14060">
              <w:rPr>
                <w:b/>
                <w:bCs/>
                <w:sz w:val="22"/>
                <w:szCs w:val="22"/>
                <w:lang w:val="en-GB"/>
              </w:rPr>
              <w:t xml:space="preserve"> treatment</w:t>
            </w:r>
          </w:p>
        </w:tc>
      </w:tr>
      <w:tr w:rsidR="00F876E9" w:rsidRPr="00E14060" w14:paraId="489556E6" w14:textId="77777777" w:rsidTr="00A73A4C">
        <w:trPr>
          <w:trHeight w:val="300"/>
        </w:trPr>
        <w:tc>
          <w:tcPr>
            <w:tcW w:w="236" w:type="dxa"/>
            <w:tcBorders>
              <w:top w:val="nil"/>
              <w:left w:val="nil"/>
              <w:bottom w:val="nil"/>
              <w:right w:val="nil"/>
            </w:tcBorders>
            <w:shd w:val="clear" w:color="auto" w:fill="auto"/>
            <w:noWrap/>
            <w:vAlign w:val="bottom"/>
            <w:hideMark/>
          </w:tcPr>
          <w:p w14:paraId="5C05CF94" w14:textId="77777777" w:rsidR="00F876E9" w:rsidRPr="00E14060" w:rsidRDefault="00F876E9" w:rsidP="00A37DD6">
            <w:pPr>
              <w:rPr>
                <w:sz w:val="22"/>
                <w:szCs w:val="22"/>
                <w:lang w:val="en-GB"/>
              </w:rPr>
            </w:pPr>
          </w:p>
        </w:tc>
        <w:tc>
          <w:tcPr>
            <w:tcW w:w="1152" w:type="dxa"/>
            <w:tcBorders>
              <w:top w:val="nil"/>
              <w:left w:val="nil"/>
              <w:bottom w:val="nil"/>
              <w:right w:val="nil"/>
            </w:tcBorders>
            <w:shd w:val="clear" w:color="auto" w:fill="auto"/>
            <w:noWrap/>
            <w:vAlign w:val="bottom"/>
            <w:hideMark/>
          </w:tcPr>
          <w:p w14:paraId="65F94E9C" w14:textId="77777777" w:rsidR="00F876E9" w:rsidRPr="00E14060" w:rsidRDefault="00F876E9" w:rsidP="00A37DD6">
            <w:pPr>
              <w:rPr>
                <w:b/>
                <w:bCs/>
                <w:sz w:val="22"/>
                <w:szCs w:val="22"/>
                <w:lang w:val="en-GB"/>
              </w:rPr>
            </w:pPr>
            <w:r w:rsidRPr="00E14060">
              <w:rPr>
                <w:b/>
                <w:bCs/>
                <w:sz w:val="22"/>
                <w:szCs w:val="22"/>
                <w:lang w:val="en-GB"/>
              </w:rPr>
              <w:t>LDX</w:t>
            </w:r>
          </w:p>
        </w:tc>
        <w:tc>
          <w:tcPr>
            <w:tcW w:w="271" w:type="dxa"/>
            <w:tcBorders>
              <w:top w:val="nil"/>
              <w:left w:val="nil"/>
              <w:bottom w:val="nil"/>
              <w:right w:val="nil"/>
            </w:tcBorders>
            <w:shd w:val="clear" w:color="auto" w:fill="auto"/>
            <w:noWrap/>
            <w:vAlign w:val="bottom"/>
            <w:hideMark/>
          </w:tcPr>
          <w:p w14:paraId="2849B275" w14:textId="77777777" w:rsidR="00F876E9" w:rsidRPr="00E14060" w:rsidRDefault="00F876E9" w:rsidP="00A37DD6">
            <w:pPr>
              <w:rPr>
                <w:b/>
                <w:bCs/>
                <w:sz w:val="22"/>
                <w:szCs w:val="22"/>
                <w:lang w:val="en-GB"/>
              </w:rPr>
            </w:pPr>
          </w:p>
        </w:tc>
        <w:tc>
          <w:tcPr>
            <w:tcW w:w="1917" w:type="dxa"/>
            <w:tcBorders>
              <w:top w:val="nil"/>
              <w:left w:val="nil"/>
              <w:bottom w:val="nil"/>
              <w:right w:val="nil"/>
            </w:tcBorders>
            <w:shd w:val="clear" w:color="auto" w:fill="auto"/>
            <w:noWrap/>
            <w:vAlign w:val="bottom"/>
            <w:hideMark/>
          </w:tcPr>
          <w:p w14:paraId="2E4FE8AE" w14:textId="77777777" w:rsidR="00F876E9" w:rsidRPr="00E14060" w:rsidRDefault="00F876E9" w:rsidP="00A37DD6">
            <w:pPr>
              <w:jc w:val="center"/>
              <w:rPr>
                <w:sz w:val="22"/>
                <w:szCs w:val="22"/>
                <w:lang w:val="en-GB"/>
              </w:rPr>
            </w:pPr>
            <w:r w:rsidRPr="00E14060">
              <w:rPr>
                <w:sz w:val="22"/>
                <w:szCs w:val="22"/>
                <w:lang w:val="en-GB"/>
              </w:rPr>
              <w:t>4.45</w:t>
            </w:r>
          </w:p>
        </w:tc>
        <w:tc>
          <w:tcPr>
            <w:tcW w:w="2340" w:type="dxa"/>
            <w:tcBorders>
              <w:top w:val="nil"/>
              <w:left w:val="nil"/>
              <w:bottom w:val="nil"/>
              <w:right w:val="nil"/>
            </w:tcBorders>
            <w:shd w:val="clear" w:color="auto" w:fill="auto"/>
            <w:noWrap/>
            <w:vAlign w:val="bottom"/>
            <w:hideMark/>
          </w:tcPr>
          <w:p w14:paraId="4A9E1B33" w14:textId="77777777" w:rsidR="00F876E9" w:rsidRPr="00E14060" w:rsidRDefault="00F876E9" w:rsidP="00A37DD6">
            <w:pPr>
              <w:jc w:val="center"/>
              <w:rPr>
                <w:sz w:val="22"/>
                <w:szCs w:val="22"/>
                <w:lang w:val="en-GB"/>
              </w:rPr>
            </w:pPr>
            <w:r w:rsidRPr="00E14060">
              <w:rPr>
                <w:sz w:val="22"/>
                <w:szCs w:val="22"/>
                <w:lang w:val="en-GB"/>
              </w:rPr>
              <w:t>(2.59, 7.74)</w:t>
            </w:r>
          </w:p>
        </w:tc>
        <w:tc>
          <w:tcPr>
            <w:tcW w:w="2464" w:type="dxa"/>
            <w:tcBorders>
              <w:top w:val="nil"/>
              <w:left w:val="nil"/>
              <w:bottom w:val="nil"/>
              <w:right w:val="nil"/>
            </w:tcBorders>
            <w:shd w:val="clear" w:color="auto" w:fill="auto"/>
            <w:noWrap/>
            <w:vAlign w:val="bottom"/>
            <w:hideMark/>
          </w:tcPr>
          <w:p w14:paraId="2E865203" w14:textId="77777777" w:rsidR="00F876E9" w:rsidRPr="00E14060" w:rsidRDefault="00F876E9" w:rsidP="00A37DD6">
            <w:pPr>
              <w:jc w:val="center"/>
              <w:rPr>
                <w:sz w:val="22"/>
                <w:szCs w:val="22"/>
                <w:lang w:val="en-GB"/>
              </w:rPr>
            </w:pPr>
            <w:r w:rsidRPr="00E14060">
              <w:rPr>
                <w:sz w:val="22"/>
                <w:szCs w:val="22"/>
                <w:lang w:val="en-GB"/>
              </w:rPr>
              <w:t>81.83%</w:t>
            </w:r>
          </w:p>
        </w:tc>
        <w:tc>
          <w:tcPr>
            <w:tcW w:w="2399" w:type="dxa"/>
            <w:tcBorders>
              <w:top w:val="nil"/>
              <w:left w:val="nil"/>
              <w:bottom w:val="nil"/>
              <w:right w:val="nil"/>
            </w:tcBorders>
            <w:shd w:val="clear" w:color="auto" w:fill="auto"/>
            <w:noWrap/>
            <w:vAlign w:val="bottom"/>
            <w:hideMark/>
          </w:tcPr>
          <w:p w14:paraId="720518CD" w14:textId="77777777" w:rsidR="00F876E9" w:rsidRPr="00E14060" w:rsidRDefault="00F876E9" w:rsidP="00A37DD6">
            <w:pPr>
              <w:jc w:val="center"/>
              <w:rPr>
                <w:sz w:val="22"/>
                <w:szCs w:val="22"/>
                <w:lang w:val="en-GB"/>
              </w:rPr>
            </w:pPr>
            <w:r w:rsidRPr="00E14060">
              <w:rPr>
                <w:sz w:val="22"/>
                <w:szCs w:val="22"/>
                <w:lang w:val="en-GB"/>
              </w:rPr>
              <w:t>--</w:t>
            </w:r>
          </w:p>
        </w:tc>
      </w:tr>
      <w:tr w:rsidR="005E492F" w:rsidRPr="00E14060" w14:paraId="6265A344" w14:textId="77777777" w:rsidTr="00A73A4C">
        <w:trPr>
          <w:trHeight w:val="300"/>
        </w:trPr>
        <w:tc>
          <w:tcPr>
            <w:tcW w:w="236" w:type="dxa"/>
            <w:tcBorders>
              <w:top w:val="nil"/>
              <w:left w:val="nil"/>
              <w:bottom w:val="nil"/>
              <w:right w:val="nil"/>
            </w:tcBorders>
            <w:shd w:val="clear" w:color="auto" w:fill="auto"/>
            <w:noWrap/>
            <w:vAlign w:val="bottom"/>
            <w:hideMark/>
          </w:tcPr>
          <w:p w14:paraId="24339B16" w14:textId="77777777" w:rsidR="005E492F" w:rsidRPr="00E14060" w:rsidRDefault="005E492F" w:rsidP="00A37DD6">
            <w:pPr>
              <w:rPr>
                <w:sz w:val="22"/>
                <w:szCs w:val="22"/>
                <w:lang w:val="en-GB"/>
              </w:rPr>
            </w:pPr>
          </w:p>
        </w:tc>
        <w:tc>
          <w:tcPr>
            <w:tcW w:w="1152" w:type="dxa"/>
            <w:tcBorders>
              <w:top w:val="nil"/>
              <w:left w:val="nil"/>
              <w:bottom w:val="nil"/>
              <w:right w:val="nil"/>
            </w:tcBorders>
            <w:shd w:val="clear" w:color="auto" w:fill="auto"/>
            <w:noWrap/>
            <w:vAlign w:val="bottom"/>
            <w:hideMark/>
          </w:tcPr>
          <w:p w14:paraId="6AD15330" w14:textId="77777777" w:rsidR="005E492F" w:rsidRPr="00E14060" w:rsidRDefault="005E492F" w:rsidP="00A37DD6">
            <w:pPr>
              <w:rPr>
                <w:b/>
                <w:bCs/>
                <w:sz w:val="22"/>
                <w:szCs w:val="22"/>
                <w:lang w:val="en-GB"/>
              </w:rPr>
            </w:pPr>
            <w:r w:rsidRPr="00E14060">
              <w:rPr>
                <w:b/>
                <w:bCs/>
                <w:sz w:val="22"/>
                <w:szCs w:val="22"/>
                <w:lang w:val="en-GB"/>
              </w:rPr>
              <w:t>ATX</w:t>
            </w:r>
          </w:p>
        </w:tc>
        <w:tc>
          <w:tcPr>
            <w:tcW w:w="271" w:type="dxa"/>
            <w:tcBorders>
              <w:top w:val="nil"/>
              <w:left w:val="nil"/>
              <w:bottom w:val="nil"/>
              <w:right w:val="nil"/>
            </w:tcBorders>
            <w:shd w:val="clear" w:color="auto" w:fill="auto"/>
            <w:noWrap/>
            <w:vAlign w:val="bottom"/>
            <w:hideMark/>
          </w:tcPr>
          <w:p w14:paraId="7B713B1D" w14:textId="77777777" w:rsidR="005E492F" w:rsidRPr="00E14060" w:rsidRDefault="005E492F" w:rsidP="00A37DD6">
            <w:pPr>
              <w:rPr>
                <w:b/>
                <w:bCs/>
                <w:sz w:val="22"/>
                <w:szCs w:val="22"/>
                <w:lang w:val="en-GB"/>
              </w:rPr>
            </w:pPr>
          </w:p>
        </w:tc>
        <w:tc>
          <w:tcPr>
            <w:tcW w:w="1917" w:type="dxa"/>
            <w:tcBorders>
              <w:top w:val="nil"/>
              <w:left w:val="nil"/>
              <w:bottom w:val="nil"/>
              <w:right w:val="nil"/>
            </w:tcBorders>
            <w:shd w:val="clear" w:color="auto" w:fill="auto"/>
            <w:noWrap/>
            <w:vAlign w:val="bottom"/>
            <w:hideMark/>
          </w:tcPr>
          <w:p w14:paraId="41F5D048" w14:textId="77777777" w:rsidR="005E492F" w:rsidRPr="00E14060" w:rsidRDefault="005E492F" w:rsidP="00A37DD6">
            <w:pPr>
              <w:jc w:val="center"/>
              <w:rPr>
                <w:sz w:val="22"/>
                <w:szCs w:val="22"/>
                <w:lang w:val="en-GB"/>
              </w:rPr>
            </w:pPr>
            <w:r w:rsidRPr="00E14060">
              <w:rPr>
                <w:sz w:val="22"/>
                <w:szCs w:val="22"/>
                <w:lang w:val="en-GB"/>
              </w:rPr>
              <w:t>2.37</w:t>
            </w:r>
          </w:p>
        </w:tc>
        <w:tc>
          <w:tcPr>
            <w:tcW w:w="2340" w:type="dxa"/>
            <w:tcBorders>
              <w:top w:val="nil"/>
              <w:left w:val="nil"/>
              <w:bottom w:val="nil"/>
              <w:right w:val="nil"/>
            </w:tcBorders>
            <w:shd w:val="clear" w:color="auto" w:fill="auto"/>
            <w:noWrap/>
            <w:vAlign w:val="bottom"/>
            <w:hideMark/>
          </w:tcPr>
          <w:p w14:paraId="0E4420AB" w14:textId="77777777" w:rsidR="005E492F" w:rsidRPr="00E14060" w:rsidRDefault="005E492F" w:rsidP="00A37DD6">
            <w:pPr>
              <w:jc w:val="center"/>
              <w:rPr>
                <w:sz w:val="22"/>
                <w:szCs w:val="22"/>
                <w:lang w:val="en-GB"/>
              </w:rPr>
            </w:pPr>
            <w:r w:rsidRPr="00E14060">
              <w:rPr>
                <w:sz w:val="22"/>
                <w:szCs w:val="22"/>
                <w:lang w:val="en-GB"/>
              </w:rPr>
              <w:t>(1.01, 5.57)</w:t>
            </w:r>
          </w:p>
        </w:tc>
        <w:tc>
          <w:tcPr>
            <w:tcW w:w="2464" w:type="dxa"/>
            <w:tcBorders>
              <w:top w:val="nil"/>
              <w:left w:val="nil"/>
              <w:bottom w:val="nil"/>
              <w:right w:val="nil"/>
            </w:tcBorders>
            <w:shd w:val="clear" w:color="auto" w:fill="auto"/>
            <w:noWrap/>
            <w:vAlign w:val="bottom"/>
            <w:hideMark/>
          </w:tcPr>
          <w:p w14:paraId="66A5F0AC" w14:textId="77777777" w:rsidR="005E492F" w:rsidRPr="00E14060" w:rsidRDefault="005E492F" w:rsidP="00A37DD6">
            <w:pPr>
              <w:jc w:val="center"/>
              <w:rPr>
                <w:sz w:val="22"/>
                <w:szCs w:val="22"/>
                <w:lang w:val="en-GB"/>
              </w:rPr>
            </w:pPr>
            <w:r w:rsidRPr="00E14060">
              <w:rPr>
                <w:sz w:val="22"/>
                <w:szCs w:val="22"/>
                <w:lang w:val="en-GB"/>
              </w:rPr>
              <w:t>8.59%</w:t>
            </w:r>
          </w:p>
        </w:tc>
        <w:tc>
          <w:tcPr>
            <w:tcW w:w="2399" w:type="dxa"/>
            <w:tcBorders>
              <w:top w:val="nil"/>
              <w:left w:val="nil"/>
              <w:bottom w:val="nil"/>
              <w:right w:val="nil"/>
            </w:tcBorders>
            <w:shd w:val="clear" w:color="auto" w:fill="auto"/>
            <w:noWrap/>
            <w:vAlign w:val="bottom"/>
            <w:hideMark/>
          </w:tcPr>
          <w:p w14:paraId="070EEB4D" w14:textId="77777777" w:rsidR="005E492F" w:rsidRPr="00E14060" w:rsidRDefault="005E492F" w:rsidP="00A37DD6">
            <w:pPr>
              <w:jc w:val="center"/>
              <w:rPr>
                <w:sz w:val="22"/>
                <w:szCs w:val="22"/>
                <w:lang w:val="en-GB"/>
              </w:rPr>
            </w:pPr>
            <w:r w:rsidRPr="00E14060">
              <w:rPr>
                <w:sz w:val="22"/>
                <w:szCs w:val="22"/>
                <w:lang w:val="en-GB"/>
              </w:rPr>
              <w:t>89.88%</w:t>
            </w:r>
          </w:p>
        </w:tc>
      </w:tr>
      <w:tr w:rsidR="005E492F" w:rsidRPr="00E14060" w14:paraId="05F3E05B" w14:textId="77777777" w:rsidTr="00A73A4C">
        <w:trPr>
          <w:trHeight w:val="300"/>
        </w:trPr>
        <w:tc>
          <w:tcPr>
            <w:tcW w:w="236" w:type="dxa"/>
            <w:tcBorders>
              <w:top w:val="nil"/>
              <w:left w:val="nil"/>
              <w:bottom w:val="nil"/>
              <w:right w:val="nil"/>
            </w:tcBorders>
            <w:shd w:val="clear" w:color="auto" w:fill="auto"/>
            <w:noWrap/>
            <w:vAlign w:val="bottom"/>
            <w:hideMark/>
          </w:tcPr>
          <w:p w14:paraId="70354DAE" w14:textId="77777777" w:rsidR="005E492F" w:rsidRPr="00E14060" w:rsidRDefault="005E492F" w:rsidP="00A37DD6">
            <w:pPr>
              <w:rPr>
                <w:sz w:val="22"/>
                <w:szCs w:val="22"/>
                <w:lang w:val="en-GB"/>
              </w:rPr>
            </w:pPr>
          </w:p>
        </w:tc>
        <w:tc>
          <w:tcPr>
            <w:tcW w:w="1152" w:type="dxa"/>
            <w:tcBorders>
              <w:top w:val="nil"/>
              <w:left w:val="nil"/>
              <w:bottom w:val="single" w:sz="4" w:space="0" w:color="auto"/>
              <w:right w:val="nil"/>
            </w:tcBorders>
            <w:shd w:val="clear" w:color="auto" w:fill="auto"/>
            <w:noWrap/>
            <w:vAlign w:val="bottom"/>
            <w:hideMark/>
          </w:tcPr>
          <w:p w14:paraId="47F1EE38" w14:textId="77777777" w:rsidR="005E492F" w:rsidRPr="00E14060" w:rsidRDefault="005E492F" w:rsidP="00A37DD6">
            <w:pPr>
              <w:rPr>
                <w:b/>
                <w:bCs/>
                <w:sz w:val="22"/>
                <w:szCs w:val="22"/>
                <w:lang w:val="en-GB"/>
              </w:rPr>
            </w:pPr>
            <w:r w:rsidRPr="00E14060">
              <w:rPr>
                <w:b/>
                <w:bCs/>
                <w:sz w:val="22"/>
                <w:szCs w:val="22"/>
                <w:lang w:val="en-GB"/>
              </w:rPr>
              <w:t>MPH-ER</w:t>
            </w:r>
          </w:p>
        </w:tc>
        <w:tc>
          <w:tcPr>
            <w:tcW w:w="271" w:type="dxa"/>
            <w:tcBorders>
              <w:top w:val="nil"/>
              <w:left w:val="nil"/>
              <w:bottom w:val="single" w:sz="4" w:space="0" w:color="auto"/>
              <w:right w:val="nil"/>
            </w:tcBorders>
            <w:shd w:val="clear" w:color="auto" w:fill="auto"/>
            <w:noWrap/>
            <w:vAlign w:val="bottom"/>
            <w:hideMark/>
          </w:tcPr>
          <w:p w14:paraId="274CA44D" w14:textId="77777777" w:rsidR="005E492F" w:rsidRPr="00E14060" w:rsidRDefault="005E492F" w:rsidP="00A37DD6">
            <w:pPr>
              <w:rPr>
                <w:b/>
                <w:bCs/>
                <w:sz w:val="22"/>
                <w:szCs w:val="22"/>
                <w:lang w:val="en-GB"/>
              </w:rPr>
            </w:pPr>
            <w:r w:rsidRPr="00E14060">
              <w:rPr>
                <w:b/>
                <w:bCs/>
                <w:sz w:val="22"/>
                <w:szCs w:val="22"/>
                <w:lang w:val="en-GB"/>
              </w:rPr>
              <w:t> </w:t>
            </w:r>
          </w:p>
        </w:tc>
        <w:tc>
          <w:tcPr>
            <w:tcW w:w="1917" w:type="dxa"/>
            <w:tcBorders>
              <w:top w:val="nil"/>
              <w:left w:val="nil"/>
              <w:bottom w:val="single" w:sz="4" w:space="0" w:color="auto"/>
              <w:right w:val="nil"/>
            </w:tcBorders>
            <w:shd w:val="clear" w:color="auto" w:fill="auto"/>
            <w:noWrap/>
            <w:vAlign w:val="bottom"/>
            <w:hideMark/>
          </w:tcPr>
          <w:p w14:paraId="4247DC2A" w14:textId="77777777" w:rsidR="005E492F" w:rsidRPr="00E14060" w:rsidRDefault="005E492F" w:rsidP="00A37DD6">
            <w:pPr>
              <w:jc w:val="center"/>
              <w:rPr>
                <w:sz w:val="22"/>
                <w:szCs w:val="22"/>
                <w:lang w:val="en-GB"/>
              </w:rPr>
            </w:pPr>
            <w:r w:rsidRPr="00E14060">
              <w:rPr>
                <w:sz w:val="22"/>
                <w:szCs w:val="22"/>
                <w:lang w:val="en-GB"/>
              </w:rPr>
              <w:t>2.90</w:t>
            </w:r>
          </w:p>
        </w:tc>
        <w:tc>
          <w:tcPr>
            <w:tcW w:w="2340" w:type="dxa"/>
            <w:tcBorders>
              <w:top w:val="nil"/>
              <w:left w:val="nil"/>
              <w:bottom w:val="single" w:sz="4" w:space="0" w:color="auto"/>
              <w:right w:val="nil"/>
            </w:tcBorders>
            <w:shd w:val="clear" w:color="auto" w:fill="auto"/>
            <w:noWrap/>
            <w:vAlign w:val="bottom"/>
            <w:hideMark/>
          </w:tcPr>
          <w:p w14:paraId="59D607F4" w14:textId="77777777" w:rsidR="005E492F" w:rsidRPr="00E14060" w:rsidRDefault="005E492F" w:rsidP="00A37DD6">
            <w:pPr>
              <w:jc w:val="center"/>
              <w:rPr>
                <w:sz w:val="22"/>
                <w:szCs w:val="22"/>
                <w:lang w:val="en-GB"/>
              </w:rPr>
            </w:pPr>
            <w:r w:rsidRPr="00E14060">
              <w:rPr>
                <w:sz w:val="22"/>
                <w:szCs w:val="22"/>
                <w:lang w:val="en-GB"/>
              </w:rPr>
              <w:t>(1.83, 4.69)</w:t>
            </w:r>
          </w:p>
        </w:tc>
        <w:tc>
          <w:tcPr>
            <w:tcW w:w="2464" w:type="dxa"/>
            <w:tcBorders>
              <w:top w:val="nil"/>
              <w:left w:val="nil"/>
              <w:bottom w:val="single" w:sz="4" w:space="0" w:color="auto"/>
              <w:right w:val="nil"/>
            </w:tcBorders>
            <w:shd w:val="clear" w:color="auto" w:fill="auto"/>
            <w:noWrap/>
            <w:vAlign w:val="bottom"/>
            <w:hideMark/>
          </w:tcPr>
          <w:p w14:paraId="02FC0D89" w14:textId="77777777" w:rsidR="005E492F" w:rsidRPr="00E14060" w:rsidRDefault="005E492F" w:rsidP="00A37DD6">
            <w:pPr>
              <w:jc w:val="center"/>
              <w:rPr>
                <w:sz w:val="22"/>
                <w:szCs w:val="22"/>
                <w:lang w:val="en-GB"/>
              </w:rPr>
            </w:pPr>
            <w:r w:rsidRPr="00E14060">
              <w:rPr>
                <w:sz w:val="22"/>
                <w:szCs w:val="22"/>
                <w:lang w:val="en-GB"/>
              </w:rPr>
              <w:t>9.58%</w:t>
            </w:r>
          </w:p>
        </w:tc>
        <w:tc>
          <w:tcPr>
            <w:tcW w:w="2399" w:type="dxa"/>
            <w:tcBorders>
              <w:top w:val="nil"/>
              <w:left w:val="nil"/>
              <w:bottom w:val="single" w:sz="4" w:space="0" w:color="auto"/>
              <w:right w:val="nil"/>
            </w:tcBorders>
            <w:shd w:val="clear" w:color="auto" w:fill="auto"/>
            <w:noWrap/>
            <w:vAlign w:val="bottom"/>
            <w:hideMark/>
          </w:tcPr>
          <w:p w14:paraId="1A9FF7D8" w14:textId="77777777" w:rsidR="005E492F" w:rsidRPr="00E14060" w:rsidRDefault="005E492F" w:rsidP="00A37DD6">
            <w:pPr>
              <w:jc w:val="center"/>
              <w:rPr>
                <w:sz w:val="22"/>
                <w:szCs w:val="22"/>
                <w:lang w:val="en-GB"/>
              </w:rPr>
            </w:pPr>
            <w:r w:rsidRPr="00E14060">
              <w:rPr>
                <w:sz w:val="22"/>
                <w:szCs w:val="22"/>
                <w:lang w:val="en-GB"/>
              </w:rPr>
              <w:t>88.54%</w:t>
            </w:r>
          </w:p>
        </w:tc>
      </w:tr>
      <w:tr w:rsidR="00A37DD6" w:rsidRPr="00E14060" w14:paraId="619BF88E" w14:textId="77777777" w:rsidTr="00A73A4C">
        <w:trPr>
          <w:trHeight w:val="300"/>
        </w:trPr>
        <w:tc>
          <w:tcPr>
            <w:tcW w:w="236" w:type="dxa"/>
            <w:tcBorders>
              <w:top w:val="nil"/>
              <w:left w:val="nil"/>
              <w:bottom w:val="nil"/>
              <w:right w:val="nil"/>
            </w:tcBorders>
            <w:shd w:val="clear" w:color="auto" w:fill="auto"/>
            <w:noWrap/>
            <w:vAlign w:val="bottom"/>
            <w:hideMark/>
          </w:tcPr>
          <w:p w14:paraId="77F2C717" w14:textId="77777777" w:rsidR="00A37DD6" w:rsidRPr="00E14060" w:rsidRDefault="00A37DD6" w:rsidP="00A37DD6">
            <w:pPr>
              <w:rPr>
                <w:sz w:val="22"/>
                <w:szCs w:val="22"/>
                <w:lang w:val="en-GB"/>
              </w:rPr>
            </w:pPr>
          </w:p>
        </w:tc>
        <w:tc>
          <w:tcPr>
            <w:tcW w:w="1152" w:type="dxa"/>
            <w:tcBorders>
              <w:top w:val="nil"/>
              <w:left w:val="nil"/>
              <w:bottom w:val="nil"/>
              <w:right w:val="nil"/>
            </w:tcBorders>
            <w:shd w:val="clear" w:color="auto" w:fill="auto"/>
            <w:noWrap/>
            <w:vAlign w:val="bottom"/>
            <w:hideMark/>
          </w:tcPr>
          <w:p w14:paraId="37CCBADC" w14:textId="77777777" w:rsidR="00A37DD6" w:rsidRPr="00E14060" w:rsidRDefault="00A37DD6" w:rsidP="00A37DD6">
            <w:pPr>
              <w:rPr>
                <w:sz w:val="22"/>
                <w:szCs w:val="22"/>
                <w:lang w:val="en-GB"/>
              </w:rPr>
            </w:pPr>
          </w:p>
        </w:tc>
        <w:tc>
          <w:tcPr>
            <w:tcW w:w="271" w:type="dxa"/>
            <w:tcBorders>
              <w:top w:val="nil"/>
              <w:left w:val="nil"/>
              <w:bottom w:val="nil"/>
              <w:right w:val="nil"/>
            </w:tcBorders>
            <w:shd w:val="clear" w:color="auto" w:fill="auto"/>
            <w:noWrap/>
            <w:vAlign w:val="bottom"/>
            <w:hideMark/>
          </w:tcPr>
          <w:p w14:paraId="44296D5A" w14:textId="77777777" w:rsidR="00A37DD6" w:rsidRPr="00E14060" w:rsidRDefault="00A37DD6" w:rsidP="00A37DD6">
            <w:pPr>
              <w:rPr>
                <w:sz w:val="22"/>
                <w:szCs w:val="22"/>
                <w:lang w:val="en-GB"/>
              </w:rPr>
            </w:pPr>
          </w:p>
        </w:tc>
        <w:tc>
          <w:tcPr>
            <w:tcW w:w="1917" w:type="dxa"/>
            <w:tcBorders>
              <w:top w:val="nil"/>
              <w:left w:val="nil"/>
              <w:bottom w:val="nil"/>
              <w:right w:val="nil"/>
            </w:tcBorders>
            <w:shd w:val="clear" w:color="auto" w:fill="auto"/>
            <w:noWrap/>
            <w:vAlign w:val="bottom"/>
            <w:hideMark/>
          </w:tcPr>
          <w:p w14:paraId="0454F0F6" w14:textId="77777777" w:rsidR="00A37DD6" w:rsidRPr="00E14060" w:rsidRDefault="00A37DD6" w:rsidP="00A37DD6">
            <w:pPr>
              <w:rPr>
                <w:sz w:val="22"/>
                <w:szCs w:val="22"/>
                <w:lang w:val="en-GB"/>
              </w:rPr>
            </w:pPr>
          </w:p>
        </w:tc>
        <w:tc>
          <w:tcPr>
            <w:tcW w:w="2340" w:type="dxa"/>
            <w:tcBorders>
              <w:top w:val="nil"/>
              <w:left w:val="nil"/>
              <w:bottom w:val="single" w:sz="4" w:space="0" w:color="auto"/>
              <w:right w:val="nil"/>
            </w:tcBorders>
            <w:shd w:val="clear" w:color="auto" w:fill="auto"/>
            <w:noWrap/>
            <w:vAlign w:val="bottom"/>
            <w:hideMark/>
          </w:tcPr>
          <w:p w14:paraId="49ACC9FC" w14:textId="77777777" w:rsidR="00A37DD6" w:rsidRPr="00E14060" w:rsidRDefault="00A37DD6" w:rsidP="00A37DD6">
            <w:pPr>
              <w:jc w:val="center"/>
              <w:rPr>
                <w:sz w:val="22"/>
                <w:szCs w:val="22"/>
                <w:lang w:val="en-GB"/>
              </w:rPr>
            </w:pPr>
          </w:p>
        </w:tc>
        <w:tc>
          <w:tcPr>
            <w:tcW w:w="2464" w:type="dxa"/>
            <w:tcBorders>
              <w:top w:val="nil"/>
              <w:left w:val="nil"/>
              <w:bottom w:val="single" w:sz="4" w:space="0" w:color="auto"/>
              <w:right w:val="nil"/>
            </w:tcBorders>
            <w:shd w:val="clear" w:color="auto" w:fill="auto"/>
            <w:noWrap/>
            <w:vAlign w:val="bottom"/>
            <w:hideMark/>
          </w:tcPr>
          <w:p w14:paraId="04CDA05E" w14:textId="77777777" w:rsidR="00A37DD6" w:rsidRPr="00E14060" w:rsidRDefault="00A37DD6" w:rsidP="00A37DD6">
            <w:pPr>
              <w:rPr>
                <w:sz w:val="22"/>
                <w:szCs w:val="22"/>
                <w:lang w:val="en-GB"/>
              </w:rPr>
            </w:pPr>
          </w:p>
        </w:tc>
        <w:tc>
          <w:tcPr>
            <w:tcW w:w="2399" w:type="dxa"/>
            <w:tcBorders>
              <w:top w:val="nil"/>
              <w:left w:val="nil"/>
              <w:bottom w:val="nil"/>
              <w:right w:val="nil"/>
            </w:tcBorders>
            <w:shd w:val="clear" w:color="auto" w:fill="auto"/>
            <w:noWrap/>
            <w:vAlign w:val="bottom"/>
            <w:hideMark/>
          </w:tcPr>
          <w:p w14:paraId="5F8DE520" w14:textId="77777777" w:rsidR="00A37DD6" w:rsidRPr="00E14060" w:rsidRDefault="00A37DD6" w:rsidP="00A37DD6">
            <w:pPr>
              <w:rPr>
                <w:sz w:val="22"/>
                <w:szCs w:val="22"/>
                <w:lang w:val="en-GB"/>
              </w:rPr>
            </w:pPr>
          </w:p>
        </w:tc>
      </w:tr>
      <w:tr w:rsidR="005D5F3A" w:rsidRPr="00E14060" w14:paraId="6CAD3FCF" w14:textId="77777777" w:rsidTr="00A73A4C">
        <w:trPr>
          <w:trHeight w:val="585"/>
        </w:trPr>
        <w:tc>
          <w:tcPr>
            <w:tcW w:w="236" w:type="dxa"/>
            <w:tcBorders>
              <w:top w:val="nil"/>
              <w:left w:val="nil"/>
              <w:bottom w:val="nil"/>
              <w:right w:val="nil"/>
            </w:tcBorders>
            <w:shd w:val="clear" w:color="auto" w:fill="auto"/>
            <w:noWrap/>
            <w:vAlign w:val="bottom"/>
            <w:hideMark/>
          </w:tcPr>
          <w:p w14:paraId="379B4A0F" w14:textId="77777777" w:rsidR="005D5F3A" w:rsidRPr="00E14060" w:rsidRDefault="005D5F3A" w:rsidP="00A37DD6">
            <w:pPr>
              <w:rPr>
                <w:sz w:val="22"/>
                <w:szCs w:val="22"/>
                <w:lang w:val="en-GB"/>
              </w:rPr>
            </w:pPr>
          </w:p>
        </w:tc>
        <w:tc>
          <w:tcPr>
            <w:tcW w:w="1152" w:type="dxa"/>
            <w:tcBorders>
              <w:top w:val="single" w:sz="4" w:space="0" w:color="auto"/>
              <w:left w:val="nil"/>
              <w:bottom w:val="nil"/>
              <w:right w:val="nil"/>
            </w:tcBorders>
            <w:shd w:val="clear" w:color="auto" w:fill="auto"/>
            <w:noWrap/>
            <w:vAlign w:val="bottom"/>
            <w:hideMark/>
          </w:tcPr>
          <w:p w14:paraId="5B74FF8F" w14:textId="77777777" w:rsidR="005D5F3A" w:rsidRPr="00E14060" w:rsidRDefault="005D5F3A" w:rsidP="00A37DD6">
            <w:pPr>
              <w:rPr>
                <w:sz w:val="22"/>
                <w:szCs w:val="22"/>
                <w:lang w:val="en-GB"/>
              </w:rPr>
            </w:pPr>
            <w:r w:rsidRPr="00E14060">
              <w:rPr>
                <w:sz w:val="22"/>
                <w:szCs w:val="22"/>
                <w:lang w:val="en-GB"/>
              </w:rPr>
              <w:t> </w:t>
            </w:r>
          </w:p>
        </w:tc>
        <w:tc>
          <w:tcPr>
            <w:tcW w:w="271" w:type="dxa"/>
            <w:tcBorders>
              <w:top w:val="single" w:sz="4" w:space="0" w:color="auto"/>
              <w:left w:val="nil"/>
              <w:bottom w:val="nil"/>
              <w:right w:val="nil"/>
            </w:tcBorders>
            <w:shd w:val="clear" w:color="auto" w:fill="auto"/>
            <w:noWrap/>
            <w:vAlign w:val="bottom"/>
            <w:hideMark/>
          </w:tcPr>
          <w:p w14:paraId="327CF02F" w14:textId="77777777" w:rsidR="005D5F3A" w:rsidRPr="00E14060" w:rsidRDefault="005D5F3A" w:rsidP="00A37DD6">
            <w:pPr>
              <w:rPr>
                <w:sz w:val="22"/>
                <w:szCs w:val="22"/>
                <w:lang w:val="en-GB"/>
              </w:rPr>
            </w:pPr>
            <w:r w:rsidRPr="00E14060">
              <w:rPr>
                <w:sz w:val="22"/>
                <w:szCs w:val="22"/>
                <w:lang w:val="en-GB"/>
              </w:rPr>
              <w:t> </w:t>
            </w:r>
          </w:p>
        </w:tc>
        <w:tc>
          <w:tcPr>
            <w:tcW w:w="1917" w:type="dxa"/>
            <w:tcBorders>
              <w:top w:val="single" w:sz="4" w:space="0" w:color="auto"/>
              <w:left w:val="nil"/>
              <w:bottom w:val="single" w:sz="4" w:space="0" w:color="auto"/>
              <w:right w:val="nil"/>
            </w:tcBorders>
            <w:shd w:val="clear" w:color="auto" w:fill="auto"/>
            <w:vAlign w:val="bottom"/>
            <w:hideMark/>
          </w:tcPr>
          <w:p w14:paraId="7E170FBD" w14:textId="77777777" w:rsidR="005D5F3A" w:rsidRPr="00E14060" w:rsidRDefault="005D5F3A" w:rsidP="00A37DD6">
            <w:pPr>
              <w:jc w:val="center"/>
              <w:rPr>
                <w:b/>
                <w:bCs/>
                <w:sz w:val="22"/>
                <w:szCs w:val="22"/>
                <w:lang w:val="en-GB"/>
              </w:rPr>
            </w:pPr>
            <w:r w:rsidRPr="00E14060">
              <w:rPr>
                <w:b/>
                <w:bCs/>
                <w:sz w:val="22"/>
                <w:szCs w:val="22"/>
                <w:lang w:val="en-GB"/>
              </w:rPr>
              <w:t>Relative risk of drug vs. placebo</w:t>
            </w:r>
          </w:p>
        </w:tc>
        <w:tc>
          <w:tcPr>
            <w:tcW w:w="2340" w:type="dxa"/>
            <w:tcBorders>
              <w:top w:val="single" w:sz="4" w:space="0" w:color="auto"/>
              <w:left w:val="nil"/>
              <w:bottom w:val="single" w:sz="4" w:space="0" w:color="auto"/>
              <w:right w:val="nil"/>
            </w:tcBorders>
            <w:shd w:val="clear" w:color="auto" w:fill="auto"/>
            <w:vAlign w:val="bottom"/>
            <w:hideMark/>
          </w:tcPr>
          <w:p w14:paraId="55C3CF9A" w14:textId="77777777" w:rsidR="005D5F3A" w:rsidRPr="00E14060" w:rsidRDefault="005D5F3A" w:rsidP="00A37DD6">
            <w:pPr>
              <w:jc w:val="center"/>
              <w:rPr>
                <w:b/>
                <w:bCs/>
                <w:sz w:val="22"/>
                <w:szCs w:val="22"/>
                <w:lang w:val="en-GB"/>
              </w:rPr>
            </w:pPr>
            <w:r w:rsidRPr="00E14060">
              <w:rPr>
                <w:b/>
                <w:bCs/>
                <w:sz w:val="22"/>
                <w:szCs w:val="22"/>
                <w:lang w:val="en-GB"/>
              </w:rPr>
              <w:t>95% Credible interval for relative risk</w:t>
            </w:r>
          </w:p>
        </w:tc>
        <w:tc>
          <w:tcPr>
            <w:tcW w:w="2464" w:type="dxa"/>
            <w:tcBorders>
              <w:top w:val="single" w:sz="4" w:space="0" w:color="auto"/>
              <w:left w:val="nil"/>
              <w:bottom w:val="single" w:sz="4" w:space="0" w:color="auto"/>
              <w:right w:val="nil"/>
            </w:tcBorders>
            <w:shd w:val="clear" w:color="auto" w:fill="auto"/>
            <w:vAlign w:val="bottom"/>
          </w:tcPr>
          <w:p w14:paraId="54003038" w14:textId="77777777" w:rsidR="00172F3B" w:rsidRPr="00E14060" w:rsidRDefault="00172F3B" w:rsidP="00172F3B">
            <w:pPr>
              <w:jc w:val="center"/>
              <w:rPr>
                <w:b/>
                <w:sz w:val="22"/>
                <w:szCs w:val="22"/>
                <w:lang w:val="en-GB"/>
              </w:rPr>
            </w:pPr>
            <w:r w:rsidRPr="00E14060">
              <w:rPr>
                <w:b/>
                <w:sz w:val="22"/>
                <w:szCs w:val="22"/>
                <w:lang w:val="en-GB"/>
              </w:rPr>
              <w:t>Response rate</w:t>
            </w:r>
          </w:p>
          <w:p w14:paraId="2646B60D" w14:textId="77777777" w:rsidR="005D5F3A" w:rsidRPr="00E14060" w:rsidRDefault="005D5F3A" w:rsidP="00A37DD6">
            <w:pPr>
              <w:jc w:val="center"/>
              <w:rPr>
                <w:b/>
                <w:bCs/>
                <w:sz w:val="22"/>
                <w:szCs w:val="22"/>
                <w:lang w:val="en-GB"/>
              </w:rPr>
            </w:pPr>
          </w:p>
        </w:tc>
        <w:tc>
          <w:tcPr>
            <w:tcW w:w="2399" w:type="dxa"/>
            <w:tcBorders>
              <w:top w:val="nil"/>
              <w:left w:val="nil"/>
              <w:bottom w:val="nil"/>
              <w:right w:val="nil"/>
            </w:tcBorders>
            <w:shd w:val="clear" w:color="auto" w:fill="auto"/>
            <w:vAlign w:val="bottom"/>
            <w:hideMark/>
          </w:tcPr>
          <w:p w14:paraId="01C2E52C" w14:textId="77777777" w:rsidR="005D5F3A" w:rsidRPr="00E14060" w:rsidRDefault="005D5F3A" w:rsidP="00A37DD6">
            <w:pPr>
              <w:jc w:val="center"/>
              <w:rPr>
                <w:b/>
                <w:bCs/>
                <w:sz w:val="22"/>
                <w:szCs w:val="22"/>
                <w:lang w:val="en-GB"/>
              </w:rPr>
            </w:pPr>
            <w:r w:rsidRPr="00E14060">
              <w:rPr>
                <w:b/>
                <w:bCs/>
                <w:sz w:val="22"/>
                <w:szCs w:val="22"/>
                <w:lang w:val="en-GB"/>
              </w:rPr>
              <w:t xml:space="preserve">Placebo Risk </w:t>
            </w:r>
          </w:p>
          <w:p w14:paraId="2CDE714C" w14:textId="77777777" w:rsidR="005D5F3A" w:rsidRPr="00E14060" w:rsidRDefault="005D5F3A" w:rsidP="00A37DD6">
            <w:pPr>
              <w:jc w:val="center"/>
              <w:rPr>
                <w:b/>
                <w:bCs/>
                <w:sz w:val="22"/>
                <w:szCs w:val="22"/>
                <w:lang w:val="en-GB"/>
              </w:rPr>
            </w:pPr>
            <w:r w:rsidRPr="00E14060">
              <w:rPr>
                <w:b/>
                <w:bCs/>
                <w:sz w:val="22"/>
                <w:szCs w:val="22"/>
                <w:lang w:val="en-GB"/>
              </w:rPr>
              <w:t>(95% CI)</w:t>
            </w:r>
            <w:r w:rsidRPr="00E14060">
              <w:rPr>
                <w:rStyle w:val="FootnoteReference"/>
                <w:b/>
                <w:bCs/>
                <w:sz w:val="22"/>
                <w:szCs w:val="22"/>
                <w:lang w:val="en-GB"/>
              </w:rPr>
              <w:footnoteReference w:id="8"/>
            </w:r>
            <w:r w:rsidRPr="00E14060">
              <w:rPr>
                <w:b/>
                <w:bCs/>
                <w:sz w:val="22"/>
                <w:szCs w:val="22"/>
                <w:vertAlign w:val="superscript"/>
                <w:lang w:val="en-GB"/>
              </w:rPr>
              <w:t>1</w:t>
            </w:r>
          </w:p>
        </w:tc>
      </w:tr>
      <w:tr w:rsidR="00C93658" w:rsidRPr="00E14060" w14:paraId="069D4384" w14:textId="77777777" w:rsidTr="00A73A4C">
        <w:trPr>
          <w:trHeight w:val="300"/>
        </w:trPr>
        <w:tc>
          <w:tcPr>
            <w:tcW w:w="236" w:type="dxa"/>
            <w:tcBorders>
              <w:top w:val="nil"/>
              <w:left w:val="nil"/>
              <w:bottom w:val="nil"/>
              <w:right w:val="nil"/>
            </w:tcBorders>
            <w:shd w:val="clear" w:color="auto" w:fill="auto"/>
            <w:noWrap/>
            <w:vAlign w:val="bottom"/>
            <w:hideMark/>
          </w:tcPr>
          <w:p w14:paraId="4D75D8D1" w14:textId="77777777" w:rsidR="00C93658" w:rsidRPr="00E14060" w:rsidRDefault="00C93658" w:rsidP="00A37DD6">
            <w:pPr>
              <w:rPr>
                <w:sz w:val="22"/>
                <w:szCs w:val="22"/>
                <w:lang w:val="en-GB"/>
              </w:rPr>
            </w:pPr>
          </w:p>
        </w:tc>
        <w:tc>
          <w:tcPr>
            <w:tcW w:w="1152" w:type="dxa"/>
            <w:tcBorders>
              <w:top w:val="nil"/>
              <w:left w:val="nil"/>
              <w:bottom w:val="nil"/>
              <w:right w:val="nil"/>
            </w:tcBorders>
            <w:shd w:val="clear" w:color="auto" w:fill="auto"/>
            <w:noWrap/>
            <w:vAlign w:val="bottom"/>
            <w:hideMark/>
          </w:tcPr>
          <w:p w14:paraId="3D0BA411" w14:textId="77777777" w:rsidR="00C93658" w:rsidRPr="00E14060" w:rsidRDefault="00C93658" w:rsidP="00A37DD6">
            <w:pPr>
              <w:rPr>
                <w:b/>
                <w:bCs/>
                <w:sz w:val="22"/>
                <w:szCs w:val="22"/>
                <w:lang w:val="en-GB"/>
              </w:rPr>
            </w:pPr>
            <w:r w:rsidRPr="00E14060">
              <w:rPr>
                <w:b/>
                <w:bCs/>
                <w:sz w:val="22"/>
                <w:szCs w:val="22"/>
                <w:lang w:val="en-GB"/>
              </w:rPr>
              <w:t>LDX</w:t>
            </w:r>
          </w:p>
        </w:tc>
        <w:tc>
          <w:tcPr>
            <w:tcW w:w="271" w:type="dxa"/>
            <w:tcBorders>
              <w:top w:val="nil"/>
              <w:left w:val="nil"/>
              <w:bottom w:val="nil"/>
              <w:right w:val="nil"/>
            </w:tcBorders>
            <w:shd w:val="clear" w:color="auto" w:fill="auto"/>
            <w:noWrap/>
            <w:vAlign w:val="bottom"/>
            <w:hideMark/>
          </w:tcPr>
          <w:p w14:paraId="02A1E75D" w14:textId="77777777" w:rsidR="00C93658" w:rsidRPr="00E14060" w:rsidRDefault="00C93658" w:rsidP="00A37DD6">
            <w:pPr>
              <w:rPr>
                <w:sz w:val="22"/>
                <w:szCs w:val="22"/>
                <w:lang w:val="en-GB"/>
              </w:rPr>
            </w:pPr>
          </w:p>
        </w:tc>
        <w:tc>
          <w:tcPr>
            <w:tcW w:w="1917" w:type="dxa"/>
            <w:tcBorders>
              <w:top w:val="nil"/>
              <w:left w:val="nil"/>
              <w:bottom w:val="nil"/>
              <w:right w:val="nil"/>
            </w:tcBorders>
            <w:shd w:val="clear" w:color="auto" w:fill="auto"/>
            <w:noWrap/>
            <w:vAlign w:val="bottom"/>
            <w:hideMark/>
          </w:tcPr>
          <w:p w14:paraId="18357D54" w14:textId="77777777" w:rsidR="00C93658" w:rsidRPr="00E14060" w:rsidRDefault="00C93658" w:rsidP="00A37DD6">
            <w:pPr>
              <w:jc w:val="center"/>
              <w:rPr>
                <w:sz w:val="22"/>
                <w:szCs w:val="22"/>
                <w:lang w:val="en-GB"/>
              </w:rPr>
            </w:pPr>
            <w:r w:rsidRPr="00E14060">
              <w:rPr>
                <w:sz w:val="22"/>
                <w:szCs w:val="22"/>
                <w:lang w:val="en-GB"/>
              </w:rPr>
              <w:t>2.17</w:t>
            </w:r>
          </w:p>
        </w:tc>
        <w:tc>
          <w:tcPr>
            <w:tcW w:w="2340" w:type="dxa"/>
            <w:tcBorders>
              <w:top w:val="single" w:sz="4" w:space="0" w:color="auto"/>
              <w:left w:val="nil"/>
              <w:bottom w:val="nil"/>
              <w:right w:val="nil"/>
            </w:tcBorders>
            <w:shd w:val="clear" w:color="auto" w:fill="auto"/>
            <w:noWrap/>
            <w:vAlign w:val="bottom"/>
            <w:hideMark/>
          </w:tcPr>
          <w:p w14:paraId="5715CF3E" w14:textId="77777777" w:rsidR="00C93658" w:rsidRPr="00E14060" w:rsidRDefault="00C93658" w:rsidP="00A37DD6">
            <w:pPr>
              <w:jc w:val="center"/>
              <w:rPr>
                <w:sz w:val="22"/>
                <w:szCs w:val="22"/>
                <w:lang w:val="en-GB"/>
              </w:rPr>
            </w:pPr>
            <w:r w:rsidRPr="00E14060">
              <w:rPr>
                <w:sz w:val="22"/>
                <w:szCs w:val="22"/>
                <w:lang w:val="en-GB"/>
              </w:rPr>
              <w:t>(1.74, 2.61)</w:t>
            </w:r>
          </w:p>
        </w:tc>
        <w:tc>
          <w:tcPr>
            <w:tcW w:w="2464" w:type="dxa"/>
            <w:tcBorders>
              <w:top w:val="single" w:sz="4" w:space="0" w:color="auto"/>
              <w:left w:val="nil"/>
              <w:bottom w:val="nil"/>
              <w:right w:val="nil"/>
            </w:tcBorders>
            <w:shd w:val="clear" w:color="auto" w:fill="auto"/>
            <w:noWrap/>
            <w:vAlign w:val="bottom"/>
          </w:tcPr>
          <w:p w14:paraId="7ABC5230" w14:textId="77777777" w:rsidR="00C93658" w:rsidRPr="00E14060" w:rsidRDefault="00C93658" w:rsidP="00CD440B">
            <w:pPr>
              <w:jc w:val="center"/>
              <w:rPr>
                <w:sz w:val="22"/>
                <w:szCs w:val="22"/>
                <w:lang w:val="en-GB"/>
              </w:rPr>
            </w:pPr>
            <w:r w:rsidRPr="00E14060">
              <w:rPr>
                <w:sz w:val="22"/>
                <w:szCs w:val="22"/>
                <w:lang w:val="en-GB"/>
              </w:rPr>
              <w:t>0.66</w:t>
            </w:r>
          </w:p>
        </w:tc>
        <w:tc>
          <w:tcPr>
            <w:tcW w:w="2399" w:type="dxa"/>
            <w:tcBorders>
              <w:top w:val="nil"/>
              <w:left w:val="nil"/>
              <w:bottom w:val="nil"/>
              <w:right w:val="nil"/>
            </w:tcBorders>
            <w:shd w:val="clear" w:color="auto" w:fill="auto"/>
            <w:noWrap/>
            <w:vAlign w:val="bottom"/>
            <w:hideMark/>
          </w:tcPr>
          <w:p w14:paraId="25AA0562" w14:textId="77777777" w:rsidR="00C93658" w:rsidRPr="00E14060" w:rsidRDefault="00C93658" w:rsidP="00A37DD6">
            <w:pPr>
              <w:jc w:val="center"/>
              <w:rPr>
                <w:sz w:val="22"/>
                <w:szCs w:val="22"/>
                <w:lang w:val="en-GB"/>
              </w:rPr>
            </w:pPr>
            <w:r w:rsidRPr="00E14060">
              <w:rPr>
                <w:sz w:val="22"/>
                <w:szCs w:val="22"/>
                <w:lang w:val="en-GB"/>
              </w:rPr>
              <w:t>0.3036</w:t>
            </w:r>
          </w:p>
        </w:tc>
      </w:tr>
      <w:tr w:rsidR="00C93658" w:rsidRPr="00E14060" w14:paraId="5C8E4F5B" w14:textId="77777777" w:rsidTr="00A73A4C">
        <w:trPr>
          <w:trHeight w:val="300"/>
        </w:trPr>
        <w:tc>
          <w:tcPr>
            <w:tcW w:w="236" w:type="dxa"/>
            <w:tcBorders>
              <w:top w:val="nil"/>
              <w:left w:val="nil"/>
              <w:bottom w:val="nil"/>
              <w:right w:val="nil"/>
            </w:tcBorders>
            <w:shd w:val="clear" w:color="auto" w:fill="auto"/>
            <w:noWrap/>
            <w:vAlign w:val="bottom"/>
            <w:hideMark/>
          </w:tcPr>
          <w:p w14:paraId="5A33DA4C" w14:textId="77777777" w:rsidR="00C93658" w:rsidRPr="00E14060" w:rsidRDefault="00C93658" w:rsidP="00A37DD6">
            <w:pPr>
              <w:rPr>
                <w:sz w:val="22"/>
                <w:szCs w:val="22"/>
                <w:lang w:val="en-GB"/>
              </w:rPr>
            </w:pPr>
          </w:p>
        </w:tc>
        <w:tc>
          <w:tcPr>
            <w:tcW w:w="1152" w:type="dxa"/>
            <w:tcBorders>
              <w:top w:val="nil"/>
              <w:left w:val="nil"/>
              <w:bottom w:val="nil"/>
              <w:right w:val="nil"/>
            </w:tcBorders>
            <w:shd w:val="clear" w:color="auto" w:fill="auto"/>
            <w:noWrap/>
            <w:vAlign w:val="bottom"/>
            <w:hideMark/>
          </w:tcPr>
          <w:p w14:paraId="124A6A0F" w14:textId="77777777" w:rsidR="00C93658" w:rsidRPr="00E14060" w:rsidRDefault="00C93658" w:rsidP="00A37DD6">
            <w:pPr>
              <w:rPr>
                <w:b/>
                <w:bCs/>
                <w:sz w:val="22"/>
                <w:szCs w:val="22"/>
                <w:lang w:val="en-GB"/>
              </w:rPr>
            </w:pPr>
            <w:r w:rsidRPr="00E14060">
              <w:rPr>
                <w:b/>
                <w:bCs/>
                <w:sz w:val="22"/>
                <w:szCs w:val="22"/>
                <w:lang w:val="en-GB"/>
              </w:rPr>
              <w:t>ATX</w:t>
            </w:r>
          </w:p>
        </w:tc>
        <w:tc>
          <w:tcPr>
            <w:tcW w:w="271" w:type="dxa"/>
            <w:tcBorders>
              <w:top w:val="nil"/>
              <w:left w:val="nil"/>
              <w:bottom w:val="nil"/>
              <w:right w:val="nil"/>
            </w:tcBorders>
            <w:shd w:val="clear" w:color="auto" w:fill="auto"/>
            <w:noWrap/>
            <w:vAlign w:val="bottom"/>
            <w:hideMark/>
          </w:tcPr>
          <w:p w14:paraId="4BD369C3" w14:textId="77777777" w:rsidR="00C93658" w:rsidRPr="00E14060" w:rsidRDefault="00C93658" w:rsidP="00A37DD6">
            <w:pPr>
              <w:rPr>
                <w:sz w:val="22"/>
                <w:szCs w:val="22"/>
                <w:lang w:val="en-GB"/>
              </w:rPr>
            </w:pPr>
          </w:p>
        </w:tc>
        <w:tc>
          <w:tcPr>
            <w:tcW w:w="1917" w:type="dxa"/>
            <w:tcBorders>
              <w:top w:val="nil"/>
              <w:left w:val="nil"/>
              <w:bottom w:val="nil"/>
              <w:right w:val="nil"/>
            </w:tcBorders>
            <w:shd w:val="clear" w:color="auto" w:fill="auto"/>
            <w:noWrap/>
            <w:vAlign w:val="bottom"/>
            <w:hideMark/>
          </w:tcPr>
          <w:p w14:paraId="088D2D0B" w14:textId="77777777" w:rsidR="00C93658" w:rsidRPr="00E14060" w:rsidRDefault="00C93658" w:rsidP="00A37DD6">
            <w:pPr>
              <w:jc w:val="center"/>
              <w:rPr>
                <w:sz w:val="22"/>
                <w:szCs w:val="22"/>
                <w:lang w:val="en-GB"/>
              </w:rPr>
            </w:pPr>
            <w:r w:rsidRPr="00E14060">
              <w:rPr>
                <w:sz w:val="22"/>
                <w:szCs w:val="22"/>
                <w:lang w:val="en-GB"/>
              </w:rPr>
              <w:t>1.67</w:t>
            </w:r>
          </w:p>
        </w:tc>
        <w:tc>
          <w:tcPr>
            <w:tcW w:w="2340" w:type="dxa"/>
            <w:tcBorders>
              <w:top w:val="nil"/>
              <w:left w:val="nil"/>
              <w:bottom w:val="nil"/>
              <w:right w:val="nil"/>
            </w:tcBorders>
            <w:shd w:val="clear" w:color="auto" w:fill="auto"/>
            <w:noWrap/>
            <w:vAlign w:val="bottom"/>
            <w:hideMark/>
          </w:tcPr>
          <w:p w14:paraId="2B05B240" w14:textId="77777777" w:rsidR="00C93658" w:rsidRPr="00E14060" w:rsidRDefault="00C93658" w:rsidP="00A37DD6">
            <w:pPr>
              <w:jc w:val="center"/>
              <w:rPr>
                <w:sz w:val="22"/>
                <w:szCs w:val="22"/>
                <w:lang w:val="en-GB"/>
              </w:rPr>
            </w:pPr>
            <w:r w:rsidRPr="00E14060">
              <w:rPr>
                <w:sz w:val="22"/>
                <w:szCs w:val="22"/>
                <w:lang w:val="en-GB"/>
              </w:rPr>
              <w:t>(1.01, 2.35)</w:t>
            </w:r>
          </w:p>
        </w:tc>
        <w:tc>
          <w:tcPr>
            <w:tcW w:w="2464" w:type="dxa"/>
            <w:tcBorders>
              <w:top w:val="nil"/>
              <w:left w:val="nil"/>
              <w:bottom w:val="nil"/>
              <w:right w:val="nil"/>
            </w:tcBorders>
            <w:shd w:val="clear" w:color="auto" w:fill="auto"/>
            <w:noWrap/>
            <w:vAlign w:val="bottom"/>
          </w:tcPr>
          <w:p w14:paraId="1493FE05" w14:textId="77777777" w:rsidR="00C93658" w:rsidRPr="00E14060" w:rsidRDefault="00C93658" w:rsidP="00A37DD6">
            <w:pPr>
              <w:jc w:val="center"/>
              <w:rPr>
                <w:sz w:val="22"/>
                <w:szCs w:val="22"/>
                <w:lang w:val="en-GB"/>
              </w:rPr>
            </w:pPr>
            <w:r w:rsidRPr="00E14060">
              <w:rPr>
                <w:sz w:val="22"/>
                <w:szCs w:val="22"/>
                <w:lang w:val="en-GB"/>
              </w:rPr>
              <w:t>0.51</w:t>
            </w:r>
          </w:p>
        </w:tc>
        <w:tc>
          <w:tcPr>
            <w:tcW w:w="2399" w:type="dxa"/>
            <w:tcBorders>
              <w:top w:val="nil"/>
              <w:left w:val="nil"/>
              <w:bottom w:val="nil"/>
              <w:right w:val="nil"/>
            </w:tcBorders>
            <w:shd w:val="clear" w:color="auto" w:fill="auto"/>
            <w:noWrap/>
            <w:vAlign w:val="bottom"/>
            <w:hideMark/>
          </w:tcPr>
          <w:p w14:paraId="0C84C536" w14:textId="77777777" w:rsidR="00C93658" w:rsidRPr="00E14060" w:rsidRDefault="00C93658" w:rsidP="00A37DD6">
            <w:pPr>
              <w:jc w:val="center"/>
              <w:rPr>
                <w:sz w:val="22"/>
                <w:szCs w:val="22"/>
                <w:lang w:val="en-GB"/>
              </w:rPr>
            </w:pPr>
            <w:r w:rsidRPr="00E14060">
              <w:rPr>
                <w:sz w:val="22"/>
                <w:szCs w:val="22"/>
                <w:lang w:val="en-GB"/>
              </w:rPr>
              <w:t>(0.259, 0.348)</w:t>
            </w:r>
          </w:p>
        </w:tc>
      </w:tr>
      <w:tr w:rsidR="00C93658" w:rsidRPr="00E14060" w14:paraId="7FEE55E2" w14:textId="77777777" w:rsidTr="00A73A4C">
        <w:trPr>
          <w:trHeight w:val="300"/>
        </w:trPr>
        <w:tc>
          <w:tcPr>
            <w:tcW w:w="236" w:type="dxa"/>
            <w:tcBorders>
              <w:top w:val="nil"/>
              <w:left w:val="nil"/>
              <w:bottom w:val="nil"/>
              <w:right w:val="nil"/>
            </w:tcBorders>
            <w:shd w:val="clear" w:color="auto" w:fill="auto"/>
            <w:noWrap/>
            <w:vAlign w:val="bottom"/>
            <w:hideMark/>
          </w:tcPr>
          <w:p w14:paraId="5A872C60" w14:textId="77777777" w:rsidR="00C93658" w:rsidRPr="00E14060" w:rsidRDefault="00C93658" w:rsidP="00A37DD6">
            <w:pPr>
              <w:rPr>
                <w:sz w:val="22"/>
                <w:szCs w:val="22"/>
                <w:lang w:val="en-GB"/>
              </w:rPr>
            </w:pPr>
          </w:p>
        </w:tc>
        <w:tc>
          <w:tcPr>
            <w:tcW w:w="1152" w:type="dxa"/>
            <w:tcBorders>
              <w:top w:val="nil"/>
              <w:left w:val="nil"/>
              <w:bottom w:val="single" w:sz="4" w:space="0" w:color="auto"/>
              <w:right w:val="nil"/>
            </w:tcBorders>
            <w:shd w:val="clear" w:color="auto" w:fill="auto"/>
            <w:noWrap/>
            <w:vAlign w:val="bottom"/>
            <w:hideMark/>
          </w:tcPr>
          <w:p w14:paraId="0EBE424F" w14:textId="77777777" w:rsidR="00C93658" w:rsidRPr="00E14060" w:rsidRDefault="00C93658" w:rsidP="00A37DD6">
            <w:pPr>
              <w:rPr>
                <w:b/>
                <w:bCs/>
                <w:sz w:val="22"/>
                <w:szCs w:val="22"/>
                <w:lang w:val="en-GB"/>
              </w:rPr>
            </w:pPr>
            <w:r w:rsidRPr="00E14060">
              <w:rPr>
                <w:b/>
                <w:bCs/>
                <w:sz w:val="22"/>
                <w:szCs w:val="22"/>
                <w:lang w:val="en-GB"/>
              </w:rPr>
              <w:t>MPH-ER</w:t>
            </w:r>
          </w:p>
        </w:tc>
        <w:tc>
          <w:tcPr>
            <w:tcW w:w="271" w:type="dxa"/>
            <w:tcBorders>
              <w:top w:val="nil"/>
              <w:left w:val="nil"/>
              <w:bottom w:val="single" w:sz="4" w:space="0" w:color="auto"/>
              <w:right w:val="nil"/>
            </w:tcBorders>
            <w:shd w:val="clear" w:color="auto" w:fill="auto"/>
            <w:noWrap/>
            <w:vAlign w:val="bottom"/>
            <w:hideMark/>
          </w:tcPr>
          <w:p w14:paraId="3402859A" w14:textId="77777777" w:rsidR="00C93658" w:rsidRPr="00E14060" w:rsidRDefault="00C93658" w:rsidP="00A37DD6">
            <w:pPr>
              <w:rPr>
                <w:sz w:val="22"/>
                <w:szCs w:val="22"/>
                <w:lang w:val="en-GB"/>
              </w:rPr>
            </w:pPr>
            <w:r w:rsidRPr="00E14060">
              <w:rPr>
                <w:sz w:val="22"/>
                <w:szCs w:val="22"/>
                <w:lang w:val="en-GB"/>
              </w:rPr>
              <w:t> </w:t>
            </w:r>
          </w:p>
        </w:tc>
        <w:tc>
          <w:tcPr>
            <w:tcW w:w="1917" w:type="dxa"/>
            <w:tcBorders>
              <w:top w:val="nil"/>
              <w:left w:val="nil"/>
              <w:bottom w:val="single" w:sz="4" w:space="0" w:color="auto"/>
              <w:right w:val="nil"/>
            </w:tcBorders>
            <w:shd w:val="clear" w:color="auto" w:fill="auto"/>
            <w:noWrap/>
            <w:vAlign w:val="bottom"/>
            <w:hideMark/>
          </w:tcPr>
          <w:p w14:paraId="5FCC2190" w14:textId="77777777" w:rsidR="00C93658" w:rsidRPr="00E14060" w:rsidRDefault="00C93658" w:rsidP="00A37DD6">
            <w:pPr>
              <w:jc w:val="center"/>
              <w:rPr>
                <w:sz w:val="22"/>
                <w:szCs w:val="22"/>
                <w:lang w:val="en-GB"/>
              </w:rPr>
            </w:pPr>
            <w:r w:rsidRPr="00E14060">
              <w:rPr>
                <w:sz w:val="22"/>
                <w:szCs w:val="22"/>
                <w:lang w:val="en-GB"/>
              </w:rPr>
              <w:t>1.84</w:t>
            </w:r>
          </w:p>
        </w:tc>
        <w:tc>
          <w:tcPr>
            <w:tcW w:w="2340" w:type="dxa"/>
            <w:tcBorders>
              <w:top w:val="nil"/>
              <w:left w:val="nil"/>
              <w:bottom w:val="single" w:sz="4" w:space="0" w:color="auto"/>
              <w:right w:val="nil"/>
            </w:tcBorders>
            <w:shd w:val="clear" w:color="auto" w:fill="auto"/>
            <w:noWrap/>
            <w:vAlign w:val="bottom"/>
            <w:hideMark/>
          </w:tcPr>
          <w:p w14:paraId="35306921" w14:textId="77777777" w:rsidR="00C93658" w:rsidRPr="00E14060" w:rsidRDefault="00C93658" w:rsidP="00A37DD6">
            <w:pPr>
              <w:jc w:val="center"/>
              <w:rPr>
                <w:sz w:val="22"/>
                <w:szCs w:val="22"/>
                <w:lang w:val="en-GB"/>
              </w:rPr>
            </w:pPr>
            <w:r w:rsidRPr="00E14060">
              <w:rPr>
                <w:sz w:val="22"/>
                <w:szCs w:val="22"/>
                <w:lang w:val="en-GB"/>
              </w:rPr>
              <w:t>(1.45, 2.24)</w:t>
            </w:r>
          </w:p>
        </w:tc>
        <w:tc>
          <w:tcPr>
            <w:tcW w:w="2464" w:type="dxa"/>
            <w:tcBorders>
              <w:top w:val="nil"/>
              <w:left w:val="nil"/>
              <w:bottom w:val="single" w:sz="4" w:space="0" w:color="auto"/>
              <w:right w:val="nil"/>
            </w:tcBorders>
            <w:shd w:val="clear" w:color="auto" w:fill="auto"/>
            <w:noWrap/>
            <w:vAlign w:val="bottom"/>
            <w:hideMark/>
          </w:tcPr>
          <w:p w14:paraId="1D3DEC56" w14:textId="77777777" w:rsidR="00C93658" w:rsidRPr="00E14060" w:rsidRDefault="00C93658" w:rsidP="00A37DD6">
            <w:pPr>
              <w:jc w:val="center"/>
              <w:rPr>
                <w:sz w:val="22"/>
                <w:szCs w:val="22"/>
                <w:lang w:val="en-GB"/>
              </w:rPr>
            </w:pPr>
            <w:r w:rsidRPr="00E14060">
              <w:rPr>
                <w:sz w:val="22"/>
                <w:szCs w:val="22"/>
                <w:lang w:val="en-GB"/>
              </w:rPr>
              <w:t>0.56</w:t>
            </w:r>
          </w:p>
        </w:tc>
        <w:tc>
          <w:tcPr>
            <w:tcW w:w="2399" w:type="dxa"/>
            <w:tcBorders>
              <w:top w:val="nil"/>
              <w:left w:val="nil"/>
              <w:bottom w:val="nil"/>
              <w:right w:val="nil"/>
            </w:tcBorders>
            <w:shd w:val="clear" w:color="auto" w:fill="auto"/>
            <w:noWrap/>
            <w:vAlign w:val="bottom"/>
            <w:hideMark/>
          </w:tcPr>
          <w:p w14:paraId="6BA04E72" w14:textId="77777777" w:rsidR="00C93658" w:rsidRPr="00E14060" w:rsidRDefault="00C93658" w:rsidP="00A37DD6">
            <w:pPr>
              <w:jc w:val="center"/>
              <w:rPr>
                <w:sz w:val="22"/>
                <w:szCs w:val="22"/>
                <w:lang w:val="en-GB"/>
              </w:rPr>
            </w:pPr>
          </w:p>
        </w:tc>
      </w:tr>
    </w:tbl>
    <w:p w14:paraId="7561C3A6" w14:textId="77777777" w:rsidR="00A37DD6" w:rsidRPr="00E14060" w:rsidRDefault="00A37DD6" w:rsidP="009375DF">
      <w:pPr>
        <w:rPr>
          <w:lang w:val="en-GB"/>
        </w:rPr>
      </w:pPr>
    </w:p>
    <w:p w14:paraId="429B9D95" w14:textId="77777777" w:rsidR="00DD31FC" w:rsidRPr="00E14060" w:rsidRDefault="00DD31FC">
      <w:pPr>
        <w:rPr>
          <w:b/>
          <w:sz w:val="24"/>
          <w:lang w:val="en-GB"/>
        </w:rPr>
      </w:pPr>
      <w:r w:rsidRPr="00E14060">
        <w:rPr>
          <w:lang w:val="en-GB"/>
        </w:rPr>
        <w:br w:type="page"/>
      </w:r>
    </w:p>
    <w:p w14:paraId="66F934B8" w14:textId="77777777" w:rsidR="00E82FC0" w:rsidRPr="00E14060" w:rsidRDefault="00212F8F" w:rsidP="00A73A4C">
      <w:pPr>
        <w:pStyle w:val="Heading3"/>
        <w:rPr>
          <w:color w:val="auto"/>
          <w:lang w:val="en-GB"/>
        </w:rPr>
      </w:pPr>
      <w:bookmarkStart w:id="293" w:name="_Toc391913784"/>
      <w:bookmarkStart w:id="294" w:name="_Toc402543855"/>
      <w:r w:rsidRPr="00E14060">
        <w:rPr>
          <w:color w:val="auto"/>
          <w:lang w:val="en-GB"/>
        </w:rPr>
        <w:lastRenderedPageBreak/>
        <w:t xml:space="preserve">Frequentist MTC results incorporating </w:t>
      </w:r>
      <w:bookmarkStart w:id="295" w:name="_Toc391913785"/>
      <w:bookmarkEnd w:id="293"/>
      <w:bookmarkEnd w:id="295"/>
      <w:r w:rsidR="002B3FCE" w:rsidRPr="00E14060">
        <w:rPr>
          <w:color w:val="auto"/>
          <w:lang w:val="en-GB"/>
        </w:rPr>
        <w:t>data extrapolated from ADHD-RS-IV</w:t>
      </w:r>
      <w:bookmarkEnd w:id="294"/>
    </w:p>
    <w:p w14:paraId="01685DA6" w14:textId="68E8FEE2" w:rsidR="00E82FC0" w:rsidRPr="00E14060" w:rsidRDefault="00DD31FC" w:rsidP="00AE3D2D">
      <w:pPr>
        <w:spacing w:line="360" w:lineRule="auto"/>
        <w:rPr>
          <w:lang w:val="en-GB"/>
        </w:rPr>
      </w:pPr>
      <w:r w:rsidRPr="00E14060">
        <w:rPr>
          <w:sz w:val="24"/>
          <w:szCs w:val="24"/>
          <w:lang w:val="en-GB"/>
        </w:rPr>
        <w:t>Adding CGI-I response of ATX imputed from</w:t>
      </w:r>
      <w:r w:rsidR="00006F21" w:rsidRPr="00E14060">
        <w:rPr>
          <w:sz w:val="24"/>
          <w:szCs w:val="24"/>
          <w:lang w:val="en-GB"/>
        </w:rPr>
        <w:t xml:space="preserve"> ADHD-RS-IV in</w:t>
      </w:r>
      <w:r w:rsidRPr="00E14060">
        <w:rPr>
          <w:sz w:val="24"/>
          <w:szCs w:val="24"/>
          <w:lang w:val="en-GB"/>
        </w:rPr>
        <w:t xml:space="preserve"> the </w:t>
      </w:r>
      <w:r w:rsidR="00C923B0" w:rsidRPr="00E14060">
        <w:rPr>
          <w:sz w:val="24"/>
          <w:szCs w:val="24"/>
          <w:lang w:val="en-GB"/>
        </w:rPr>
        <w:t>imputation</w:t>
      </w:r>
      <w:r w:rsidRPr="00E14060">
        <w:rPr>
          <w:sz w:val="24"/>
          <w:szCs w:val="24"/>
          <w:lang w:val="en-GB"/>
        </w:rPr>
        <w:t xml:space="preserve"> analyses to the frequentist MTC, LDX continued to be the treatment with the highest probability of being the most effective. The two methods of cutoff estimation yielded ultimately similar MTC results. Using the Goodman method for the </w:t>
      </w:r>
      <w:r w:rsidR="00C923B0" w:rsidRPr="00E14060">
        <w:rPr>
          <w:sz w:val="24"/>
          <w:szCs w:val="24"/>
          <w:lang w:val="en-GB"/>
        </w:rPr>
        <w:t>imputation</w:t>
      </w:r>
      <w:r w:rsidRPr="00E14060">
        <w:rPr>
          <w:sz w:val="24"/>
          <w:szCs w:val="24"/>
          <w:lang w:val="en-GB"/>
        </w:rPr>
        <w:t xml:space="preserve"> analysis, LDX had the highest relative risk (2.23), followed by MPH-ER (1.80) and ATX (1.60).</w:t>
      </w:r>
      <w:r w:rsidR="00241DBD" w:rsidRPr="00E14060">
        <w:rPr>
          <w:sz w:val="24"/>
          <w:szCs w:val="24"/>
          <w:lang w:val="en-GB"/>
        </w:rPr>
        <w:t xml:space="preserve"> </w:t>
      </w:r>
      <w:r w:rsidRPr="00E14060">
        <w:rPr>
          <w:sz w:val="24"/>
          <w:szCs w:val="24"/>
          <w:lang w:val="en-GB"/>
        </w:rPr>
        <w:t xml:space="preserve">Using the direct method for the </w:t>
      </w:r>
      <w:r w:rsidR="00C923B0" w:rsidRPr="00E14060">
        <w:rPr>
          <w:sz w:val="24"/>
          <w:szCs w:val="24"/>
          <w:lang w:val="en-GB"/>
        </w:rPr>
        <w:t>imputation</w:t>
      </w:r>
      <w:r w:rsidRPr="00E14060">
        <w:rPr>
          <w:sz w:val="24"/>
          <w:szCs w:val="24"/>
          <w:lang w:val="en-GB"/>
        </w:rPr>
        <w:t xml:space="preserve"> analysis, LDX </w:t>
      </w:r>
      <w:r w:rsidR="00E028D0" w:rsidRPr="00E14060">
        <w:rPr>
          <w:sz w:val="24"/>
          <w:szCs w:val="24"/>
          <w:lang w:val="en-GB"/>
        </w:rPr>
        <w:t xml:space="preserve">again </w:t>
      </w:r>
      <w:r w:rsidRPr="00E14060">
        <w:rPr>
          <w:sz w:val="24"/>
          <w:szCs w:val="24"/>
          <w:lang w:val="en-GB"/>
        </w:rPr>
        <w:t>had the highest relative risk (2.23), followed by MPH-ER (1.80) and ATX (1.65).</w:t>
      </w:r>
      <w:r w:rsidR="00241DBD" w:rsidRPr="00E14060">
        <w:rPr>
          <w:sz w:val="24"/>
          <w:szCs w:val="24"/>
          <w:lang w:val="en-GB"/>
        </w:rPr>
        <w:t xml:space="preserve"> </w:t>
      </w:r>
      <w:r w:rsidRPr="00E14060">
        <w:rPr>
          <w:sz w:val="24"/>
          <w:szCs w:val="24"/>
          <w:lang w:val="en-GB"/>
        </w:rPr>
        <w:t xml:space="preserve">Complete frequentist MTC results are presented in </w:t>
      </w:r>
      <w:r w:rsidRPr="00E14060">
        <w:rPr>
          <w:b/>
          <w:sz w:val="24"/>
          <w:szCs w:val="24"/>
          <w:lang w:val="en-GB"/>
        </w:rPr>
        <w:t xml:space="preserve">Table </w:t>
      </w:r>
      <w:r w:rsidR="00AE7A8B" w:rsidRPr="00E14060">
        <w:rPr>
          <w:b/>
          <w:sz w:val="24"/>
          <w:szCs w:val="24"/>
          <w:lang w:val="en-GB"/>
        </w:rPr>
        <w:t>12</w:t>
      </w:r>
      <w:r w:rsidRPr="00E14060">
        <w:rPr>
          <w:sz w:val="24"/>
          <w:szCs w:val="24"/>
          <w:lang w:val="en-GB"/>
        </w:rPr>
        <w:t xml:space="preserve"> and </w:t>
      </w:r>
      <w:r w:rsidRPr="00E14060">
        <w:rPr>
          <w:b/>
          <w:sz w:val="24"/>
          <w:szCs w:val="24"/>
          <w:lang w:val="en-GB"/>
        </w:rPr>
        <w:t xml:space="preserve">Table </w:t>
      </w:r>
      <w:r w:rsidR="00AE7A8B" w:rsidRPr="00E14060">
        <w:rPr>
          <w:b/>
          <w:sz w:val="24"/>
          <w:szCs w:val="24"/>
          <w:lang w:val="en-GB"/>
        </w:rPr>
        <w:t>13</w:t>
      </w:r>
      <w:r w:rsidRPr="00E14060">
        <w:rPr>
          <w:sz w:val="24"/>
          <w:szCs w:val="24"/>
          <w:lang w:val="en-GB"/>
        </w:rPr>
        <w:t xml:space="preserve">. </w:t>
      </w:r>
    </w:p>
    <w:p w14:paraId="1BDD64E0" w14:textId="77777777" w:rsidR="00154683" w:rsidRPr="00E14060" w:rsidRDefault="00154683" w:rsidP="00AE3D2D">
      <w:pPr>
        <w:rPr>
          <w:lang w:val="en-GB"/>
        </w:rPr>
      </w:pPr>
    </w:p>
    <w:p w14:paraId="1773A85D" w14:textId="77777777" w:rsidR="00154683" w:rsidRPr="00E14060" w:rsidRDefault="00154683" w:rsidP="00AE3D2D">
      <w:pPr>
        <w:rPr>
          <w:lang w:val="en-GB"/>
        </w:rPr>
      </w:pPr>
    </w:p>
    <w:tbl>
      <w:tblPr>
        <w:tblW w:w="10627" w:type="dxa"/>
        <w:tblInd w:w="108" w:type="dxa"/>
        <w:tblLook w:val="04A0" w:firstRow="1" w:lastRow="0" w:firstColumn="1" w:lastColumn="0" w:noHBand="0" w:noVBand="1"/>
      </w:tblPr>
      <w:tblGrid>
        <w:gridCol w:w="221"/>
        <w:gridCol w:w="1439"/>
        <w:gridCol w:w="267"/>
        <w:gridCol w:w="3659"/>
        <w:gridCol w:w="5106"/>
      </w:tblGrid>
      <w:tr w:rsidR="00225F75" w:rsidRPr="00E14060" w14:paraId="10BF5D8F" w14:textId="77777777" w:rsidTr="00AE3D2D">
        <w:trPr>
          <w:trHeight w:val="555"/>
        </w:trPr>
        <w:tc>
          <w:tcPr>
            <w:tcW w:w="11036" w:type="dxa"/>
            <w:gridSpan w:val="5"/>
            <w:tcBorders>
              <w:top w:val="nil"/>
              <w:left w:val="nil"/>
              <w:bottom w:val="nil"/>
              <w:right w:val="nil"/>
            </w:tcBorders>
            <w:shd w:val="clear" w:color="auto" w:fill="auto"/>
            <w:noWrap/>
            <w:vAlign w:val="bottom"/>
            <w:hideMark/>
          </w:tcPr>
          <w:p w14:paraId="4B0EC599" w14:textId="77777777" w:rsidR="00225F75" w:rsidRPr="00E14060" w:rsidRDefault="00225F75" w:rsidP="00AE7A8B">
            <w:pPr>
              <w:jc w:val="center"/>
              <w:rPr>
                <w:b/>
                <w:bCs/>
                <w:sz w:val="22"/>
                <w:szCs w:val="22"/>
                <w:lang w:val="en-GB"/>
              </w:rPr>
            </w:pPr>
            <w:r w:rsidRPr="00E14060">
              <w:rPr>
                <w:b/>
                <w:bCs/>
                <w:sz w:val="22"/>
                <w:szCs w:val="22"/>
                <w:lang w:val="en-GB"/>
              </w:rPr>
              <w:t xml:space="preserve">Table </w:t>
            </w:r>
            <w:r w:rsidR="00AE7A8B" w:rsidRPr="00E14060">
              <w:rPr>
                <w:b/>
                <w:bCs/>
                <w:sz w:val="22"/>
                <w:szCs w:val="22"/>
                <w:lang w:val="en-GB"/>
              </w:rPr>
              <w:t>12</w:t>
            </w:r>
            <w:r w:rsidRPr="00E14060">
              <w:rPr>
                <w:b/>
                <w:bCs/>
                <w:sz w:val="22"/>
                <w:szCs w:val="22"/>
                <w:lang w:val="en-GB"/>
              </w:rPr>
              <w:t>. Relative risks for treatment response, as defined by a rating of 1 or 2 in CGI-I score (drug vs. placebo)</w:t>
            </w:r>
          </w:p>
        </w:tc>
      </w:tr>
      <w:tr w:rsidR="00225F75" w:rsidRPr="00E14060" w14:paraId="56C29B3F" w14:textId="77777777" w:rsidTr="00AE3D2D">
        <w:trPr>
          <w:trHeight w:val="300"/>
        </w:trPr>
        <w:tc>
          <w:tcPr>
            <w:tcW w:w="11036" w:type="dxa"/>
            <w:gridSpan w:val="5"/>
            <w:tcBorders>
              <w:top w:val="nil"/>
              <w:left w:val="nil"/>
              <w:bottom w:val="nil"/>
              <w:right w:val="nil"/>
            </w:tcBorders>
            <w:shd w:val="clear" w:color="auto" w:fill="auto"/>
            <w:noWrap/>
            <w:vAlign w:val="bottom"/>
            <w:hideMark/>
          </w:tcPr>
          <w:p w14:paraId="1874E003" w14:textId="77777777" w:rsidR="00225F75" w:rsidRPr="00E14060" w:rsidRDefault="00225F75" w:rsidP="00225F75">
            <w:pPr>
              <w:jc w:val="center"/>
              <w:rPr>
                <w:b/>
                <w:bCs/>
                <w:sz w:val="22"/>
                <w:szCs w:val="22"/>
                <w:lang w:val="en-GB"/>
              </w:rPr>
            </w:pPr>
            <w:r w:rsidRPr="00E14060">
              <w:rPr>
                <w:b/>
                <w:bCs/>
                <w:sz w:val="22"/>
                <w:szCs w:val="22"/>
                <w:lang w:val="en-GB"/>
              </w:rPr>
              <w:t>Quadratic regression (Goodman) extrapolation method for ATX arm (random effects model, combined doses)</w:t>
            </w:r>
          </w:p>
        </w:tc>
      </w:tr>
      <w:tr w:rsidR="00225F75" w:rsidRPr="00E14060" w14:paraId="184D2379" w14:textId="77777777" w:rsidTr="00AE3D2D">
        <w:trPr>
          <w:trHeight w:val="300"/>
        </w:trPr>
        <w:tc>
          <w:tcPr>
            <w:tcW w:w="11" w:type="dxa"/>
            <w:tcBorders>
              <w:top w:val="nil"/>
              <w:left w:val="nil"/>
              <w:bottom w:val="nil"/>
              <w:right w:val="nil"/>
            </w:tcBorders>
            <w:shd w:val="clear" w:color="auto" w:fill="auto"/>
            <w:noWrap/>
            <w:vAlign w:val="bottom"/>
            <w:hideMark/>
          </w:tcPr>
          <w:p w14:paraId="02CA96A8" w14:textId="77777777" w:rsidR="00225F75" w:rsidRPr="00E14060" w:rsidRDefault="00225F75" w:rsidP="00225F75">
            <w:pPr>
              <w:rPr>
                <w:sz w:val="22"/>
                <w:szCs w:val="22"/>
                <w:lang w:val="en-GB"/>
              </w:rPr>
            </w:pPr>
          </w:p>
        </w:tc>
        <w:tc>
          <w:tcPr>
            <w:tcW w:w="1532" w:type="dxa"/>
            <w:tcBorders>
              <w:top w:val="nil"/>
              <w:left w:val="nil"/>
              <w:bottom w:val="nil"/>
              <w:right w:val="nil"/>
            </w:tcBorders>
            <w:shd w:val="clear" w:color="auto" w:fill="auto"/>
            <w:noWrap/>
            <w:vAlign w:val="bottom"/>
            <w:hideMark/>
          </w:tcPr>
          <w:p w14:paraId="31026B8C" w14:textId="77777777" w:rsidR="00225F75" w:rsidRPr="00E14060" w:rsidRDefault="00225F75" w:rsidP="00225F75">
            <w:pPr>
              <w:rPr>
                <w:sz w:val="22"/>
                <w:szCs w:val="22"/>
                <w:lang w:val="en-GB"/>
              </w:rPr>
            </w:pPr>
          </w:p>
        </w:tc>
        <w:tc>
          <w:tcPr>
            <w:tcW w:w="94" w:type="dxa"/>
            <w:tcBorders>
              <w:top w:val="nil"/>
              <w:left w:val="nil"/>
              <w:bottom w:val="nil"/>
              <w:right w:val="nil"/>
            </w:tcBorders>
            <w:shd w:val="clear" w:color="auto" w:fill="auto"/>
            <w:noWrap/>
            <w:vAlign w:val="bottom"/>
            <w:hideMark/>
          </w:tcPr>
          <w:p w14:paraId="44E49C66" w14:textId="77777777" w:rsidR="00225F75" w:rsidRPr="00E14060" w:rsidRDefault="00225F75" w:rsidP="00225F75">
            <w:pPr>
              <w:rPr>
                <w:sz w:val="22"/>
                <w:szCs w:val="22"/>
                <w:lang w:val="en-GB"/>
              </w:rPr>
            </w:pPr>
          </w:p>
        </w:tc>
        <w:tc>
          <w:tcPr>
            <w:tcW w:w="3921" w:type="dxa"/>
            <w:tcBorders>
              <w:top w:val="nil"/>
              <w:left w:val="nil"/>
              <w:bottom w:val="nil"/>
              <w:right w:val="nil"/>
            </w:tcBorders>
            <w:shd w:val="clear" w:color="auto" w:fill="auto"/>
            <w:noWrap/>
            <w:vAlign w:val="bottom"/>
            <w:hideMark/>
          </w:tcPr>
          <w:p w14:paraId="1150CAED" w14:textId="77777777" w:rsidR="00225F75" w:rsidRPr="00E14060" w:rsidRDefault="00225F75" w:rsidP="00225F75">
            <w:pPr>
              <w:rPr>
                <w:sz w:val="22"/>
                <w:szCs w:val="22"/>
                <w:lang w:val="en-GB"/>
              </w:rPr>
            </w:pPr>
          </w:p>
        </w:tc>
        <w:tc>
          <w:tcPr>
            <w:tcW w:w="5478" w:type="dxa"/>
            <w:tcBorders>
              <w:top w:val="nil"/>
              <w:left w:val="nil"/>
              <w:bottom w:val="nil"/>
              <w:right w:val="nil"/>
            </w:tcBorders>
            <w:shd w:val="clear" w:color="auto" w:fill="auto"/>
            <w:noWrap/>
            <w:vAlign w:val="bottom"/>
            <w:hideMark/>
          </w:tcPr>
          <w:p w14:paraId="63859FB7" w14:textId="77777777" w:rsidR="00225F75" w:rsidRPr="00E14060" w:rsidRDefault="00225F75" w:rsidP="00225F75">
            <w:pPr>
              <w:rPr>
                <w:sz w:val="22"/>
                <w:szCs w:val="22"/>
                <w:lang w:val="en-GB"/>
              </w:rPr>
            </w:pPr>
          </w:p>
        </w:tc>
      </w:tr>
      <w:tr w:rsidR="00225F75" w:rsidRPr="00E14060" w14:paraId="1DCF872A" w14:textId="77777777" w:rsidTr="00AE3D2D">
        <w:trPr>
          <w:trHeight w:val="645"/>
        </w:trPr>
        <w:tc>
          <w:tcPr>
            <w:tcW w:w="11" w:type="dxa"/>
            <w:tcBorders>
              <w:top w:val="nil"/>
              <w:left w:val="nil"/>
              <w:bottom w:val="nil"/>
              <w:right w:val="nil"/>
            </w:tcBorders>
            <w:shd w:val="clear" w:color="auto" w:fill="auto"/>
            <w:noWrap/>
            <w:vAlign w:val="bottom"/>
            <w:hideMark/>
          </w:tcPr>
          <w:p w14:paraId="62569353" w14:textId="77777777" w:rsidR="00225F75" w:rsidRPr="00E14060" w:rsidRDefault="00225F75" w:rsidP="00225F75">
            <w:pPr>
              <w:rPr>
                <w:sz w:val="22"/>
                <w:szCs w:val="22"/>
                <w:lang w:val="en-GB"/>
              </w:rPr>
            </w:pPr>
          </w:p>
        </w:tc>
        <w:tc>
          <w:tcPr>
            <w:tcW w:w="1532" w:type="dxa"/>
            <w:tcBorders>
              <w:top w:val="single" w:sz="4" w:space="0" w:color="auto"/>
              <w:left w:val="nil"/>
              <w:bottom w:val="nil"/>
              <w:right w:val="nil"/>
            </w:tcBorders>
            <w:shd w:val="clear" w:color="auto" w:fill="auto"/>
            <w:noWrap/>
            <w:vAlign w:val="bottom"/>
            <w:hideMark/>
          </w:tcPr>
          <w:p w14:paraId="2E5EC419" w14:textId="77777777" w:rsidR="00225F75" w:rsidRPr="00E14060" w:rsidRDefault="00225F75" w:rsidP="00225F75">
            <w:pPr>
              <w:rPr>
                <w:sz w:val="22"/>
                <w:szCs w:val="22"/>
                <w:lang w:val="en-GB"/>
              </w:rPr>
            </w:pPr>
            <w:r w:rsidRPr="00E14060">
              <w:rPr>
                <w:sz w:val="22"/>
                <w:szCs w:val="22"/>
                <w:lang w:val="en-GB"/>
              </w:rPr>
              <w:t> </w:t>
            </w:r>
          </w:p>
        </w:tc>
        <w:tc>
          <w:tcPr>
            <w:tcW w:w="94" w:type="dxa"/>
            <w:tcBorders>
              <w:top w:val="single" w:sz="4" w:space="0" w:color="auto"/>
              <w:left w:val="nil"/>
              <w:bottom w:val="nil"/>
              <w:right w:val="nil"/>
            </w:tcBorders>
            <w:shd w:val="clear" w:color="auto" w:fill="auto"/>
            <w:noWrap/>
            <w:vAlign w:val="bottom"/>
            <w:hideMark/>
          </w:tcPr>
          <w:p w14:paraId="0495D0F9" w14:textId="77777777" w:rsidR="00225F75" w:rsidRPr="00E14060" w:rsidRDefault="00225F75" w:rsidP="00225F75">
            <w:pPr>
              <w:rPr>
                <w:sz w:val="22"/>
                <w:szCs w:val="22"/>
                <w:lang w:val="en-GB"/>
              </w:rPr>
            </w:pPr>
            <w:r w:rsidRPr="00E14060">
              <w:rPr>
                <w:sz w:val="22"/>
                <w:szCs w:val="22"/>
                <w:lang w:val="en-GB"/>
              </w:rPr>
              <w:t> </w:t>
            </w:r>
          </w:p>
        </w:tc>
        <w:tc>
          <w:tcPr>
            <w:tcW w:w="3921" w:type="dxa"/>
            <w:tcBorders>
              <w:top w:val="single" w:sz="4" w:space="0" w:color="auto"/>
              <w:left w:val="nil"/>
              <w:bottom w:val="single" w:sz="4" w:space="0" w:color="auto"/>
              <w:right w:val="nil"/>
            </w:tcBorders>
            <w:shd w:val="clear" w:color="auto" w:fill="auto"/>
            <w:vAlign w:val="bottom"/>
            <w:hideMark/>
          </w:tcPr>
          <w:p w14:paraId="027E846D" w14:textId="77777777" w:rsidR="00225F75" w:rsidRPr="00E14060" w:rsidRDefault="00225F75" w:rsidP="00225F75">
            <w:pPr>
              <w:jc w:val="center"/>
              <w:rPr>
                <w:b/>
                <w:bCs/>
                <w:sz w:val="22"/>
                <w:szCs w:val="22"/>
                <w:lang w:val="en-GB"/>
              </w:rPr>
            </w:pPr>
            <w:r w:rsidRPr="00E14060">
              <w:rPr>
                <w:b/>
                <w:bCs/>
                <w:sz w:val="22"/>
                <w:szCs w:val="22"/>
                <w:lang w:val="en-GB"/>
              </w:rPr>
              <w:t>Relative Risk</w:t>
            </w:r>
            <w:r w:rsidR="00F711F0" w:rsidRPr="00E14060">
              <w:rPr>
                <w:rStyle w:val="FootnoteReference"/>
                <w:b/>
                <w:bCs/>
                <w:sz w:val="22"/>
                <w:szCs w:val="22"/>
                <w:lang w:val="en-GB"/>
              </w:rPr>
              <w:footnoteReference w:id="9"/>
            </w:r>
          </w:p>
        </w:tc>
        <w:tc>
          <w:tcPr>
            <w:tcW w:w="5478" w:type="dxa"/>
            <w:tcBorders>
              <w:top w:val="single" w:sz="4" w:space="0" w:color="auto"/>
              <w:left w:val="nil"/>
              <w:bottom w:val="single" w:sz="4" w:space="0" w:color="auto"/>
              <w:right w:val="nil"/>
            </w:tcBorders>
            <w:shd w:val="clear" w:color="auto" w:fill="auto"/>
            <w:vAlign w:val="bottom"/>
            <w:hideMark/>
          </w:tcPr>
          <w:p w14:paraId="4AAB0444" w14:textId="77777777" w:rsidR="00225F75" w:rsidRPr="00E14060" w:rsidRDefault="00225F75" w:rsidP="00225F75">
            <w:pPr>
              <w:jc w:val="center"/>
              <w:rPr>
                <w:b/>
                <w:bCs/>
                <w:sz w:val="22"/>
                <w:szCs w:val="22"/>
                <w:lang w:val="en-GB"/>
              </w:rPr>
            </w:pPr>
            <w:r w:rsidRPr="00E14060">
              <w:rPr>
                <w:b/>
                <w:bCs/>
                <w:sz w:val="22"/>
                <w:szCs w:val="22"/>
                <w:lang w:val="en-GB"/>
              </w:rPr>
              <w:t>95% Confidence Interval</w:t>
            </w:r>
          </w:p>
        </w:tc>
      </w:tr>
      <w:tr w:rsidR="00225F75" w:rsidRPr="00E14060" w14:paraId="4B12E1DC" w14:textId="77777777" w:rsidTr="00AE3D2D">
        <w:trPr>
          <w:trHeight w:val="300"/>
        </w:trPr>
        <w:tc>
          <w:tcPr>
            <w:tcW w:w="11" w:type="dxa"/>
            <w:tcBorders>
              <w:top w:val="nil"/>
              <w:left w:val="nil"/>
              <w:bottom w:val="nil"/>
              <w:right w:val="nil"/>
            </w:tcBorders>
            <w:shd w:val="clear" w:color="auto" w:fill="auto"/>
            <w:noWrap/>
            <w:vAlign w:val="bottom"/>
            <w:hideMark/>
          </w:tcPr>
          <w:p w14:paraId="3D81144D" w14:textId="77777777" w:rsidR="00225F75" w:rsidRPr="00E14060" w:rsidRDefault="00225F75" w:rsidP="00225F75">
            <w:pPr>
              <w:rPr>
                <w:sz w:val="22"/>
                <w:szCs w:val="22"/>
                <w:lang w:val="en-GB"/>
              </w:rPr>
            </w:pPr>
          </w:p>
        </w:tc>
        <w:tc>
          <w:tcPr>
            <w:tcW w:w="1532" w:type="dxa"/>
            <w:tcBorders>
              <w:top w:val="nil"/>
              <w:left w:val="nil"/>
              <w:bottom w:val="nil"/>
              <w:right w:val="nil"/>
            </w:tcBorders>
            <w:shd w:val="clear" w:color="auto" w:fill="auto"/>
            <w:noWrap/>
            <w:vAlign w:val="bottom"/>
            <w:hideMark/>
          </w:tcPr>
          <w:p w14:paraId="1BF490BC" w14:textId="77777777" w:rsidR="00225F75" w:rsidRPr="00E14060" w:rsidRDefault="00225F75" w:rsidP="00225F75">
            <w:pPr>
              <w:rPr>
                <w:b/>
                <w:bCs/>
                <w:sz w:val="22"/>
                <w:szCs w:val="22"/>
                <w:lang w:val="en-GB"/>
              </w:rPr>
            </w:pPr>
            <w:r w:rsidRPr="00E14060">
              <w:rPr>
                <w:b/>
                <w:bCs/>
                <w:sz w:val="22"/>
                <w:szCs w:val="22"/>
                <w:lang w:val="en-GB"/>
              </w:rPr>
              <w:t>LDX</w:t>
            </w:r>
          </w:p>
        </w:tc>
        <w:tc>
          <w:tcPr>
            <w:tcW w:w="94" w:type="dxa"/>
            <w:tcBorders>
              <w:top w:val="nil"/>
              <w:left w:val="nil"/>
              <w:bottom w:val="nil"/>
              <w:right w:val="nil"/>
            </w:tcBorders>
            <w:shd w:val="clear" w:color="auto" w:fill="auto"/>
            <w:noWrap/>
            <w:vAlign w:val="bottom"/>
            <w:hideMark/>
          </w:tcPr>
          <w:p w14:paraId="10615012" w14:textId="77777777" w:rsidR="00225F75" w:rsidRPr="00E14060" w:rsidRDefault="00225F75" w:rsidP="00225F75">
            <w:pPr>
              <w:rPr>
                <w:b/>
                <w:bCs/>
                <w:sz w:val="22"/>
                <w:szCs w:val="22"/>
                <w:lang w:val="en-GB"/>
              </w:rPr>
            </w:pPr>
          </w:p>
        </w:tc>
        <w:tc>
          <w:tcPr>
            <w:tcW w:w="3921" w:type="dxa"/>
            <w:tcBorders>
              <w:top w:val="nil"/>
              <w:left w:val="nil"/>
              <w:bottom w:val="nil"/>
              <w:right w:val="nil"/>
            </w:tcBorders>
            <w:shd w:val="clear" w:color="auto" w:fill="auto"/>
            <w:noWrap/>
            <w:vAlign w:val="bottom"/>
            <w:hideMark/>
          </w:tcPr>
          <w:p w14:paraId="004978DE" w14:textId="77777777" w:rsidR="00225F75" w:rsidRPr="00E14060" w:rsidRDefault="00225F75" w:rsidP="00225F75">
            <w:pPr>
              <w:jc w:val="center"/>
              <w:rPr>
                <w:sz w:val="22"/>
                <w:szCs w:val="22"/>
                <w:lang w:val="en-GB"/>
              </w:rPr>
            </w:pPr>
            <w:r w:rsidRPr="00E14060">
              <w:rPr>
                <w:sz w:val="22"/>
                <w:szCs w:val="22"/>
                <w:lang w:val="en-GB"/>
              </w:rPr>
              <w:t>2.23</w:t>
            </w:r>
          </w:p>
        </w:tc>
        <w:tc>
          <w:tcPr>
            <w:tcW w:w="5478" w:type="dxa"/>
            <w:tcBorders>
              <w:top w:val="nil"/>
              <w:left w:val="nil"/>
              <w:bottom w:val="nil"/>
              <w:right w:val="nil"/>
            </w:tcBorders>
            <w:shd w:val="clear" w:color="auto" w:fill="auto"/>
            <w:noWrap/>
            <w:vAlign w:val="bottom"/>
            <w:hideMark/>
          </w:tcPr>
          <w:p w14:paraId="1DAE8437" w14:textId="77777777" w:rsidR="00225F75" w:rsidRPr="00E14060" w:rsidRDefault="00225F75" w:rsidP="00225F75">
            <w:pPr>
              <w:jc w:val="center"/>
              <w:rPr>
                <w:sz w:val="22"/>
                <w:szCs w:val="22"/>
                <w:lang w:val="en-GB"/>
              </w:rPr>
            </w:pPr>
            <w:r w:rsidRPr="00E14060">
              <w:rPr>
                <w:sz w:val="22"/>
                <w:szCs w:val="22"/>
                <w:lang w:val="en-GB"/>
              </w:rPr>
              <w:t>(1.69, 2.95)</w:t>
            </w:r>
          </w:p>
        </w:tc>
      </w:tr>
      <w:tr w:rsidR="00225F75" w:rsidRPr="00E14060" w14:paraId="05B1A74C" w14:textId="77777777" w:rsidTr="00AE3D2D">
        <w:trPr>
          <w:trHeight w:val="300"/>
        </w:trPr>
        <w:tc>
          <w:tcPr>
            <w:tcW w:w="11" w:type="dxa"/>
            <w:tcBorders>
              <w:top w:val="nil"/>
              <w:left w:val="nil"/>
              <w:bottom w:val="nil"/>
              <w:right w:val="nil"/>
            </w:tcBorders>
            <w:shd w:val="clear" w:color="auto" w:fill="auto"/>
            <w:noWrap/>
            <w:vAlign w:val="bottom"/>
            <w:hideMark/>
          </w:tcPr>
          <w:p w14:paraId="2E6F9FC5" w14:textId="77777777" w:rsidR="00225F75" w:rsidRPr="00E14060" w:rsidRDefault="00225F75" w:rsidP="00225F75">
            <w:pPr>
              <w:rPr>
                <w:sz w:val="22"/>
                <w:szCs w:val="22"/>
                <w:lang w:val="en-GB"/>
              </w:rPr>
            </w:pPr>
          </w:p>
        </w:tc>
        <w:tc>
          <w:tcPr>
            <w:tcW w:w="1532" w:type="dxa"/>
            <w:tcBorders>
              <w:top w:val="nil"/>
              <w:left w:val="nil"/>
              <w:bottom w:val="nil"/>
              <w:right w:val="nil"/>
            </w:tcBorders>
            <w:shd w:val="clear" w:color="auto" w:fill="auto"/>
            <w:noWrap/>
            <w:vAlign w:val="bottom"/>
            <w:hideMark/>
          </w:tcPr>
          <w:p w14:paraId="0B512329" w14:textId="77777777" w:rsidR="00225F75" w:rsidRPr="00E14060" w:rsidRDefault="00225F75" w:rsidP="00225F75">
            <w:pPr>
              <w:rPr>
                <w:b/>
                <w:bCs/>
                <w:sz w:val="22"/>
                <w:szCs w:val="22"/>
                <w:lang w:val="en-GB"/>
              </w:rPr>
            </w:pPr>
            <w:r w:rsidRPr="00E14060">
              <w:rPr>
                <w:b/>
                <w:bCs/>
                <w:sz w:val="22"/>
                <w:szCs w:val="22"/>
                <w:lang w:val="en-GB"/>
              </w:rPr>
              <w:t>ATX</w:t>
            </w:r>
          </w:p>
        </w:tc>
        <w:tc>
          <w:tcPr>
            <w:tcW w:w="94" w:type="dxa"/>
            <w:tcBorders>
              <w:top w:val="nil"/>
              <w:left w:val="nil"/>
              <w:bottom w:val="nil"/>
              <w:right w:val="nil"/>
            </w:tcBorders>
            <w:shd w:val="clear" w:color="auto" w:fill="auto"/>
            <w:noWrap/>
            <w:vAlign w:val="bottom"/>
            <w:hideMark/>
          </w:tcPr>
          <w:p w14:paraId="42BE8029" w14:textId="77777777" w:rsidR="00225F75" w:rsidRPr="00E14060" w:rsidRDefault="00225F75" w:rsidP="00225F75">
            <w:pPr>
              <w:rPr>
                <w:b/>
                <w:bCs/>
                <w:sz w:val="22"/>
                <w:szCs w:val="22"/>
                <w:lang w:val="en-GB"/>
              </w:rPr>
            </w:pPr>
          </w:p>
        </w:tc>
        <w:tc>
          <w:tcPr>
            <w:tcW w:w="3921" w:type="dxa"/>
            <w:tcBorders>
              <w:top w:val="nil"/>
              <w:left w:val="nil"/>
              <w:bottom w:val="nil"/>
              <w:right w:val="nil"/>
            </w:tcBorders>
            <w:shd w:val="clear" w:color="auto" w:fill="auto"/>
            <w:noWrap/>
            <w:vAlign w:val="bottom"/>
            <w:hideMark/>
          </w:tcPr>
          <w:p w14:paraId="21477B70" w14:textId="77777777" w:rsidR="00225F75" w:rsidRPr="00E14060" w:rsidRDefault="00225F75" w:rsidP="00225F75">
            <w:pPr>
              <w:jc w:val="center"/>
              <w:rPr>
                <w:sz w:val="22"/>
                <w:szCs w:val="22"/>
                <w:lang w:val="en-GB"/>
              </w:rPr>
            </w:pPr>
            <w:r w:rsidRPr="00E14060">
              <w:rPr>
                <w:sz w:val="22"/>
                <w:szCs w:val="22"/>
                <w:lang w:val="en-GB"/>
              </w:rPr>
              <w:t>1.60</w:t>
            </w:r>
          </w:p>
        </w:tc>
        <w:tc>
          <w:tcPr>
            <w:tcW w:w="5478" w:type="dxa"/>
            <w:tcBorders>
              <w:top w:val="nil"/>
              <w:left w:val="nil"/>
              <w:bottom w:val="nil"/>
              <w:right w:val="nil"/>
            </w:tcBorders>
            <w:shd w:val="clear" w:color="auto" w:fill="auto"/>
            <w:noWrap/>
            <w:vAlign w:val="bottom"/>
            <w:hideMark/>
          </w:tcPr>
          <w:p w14:paraId="4E5749A9" w14:textId="77777777" w:rsidR="00225F75" w:rsidRPr="00E14060" w:rsidRDefault="00225F75" w:rsidP="00225F75">
            <w:pPr>
              <w:jc w:val="center"/>
              <w:rPr>
                <w:sz w:val="22"/>
                <w:szCs w:val="22"/>
                <w:lang w:val="en-GB"/>
              </w:rPr>
            </w:pPr>
            <w:r w:rsidRPr="00E14060">
              <w:rPr>
                <w:sz w:val="22"/>
                <w:szCs w:val="22"/>
                <w:lang w:val="en-GB"/>
              </w:rPr>
              <w:t>(1.09, 2.34)</w:t>
            </w:r>
          </w:p>
        </w:tc>
      </w:tr>
      <w:tr w:rsidR="00225F75" w:rsidRPr="00E14060" w14:paraId="5254998E" w14:textId="77777777" w:rsidTr="00AE3D2D">
        <w:trPr>
          <w:trHeight w:val="300"/>
        </w:trPr>
        <w:tc>
          <w:tcPr>
            <w:tcW w:w="11" w:type="dxa"/>
            <w:tcBorders>
              <w:top w:val="nil"/>
              <w:left w:val="nil"/>
              <w:bottom w:val="nil"/>
              <w:right w:val="nil"/>
            </w:tcBorders>
            <w:shd w:val="clear" w:color="auto" w:fill="auto"/>
            <w:noWrap/>
            <w:vAlign w:val="bottom"/>
            <w:hideMark/>
          </w:tcPr>
          <w:p w14:paraId="0B6BCC5B" w14:textId="77777777" w:rsidR="00225F75" w:rsidRPr="00E14060" w:rsidRDefault="00225F75" w:rsidP="00225F75">
            <w:pPr>
              <w:rPr>
                <w:sz w:val="22"/>
                <w:szCs w:val="22"/>
                <w:lang w:val="en-GB"/>
              </w:rPr>
            </w:pPr>
          </w:p>
        </w:tc>
        <w:tc>
          <w:tcPr>
            <w:tcW w:w="1532" w:type="dxa"/>
            <w:tcBorders>
              <w:top w:val="nil"/>
              <w:left w:val="nil"/>
              <w:bottom w:val="single" w:sz="4" w:space="0" w:color="auto"/>
              <w:right w:val="nil"/>
            </w:tcBorders>
            <w:shd w:val="clear" w:color="auto" w:fill="auto"/>
            <w:noWrap/>
            <w:vAlign w:val="bottom"/>
            <w:hideMark/>
          </w:tcPr>
          <w:p w14:paraId="418B65F2" w14:textId="77777777" w:rsidR="00225F75" w:rsidRPr="00E14060" w:rsidRDefault="00225F75" w:rsidP="00225F75">
            <w:pPr>
              <w:rPr>
                <w:b/>
                <w:bCs/>
                <w:sz w:val="22"/>
                <w:szCs w:val="22"/>
                <w:lang w:val="en-GB"/>
              </w:rPr>
            </w:pPr>
            <w:r w:rsidRPr="00E14060">
              <w:rPr>
                <w:b/>
                <w:bCs/>
                <w:sz w:val="22"/>
                <w:szCs w:val="22"/>
                <w:lang w:val="en-GB"/>
              </w:rPr>
              <w:t>MPH-ER</w:t>
            </w:r>
          </w:p>
        </w:tc>
        <w:tc>
          <w:tcPr>
            <w:tcW w:w="94" w:type="dxa"/>
            <w:tcBorders>
              <w:top w:val="nil"/>
              <w:left w:val="nil"/>
              <w:bottom w:val="single" w:sz="4" w:space="0" w:color="auto"/>
              <w:right w:val="nil"/>
            </w:tcBorders>
            <w:shd w:val="clear" w:color="auto" w:fill="auto"/>
            <w:noWrap/>
            <w:vAlign w:val="bottom"/>
            <w:hideMark/>
          </w:tcPr>
          <w:p w14:paraId="1BD2D92C" w14:textId="77777777" w:rsidR="00225F75" w:rsidRPr="00E14060" w:rsidRDefault="00225F75" w:rsidP="00225F75">
            <w:pPr>
              <w:rPr>
                <w:b/>
                <w:bCs/>
                <w:sz w:val="22"/>
                <w:szCs w:val="22"/>
                <w:lang w:val="en-GB"/>
              </w:rPr>
            </w:pPr>
            <w:r w:rsidRPr="00E14060">
              <w:rPr>
                <w:b/>
                <w:bCs/>
                <w:sz w:val="22"/>
                <w:szCs w:val="22"/>
                <w:lang w:val="en-GB"/>
              </w:rPr>
              <w:t> </w:t>
            </w:r>
          </w:p>
        </w:tc>
        <w:tc>
          <w:tcPr>
            <w:tcW w:w="3921" w:type="dxa"/>
            <w:tcBorders>
              <w:top w:val="nil"/>
              <w:left w:val="nil"/>
              <w:bottom w:val="single" w:sz="4" w:space="0" w:color="auto"/>
              <w:right w:val="nil"/>
            </w:tcBorders>
            <w:shd w:val="clear" w:color="auto" w:fill="auto"/>
            <w:noWrap/>
            <w:vAlign w:val="bottom"/>
            <w:hideMark/>
          </w:tcPr>
          <w:p w14:paraId="02E221D0" w14:textId="77777777" w:rsidR="00225F75" w:rsidRPr="00E14060" w:rsidRDefault="00225F75" w:rsidP="00225F75">
            <w:pPr>
              <w:jc w:val="center"/>
              <w:rPr>
                <w:sz w:val="22"/>
                <w:szCs w:val="22"/>
                <w:lang w:val="en-GB"/>
              </w:rPr>
            </w:pPr>
            <w:r w:rsidRPr="00E14060">
              <w:rPr>
                <w:sz w:val="22"/>
                <w:szCs w:val="22"/>
                <w:lang w:val="en-GB"/>
              </w:rPr>
              <w:t>1.80</w:t>
            </w:r>
          </w:p>
        </w:tc>
        <w:tc>
          <w:tcPr>
            <w:tcW w:w="5478" w:type="dxa"/>
            <w:tcBorders>
              <w:top w:val="nil"/>
              <w:left w:val="nil"/>
              <w:bottom w:val="single" w:sz="4" w:space="0" w:color="auto"/>
              <w:right w:val="nil"/>
            </w:tcBorders>
            <w:shd w:val="clear" w:color="auto" w:fill="auto"/>
            <w:noWrap/>
            <w:vAlign w:val="bottom"/>
            <w:hideMark/>
          </w:tcPr>
          <w:p w14:paraId="3837DE36" w14:textId="77777777" w:rsidR="00225F75" w:rsidRPr="00E14060" w:rsidRDefault="00225F75" w:rsidP="00225F75">
            <w:pPr>
              <w:jc w:val="center"/>
              <w:rPr>
                <w:sz w:val="22"/>
                <w:szCs w:val="22"/>
                <w:lang w:val="en-GB"/>
              </w:rPr>
            </w:pPr>
            <w:r w:rsidRPr="00E14060">
              <w:rPr>
                <w:sz w:val="22"/>
                <w:szCs w:val="22"/>
                <w:lang w:val="en-GB"/>
              </w:rPr>
              <w:t>(1.43, 2.27)</w:t>
            </w:r>
          </w:p>
        </w:tc>
      </w:tr>
    </w:tbl>
    <w:p w14:paraId="1293C890" w14:textId="77777777" w:rsidR="00225F75" w:rsidRPr="00E14060" w:rsidRDefault="00225F75" w:rsidP="00AE3D2D">
      <w:pPr>
        <w:rPr>
          <w:lang w:val="en-GB"/>
        </w:rPr>
      </w:pPr>
    </w:p>
    <w:p w14:paraId="4A81E5F9" w14:textId="77777777" w:rsidR="00067F3D" w:rsidRPr="00E14060" w:rsidRDefault="00067F3D" w:rsidP="00AE3D2D">
      <w:pPr>
        <w:rPr>
          <w:lang w:val="en-GB"/>
        </w:rPr>
      </w:pPr>
    </w:p>
    <w:p w14:paraId="74605AFE" w14:textId="77777777" w:rsidR="001A1F16" w:rsidRPr="00E14060" w:rsidRDefault="001A1F16" w:rsidP="00AE3D2D">
      <w:pPr>
        <w:rPr>
          <w:lang w:val="en-GB"/>
        </w:rPr>
      </w:pPr>
    </w:p>
    <w:tbl>
      <w:tblPr>
        <w:tblW w:w="10627" w:type="dxa"/>
        <w:tblInd w:w="108" w:type="dxa"/>
        <w:tblLook w:val="04A0" w:firstRow="1" w:lastRow="0" w:firstColumn="1" w:lastColumn="0" w:noHBand="0" w:noVBand="1"/>
      </w:tblPr>
      <w:tblGrid>
        <w:gridCol w:w="221"/>
        <w:gridCol w:w="1439"/>
        <w:gridCol w:w="267"/>
        <w:gridCol w:w="3659"/>
        <w:gridCol w:w="5106"/>
      </w:tblGrid>
      <w:tr w:rsidR="00067F3D" w:rsidRPr="00E14060" w14:paraId="397DB022" w14:textId="77777777" w:rsidTr="00AE3D2D">
        <w:trPr>
          <w:trHeight w:val="300"/>
        </w:trPr>
        <w:tc>
          <w:tcPr>
            <w:tcW w:w="11036" w:type="dxa"/>
            <w:gridSpan w:val="5"/>
            <w:tcBorders>
              <w:top w:val="nil"/>
              <w:left w:val="nil"/>
              <w:bottom w:val="nil"/>
              <w:right w:val="nil"/>
            </w:tcBorders>
            <w:shd w:val="clear" w:color="auto" w:fill="auto"/>
            <w:noWrap/>
            <w:vAlign w:val="bottom"/>
            <w:hideMark/>
          </w:tcPr>
          <w:p w14:paraId="2F8FC4CD" w14:textId="77777777" w:rsidR="00067F3D" w:rsidRPr="00E14060" w:rsidRDefault="00067F3D" w:rsidP="00AE7A8B">
            <w:pPr>
              <w:jc w:val="center"/>
              <w:rPr>
                <w:b/>
                <w:bCs/>
                <w:sz w:val="22"/>
                <w:szCs w:val="22"/>
                <w:lang w:val="en-GB"/>
              </w:rPr>
            </w:pPr>
            <w:r w:rsidRPr="00E14060">
              <w:rPr>
                <w:b/>
                <w:bCs/>
                <w:sz w:val="22"/>
                <w:szCs w:val="22"/>
                <w:lang w:val="en-GB"/>
              </w:rPr>
              <w:t xml:space="preserve">Table </w:t>
            </w:r>
            <w:r w:rsidR="009401E4" w:rsidRPr="00E14060">
              <w:rPr>
                <w:b/>
                <w:bCs/>
                <w:sz w:val="22"/>
                <w:szCs w:val="22"/>
                <w:lang w:val="en-GB"/>
              </w:rPr>
              <w:t>1</w:t>
            </w:r>
            <w:r w:rsidR="00AE7A8B" w:rsidRPr="00E14060">
              <w:rPr>
                <w:b/>
                <w:bCs/>
                <w:sz w:val="22"/>
                <w:szCs w:val="22"/>
                <w:lang w:val="en-GB"/>
              </w:rPr>
              <w:t>3</w:t>
            </w:r>
            <w:r w:rsidRPr="00E14060">
              <w:rPr>
                <w:b/>
                <w:bCs/>
                <w:sz w:val="22"/>
                <w:szCs w:val="22"/>
                <w:lang w:val="en-GB"/>
              </w:rPr>
              <w:t>. Relative risks for treatment response, as defined by a rating of 1 or 2 in CGI-I score (drug vs. placebo)</w:t>
            </w:r>
          </w:p>
        </w:tc>
      </w:tr>
      <w:tr w:rsidR="00067F3D" w:rsidRPr="00E14060" w14:paraId="5943E20C" w14:textId="77777777" w:rsidTr="00AE3D2D">
        <w:trPr>
          <w:trHeight w:val="300"/>
        </w:trPr>
        <w:tc>
          <w:tcPr>
            <w:tcW w:w="11036" w:type="dxa"/>
            <w:gridSpan w:val="5"/>
            <w:tcBorders>
              <w:top w:val="nil"/>
              <w:left w:val="nil"/>
              <w:bottom w:val="nil"/>
              <w:right w:val="nil"/>
            </w:tcBorders>
            <w:shd w:val="clear" w:color="auto" w:fill="auto"/>
            <w:noWrap/>
            <w:vAlign w:val="bottom"/>
            <w:hideMark/>
          </w:tcPr>
          <w:p w14:paraId="25DAE304" w14:textId="77777777" w:rsidR="00067F3D" w:rsidRPr="00E14060" w:rsidRDefault="00067F3D" w:rsidP="00067F3D">
            <w:pPr>
              <w:jc w:val="center"/>
              <w:rPr>
                <w:b/>
                <w:bCs/>
                <w:sz w:val="22"/>
                <w:szCs w:val="22"/>
                <w:lang w:val="en-GB"/>
              </w:rPr>
            </w:pPr>
            <w:r w:rsidRPr="00E14060">
              <w:rPr>
                <w:b/>
                <w:bCs/>
                <w:sz w:val="22"/>
                <w:szCs w:val="22"/>
                <w:lang w:val="en-GB"/>
              </w:rPr>
              <w:t>Direct extrapolation method for ATX arm (random effects model, combined doses)</w:t>
            </w:r>
          </w:p>
        </w:tc>
      </w:tr>
      <w:tr w:rsidR="00067F3D" w:rsidRPr="00E14060" w14:paraId="086B1C84" w14:textId="77777777" w:rsidTr="00AE3D2D">
        <w:trPr>
          <w:trHeight w:val="300"/>
        </w:trPr>
        <w:tc>
          <w:tcPr>
            <w:tcW w:w="11" w:type="dxa"/>
            <w:tcBorders>
              <w:top w:val="nil"/>
              <w:left w:val="nil"/>
              <w:bottom w:val="nil"/>
              <w:right w:val="nil"/>
            </w:tcBorders>
            <w:shd w:val="clear" w:color="auto" w:fill="auto"/>
            <w:noWrap/>
            <w:vAlign w:val="bottom"/>
            <w:hideMark/>
          </w:tcPr>
          <w:p w14:paraId="1C43DF25" w14:textId="77777777" w:rsidR="00067F3D" w:rsidRPr="00E14060" w:rsidRDefault="00067F3D" w:rsidP="00067F3D">
            <w:pPr>
              <w:rPr>
                <w:sz w:val="22"/>
                <w:szCs w:val="22"/>
                <w:lang w:val="en-GB"/>
              </w:rPr>
            </w:pPr>
          </w:p>
        </w:tc>
        <w:tc>
          <w:tcPr>
            <w:tcW w:w="1532" w:type="dxa"/>
            <w:tcBorders>
              <w:top w:val="nil"/>
              <w:left w:val="nil"/>
              <w:bottom w:val="nil"/>
              <w:right w:val="nil"/>
            </w:tcBorders>
            <w:shd w:val="clear" w:color="auto" w:fill="auto"/>
            <w:noWrap/>
            <w:vAlign w:val="bottom"/>
            <w:hideMark/>
          </w:tcPr>
          <w:p w14:paraId="72D460C9" w14:textId="77777777" w:rsidR="00067F3D" w:rsidRPr="00E14060" w:rsidRDefault="00067F3D" w:rsidP="00067F3D">
            <w:pPr>
              <w:rPr>
                <w:sz w:val="22"/>
                <w:szCs w:val="22"/>
                <w:lang w:val="en-GB"/>
              </w:rPr>
            </w:pPr>
          </w:p>
        </w:tc>
        <w:tc>
          <w:tcPr>
            <w:tcW w:w="94" w:type="dxa"/>
            <w:tcBorders>
              <w:top w:val="nil"/>
              <w:left w:val="nil"/>
              <w:bottom w:val="nil"/>
              <w:right w:val="nil"/>
            </w:tcBorders>
            <w:shd w:val="clear" w:color="auto" w:fill="auto"/>
            <w:noWrap/>
            <w:vAlign w:val="bottom"/>
            <w:hideMark/>
          </w:tcPr>
          <w:p w14:paraId="5891F0C2" w14:textId="77777777" w:rsidR="00067F3D" w:rsidRPr="00E14060" w:rsidRDefault="00067F3D" w:rsidP="00067F3D">
            <w:pPr>
              <w:rPr>
                <w:sz w:val="22"/>
                <w:szCs w:val="22"/>
                <w:lang w:val="en-GB"/>
              </w:rPr>
            </w:pPr>
          </w:p>
        </w:tc>
        <w:tc>
          <w:tcPr>
            <w:tcW w:w="3921" w:type="dxa"/>
            <w:tcBorders>
              <w:top w:val="nil"/>
              <w:left w:val="nil"/>
              <w:bottom w:val="nil"/>
              <w:right w:val="nil"/>
            </w:tcBorders>
            <w:shd w:val="clear" w:color="auto" w:fill="auto"/>
            <w:noWrap/>
            <w:vAlign w:val="bottom"/>
            <w:hideMark/>
          </w:tcPr>
          <w:p w14:paraId="71CE387C" w14:textId="77777777" w:rsidR="00067F3D" w:rsidRPr="00E14060" w:rsidRDefault="00067F3D" w:rsidP="00067F3D">
            <w:pPr>
              <w:rPr>
                <w:sz w:val="22"/>
                <w:szCs w:val="22"/>
                <w:lang w:val="en-GB"/>
              </w:rPr>
            </w:pPr>
          </w:p>
        </w:tc>
        <w:tc>
          <w:tcPr>
            <w:tcW w:w="5478" w:type="dxa"/>
            <w:tcBorders>
              <w:top w:val="nil"/>
              <w:left w:val="nil"/>
              <w:bottom w:val="nil"/>
              <w:right w:val="nil"/>
            </w:tcBorders>
            <w:shd w:val="clear" w:color="auto" w:fill="auto"/>
            <w:noWrap/>
            <w:vAlign w:val="bottom"/>
            <w:hideMark/>
          </w:tcPr>
          <w:p w14:paraId="0F59F079" w14:textId="77777777" w:rsidR="00067F3D" w:rsidRPr="00E14060" w:rsidRDefault="00067F3D" w:rsidP="00067F3D">
            <w:pPr>
              <w:rPr>
                <w:sz w:val="22"/>
                <w:szCs w:val="22"/>
                <w:lang w:val="en-GB"/>
              </w:rPr>
            </w:pPr>
          </w:p>
        </w:tc>
      </w:tr>
      <w:tr w:rsidR="00067F3D" w:rsidRPr="00E14060" w14:paraId="4E52EFA8" w14:textId="77777777" w:rsidTr="00AE3D2D">
        <w:trPr>
          <w:trHeight w:val="660"/>
        </w:trPr>
        <w:tc>
          <w:tcPr>
            <w:tcW w:w="11" w:type="dxa"/>
            <w:tcBorders>
              <w:top w:val="nil"/>
              <w:left w:val="nil"/>
              <w:bottom w:val="nil"/>
              <w:right w:val="nil"/>
            </w:tcBorders>
            <w:shd w:val="clear" w:color="auto" w:fill="auto"/>
            <w:noWrap/>
            <w:vAlign w:val="bottom"/>
            <w:hideMark/>
          </w:tcPr>
          <w:p w14:paraId="10319D2B" w14:textId="77777777" w:rsidR="00067F3D" w:rsidRPr="00E14060" w:rsidRDefault="00067F3D" w:rsidP="00067F3D">
            <w:pPr>
              <w:rPr>
                <w:sz w:val="22"/>
                <w:szCs w:val="22"/>
                <w:lang w:val="en-GB"/>
              </w:rPr>
            </w:pPr>
          </w:p>
        </w:tc>
        <w:tc>
          <w:tcPr>
            <w:tcW w:w="1532" w:type="dxa"/>
            <w:tcBorders>
              <w:top w:val="single" w:sz="4" w:space="0" w:color="auto"/>
              <w:left w:val="nil"/>
              <w:bottom w:val="nil"/>
              <w:right w:val="nil"/>
            </w:tcBorders>
            <w:shd w:val="clear" w:color="auto" w:fill="auto"/>
            <w:noWrap/>
            <w:vAlign w:val="bottom"/>
            <w:hideMark/>
          </w:tcPr>
          <w:p w14:paraId="5A672A59" w14:textId="77777777" w:rsidR="00067F3D" w:rsidRPr="00E14060" w:rsidRDefault="00067F3D" w:rsidP="00067F3D">
            <w:pPr>
              <w:rPr>
                <w:sz w:val="22"/>
                <w:szCs w:val="22"/>
                <w:lang w:val="en-GB"/>
              </w:rPr>
            </w:pPr>
            <w:r w:rsidRPr="00E14060">
              <w:rPr>
                <w:sz w:val="22"/>
                <w:szCs w:val="22"/>
                <w:lang w:val="en-GB"/>
              </w:rPr>
              <w:t> </w:t>
            </w:r>
          </w:p>
        </w:tc>
        <w:tc>
          <w:tcPr>
            <w:tcW w:w="94" w:type="dxa"/>
            <w:tcBorders>
              <w:top w:val="single" w:sz="4" w:space="0" w:color="auto"/>
              <w:left w:val="nil"/>
              <w:bottom w:val="nil"/>
              <w:right w:val="nil"/>
            </w:tcBorders>
            <w:shd w:val="clear" w:color="auto" w:fill="auto"/>
            <w:noWrap/>
            <w:vAlign w:val="bottom"/>
            <w:hideMark/>
          </w:tcPr>
          <w:p w14:paraId="42D08D38" w14:textId="77777777" w:rsidR="00067F3D" w:rsidRPr="00E14060" w:rsidRDefault="00067F3D" w:rsidP="00067F3D">
            <w:pPr>
              <w:rPr>
                <w:sz w:val="22"/>
                <w:szCs w:val="22"/>
                <w:lang w:val="en-GB"/>
              </w:rPr>
            </w:pPr>
            <w:r w:rsidRPr="00E14060">
              <w:rPr>
                <w:sz w:val="22"/>
                <w:szCs w:val="22"/>
                <w:lang w:val="en-GB"/>
              </w:rPr>
              <w:t> </w:t>
            </w:r>
          </w:p>
        </w:tc>
        <w:tc>
          <w:tcPr>
            <w:tcW w:w="3921" w:type="dxa"/>
            <w:tcBorders>
              <w:top w:val="single" w:sz="4" w:space="0" w:color="auto"/>
              <w:left w:val="nil"/>
              <w:bottom w:val="single" w:sz="4" w:space="0" w:color="auto"/>
              <w:right w:val="nil"/>
            </w:tcBorders>
            <w:shd w:val="clear" w:color="auto" w:fill="auto"/>
            <w:vAlign w:val="bottom"/>
            <w:hideMark/>
          </w:tcPr>
          <w:p w14:paraId="55C684F8" w14:textId="77777777" w:rsidR="00067F3D" w:rsidRPr="00E14060" w:rsidRDefault="00067F3D" w:rsidP="00067F3D">
            <w:pPr>
              <w:jc w:val="center"/>
              <w:rPr>
                <w:b/>
                <w:bCs/>
                <w:sz w:val="22"/>
                <w:szCs w:val="22"/>
                <w:lang w:val="en-GB"/>
              </w:rPr>
            </w:pPr>
            <w:r w:rsidRPr="00E14060">
              <w:rPr>
                <w:b/>
                <w:bCs/>
                <w:sz w:val="22"/>
                <w:szCs w:val="22"/>
                <w:lang w:val="en-GB"/>
              </w:rPr>
              <w:t>Relative Risk</w:t>
            </w:r>
            <w:r w:rsidR="00F711F0" w:rsidRPr="00E14060">
              <w:rPr>
                <w:rStyle w:val="FootnoteReference"/>
                <w:b/>
                <w:bCs/>
                <w:sz w:val="22"/>
                <w:szCs w:val="22"/>
                <w:lang w:val="en-GB"/>
              </w:rPr>
              <w:footnoteReference w:id="10"/>
            </w:r>
          </w:p>
        </w:tc>
        <w:tc>
          <w:tcPr>
            <w:tcW w:w="5478" w:type="dxa"/>
            <w:tcBorders>
              <w:top w:val="single" w:sz="4" w:space="0" w:color="auto"/>
              <w:left w:val="nil"/>
              <w:bottom w:val="single" w:sz="4" w:space="0" w:color="auto"/>
              <w:right w:val="nil"/>
            </w:tcBorders>
            <w:shd w:val="clear" w:color="auto" w:fill="auto"/>
            <w:vAlign w:val="bottom"/>
            <w:hideMark/>
          </w:tcPr>
          <w:p w14:paraId="3BE7FFF3" w14:textId="77777777" w:rsidR="00067F3D" w:rsidRPr="00E14060" w:rsidRDefault="00067F3D" w:rsidP="00067F3D">
            <w:pPr>
              <w:jc w:val="center"/>
              <w:rPr>
                <w:b/>
                <w:bCs/>
                <w:sz w:val="22"/>
                <w:szCs w:val="22"/>
                <w:lang w:val="en-GB"/>
              </w:rPr>
            </w:pPr>
            <w:r w:rsidRPr="00E14060">
              <w:rPr>
                <w:b/>
                <w:bCs/>
                <w:sz w:val="22"/>
                <w:szCs w:val="22"/>
                <w:lang w:val="en-GB"/>
              </w:rPr>
              <w:t>95% Confidence Interval</w:t>
            </w:r>
          </w:p>
        </w:tc>
      </w:tr>
      <w:tr w:rsidR="00067F3D" w:rsidRPr="00E14060" w14:paraId="7787996B" w14:textId="77777777" w:rsidTr="00AE3D2D">
        <w:trPr>
          <w:trHeight w:val="300"/>
        </w:trPr>
        <w:tc>
          <w:tcPr>
            <w:tcW w:w="11" w:type="dxa"/>
            <w:tcBorders>
              <w:top w:val="nil"/>
              <w:left w:val="nil"/>
              <w:bottom w:val="nil"/>
              <w:right w:val="nil"/>
            </w:tcBorders>
            <w:shd w:val="clear" w:color="auto" w:fill="auto"/>
            <w:noWrap/>
            <w:vAlign w:val="bottom"/>
            <w:hideMark/>
          </w:tcPr>
          <w:p w14:paraId="5EC0ECD3" w14:textId="77777777" w:rsidR="00067F3D" w:rsidRPr="00E14060" w:rsidRDefault="00067F3D" w:rsidP="00067F3D">
            <w:pPr>
              <w:rPr>
                <w:sz w:val="22"/>
                <w:szCs w:val="22"/>
                <w:lang w:val="en-GB"/>
              </w:rPr>
            </w:pPr>
          </w:p>
        </w:tc>
        <w:tc>
          <w:tcPr>
            <w:tcW w:w="1532" w:type="dxa"/>
            <w:tcBorders>
              <w:top w:val="nil"/>
              <w:left w:val="nil"/>
              <w:bottom w:val="nil"/>
              <w:right w:val="nil"/>
            </w:tcBorders>
            <w:shd w:val="clear" w:color="auto" w:fill="auto"/>
            <w:noWrap/>
            <w:vAlign w:val="bottom"/>
            <w:hideMark/>
          </w:tcPr>
          <w:p w14:paraId="2A4A50F7" w14:textId="77777777" w:rsidR="00067F3D" w:rsidRPr="00E14060" w:rsidRDefault="00067F3D" w:rsidP="00067F3D">
            <w:pPr>
              <w:rPr>
                <w:b/>
                <w:bCs/>
                <w:sz w:val="22"/>
                <w:szCs w:val="22"/>
                <w:lang w:val="en-GB"/>
              </w:rPr>
            </w:pPr>
            <w:r w:rsidRPr="00E14060">
              <w:rPr>
                <w:b/>
                <w:bCs/>
                <w:sz w:val="22"/>
                <w:szCs w:val="22"/>
                <w:lang w:val="en-GB"/>
              </w:rPr>
              <w:t>LDX</w:t>
            </w:r>
          </w:p>
        </w:tc>
        <w:tc>
          <w:tcPr>
            <w:tcW w:w="94" w:type="dxa"/>
            <w:tcBorders>
              <w:top w:val="nil"/>
              <w:left w:val="nil"/>
              <w:bottom w:val="nil"/>
              <w:right w:val="nil"/>
            </w:tcBorders>
            <w:shd w:val="clear" w:color="auto" w:fill="auto"/>
            <w:noWrap/>
            <w:vAlign w:val="bottom"/>
            <w:hideMark/>
          </w:tcPr>
          <w:p w14:paraId="0010E64E" w14:textId="77777777" w:rsidR="00067F3D" w:rsidRPr="00E14060" w:rsidRDefault="00067F3D" w:rsidP="00067F3D">
            <w:pPr>
              <w:rPr>
                <w:b/>
                <w:bCs/>
                <w:sz w:val="22"/>
                <w:szCs w:val="22"/>
                <w:lang w:val="en-GB"/>
              </w:rPr>
            </w:pPr>
          </w:p>
        </w:tc>
        <w:tc>
          <w:tcPr>
            <w:tcW w:w="3921" w:type="dxa"/>
            <w:tcBorders>
              <w:top w:val="nil"/>
              <w:left w:val="nil"/>
              <w:bottom w:val="nil"/>
              <w:right w:val="nil"/>
            </w:tcBorders>
            <w:shd w:val="clear" w:color="auto" w:fill="auto"/>
            <w:noWrap/>
            <w:vAlign w:val="bottom"/>
            <w:hideMark/>
          </w:tcPr>
          <w:p w14:paraId="235FF842" w14:textId="77777777" w:rsidR="00067F3D" w:rsidRPr="00E14060" w:rsidRDefault="00067F3D" w:rsidP="00067F3D">
            <w:pPr>
              <w:jc w:val="center"/>
              <w:rPr>
                <w:sz w:val="22"/>
                <w:szCs w:val="22"/>
                <w:lang w:val="en-GB"/>
              </w:rPr>
            </w:pPr>
            <w:r w:rsidRPr="00E14060">
              <w:rPr>
                <w:sz w:val="22"/>
                <w:szCs w:val="22"/>
                <w:lang w:val="en-GB"/>
              </w:rPr>
              <w:t>2.23</w:t>
            </w:r>
          </w:p>
        </w:tc>
        <w:tc>
          <w:tcPr>
            <w:tcW w:w="5478" w:type="dxa"/>
            <w:tcBorders>
              <w:top w:val="nil"/>
              <w:left w:val="nil"/>
              <w:bottom w:val="nil"/>
              <w:right w:val="nil"/>
            </w:tcBorders>
            <w:shd w:val="clear" w:color="auto" w:fill="auto"/>
            <w:noWrap/>
            <w:vAlign w:val="bottom"/>
            <w:hideMark/>
          </w:tcPr>
          <w:p w14:paraId="33C3BF1D" w14:textId="77777777" w:rsidR="00067F3D" w:rsidRPr="00E14060" w:rsidRDefault="00067F3D" w:rsidP="00067F3D">
            <w:pPr>
              <w:jc w:val="center"/>
              <w:rPr>
                <w:sz w:val="22"/>
                <w:szCs w:val="22"/>
                <w:lang w:val="en-GB"/>
              </w:rPr>
            </w:pPr>
            <w:r w:rsidRPr="00E14060">
              <w:rPr>
                <w:sz w:val="22"/>
                <w:szCs w:val="22"/>
                <w:lang w:val="en-GB"/>
              </w:rPr>
              <w:t>(1.69, 2.95)</w:t>
            </w:r>
          </w:p>
        </w:tc>
      </w:tr>
      <w:tr w:rsidR="00067F3D" w:rsidRPr="00E14060" w14:paraId="12AF26F7" w14:textId="77777777" w:rsidTr="00AE3D2D">
        <w:trPr>
          <w:trHeight w:val="300"/>
        </w:trPr>
        <w:tc>
          <w:tcPr>
            <w:tcW w:w="11" w:type="dxa"/>
            <w:tcBorders>
              <w:top w:val="nil"/>
              <w:left w:val="nil"/>
              <w:bottom w:val="nil"/>
              <w:right w:val="nil"/>
            </w:tcBorders>
            <w:shd w:val="clear" w:color="auto" w:fill="auto"/>
            <w:noWrap/>
            <w:vAlign w:val="bottom"/>
            <w:hideMark/>
          </w:tcPr>
          <w:p w14:paraId="28158E91" w14:textId="77777777" w:rsidR="00067F3D" w:rsidRPr="00E14060" w:rsidRDefault="00067F3D" w:rsidP="00067F3D">
            <w:pPr>
              <w:rPr>
                <w:sz w:val="22"/>
                <w:szCs w:val="22"/>
                <w:lang w:val="en-GB"/>
              </w:rPr>
            </w:pPr>
          </w:p>
        </w:tc>
        <w:tc>
          <w:tcPr>
            <w:tcW w:w="1532" w:type="dxa"/>
            <w:tcBorders>
              <w:top w:val="nil"/>
              <w:left w:val="nil"/>
              <w:bottom w:val="nil"/>
              <w:right w:val="nil"/>
            </w:tcBorders>
            <w:shd w:val="clear" w:color="auto" w:fill="auto"/>
            <w:noWrap/>
            <w:vAlign w:val="bottom"/>
            <w:hideMark/>
          </w:tcPr>
          <w:p w14:paraId="5E0B0B58" w14:textId="77777777" w:rsidR="00067F3D" w:rsidRPr="00E14060" w:rsidRDefault="00067F3D" w:rsidP="00067F3D">
            <w:pPr>
              <w:rPr>
                <w:b/>
                <w:bCs/>
                <w:sz w:val="22"/>
                <w:szCs w:val="22"/>
                <w:lang w:val="en-GB"/>
              </w:rPr>
            </w:pPr>
            <w:r w:rsidRPr="00E14060">
              <w:rPr>
                <w:b/>
                <w:bCs/>
                <w:sz w:val="22"/>
                <w:szCs w:val="22"/>
                <w:lang w:val="en-GB"/>
              </w:rPr>
              <w:t>ATX</w:t>
            </w:r>
          </w:p>
        </w:tc>
        <w:tc>
          <w:tcPr>
            <w:tcW w:w="94" w:type="dxa"/>
            <w:tcBorders>
              <w:top w:val="nil"/>
              <w:left w:val="nil"/>
              <w:bottom w:val="nil"/>
              <w:right w:val="nil"/>
            </w:tcBorders>
            <w:shd w:val="clear" w:color="auto" w:fill="auto"/>
            <w:noWrap/>
            <w:vAlign w:val="bottom"/>
            <w:hideMark/>
          </w:tcPr>
          <w:p w14:paraId="68BF116C" w14:textId="77777777" w:rsidR="00067F3D" w:rsidRPr="00E14060" w:rsidRDefault="00067F3D" w:rsidP="00067F3D">
            <w:pPr>
              <w:rPr>
                <w:b/>
                <w:bCs/>
                <w:sz w:val="22"/>
                <w:szCs w:val="22"/>
                <w:lang w:val="en-GB"/>
              </w:rPr>
            </w:pPr>
          </w:p>
        </w:tc>
        <w:tc>
          <w:tcPr>
            <w:tcW w:w="3921" w:type="dxa"/>
            <w:tcBorders>
              <w:top w:val="nil"/>
              <w:left w:val="nil"/>
              <w:bottom w:val="nil"/>
              <w:right w:val="nil"/>
            </w:tcBorders>
            <w:shd w:val="clear" w:color="auto" w:fill="auto"/>
            <w:noWrap/>
            <w:vAlign w:val="bottom"/>
            <w:hideMark/>
          </w:tcPr>
          <w:p w14:paraId="050C5001" w14:textId="77777777" w:rsidR="00067F3D" w:rsidRPr="00E14060" w:rsidRDefault="00067F3D" w:rsidP="00067F3D">
            <w:pPr>
              <w:jc w:val="center"/>
              <w:rPr>
                <w:sz w:val="22"/>
                <w:szCs w:val="22"/>
                <w:lang w:val="en-GB"/>
              </w:rPr>
            </w:pPr>
            <w:r w:rsidRPr="00E14060">
              <w:rPr>
                <w:sz w:val="22"/>
                <w:szCs w:val="22"/>
                <w:lang w:val="en-GB"/>
              </w:rPr>
              <w:t>1.65</w:t>
            </w:r>
          </w:p>
        </w:tc>
        <w:tc>
          <w:tcPr>
            <w:tcW w:w="5478" w:type="dxa"/>
            <w:tcBorders>
              <w:top w:val="nil"/>
              <w:left w:val="nil"/>
              <w:bottom w:val="nil"/>
              <w:right w:val="nil"/>
            </w:tcBorders>
            <w:shd w:val="clear" w:color="auto" w:fill="auto"/>
            <w:noWrap/>
            <w:vAlign w:val="bottom"/>
            <w:hideMark/>
          </w:tcPr>
          <w:p w14:paraId="4465DBD4" w14:textId="77777777" w:rsidR="00067F3D" w:rsidRPr="00E14060" w:rsidRDefault="00067F3D" w:rsidP="00067F3D">
            <w:pPr>
              <w:jc w:val="center"/>
              <w:rPr>
                <w:sz w:val="22"/>
                <w:szCs w:val="22"/>
                <w:lang w:val="en-GB"/>
              </w:rPr>
            </w:pPr>
            <w:r w:rsidRPr="00E14060">
              <w:rPr>
                <w:sz w:val="22"/>
                <w:szCs w:val="22"/>
                <w:lang w:val="en-GB"/>
              </w:rPr>
              <w:t>(1.10, 2.47)</w:t>
            </w:r>
          </w:p>
        </w:tc>
      </w:tr>
      <w:tr w:rsidR="00067F3D" w:rsidRPr="00E14060" w14:paraId="6F85444A" w14:textId="77777777" w:rsidTr="00AE3D2D">
        <w:trPr>
          <w:trHeight w:val="300"/>
        </w:trPr>
        <w:tc>
          <w:tcPr>
            <w:tcW w:w="11" w:type="dxa"/>
            <w:tcBorders>
              <w:top w:val="nil"/>
              <w:left w:val="nil"/>
              <w:bottom w:val="nil"/>
              <w:right w:val="nil"/>
            </w:tcBorders>
            <w:shd w:val="clear" w:color="auto" w:fill="auto"/>
            <w:noWrap/>
            <w:vAlign w:val="bottom"/>
            <w:hideMark/>
          </w:tcPr>
          <w:p w14:paraId="64768820" w14:textId="77777777" w:rsidR="00067F3D" w:rsidRPr="00E14060" w:rsidRDefault="00067F3D" w:rsidP="00067F3D">
            <w:pPr>
              <w:rPr>
                <w:sz w:val="22"/>
                <w:szCs w:val="22"/>
                <w:lang w:val="en-GB"/>
              </w:rPr>
            </w:pPr>
          </w:p>
        </w:tc>
        <w:tc>
          <w:tcPr>
            <w:tcW w:w="1532" w:type="dxa"/>
            <w:tcBorders>
              <w:top w:val="nil"/>
              <w:left w:val="nil"/>
              <w:bottom w:val="single" w:sz="4" w:space="0" w:color="auto"/>
              <w:right w:val="nil"/>
            </w:tcBorders>
            <w:shd w:val="clear" w:color="auto" w:fill="auto"/>
            <w:noWrap/>
            <w:vAlign w:val="bottom"/>
            <w:hideMark/>
          </w:tcPr>
          <w:p w14:paraId="32512EE2" w14:textId="77777777" w:rsidR="00067F3D" w:rsidRPr="00E14060" w:rsidRDefault="00067F3D" w:rsidP="00067F3D">
            <w:pPr>
              <w:rPr>
                <w:b/>
                <w:bCs/>
                <w:sz w:val="22"/>
                <w:szCs w:val="22"/>
                <w:lang w:val="en-GB"/>
              </w:rPr>
            </w:pPr>
            <w:r w:rsidRPr="00E14060">
              <w:rPr>
                <w:b/>
                <w:bCs/>
                <w:sz w:val="22"/>
                <w:szCs w:val="22"/>
                <w:lang w:val="en-GB"/>
              </w:rPr>
              <w:t>MPH-ER</w:t>
            </w:r>
          </w:p>
        </w:tc>
        <w:tc>
          <w:tcPr>
            <w:tcW w:w="94" w:type="dxa"/>
            <w:tcBorders>
              <w:top w:val="nil"/>
              <w:left w:val="nil"/>
              <w:bottom w:val="single" w:sz="4" w:space="0" w:color="auto"/>
              <w:right w:val="nil"/>
            </w:tcBorders>
            <w:shd w:val="clear" w:color="auto" w:fill="auto"/>
            <w:noWrap/>
            <w:vAlign w:val="bottom"/>
            <w:hideMark/>
          </w:tcPr>
          <w:p w14:paraId="6F806638" w14:textId="77777777" w:rsidR="00067F3D" w:rsidRPr="00E14060" w:rsidRDefault="00067F3D" w:rsidP="00067F3D">
            <w:pPr>
              <w:rPr>
                <w:b/>
                <w:bCs/>
                <w:sz w:val="22"/>
                <w:szCs w:val="22"/>
                <w:lang w:val="en-GB"/>
              </w:rPr>
            </w:pPr>
            <w:r w:rsidRPr="00E14060">
              <w:rPr>
                <w:b/>
                <w:bCs/>
                <w:sz w:val="22"/>
                <w:szCs w:val="22"/>
                <w:lang w:val="en-GB"/>
              </w:rPr>
              <w:t> </w:t>
            </w:r>
          </w:p>
        </w:tc>
        <w:tc>
          <w:tcPr>
            <w:tcW w:w="3921" w:type="dxa"/>
            <w:tcBorders>
              <w:top w:val="nil"/>
              <w:left w:val="nil"/>
              <w:bottom w:val="single" w:sz="4" w:space="0" w:color="auto"/>
              <w:right w:val="nil"/>
            </w:tcBorders>
            <w:shd w:val="clear" w:color="auto" w:fill="auto"/>
            <w:noWrap/>
            <w:vAlign w:val="bottom"/>
            <w:hideMark/>
          </w:tcPr>
          <w:p w14:paraId="2BDE758B" w14:textId="77777777" w:rsidR="00067F3D" w:rsidRPr="00E14060" w:rsidRDefault="00067F3D" w:rsidP="00067F3D">
            <w:pPr>
              <w:jc w:val="center"/>
              <w:rPr>
                <w:sz w:val="22"/>
                <w:szCs w:val="22"/>
                <w:lang w:val="en-GB"/>
              </w:rPr>
            </w:pPr>
            <w:r w:rsidRPr="00E14060">
              <w:rPr>
                <w:sz w:val="22"/>
                <w:szCs w:val="22"/>
                <w:lang w:val="en-GB"/>
              </w:rPr>
              <w:t>1.80</w:t>
            </w:r>
          </w:p>
        </w:tc>
        <w:tc>
          <w:tcPr>
            <w:tcW w:w="5478" w:type="dxa"/>
            <w:tcBorders>
              <w:top w:val="nil"/>
              <w:left w:val="nil"/>
              <w:bottom w:val="single" w:sz="4" w:space="0" w:color="auto"/>
              <w:right w:val="nil"/>
            </w:tcBorders>
            <w:shd w:val="clear" w:color="auto" w:fill="auto"/>
            <w:noWrap/>
            <w:vAlign w:val="bottom"/>
            <w:hideMark/>
          </w:tcPr>
          <w:p w14:paraId="10503170" w14:textId="77777777" w:rsidR="00067F3D" w:rsidRPr="00E14060" w:rsidRDefault="00067F3D" w:rsidP="00067F3D">
            <w:pPr>
              <w:jc w:val="center"/>
              <w:rPr>
                <w:sz w:val="22"/>
                <w:szCs w:val="22"/>
                <w:lang w:val="en-GB"/>
              </w:rPr>
            </w:pPr>
            <w:r w:rsidRPr="00E14060">
              <w:rPr>
                <w:sz w:val="22"/>
                <w:szCs w:val="22"/>
                <w:lang w:val="en-GB"/>
              </w:rPr>
              <w:t>(1.43, 2.27)</w:t>
            </w:r>
          </w:p>
        </w:tc>
      </w:tr>
    </w:tbl>
    <w:p w14:paraId="6699CA55" w14:textId="77777777" w:rsidR="00067F3D" w:rsidRPr="00E14060" w:rsidRDefault="00067F3D" w:rsidP="00AE3D2D">
      <w:pPr>
        <w:rPr>
          <w:lang w:val="en-GB"/>
        </w:rPr>
      </w:pPr>
    </w:p>
    <w:p w14:paraId="34F41E09" w14:textId="77777777" w:rsidR="00A37DD6" w:rsidRPr="00E14060" w:rsidRDefault="00A37DD6">
      <w:pPr>
        <w:rPr>
          <w:b/>
          <w:caps/>
          <w:sz w:val="28"/>
          <w:lang w:val="en-GB"/>
        </w:rPr>
      </w:pPr>
      <w:r w:rsidRPr="00E14060">
        <w:rPr>
          <w:lang w:val="en-GB"/>
        </w:rPr>
        <w:br w:type="page"/>
      </w:r>
    </w:p>
    <w:p w14:paraId="1430FC1D" w14:textId="77777777" w:rsidR="003D1022" w:rsidRPr="00E14060" w:rsidRDefault="003D1022" w:rsidP="003D1022">
      <w:pPr>
        <w:pStyle w:val="Heading3"/>
        <w:rPr>
          <w:color w:val="auto"/>
          <w:lang w:val="en-GB"/>
        </w:rPr>
      </w:pPr>
      <w:bookmarkStart w:id="296" w:name="_Toc384680537"/>
      <w:bookmarkStart w:id="297" w:name="_Toc384681017"/>
      <w:bookmarkStart w:id="298" w:name="_Toc384683023"/>
      <w:bookmarkStart w:id="299" w:name="_Toc361994283"/>
      <w:bookmarkStart w:id="300" w:name="_Toc362264713"/>
      <w:bookmarkStart w:id="301" w:name="_Toc362265224"/>
      <w:bookmarkStart w:id="302" w:name="_Toc362270202"/>
      <w:bookmarkStart w:id="303" w:name="_Toc362273167"/>
      <w:bookmarkStart w:id="304" w:name="_Toc375731778"/>
      <w:bookmarkStart w:id="305" w:name="_Toc384680542"/>
      <w:bookmarkStart w:id="306" w:name="_Toc384681022"/>
      <w:bookmarkStart w:id="307" w:name="_Toc384683028"/>
      <w:bookmarkStart w:id="308" w:name="_Toc384680543"/>
      <w:bookmarkStart w:id="309" w:name="_Toc384681023"/>
      <w:bookmarkStart w:id="310" w:name="_Toc384683029"/>
      <w:bookmarkStart w:id="311" w:name="_Toc384680544"/>
      <w:bookmarkStart w:id="312" w:name="_Toc384681024"/>
      <w:bookmarkStart w:id="313" w:name="_Toc384683030"/>
      <w:bookmarkStart w:id="314" w:name="_Toc384680545"/>
      <w:bookmarkStart w:id="315" w:name="_Toc384681025"/>
      <w:bookmarkStart w:id="316" w:name="_Toc384683031"/>
      <w:bookmarkStart w:id="317" w:name="_Toc402543856"/>
      <w:bookmarkStart w:id="318" w:name="_Toc384683032"/>
      <w:bookmarkStart w:id="319" w:name="_Toc391913786"/>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r w:rsidRPr="00E14060">
        <w:rPr>
          <w:color w:val="auto"/>
          <w:lang w:val="en-GB"/>
        </w:rPr>
        <w:lastRenderedPageBreak/>
        <w:t>Bayesian MTC results incorporating data extrapolated from ADHD-RS-IV and AISRS</w:t>
      </w:r>
      <w:bookmarkEnd w:id="317"/>
    </w:p>
    <w:p w14:paraId="3644AAE5" w14:textId="3B450B44" w:rsidR="00D5117F" w:rsidRPr="00E14060" w:rsidRDefault="003D1022" w:rsidP="003D1022">
      <w:pPr>
        <w:spacing w:before="240" w:after="240" w:line="360" w:lineRule="auto"/>
        <w:rPr>
          <w:sz w:val="24"/>
          <w:szCs w:val="24"/>
          <w:lang w:val="en-GB"/>
        </w:rPr>
      </w:pPr>
      <w:r w:rsidRPr="00E14060">
        <w:rPr>
          <w:sz w:val="24"/>
          <w:szCs w:val="24"/>
          <w:lang w:val="en-GB"/>
        </w:rPr>
        <w:t>Adding CGI-I response of ATX imputed from</w:t>
      </w:r>
      <w:r w:rsidR="00733C5D" w:rsidRPr="00E14060">
        <w:rPr>
          <w:sz w:val="24"/>
          <w:szCs w:val="24"/>
          <w:lang w:val="en-GB"/>
        </w:rPr>
        <w:t xml:space="preserve"> ADHD-RS-IV and AISRS in</w:t>
      </w:r>
      <w:r w:rsidRPr="00E14060">
        <w:rPr>
          <w:sz w:val="24"/>
          <w:szCs w:val="24"/>
          <w:lang w:val="en-GB"/>
        </w:rPr>
        <w:t xml:space="preserve"> the imputation analyses to the Bayesian MTC, LDX continued to be the treatment with the highest probability of being the most effective. The two methods of cutoff estimation ultimately yielded similar MTC results. Using the Goodman method for the imputation analysis</w:t>
      </w:r>
      <w:r w:rsidR="00733C5D" w:rsidRPr="00E14060">
        <w:rPr>
          <w:sz w:val="24"/>
          <w:szCs w:val="24"/>
          <w:lang w:val="en-GB"/>
        </w:rPr>
        <w:t xml:space="preserve"> and a random effects model</w:t>
      </w:r>
      <w:r w:rsidRPr="00E14060">
        <w:rPr>
          <w:sz w:val="24"/>
          <w:szCs w:val="24"/>
          <w:lang w:val="en-GB"/>
        </w:rPr>
        <w:t>, LDX had the highest probability of being the most effective treatment (</w:t>
      </w:r>
      <w:r w:rsidR="00733C5D" w:rsidRPr="00E14060">
        <w:rPr>
          <w:sz w:val="24"/>
          <w:szCs w:val="24"/>
          <w:lang w:val="en-GB"/>
        </w:rPr>
        <w:t>88.06</w:t>
      </w:r>
      <w:r w:rsidRPr="00E14060">
        <w:rPr>
          <w:sz w:val="24"/>
          <w:szCs w:val="24"/>
          <w:lang w:val="en-GB"/>
        </w:rPr>
        <w:t>%), followed by MPH-ER and ATX.</w:t>
      </w:r>
      <w:r w:rsidR="00241DBD" w:rsidRPr="00E14060">
        <w:rPr>
          <w:sz w:val="24"/>
          <w:szCs w:val="24"/>
          <w:lang w:val="en-GB"/>
        </w:rPr>
        <w:t xml:space="preserve"> </w:t>
      </w:r>
      <w:r w:rsidR="00E92265" w:rsidRPr="00E14060">
        <w:rPr>
          <w:sz w:val="24"/>
          <w:szCs w:val="24"/>
          <w:lang w:val="en-GB"/>
        </w:rPr>
        <w:t xml:space="preserve">Under the fixed effects models, the probability of LDX being the most efficacious treatment was 91.49%. </w:t>
      </w:r>
      <w:r w:rsidRPr="00E14060">
        <w:rPr>
          <w:sz w:val="24"/>
          <w:szCs w:val="24"/>
          <w:lang w:val="en-GB"/>
        </w:rPr>
        <w:t>Using the direct method for the imputation analysis</w:t>
      </w:r>
      <w:r w:rsidR="00733C5D" w:rsidRPr="00E14060">
        <w:rPr>
          <w:sz w:val="24"/>
          <w:szCs w:val="24"/>
          <w:lang w:val="en-GB"/>
        </w:rPr>
        <w:t xml:space="preserve"> and a random effects model</w:t>
      </w:r>
      <w:r w:rsidRPr="00E14060">
        <w:rPr>
          <w:sz w:val="24"/>
          <w:szCs w:val="24"/>
          <w:lang w:val="en-GB"/>
        </w:rPr>
        <w:t>, LDX had the highest probability of being the most effective treatment (</w:t>
      </w:r>
      <w:r w:rsidR="00733C5D" w:rsidRPr="00E14060">
        <w:rPr>
          <w:sz w:val="24"/>
          <w:szCs w:val="24"/>
          <w:lang w:val="en-GB"/>
        </w:rPr>
        <w:t>89.30</w:t>
      </w:r>
      <w:r w:rsidRPr="00E14060">
        <w:rPr>
          <w:sz w:val="24"/>
          <w:szCs w:val="24"/>
          <w:lang w:val="en-GB"/>
        </w:rPr>
        <w:t>%), followed by MPH-ER and ATX.</w:t>
      </w:r>
      <w:r w:rsidR="00E92265" w:rsidRPr="00E14060">
        <w:rPr>
          <w:sz w:val="24"/>
          <w:szCs w:val="24"/>
          <w:lang w:val="en-GB"/>
        </w:rPr>
        <w:t xml:space="preserve"> Under the fixed effects models, the probability of LDX being the most efficacious treatment was 91.34%.</w:t>
      </w:r>
      <w:r w:rsidR="00241DBD" w:rsidRPr="00E14060">
        <w:rPr>
          <w:sz w:val="24"/>
          <w:szCs w:val="24"/>
          <w:lang w:val="en-GB"/>
        </w:rPr>
        <w:t xml:space="preserve"> </w:t>
      </w:r>
      <w:r w:rsidRPr="00E14060">
        <w:rPr>
          <w:sz w:val="24"/>
          <w:szCs w:val="24"/>
          <w:lang w:val="en-GB"/>
        </w:rPr>
        <w:t xml:space="preserve">Complete Bayesian MTC results </w:t>
      </w:r>
      <w:r w:rsidR="00733C5D" w:rsidRPr="00E14060">
        <w:rPr>
          <w:sz w:val="24"/>
          <w:szCs w:val="24"/>
          <w:lang w:val="en-GB"/>
        </w:rPr>
        <w:t xml:space="preserve">for random and fixed effects </w:t>
      </w:r>
      <w:r w:rsidRPr="00E14060">
        <w:rPr>
          <w:sz w:val="24"/>
          <w:szCs w:val="24"/>
          <w:lang w:val="en-GB"/>
        </w:rPr>
        <w:t xml:space="preserve">are presented in </w:t>
      </w:r>
      <w:r w:rsidRPr="00E14060">
        <w:rPr>
          <w:b/>
          <w:sz w:val="24"/>
          <w:szCs w:val="24"/>
          <w:lang w:val="en-GB"/>
        </w:rPr>
        <w:t>Tables 14-17</w:t>
      </w:r>
      <w:r w:rsidRPr="00E14060">
        <w:rPr>
          <w:sz w:val="24"/>
          <w:szCs w:val="24"/>
          <w:lang w:val="en-GB"/>
        </w:rPr>
        <w:t>.</w:t>
      </w:r>
      <w:r w:rsidR="00241DBD" w:rsidRPr="00E14060">
        <w:rPr>
          <w:sz w:val="24"/>
          <w:szCs w:val="24"/>
          <w:lang w:val="en-GB"/>
        </w:rPr>
        <w:t xml:space="preserve"> </w:t>
      </w:r>
      <w:r w:rsidRPr="00E14060">
        <w:rPr>
          <w:sz w:val="24"/>
          <w:szCs w:val="24"/>
          <w:lang w:val="en-GB"/>
        </w:rPr>
        <w:t xml:space="preserve">The posterior distribution of LDX was concentrated at a higher relative risk for CGI-I response than MPH-ER and ATX. This was observed when using both the Goodman and direct estimation methods. </w:t>
      </w:r>
    </w:p>
    <w:tbl>
      <w:tblPr>
        <w:tblW w:w="10713" w:type="dxa"/>
        <w:tblInd w:w="108" w:type="dxa"/>
        <w:tblLook w:val="04A0" w:firstRow="1" w:lastRow="0" w:firstColumn="1" w:lastColumn="0" w:noHBand="0" w:noVBand="1"/>
      </w:tblPr>
      <w:tblGrid>
        <w:gridCol w:w="222"/>
        <w:gridCol w:w="1301"/>
        <w:gridCol w:w="271"/>
        <w:gridCol w:w="1733"/>
        <w:gridCol w:w="2126"/>
        <w:gridCol w:w="2692"/>
        <w:gridCol w:w="2368"/>
      </w:tblGrid>
      <w:tr w:rsidR="00F334F9" w:rsidRPr="00E14060" w14:paraId="1C775AAE" w14:textId="77777777" w:rsidTr="00106D7E">
        <w:trPr>
          <w:trHeight w:val="600"/>
        </w:trPr>
        <w:tc>
          <w:tcPr>
            <w:tcW w:w="10713" w:type="dxa"/>
            <w:gridSpan w:val="7"/>
            <w:tcBorders>
              <w:top w:val="nil"/>
              <w:left w:val="nil"/>
              <w:bottom w:val="nil"/>
              <w:right w:val="nil"/>
            </w:tcBorders>
            <w:shd w:val="clear" w:color="auto" w:fill="auto"/>
            <w:vAlign w:val="bottom"/>
            <w:hideMark/>
          </w:tcPr>
          <w:p w14:paraId="035CDC2D" w14:textId="77777777" w:rsidR="001E04A1" w:rsidRPr="00E14060" w:rsidRDefault="001E04A1" w:rsidP="001E04A1">
            <w:pPr>
              <w:jc w:val="center"/>
              <w:rPr>
                <w:b/>
                <w:bCs/>
                <w:sz w:val="22"/>
                <w:szCs w:val="22"/>
                <w:lang w:val="en-GB"/>
              </w:rPr>
            </w:pPr>
            <w:r w:rsidRPr="00E14060">
              <w:rPr>
                <w:b/>
                <w:bCs/>
                <w:sz w:val="22"/>
                <w:szCs w:val="22"/>
                <w:lang w:val="en-GB"/>
              </w:rPr>
              <w:t>Table 14. Odds ratios and relative risks for treatment response, as defined by a rating of 1 or 2 in CGI-I score (drug vs. placebo)</w:t>
            </w:r>
          </w:p>
        </w:tc>
      </w:tr>
      <w:tr w:rsidR="00F334F9" w:rsidRPr="00E14060" w14:paraId="57B19F22" w14:textId="77777777" w:rsidTr="00106D7E">
        <w:trPr>
          <w:trHeight w:val="300"/>
        </w:trPr>
        <w:tc>
          <w:tcPr>
            <w:tcW w:w="10713" w:type="dxa"/>
            <w:gridSpan w:val="7"/>
            <w:tcBorders>
              <w:top w:val="nil"/>
              <w:left w:val="nil"/>
              <w:bottom w:val="nil"/>
              <w:right w:val="nil"/>
            </w:tcBorders>
            <w:shd w:val="clear" w:color="auto" w:fill="auto"/>
            <w:noWrap/>
            <w:vAlign w:val="bottom"/>
            <w:hideMark/>
          </w:tcPr>
          <w:p w14:paraId="29DE7EC2" w14:textId="77777777" w:rsidR="001E04A1" w:rsidRPr="00E14060" w:rsidRDefault="001E04A1" w:rsidP="00106D7E">
            <w:pPr>
              <w:jc w:val="center"/>
              <w:rPr>
                <w:b/>
                <w:bCs/>
                <w:sz w:val="22"/>
                <w:szCs w:val="22"/>
                <w:lang w:val="en-GB"/>
              </w:rPr>
            </w:pPr>
            <w:r w:rsidRPr="00E14060">
              <w:rPr>
                <w:b/>
                <w:bCs/>
                <w:sz w:val="22"/>
                <w:szCs w:val="22"/>
                <w:lang w:val="en-GB"/>
              </w:rPr>
              <w:t>Quadratic regression (Goodman) extrapolation method for ATX arm (random effects model, combined doses)</w:t>
            </w:r>
          </w:p>
        </w:tc>
      </w:tr>
      <w:tr w:rsidR="00F334F9" w:rsidRPr="00E14060" w14:paraId="7383751E" w14:textId="77777777" w:rsidTr="00106D7E">
        <w:trPr>
          <w:trHeight w:val="300"/>
        </w:trPr>
        <w:tc>
          <w:tcPr>
            <w:tcW w:w="222" w:type="dxa"/>
            <w:tcBorders>
              <w:top w:val="nil"/>
              <w:left w:val="nil"/>
              <w:bottom w:val="nil"/>
              <w:right w:val="nil"/>
            </w:tcBorders>
            <w:shd w:val="clear" w:color="auto" w:fill="auto"/>
            <w:noWrap/>
            <w:vAlign w:val="bottom"/>
            <w:hideMark/>
          </w:tcPr>
          <w:p w14:paraId="5432C034" w14:textId="77777777" w:rsidR="000332DE" w:rsidRPr="00E14060" w:rsidRDefault="000332DE" w:rsidP="00106D7E">
            <w:pPr>
              <w:rPr>
                <w:sz w:val="22"/>
                <w:szCs w:val="22"/>
                <w:lang w:val="en-GB"/>
              </w:rPr>
            </w:pPr>
          </w:p>
        </w:tc>
        <w:tc>
          <w:tcPr>
            <w:tcW w:w="1301" w:type="dxa"/>
            <w:tcBorders>
              <w:top w:val="nil"/>
              <w:left w:val="nil"/>
              <w:bottom w:val="nil"/>
              <w:right w:val="nil"/>
            </w:tcBorders>
            <w:shd w:val="clear" w:color="auto" w:fill="auto"/>
            <w:noWrap/>
            <w:vAlign w:val="bottom"/>
            <w:hideMark/>
          </w:tcPr>
          <w:p w14:paraId="3A047776" w14:textId="77777777" w:rsidR="000332DE" w:rsidRPr="00E14060" w:rsidRDefault="000332DE" w:rsidP="00106D7E">
            <w:pPr>
              <w:rPr>
                <w:sz w:val="22"/>
                <w:szCs w:val="22"/>
                <w:lang w:val="en-GB"/>
              </w:rPr>
            </w:pPr>
          </w:p>
        </w:tc>
        <w:tc>
          <w:tcPr>
            <w:tcW w:w="271" w:type="dxa"/>
            <w:tcBorders>
              <w:top w:val="nil"/>
              <w:left w:val="nil"/>
              <w:bottom w:val="nil"/>
              <w:right w:val="nil"/>
            </w:tcBorders>
            <w:shd w:val="clear" w:color="auto" w:fill="auto"/>
            <w:noWrap/>
            <w:vAlign w:val="bottom"/>
            <w:hideMark/>
          </w:tcPr>
          <w:p w14:paraId="5867CB46" w14:textId="77777777" w:rsidR="000332DE" w:rsidRPr="00E14060" w:rsidRDefault="000332DE" w:rsidP="00106D7E">
            <w:pPr>
              <w:rPr>
                <w:sz w:val="22"/>
                <w:szCs w:val="22"/>
                <w:lang w:val="en-GB"/>
              </w:rPr>
            </w:pPr>
          </w:p>
        </w:tc>
        <w:tc>
          <w:tcPr>
            <w:tcW w:w="1733" w:type="dxa"/>
            <w:tcBorders>
              <w:top w:val="nil"/>
              <w:left w:val="nil"/>
              <w:bottom w:val="nil"/>
              <w:right w:val="nil"/>
            </w:tcBorders>
            <w:shd w:val="clear" w:color="auto" w:fill="auto"/>
            <w:noWrap/>
            <w:vAlign w:val="bottom"/>
            <w:hideMark/>
          </w:tcPr>
          <w:p w14:paraId="20EE1B5E" w14:textId="77777777" w:rsidR="000332DE" w:rsidRPr="00E14060" w:rsidRDefault="000332DE" w:rsidP="00106D7E">
            <w:pPr>
              <w:rPr>
                <w:sz w:val="22"/>
                <w:szCs w:val="22"/>
                <w:lang w:val="en-GB"/>
              </w:rPr>
            </w:pPr>
          </w:p>
        </w:tc>
        <w:tc>
          <w:tcPr>
            <w:tcW w:w="2126" w:type="dxa"/>
            <w:tcBorders>
              <w:top w:val="nil"/>
              <w:left w:val="nil"/>
              <w:bottom w:val="nil"/>
              <w:right w:val="nil"/>
            </w:tcBorders>
            <w:shd w:val="clear" w:color="auto" w:fill="auto"/>
            <w:noWrap/>
            <w:vAlign w:val="bottom"/>
            <w:hideMark/>
          </w:tcPr>
          <w:p w14:paraId="699C9DF1" w14:textId="77777777" w:rsidR="000332DE" w:rsidRPr="00E14060" w:rsidRDefault="000332DE" w:rsidP="00106D7E">
            <w:pPr>
              <w:rPr>
                <w:sz w:val="22"/>
                <w:szCs w:val="22"/>
                <w:lang w:val="en-GB"/>
              </w:rPr>
            </w:pPr>
          </w:p>
        </w:tc>
        <w:tc>
          <w:tcPr>
            <w:tcW w:w="2692" w:type="dxa"/>
            <w:tcBorders>
              <w:top w:val="nil"/>
              <w:left w:val="nil"/>
              <w:bottom w:val="nil"/>
              <w:right w:val="nil"/>
            </w:tcBorders>
            <w:shd w:val="clear" w:color="auto" w:fill="auto"/>
            <w:noWrap/>
            <w:vAlign w:val="bottom"/>
            <w:hideMark/>
          </w:tcPr>
          <w:p w14:paraId="38641A9E" w14:textId="77777777" w:rsidR="000332DE" w:rsidRPr="00E14060" w:rsidRDefault="000332DE" w:rsidP="00106D7E">
            <w:pPr>
              <w:rPr>
                <w:sz w:val="22"/>
                <w:szCs w:val="22"/>
                <w:lang w:val="en-GB"/>
              </w:rPr>
            </w:pPr>
          </w:p>
        </w:tc>
        <w:tc>
          <w:tcPr>
            <w:tcW w:w="2368" w:type="dxa"/>
            <w:tcBorders>
              <w:top w:val="nil"/>
              <w:left w:val="nil"/>
              <w:bottom w:val="nil"/>
              <w:right w:val="nil"/>
            </w:tcBorders>
            <w:shd w:val="clear" w:color="auto" w:fill="auto"/>
            <w:noWrap/>
            <w:vAlign w:val="bottom"/>
            <w:hideMark/>
          </w:tcPr>
          <w:p w14:paraId="735DE0BC" w14:textId="77777777" w:rsidR="000332DE" w:rsidRPr="00E14060" w:rsidRDefault="000332DE" w:rsidP="00106D7E">
            <w:pPr>
              <w:rPr>
                <w:sz w:val="22"/>
                <w:szCs w:val="22"/>
                <w:lang w:val="en-GB"/>
              </w:rPr>
            </w:pPr>
          </w:p>
        </w:tc>
      </w:tr>
      <w:tr w:rsidR="00F334F9" w:rsidRPr="00E14060" w14:paraId="7FBE7D13" w14:textId="77777777" w:rsidTr="00106D7E">
        <w:trPr>
          <w:trHeight w:val="870"/>
        </w:trPr>
        <w:tc>
          <w:tcPr>
            <w:tcW w:w="222" w:type="dxa"/>
            <w:tcBorders>
              <w:top w:val="nil"/>
              <w:left w:val="nil"/>
              <w:bottom w:val="nil"/>
              <w:right w:val="nil"/>
            </w:tcBorders>
            <w:shd w:val="clear" w:color="auto" w:fill="auto"/>
            <w:noWrap/>
            <w:vAlign w:val="bottom"/>
            <w:hideMark/>
          </w:tcPr>
          <w:p w14:paraId="15310499" w14:textId="77777777" w:rsidR="000332DE" w:rsidRPr="00E14060" w:rsidRDefault="000332DE" w:rsidP="00106D7E">
            <w:pPr>
              <w:rPr>
                <w:sz w:val="22"/>
                <w:szCs w:val="22"/>
                <w:lang w:val="en-GB"/>
              </w:rPr>
            </w:pPr>
          </w:p>
        </w:tc>
        <w:tc>
          <w:tcPr>
            <w:tcW w:w="1301" w:type="dxa"/>
            <w:tcBorders>
              <w:top w:val="single" w:sz="4" w:space="0" w:color="auto"/>
              <w:left w:val="nil"/>
              <w:bottom w:val="nil"/>
              <w:right w:val="nil"/>
            </w:tcBorders>
            <w:shd w:val="clear" w:color="auto" w:fill="auto"/>
            <w:noWrap/>
            <w:vAlign w:val="bottom"/>
            <w:hideMark/>
          </w:tcPr>
          <w:p w14:paraId="148A2F6F" w14:textId="77777777" w:rsidR="000332DE" w:rsidRPr="00E14060" w:rsidRDefault="000332DE" w:rsidP="00106D7E">
            <w:pPr>
              <w:rPr>
                <w:sz w:val="22"/>
                <w:szCs w:val="22"/>
                <w:lang w:val="en-GB"/>
              </w:rPr>
            </w:pPr>
            <w:r w:rsidRPr="00E14060">
              <w:rPr>
                <w:sz w:val="22"/>
                <w:szCs w:val="22"/>
                <w:lang w:val="en-GB"/>
              </w:rPr>
              <w:t> </w:t>
            </w:r>
          </w:p>
        </w:tc>
        <w:tc>
          <w:tcPr>
            <w:tcW w:w="271" w:type="dxa"/>
            <w:tcBorders>
              <w:top w:val="single" w:sz="4" w:space="0" w:color="auto"/>
              <w:left w:val="nil"/>
              <w:bottom w:val="nil"/>
              <w:right w:val="nil"/>
            </w:tcBorders>
            <w:shd w:val="clear" w:color="auto" w:fill="auto"/>
            <w:noWrap/>
            <w:vAlign w:val="bottom"/>
            <w:hideMark/>
          </w:tcPr>
          <w:p w14:paraId="144A849A" w14:textId="77777777" w:rsidR="000332DE" w:rsidRPr="00E14060" w:rsidRDefault="000332DE" w:rsidP="00106D7E">
            <w:pPr>
              <w:rPr>
                <w:sz w:val="22"/>
                <w:szCs w:val="22"/>
                <w:lang w:val="en-GB"/>
              </w:rPr>
            </w:pPr>
            <w:r w:rsidRPr="00E14060">
              <w:rPr>
                <w:sz w:val="22"/>
                <w:szCs w:val="22"/>
                <w:lang w:val="en-GB"/>
              </w:rPr>
              <w:t> </w:t>
            </w:r>
          </w:p>
        </w:tc>
        <w:tc>
          <w:tcPr>
            <w:tcW w:w="1733" w:type="dxa"/>
            <w:tcBorders>
              <w:top w:val="single" w:sz="4" w:space="0" w:color="auto"/>
              <w:left w:val="nil"/>
              <w:bottom w:val="single" w:sz="4" w:space="0" w:color="auto"/>
              <w:right w:val="nil"/>
            </w:tcBorders>
            <w:shd w:val="clear" w:color="auto" w:fill="auto"/>
            <w:vAlign w:val="bottom"/>
            <w:hideMark/>
          </w:tcPr>
          <w:p w14:paraId="09CDC22B" w14:textId="77777777" w:rsidR="000332DE" w:rsidRPr="00E14060" w:rsidRDefault="000332DE" w:rsidP="00106D7E">
            <w:pPr>
              <w:jc w:val="center"/>
              <w:rPr>
                <w:b/>
                <w:bCs/>
                <w:sz w:val="22"/>
                <w:szCs w:val="22"/>
                <w:lang w:val="en-GB"/>
              </w:rPr>
            </w:pPr>
            <w:r w:rsidRPr="00E14060">
              <w:rPr>
                <w:b/>
                <w:bCs/>
                <w:sz w:val="22"/>
                <w:szCs w:val="22"/>
                <w:lang w:val="en-GB"/>
              </w:rPr>
              <w:t>Odds Ratio</w:t>
            </w:r>
          </w:p>
        </w:tc>
        <w:tc>
          <w:tcPr>
            <w:tcW w:w="2126" w:type="dxa"/>
            <w:tcBorders>
              <w:top w:val="single" w:sz="4" w:space="0" w:color="auto"/>
              <w:left w:val="nil"/>
              <w:bottom w:val="single" w:sz="4" w:space="0" w:color="auto"/>
              <w:right w:val="nil"/>
            </w:tcBorders>
            <w:shd w:val="clear" w:color="auto" w:fill="auto"/>
            <w:vAlign w:val="bottom"/>
            <w:hideMark/>
          </w:tcPr>
          <w:p w14:paraId="359EA445" w14:textId="77777777" w:rsidR="000332DE" w:rsidRPr="00E14060" w:rsidRDefault="000332DE" w:rsidP="00106D7E">
            <w:pPr>
              <w:jc w:val="center"/>
              <w:rPr>
                <w:b/>
                <w:bCs/>
                <w:sz w:val="22"/>
                <w:szCs w:val="22"/>
                <w:lang w:val="en-GB"/>
              </w:rPr>
            </w:pPr>
            <w:r w:rsidRPr="00E14060">
              <w:rPr>
                <w:b/>
                <w:bCs/>
                <w:sz w:val="22"/>
                <w:szCs w:val="22"/>
                <w:lang w:val="en-GB"/>
              </w:rPr>
              <w:t>95% Credible Interval</w:t>
            </w:r>
          </w:p>
        </w:tc>
        <w:tc>
          <w:tcPr>
            <w:tcW w:w="2692" w:type="dxa"/>
            <w:tcBorders>
              <w:top w:val="single" w:sz="4" w:space="0" w:color="auto"/>
              <w:left w:val="nil"/>
              <w:bottom w:val="single" w:sz="4" w:space="0" w:color="auto"/>
              <w:right w:val="nil"/>
            </w:tcBorders>
            <w:shd w:val="clear" w:color="auto" w:fill="auto"/>
            <w:vAlign w:val="bottom"/>
            <w:hideMark/>
          </w:tcPr>
          <w:p w14:paraId="2210AAD5" w14:textId="77777777" w:rsidR="000332DE" w:rsidRPr="00E14060" w:rsidRDefault="000332DE" w:rsidP="00106D7E">
            <w:pPr>
              <w:jc w:val="center"/>
              <w:rPr>
                <w:b/>
                <w:bCs/>
                <w:sz w:val="22"/>
                <w:szCs w:val="22"/>
                <w:lang w:val="en-GB"/>
              </w:rPr>
            </w:pPr>
            <w:r w:rsidRPr="00E14060">
              <w:rPr>
                <w:b/>
                <w:bCs/>
                <w:sz w:val="22"/>
                <w:szCs w:val="22"/>
                <w:lang w:val="en-GB"/>
              </w:rPr>
              <w:t>Probability of the treatment being most effective among all</w:t>
            </w:r>
          </w:p>
        </w:tc>
        <w:tc>
          <w:tcPr>
            <w:tcW w:w="2368" w:type="dxa"/>
            <w:tcBorders>
              <w:top w:val="single" w:sz="4" w:space="0" w:color="auto"/>
              <w:left w:val="nil"/>
              <w:bottom w:val="single" w:sz="4" w:space="0" w:color="auto"/>
              <w:right w:val="nil"/>
            </w:tcBorders>
            <w:shd w:val="clear" w:color="auto" w:fill="auto"/>
            <w:vAlign w:val="bottom"/>
            <w:hideMark/>
          </w:tcPr>
          <w:p w14:paraId="747676F5" w14:textId="77777777" w:rsidR="000332DE" w:rsidRPr="00E14060" w:rsidRDefault="000332DE" w:rsidP="00106D7E">
            <w:pPr>
              <w:jc w:val="center"/>
              <w:rPr>
                <w:b/>
                <w:bCs/>
                <w:sz w:val="22"/>
                <w:szCs w:val="22"/>
                <w:lang w:val="en-GB"/>
              </w:rPr>
            </w:pPr>
            <w:r w:rsidRPr="00E14060">
              <w:rPr>
                <w:b/>
                <w:bCs/>
                <w:sz w:val="22"/>
                <w:szCs w:val="22"/>
                <w:lang w:val="en-GB"/>
              </w:rPr>
              <w:t>Probability of LDX being more effective compared to each treatment</w:t>
            </w:r>
          </w:p>
        </w:tc>
      </w:tr>
      <w:tr w:rsidR="00F334F9" w:rsidRPr="00E14060" w14:paraId="70194EE5" w14:textId="77777777" w:rsidTr="00106D7E">
        <w:trPr>
          <w:trHeight w:val="300"/>
        </w:trPr>
        <w:tc>
          <w:tcPr>
            <w:tcW w:w="222" w:type="dxa"/>
            <w:tcBorders>
              <w:top w:val="nil"/>
              <w:left w:val="nil"/>
              <w:bottom w:val="nil"/>
              <w:right w:val="nil"/>
            </w:tcBorders>
            <w:shd w:val="clear" w:color="auto" w:fill="auto"/>
            <w:noWrap/>
            <w:vAlign w:val="bottom"/>
            <w:hideMark/>
          </w:tcPr>
          <w:p w14:paraId="49D14DA5" w14:textId="77777777" w:rsidR="001E04A1" w:rsidRPr="00E14060" w:rsidRDefault="001E04A1" w:rsidP="00106D7E">
            <w:pPr>
              <w:rPr>
                <w:sz w:val="22"/>
                <w:szCs w:val="22"/>
                <w:lang w:val="en-GB"/>
              </w:rPr>
            </w:pPr>
          </w:p>
        </w:tc>
        <w:tc>
          <w:tcPr>
            <w:tcW w:w="1301" w:type="dxa"/>
            <w:tcBorders>
              <w:top w:val="nil"/>
              <w:left w:val="nil"/>
              <w:bottom w:val="nil"/>
              <w:right w:val="nil"/>
            </w:tcBorders>
            <w:shd w:val="clear" w:color="auto" w:fill="auto"/>
            <w:noWrap/>
            <w:vAlign w:val="bottom"/>
            <w:hideMark/>
          </w:tcPr>
          <w:p w14:paraId="7D9C83A3" w14:textId="77777777" w:rsidR="001E04A1" w:rsidRPr="00E14060" w:rsidRDefault="001E04A1" w:rsidP="00106D7E">
            <w:pPr>
              <w:rPr>
                <w:b/>
                <w:bCs/>
                <w:sz w:val="22"/>
                <w:szCs w:val="22"/>
                <w:lang w:val="en-GB"/>
              </w:rPr>
            </w:pPr>
            <w:r w:rsidRPr="00E14060">
              <w:rPr>
                <w:b/>
                <w:bCs/>
                <w:sz w:val="22"/>
                <w:szCs w:val="22"/>
                <w:lang w:val="en-GB"/>
              </w:rPr>
              <w:t>LDX</w:t>
            </w:r>
          </w:p>
        </w:tc>
        <w:tc>
          <w:tcPr>
            <w:tcW w:w="271" w:type="dxa"/>
            <w:tcBorders>
              <w:top w:val="nil"/>
              <w:left w:val="nil"/>
              <w:bottom w:val="nil"/>
              <w:right w:val="nil"/>
            </w:tcBorders>
            <w:shd w:val="clear" w:color="auto" w:fill="auto"/>
            <w:noWrap/>
            <w:vAlign w:val="bottom"/>
            <w:hideMark/>
          </w:tcPr>
          <w:p w14:paraId="7872F61A" w14:textId="77777777" w:rsidR="001E04A1" w:rsidRPr="00E14060" w:rsidRDefault="001E04A1" w:rsidP="00106D7E">
            <w:pPr>
              <w:rPr>
                <w:b/>
                <w:bCs/>
                <w:sz w:val="22"/>
                <w:szCs w:val="22"/>
                <w:lang w:val="en-GB"/>
              </w:rPr>
            </w:pPr>
          </w:p>
        </w:tc>
        <w:tc>
          <w:tcPr>
            <w:tcW w:w="1733" w:type="dxa"/>
            <w:tcBorders>
              <w:top w:val="nil"/>
              <w:left w:val="nil"/>
              <w:bottom w:val="nil"/>
              <w:right w:val="nil"/>
            </w:tcBorders>
            <w:shd w:val="clear" w:color="auto" w:fill="auto"/>
            <w:noWrap/>
            <w:vAlign w:val="bottom"/>
            <w:hideMark/>
          </w:tcPr>
          <w:p w14:paraId="6D58473E" w14:textId="77777777" w:rsidR="001E04A1" w:rsidRPr="00E14060" w:rsidRDefault="001E04A1" w:rsidP="00106D7E">
            <w:pPr>
              <w:jc w:val="center"/>
              <w:rPr>
                <w:sz w:val="22"/>
                <w:szCs w:val="22"/>
                <w:lang w:val="en-GB"/>
              </w:rPr>
            </w:pPr>
            <w:r w:rsidRPr="00E14060">
              <w:rPr>
                <w:sz w:val="22"/>
                <w:szCs w:val="22"/>
                <w:lang w:val="en-GB"/>
              </w:rPr>
              <w:t>4.37</w:t>
            </w:r>
          </w:p>
        </w:tc>
        <w:tc>
          <w:tcPr>
            <w:tcW w:w="2126" w:type="dxa"/>
            <w:tcBorders>
              <w:top w:val="nil"/>
              <w:left w:val="nil"/>
              <w:bottom w:val="nil"/>
              <w:right w:val="nil"/>
            </w:tcBorders>
            <w:shd w:val="clear" w:color="auto" w:fill="auto"/>
            <w:noWrap/>
            <w:vAlign w:val="bottom"/>
            <w:hideMark/>
          </w:tcPr>
          <w:p w14:paraId="6EB202D7" w14:textId="77777777" w:rsidR="001E04A1" w:rsidRPr="00E14060" w:rsidRDefault="001E04A1" w:rsidP="00106D7E">
            <w:pPr>
              <w:jc w:val="center"/>
              <w:rPr>
                <w:sz w:val="22"/>
                <w:szCs w:val="22"/>
                <w:lang w:val="en-GB"/>
              </w:rPr>
            </w:pPr>
            <w:r w:rsidRPr="00E14060">
              <w:rPr>
                <w:sz w:val="22"/>
                <w:szCs w:val="22"/>
                <w:lang w:val="en-GB"/>
              </w:rPr>
              <w:t>(2.67, 7.47)</w:t>
            </w:r>
          </w:p>
        </w:tc>
        <w:tc>
          <w:tcPr>
            <w:tcW w:w="2692" w:type="dxa"/>
            <w:tcBorders>
              <w:top w:val="nil"/>
              <w:left w:val="nil"/>
              <w:bottom w:val="nil"/>
              <w:right w:val="nil"/>
            </w:tcBorders>
            <w:shd w:val="clear" w:color="auto" w:fill="auto"/>
            <w:noWrap/>
            <w:vAlign w:val="bottom"/>
            <w:hideMark/>
          </w:tcPr>
          <w:p w14:paraId="3E23F2E8" w14:textId="77777777" w:rsidR="001E04A1" w:rsidRPr="00E14060" w:rsidRDefault="001E04A1" w:rsidP="00106D7E">
            <w:pPr>
              <w:jc w:val="center"/>
              <w:rPr>
                <w:sz w:val="22"/>
                <w:szCs w:val="22"/>
                <w:lang w:val="en-GB"/>
              </w:rPr>
            </w:pPr>
            <w:r w:rsidRPr="00E14060">
              <w:rPr>
                <w:sz w:val="22"/>
                <w:szCs w:val="22"/>
                <w:lang w:val="en-GB"/>
              </w:rPr>
              <w:t>88.06%</w:t>
            </w:r>
          </w:p>
        </w:tc>
        <w:tc>
          <w:tcPr>
            <w:tcW w:w="2368" w:type="dxa"/>
            <w:tcBorders>
              <w:top w:val="nil"/>
              <w:left w:val="nil"/>
              <w:bottom w:val="nil"/>
              <w:right w:val="nil"/>
            </w:tcBorders>
            <w:shd w:val="clear" w:color="auto" w:fill="auto"/>
            <w:noWrap/>
            <w:vAlign w:val="bottom"/>
            <w:hideMark/>
          </w:tcPr>
          <w:p w14:paraId="042A916A" w14:textId="77777777" w:rsidR="001E04A1" w:rsidRPr="00E14060" w:rsidRDefault="001E04A1" w:rsidP="00106D7E">
            <w:pPr>
              <w:jc w:val="center"/>
              <w:rPr>
                <w:sz w:val="22"/>
                <w:szCs w:val="22"/>
                <w:lang w:val="en-GB"/>
              </w:rPr>
            </w:pPr>
            <w:r w:rsidRPr="00E14060">
              <w:rPr>
                <w:sz w:val="22"/>
                <w:szCs w:val="22"/>
                <w:lang w:val="en-GB"/>
              </w:rPr>
              <w:t>--</w:t>
            </w:r>
          </w:p>
        </w:tc>
      </w:tr>
      <w:tr w:rsidR="00F334F9" w:rsidRPr="00E14060" w14:paraId="28D5FEEB" w14:textId="77777777" w:rsidTr="00106D7E">
        <w:trPr>
          <w:trHeight w:val="300"/>
        </w:trPr>
        <w:tc>
          <w:tcPr>
            <w:tcW w:w="222" w:type="dxa"/>
            <w:tcBorders>
              <w:top w:val="nil"/>
              <w:left w:val="nil"/>
              <w:bottom w:val="nil"/>
              <w:right w:val="nil"/>
            </w:tcBorders>
            <w:shd w:val="clear" w:color="auto" w:fill="auto"/>
            <w:noWrap/>
            <w:vAlign w:val="bottom"/>
            <w:hideMark/>
          </w:tcPr>
          <w:p w14:paraId="15F49AA9" w14:textId="77777777" w:rsidR="001E04A1" w:rsidRPr="00E14060" w:rsidRDefault="001E04A1" w:rsidP="00106D7E">
            <w:pPr>
              <w:rPr>
                <w:sz w:val="22"/>
                <w:szCs w:val="22"/>
                <w:lang w:val="en-GB"/>
              </w:rPr>
            </w:pPr>
          </w:p>
        </w:tc>
        <w:tc>
          <w:tcPr>
            <w:tcW w:w="1301" w:type="dxa"/>
            <w:tcBorders>
              <w:top w:val="nil"/>
              <w:left w:val="nil"/>
              <w:bottom w:val="nil"/>
              <w:right w:val="nil"/>
            </w:tcBorders>
            <w:shd w:val="clear" w:color="auto" w:fill="auto"/>
            <w:noWrap/>
            <w:vAlign w:val="bottom"/>
            <w:hideMark/>
          </w:tcPr>
          <w:p w14:paraId="63DDF56C" w14:textId="77777777" w:rsidR="001E04A1" w:rsidRPr="00E14060" w:rsidRDefault="001E04A1" w:rsidP="00106D7E">
            <w:pPr>
              <w:rPr>
                <w:b/>
                <w:bCs/>
                <w:sz w:val="22"/>
                <w:szCs w:val="22"/>
                <w:lang w:val="en-GB"/>
              </w:rPr>
            </w:pPr>
            <w:r w:rsidRPr="00E14060">
              <w:rPr>
                <w:b/>
                <w:bCs/>
                <w:sz w:val="22"/>
                <w:szCs w:val="22"/>
                <w:lang w:val="en-GB"/>
              </w:rPr>
              <w:t>ATX</w:t>
            </w:r>
          </w:p>
        </w:tc>
        <w:tc>
          <w:tcPr>
            <w:tcW w:w="271" w:type="dxa"/>
            <w:tcBorders>
              <w:top w:val="nil"/>
              <w:left w:val="nil"/>
              <w:bottom w:val="nil"/>
              <w:right w:val="nil"/>
            </w:tcBorders>
            <w:shd w:val="clear" w:color="auto" w:fill="auto"/>
            <w:noWrap/>
            <w:vAlign w:val="bottom"/>
            <w:hideMark/>
          </w:tcPr>
          <w:p w14:paraId="551D1AA2" w14:textId="77777777" w:rsidR="001E04A1" w:rsidRPr="00E14060" w:rsidRDefault="001E04A1" w:rsidP="00106D7E">
            <w:pPr>
              <w:rPr>
                <w:b/>
                <w:bCs/>
                <w:sz w:val="22"/>
                <w:szCs w:val="22"/>
                <w:lang w:val="en-GB"/>
              </w:rPr>
            </w:pPr>
          </w:p>
        </w:tc>
        <w:tc>
          <w:tcPr>
            <w:tcW w:w="1733" w:type="dxa"/>
            <w:tcBorders>
              <w:top w:val="nil"/>
              <w:left w:val="nil"/>
              <w:bottom w:val="nil"/>
              <w:right w:val="nil"/>
            </w:tcBorders>
            <w:shd w:val="clear" w:color="auto" w:fill="auto"/>
            <w:noWrap/>
            <w:vAlign w:val="bottom"/>
            <w:hideMark/>
          </w:tcPr>
          <w:p w14:paraId="58938FFE" w14:textId="77777777" w:rsidR="001E04A1" w:rsidRPr="00E14060" w:rsidRDefault="001E04A1" w:rsidP="00106D7E">
            <w:pPr>
              <w:jc w:val="center"/>
              <w:rPr>
                <w:sz w:val="22"/>
                <w:szCs w:val="22"/>
                <w:lang w:val="en-GB"/>
              </w:rPr>
            </w:pPr>
            <w:r w:rsidRPr="00E14060">
              <w:rPr>
                <w:sz w:val="22"/>
                <w:szCs w:val="22"/>
                <w:lang w:val="en-GB"/>
              </w:rPr>
              <w:t>1.92</w:t>
            </w:r>
          </w:p>
        </w:tc>
        <w:tc>
          <w:tcPr>
            <w:tcW w:w="2126" w:type="dxa"/>
            <w:tcBorders>
              <w:top w:val="nil"/>
              <w:left w:val="nil"/>
              <w:bottom w:val="nil"/>
              <w:right w:val="nil"/>
            </w:tcBorders>
            <w:shd w:val="clear" w:color="auto" w:fill="auto"/>
            <w:noWrap/>
            <w:vAlign w:val="bottom"/>
            <w:hideMark/>
          </w:tcPr>
          <w:p w14:paraId="3007E6A1" w14:textId="77777777" w:rsidR="001E04A1" w:rsidRPr="00E14060" w:rsidRDefault="001E04A1" w:rsidP="00106D7E">
            <w:pPr>
              <w:jc w:val="center"/>
              <w:rPr>
                <w:sz w:val="22"/>
                <w:szCs w:val="22"/>
                <w:lang w:val="en-GB"/>
              </w:rPr>
            </w:pPr>
            <w:r w:rsidRPr="00E14060">
              <w:rPr>
                <w:sz w:val="22"/>
                <w:szCs w:val="22"/>
                <w:lang w:val="en-GB"/>
              </w:rPr>
              <w:t>(1.42, 2.63)</w:t>
            </w:r>
          </w:p>
        </w:tc>
        <w:tc>
          <w:tcPr>
            <w:tcW w:w="2692" w:type="dxa"/>
            <w:tcBorders>
              <w:top w:val="nil"/>
              <w:left w:val="nil"/>
              <w:bottom w:val="nil"/>
              <w:right w:val="nil"/>
            </w:tcBorders>
            <w:shd w:val="clear" w:color="auto" w:fill="auto"/>
            <w:noWrap/>
            <w:vAlign w:val="bottom"/>
            <w:hideMark/>
          </w:tcPr>
          <w:p w14:paraId="3A2782C9" w14:textId="77777777" w:rsidR="001E04A1" w:rsidRPr="00E14060" w:rsidRDefault="001E04A1" w:rsidP="00106D7E">
            <w:pPr>
              <w:jc w:val="center"/>
              <w:rPr>
                <w:sz w:val="22"/>
                <w:szCs w:val="22"/>
                <w:lang w:val="en-GB"/>
              </w:rPr>
            </w:pPr>
            <w:r w:rsidRPr="00E14060">
              <w:rPr>
                <w:sz w:val="22"/>
                <w:szCs w:val="22"/>
                <w:lang w:val="en-GB"/>
              </w:rPr>
              <w:t>0.18%</w:t>
            </w:r>
          </w:p>
        </w:tc>
        <w:tc>
          <w:tcPr>
            <w:tcW w:w="2368" w:type="dxa"/>
            <w:tcBorders>
              <w:top w:val="nil"/>
              <w:left w:val="nil"/>
              <w:bottom w:val="nil"/>
              <w:right w:val="nil"/>
            </w:tcBorders>
            <w:shd w:val="clear" w:color="auto" w:fill="auto"/>
            <w:noWrap/>
            <w:vAlign w:val="bottom"/>
            <w:hideMark/>
          </w:tcPr>
          <w:p w14:paraId="18D119C3" w14:textId="77777777" w:rsidR="001E04A1" w:rsidRPr="00E14060" w:rsidRDefault="001E04A1" w:rsidP="00106D7E">
            <w:pPr>
              <w:jc w:val="center"/>
              <w:rPr>
                <w:sz w:val="22"/>
                <w:szCs w:val="22"/>
                <w:lang w:val="en-GB"/>
              </w:rPr>
            </w:pPr>
            <w:r w:rsidRPr="00E14060">
              <w:rPr>
                <w:sz w:val="22"/>
                <w:szCs w:val="22"/>
                <w:lang w:val="en-GB"/>
              </w:rPr>
              <w:t>99.51%</w:t>
            </w:r>
          </w:p>
        </w:tc>
      </w:tr>
      <w:tr w:rsidR="00F334F9" w:rsidRPr="00E14060" w14:paraId="664A36D5" w14:textId="77777777" w:rsidTr="00106D7E">
        <w:trPr>
          <w:trHeight w:val="300"/>
        </w:trPr>
        <w:tc>
          <w:tcPr>
            <w:tcW w:w="222" w:type="dxa"/>
            <w:tcBorders>
              <w:top w:val="nil"/>
              <w:left w:val="nil"/>
              <w:bottom w:val="nil"/>
              <w:right w:val="nil"/>
            </w:tcBorders>
            <w:shd w:val="clear" w:color="auto" w:fill="auto"/>
            <w:noWrap/>
            <w:vAlign w:val="bottom"/>
            <w:hideMark/>
          </w:tcPr>
          <w:p w14:paraId="34A1563D" w14:textId="77777777" w:rsidR="001E04A1" w:rsidRPr="00E14060" w:rsidRDefault="001E04A1" w:rsidP="00106D7E">
            <w:pPr>
              <w:rPr>
                <w:sz w:val="22"/>
                <w:szCs w:val="22"/>
                <w:lang w:val="en-GB"/>
              </w:rPr>
            </w:pPr>
          </w:p>
        </w:tc>
        <w:tc>
          <w:tcPr>
            <w:tcW w:w="1301" w:type="dxa"/>
            <w:tcBorders>
              <w:top w:val="nil"/>
              <w:left w:val="nil"/>
              <w:bottom w:val="single" w:sz="4" w:space="0" w:color="auto"/>
              <w:right w:val="nil"/>
            </w:tcBorders>
            <w:shd w:val="clear" w:color="auto" w:fill="auto"/>
            <w:noWrap/>
            <w:vAlign w:val="bottom"/>
            <w:hideMark/>
          </w:tcPr>
          <w:p w14:paraId="2C7625F9" w14:textId="77777777" w:rsidR="001E04A1" w:rsidRPr="00E14060" w:rsidRDefault="001E04A1" w:rsidP="00106D7E">
            <w:pPr>
              <w:rPr>
                <w:b/>
                <w:bCs/>
                <w:sz w:val="22"/>
                <w:szCs w:val="22"/>
                <w:lang w:val="en-GB"/>
              </w:rPr>
            </w:pPr>
            <w:r w:rsidRPr="00E14060">
              <w:rPr>
                <w:b/>
                <w:bCs/>
                <w:sz w:val="22"/>
                <w:szCs w:val="22"/>
                <w:lang w:val="en-GB"/>
              </w:rPr>
              <w:t>MPH-ER</w:t>
            </w:r>
          </w:p>
        </w:tc>
        <w:tc>
          <w:tcPr>
            <w:tcW w:w="271" w:type="dxa"/>
            <w:tcBorders>
              <w:top w:val="nil"/>
              <w:left w:val="nil"/>
              <w:bottom w:val="single" w:sz="4" w:space="0" w:color="auto"/>
              <w:right w:val="nil"/>
            </w:tcBorders>
            <w:shd w:val="clear" w:color="auto" w:fill="auto"/>
            <w:noWrap/>
            <w:vAlign w:val="bottom"/>
            <w:hideMark/>
          </w:tcPr>
          <w:p w14:paraId="4B9B83B1" w14:textId="77777777" w:rsidR="001E04A1" w:rsidRPr="00E14060" w:rsidRDefault="001E04A1" w:rsidP="00106D7E">
            <w:pPr>
              <w:rPr>
                <w:b/>
                <w:bCs/>
                <w:sz w:val="22"/>
                <w:szCs w:val="22"/>
                <w:lang w:val="en-GB"/>
              </w:rPr>
            </w:pPr>
            <w:r w:rsidRPr="00E14060">
              <w:rPr>
                <w:b/>
                <w:bCs/>
                <w:sz w:val="22"/>
                <w:szCs w:val="22"/>
                <w:lang w:val="en-GB"/>
              </w:rPr>
              <w:t> </w:t>
            </w:r>
          </w:p>
        </w:tc>
        <w:tc>
          <w:tcPr>
            <w:tcW w:w="1733" w:type="dxa"/>
            <w:tcBorders>
              <w:top w:val="nil"/>
              <w:left w:val="nil"/>
              <w:bottom w:val="single" w:sz="4" w:space="0" w:color="auto"/>
              <w:right w:val="nil"/>
            </w:tcBorders>
            <w:shd w:val="clear" w:color="auto" w:fill="auto"/>
            <w:noWrap/>
            <w:vAlign w:val="bottom"/>
            <w:hideMark/>
          </w:tcPr>
          <w:p w14:paraId="28180D05" w14:textId="77777777" w:rsidR="001E04A1" w:rsidRPr="00E14060" w:rsidRDefault="001E04A1" w:rsidP="00106D7E">
            <w:pPr>
              <w:jc w:val="center"/>
              <w:rPr>
                <w:sz w:val="22"/>
                <w:szCs w:val="22"/>
                <w:lang w:val="en-GB"/>
              </w:rPr>
            </w:pPr>
            <w:r w:rsidRPr="00E14060">
              <w:rPr>
                <w:sz w:val="22"/>
                <w:szCs w:val="22"/>
                <w:lang w:val="en-GB"/>
              </w:rPr>
              <w:t>2.93</w:t>
            </w:r>
          </w:p>
        </w:tc>
        <w:tc>
          <w:tcPr>
            <w:tcW w:w="2126" w:type="dxa"/>
            <w:tcBorders>
              <w:top w:val="nil"/>
              <w:left w:val="nil"/>
              <w:bottom w:val="single" w:sz="4" w:space="0" w:color="auto"/>
              <w:right w:val="nil"/>
            </w:tcBorders>
            <w:shd w:val="clear" w:color="auto" w:fill="auto"/>
            <w:noWrap/>
            <w:vAlign w:val="bottom"/>
            <w:hideMark/>
          </w:tcPr>
          <w:p w14:paraId="3DB84BFD" w14:textId="77777777" w:rsidR="001E04A1" w:rsidRPr="00E14060" w:rsidRDefault="001E04A1" w:rsidP="00106D7E">
            <w:pPr>
              <w:jc w:val="center"/>
              <w:rPr>
                <w:sz w:val="22"/>
                <w:szCs w:val="22"/>
                <w:lang w:val="en-GB"/>
              </w:rPr>
            </w:pPr>
            <w:r w:rsidRPr="00E14060">
              <w:rPr>
                <w:sz w:val="22"/>
                <w:szCs w:val="22"/>
                <w:lang w:val="en-GB"/>
              </w:rPr>
              <w:t>(1.85, 4.72)</w:t>
            </w:r>
          </w:p>
        </w:tc>
        <w:tc>
          <w:tcPr>
            <w:tcW w:w="2692" w:type="dxa"/>
            <w:tcBorders>
              <w:top w:val="nil"/>
              <w:left w:val="nil"/>
              <w:bottom w:val="single" w:sz="4" w:space="0" w:color="auto"/>
              <w:right w:val="nil"/>
            </w:tcBorders>
            <w:shd w:val="clear" w:color="auto" w:fill="auto"/>
            <w:noWrap/>
            <w:vAlign w:val="bottom"/>
            <w:hideMark/>
          </w:tcPr>
          <w:p w14:paraId="6247F436" w14:textId="77777777" w:rsidR="001E04A1" w:rsidRPr="00E14060" w:rsidRDefault="001E04A1" w:rsidP="00106D7E">
            <w:pPr>
              <w:jc w:val="center"/>
              <w:rPr>
                <w:sz w:val="22"/>
                <w:szCs w:val="22"/>
                <w:lang w:val="en-GB"/>
              </w:rPr>
            </w:pPr>
            <w:r w:rsidRPr="00E14060">
              <w:rPr>
                <w:sz w:val="22"/>
                <w:szCs w:val="22"/>
                <w:lang w:val="en-GB"/>
              </w:rPr>
              <w:t>11.76%</w:t>
            </w:r>
          </w:p>
        </w:tc>
        <w:tc>
          <w:tcPr>
            <w:tcW w:w="2368" w:type="dxa"/>
            <w:tcBorders>
              <w:top w:val="nil"/>
              <w:left w:val="nil"/>
              <w:bottom w:val="single" w:sz="4" w:space="0" w:color="auto"/>
              <w:right w:val="nil"/>
            </w:tcBorders>
            <w:shd w:val="clear" w:color="auto" w:fill="auto"/>
            <w:noWrap/>
            <w:vAlign w:val="bottom"/>
            <w:hideMark/>
          </w:tcPr>
          <w:p w14:paraId="7D70AA82" w14:textId="77777777" w:rsidR="001E04A1" w:rsidRPr="00E14060" w:rsidRDefault="001E04A1" w:rsidP="00106D7E">
            <w:pPr>
              <w:jc w:val="center"/>
              <w:rPr>
                <w:sz w:val="22"/>
                <w:szCs w:val="22"/>
                <w:lang w:val="en-GB"/>
              </w:rPr>
            </w:pPr>
            <w:r w:rsidRPr="00E14060">
              <w:rPr>
                <w:sz w:val="22"/>
                <w:szCs w:val="22"/>
                <w:lang w:val="en-GB"/>
              </w:rPr>
              <w:t>88.20%</w:t>
            </w:r>
          </w:p>
        </w:tc>
      </w:tr>
      <w:tr w:rsidR="00F334F9" w:rsidRPr="00E14060" w14:paraId="6D354F35" w14:textId="77777777" w:rsidTr="00106D7E">
        <w:trPr>
          <w:trHeight w:val="300"/>
        </w:trPr>
        <w:tc>
          <w:tcPr>
            <w:tcW w:w="222" w:type="dxa"/>
            <w:tcBorders>
              <w:top w:val="nil"/>
              <w:left w:val="nil"/>
              <w:bottom w:val="nil"/>
              <w:right w:val="nil"/>
            </w:tcBorders>
            <w:shd w:val="clear" w:color="auto" w:fill="auto"/>
            <w:noWrap/>
            <w:vAlign w:val="bottom"/>
            <w:hideMark/>
          </w:tcPr>
          <w:p w14:paraId="48268217" w14:textId="77777777" w:rsidR="000332DE" w:rsidRPr="00E14060" w:rsidRDefault="000332DE" w:rsidP="00106D7E">
            <w:pPr>
              <w:rPr>
                <w:sz w:val="22"/>
                <w:szCs w:val="22"/>
                <w:lang w:val="en-GB"/>
              </w:rPr>
            </w:pPr>
          </w:p>
        </w:tc>
        <w:tc>
          <w:tcPr>
            <w:tcW w:w="1301" w:type="dxa"/>
            <w:tcBorders>
              <w:top w:val="nil"/>
              <w:left w:val="nil"/>
              <w:bottom w:val="nil"/>
              <w:right w:val="nil"/>
            </w:tcBorders>
            <w:shd w:val="clear" w:color="auto" w:fill="auto"/>
            <w:noWrap/>
            <w:vAlign w:val="bottom"/>
            <w:hideMark/>
          </w:tcPr>
          <w:p w14:paraId="085977BD" w14:textId="77777777" w:rsidR="000332DE" w:rsidRPr="00E14060" w:rsidRDefault="000332DE" w:rsidP="00106D7E">
            <w:pPr>
              <w:rPr>
                <w:sz w:val="22"/>
                <w:szCs w:val="22"/>
                <w:lang w:val="en-GB"/>
              </w:rPr>
            </w:pPr>
          </w:p>
        </w:tc>
        <w:tc>
          <w:tcPr>
            <w:tcW w:w="271" w:type="dxa"/>
            <w:tcBorders>
              <w:top w:val="nil"/>
              <w:left w:val="nil"/>
              <w:bottom w:val="nil"/>
              <w:right w:val="nil"/>
            </w:tcBorders>
            <w:shd w:val="clear" w:color="auto" w:fill="auto"/>
            <w:noWrap/>
            <w:vAlign w:val="bottom"/>
            <w:hideMark/>
          </w:tcPr>
          <w:p w14:paraId="6B5336CB" w14:textId="77777777" w:rsidR="000332DE" w:rsidRPr="00E14060" w:rsidRDefault="000332DE" w:rsidP="00106D7E">
            <w:pPr>
              <w:rPr>
                <w:sz w:val="22"/>
                <w:szCs w:val="22"/>
                <w:lang w:val="en-GB"/>
              </w:rPr>
            </w:pPr>
          </w:p>
        </w:tc>
        <w:tc>
          <w:tcPr>
            <w:tcW w:w="1733" w:type="dxa"/>
            <w:tcBorders>
              <w:top w:val="nil"/>
              <w:left w:val="nil"/>
              <w:bottom w:val="nil"/>
              <w:right w:val="nil"/>
            </w:tcBorders>
            <w:shd w:val="clear" w:color="auto" w:fill="auto"/>
            <w:noWrap/>
            <w:vAlign w:val="bottom"/>
            <w:hideMark/>
          </w:tcPr>
          <w:p w14:paraId="7269FF3B" w14:textId="77777777" w:rsidR="000332DE" w:rsidRPr="00E14060" w:rsidRDefault="000332DE" w:rsidP="00106D7E">
            <w:pPr>
              <w:rPr>
                <w:sz w:val="22"/>
                <w:szCs w:val="22"/>
                <w:lang w:val="en-GB"/>
              </w:rPr>
            </w:pPr>
          </w:p>
        </w:tc>
        <w:tc>
          <w:tcPr>
            <w:tcW w:w="2126" w:type="dxa"/>
            <w:tcBorders>
              <w:top w:val="single" w:sz="4" w:space="0" w:color="auto"/>
              <w:left w:val="nil"/>
              <w:bottom w:val="single" w:sz="4" w:space="0" w:color="auto"/>
              <w:right w:val="nil"/>
            </w:tcBorders>
            <w:shd w:val="clear" w:color="auto" w:fill="auto"/>
            <w:noWrap/>
            <w:vAlign w:val="bottom"/>
            <w:hideMark/>
          </w:tcPr>
          <w:p w14:paraId="67717371" w14:textId="77777777" w:rsidR="000332DE" w:rsidRPr="00E14060" w:rsidRDefault="000332DE" w:rsidP="00106D7E">
            <w:pPr>
              <w:jc w:val="center"/>
              <w:rPr>
                <w:sz w:val="22"/>
                <w:szCs w:val="22"/>
                <w:lang w:val="en-GB"/>
              </w:rPr>
            </w:pPr>
          </w:p>
        </w:tc>
        <w:tc>
          <w:tcPr>
            <w:tcW w:w="2692" w:type="dxa"/>
            <w:tcBorders>
              <w:top w:val="single" w:sz="4" w:space="0" w:color="auto"/>
              <w:left w:val="nil"/>
              <w:bottom w:val="single" w:sz="4" w:space="0" w:color="auto"/>
              <w:right w:val="nil"/>
            </w:tcBorders>
            <w:shd w:val="clear" w:color="auto" w:fill="auto"/>
            <w:noWrap/>
            <w:vAlign w:val="bottom"/>
            <w:hideMark/>
          </w:tcPr>
          <w:p w14:paraId="06669D61" w14:textId="77777777" w:rsidR="000332DE" w:rsidRPr="00E14060" w:rsidRDefault="000332DE" w:rsidP="00106D7E">
            <w:pPr>
              <w:rPr>
                <w:sz w:val="22"/>
                <w:szCs w:val="22"/>
                <w:lang w:val="en-GB"/>
              </w:rPr>
            </w:pPr>
          </w:p>
        </w:tc>
        <w:tc>
          <w:tcPr>
            <w:tcW w:w="2368" w:type="dxa"/>
            <w:tcBorders>
              <w:top w:val="nil"/>
              <w:left w:val="nil"/>
              <w:bottom w:val="nil"/>
              <w:right w:val="nil"/>
            </w:tcBorders>
            <w:shd w:val="clear" w:color="auto" w:fill="auto"/>
            <w:noWrap/>
            <w:vAlign w:val="bottom"/>
            <w:hideMark/>
          </w:tcPr>
          <w:p w14:paraId="29B05839" w14:textId="77777777" w:rsidR="000332DE" w:rsidRPr="00E14060" w:rsidRDefault="000332DE" w:rsidP="00106D7E">
            <w:pPr>
              <w:rPr>
                <w:sz w:val="22"/>
                <w:szCs w:val="22"/>
                <w:lang w:val="en-GB"/>
              </w:rPr>
            </w:pPr>
          </w:p>
        </w:tc>
      </w:tr>
      <w:tr w:rsidR="00F334F9" w:rsidRPr="00E14060" w14:paraId="13CB412B" w14:textId="77777777" w:rsidTr="00106D7E">
        <w:trPr>
          <w:trHeight w:val="870"/>
        </w:trPr>
        <w:tc>
          <w:tcPr>
            <w:tcW w:w="222" w:type="dxa"/>
            <w:tcBorders>
              <w:top w:val="nil"/>
              <w:left w:val="nil"/>
              <w:bottom w:val="nil"/>
              <w:right w:val="nil"/>
            </w:tcBorders>
            <w:shd w:val="clear" w:color="auto" w:fill="auto"/>
            <w:noWrap/>
            <w:vAlign w:val="bottom"/>
            <w:hideMark/>
          </w:tcPr>
          <w:p w14:paraId="312C8F8D" w14:textId="77777777" w:rsidR="000332DE" w:rsidRPr="00E14060" w:rsidRDefault="000332DE" w:rsidP="00106D7E">
            <w:pPr>
              <w:rPr>
                <w:sz w:val="22"/>
                <w:szCs w:val="22"/>
                <w:lang w:val="en-GB"/>
              </w:rPr>
            </w:pPr>
          </w:p>
        </w:tc>
        <w:tc>
          <w:tcPr>
            <w:tcW w:w="1301" w:type="dxa"/>
            <w:tcBorders>
              <w:top w:val="single" w:sz="4" w:space="0" w:color="auto"/>
              <w:left w:val="nil"/>
              <w:bottom w:val="nil"/>
              <w:right w:val="nil"/>
            </w:tcBorders>
            <w:shd w:val="clear" w:color="auto" w:fill="auto"/>
            <w:noWrap/>
            <w:vAlign w:val="bottom"/>
            <w:hideMark/>
          </w:tcPr>
          <w:p w14:paraId="158BF243" w14:textId="77777777" w:rsidR="000332DE" w:rsidRPr="00E14060" w:rsidRDefault="000332DE" w:rsidP="00106D7E">
            <w:pPr>
              <w:rPr>
                <w:sz w:val="22"/>
                <w:szCs w:val="22"/>
                <w:lang w:val="en-GB"/>
              </w:rPr>
            </w:pPr>
            <w:r w:rsidRPr="00E14060">
              <w:rPr>
                <w:sz w:val="22"/>
                <w:szCs w:val="22"/>
                <w:lang w:val="en-GB"/>
              </w:rPr>
              <w:t> </w:t>
            </w:r>
          </w:p>
        </w:tc>
        <w:tc>
          <w:tcPr>
            <w:tcW w:w="271" w:type="dxa"/>
            <w:tcBorders>
              <w:top w:val="single" w:sz="4" w:space="0" w:color="auto"/>
              <w:left w:val="nil"/>
              <w:bottom w:val="nil"/>
              <w:right w:val="nil"/>
            </w:tcBorders>
            <w:shd w:val="clear" w:color="auto" w:fill="auto"/>
            <w:noWrap/>
            <w:vAlign w:val="bottom"/>
            <w:hideMark/>
          </w:tcPr>
          <w:p w14:paraId="34D9A63E" w14:textId="77777777" w:rsidR="000332DE" w:rsidRPr="00E14060" w:rsidRDefault="000332DE" w:rsidP="00106D7E">
            <w:pPr>
              <w:rPr>
                <w:sz w:val="22"/>
                <w:szCs w:val="22"/>
                <w:lang w:val="en-GB"/>
              </w:rPr>
            </w:pPr>
            <w:r w:rsidRPr="00E14060">
              <w:rPr>
                <w:sz w:val="22"/>
                <w:szCs w:val="22"/>
                <w:lang w:val="en-GB"/>
              </w:rPr>
              <w:t> </w:t>
            </w:r>
          </w:p>
        </w:tc>
        <w:tc>
          <w:tcPr>
            <w:tcW w:w="1733" w:type="dxa"/>
            <w:tcBorders>
              <w:top w:val="single" w:sz="4" w:space="0" w:color="auto"/>
              <w:left w:val="nil"/>
              <w:bottom w:val="single" w:sz="4" w:space="0" w:color="auto"/>
              <w:right w:val="nil"/>
            </w:tcBorders>
            <w:shd w:val="clear" w:color="auto" w:fill="auto"/>
            <w:vAlign w:val="bottom"/>
            <w:hideMark/>
          </w:tcPr>
          <w:p w14:paraId="1CCB7151" w14:textId="77777777" w:rsidR="000332DE" w:rsidRPr="00E14060" w:rsidRDefault="000332DE" w:rsidP="00106D7E">
            <w:pPr>
              <w:jc w:val="center"/>
              <w:rPr>
                <w:b/>
                <w:bCs/>
                <w:sz w:val="22"/>
                <w:szCs w:val="22"/>
                <w:lang w:val="en-GB"/>
              </w:rPr>
            </w:pPr>
            <w:r w:rsidRPr="00E14060">
              <w:rPr>
                <w:b/>
                <w:bCs/>
                <w:sz w:val="22"/>
                <w:szCs w:val="22"/>
                <w:lang w:val="en-GB"/>
              </w:rPr>
              <w:t>Relative risk of drug vs. placebo</w:t>
            </w:r>
          </w:p>
        </w:tc>
        <w:tc>
          <w:tcPr>
            <w:tcW w:w="2126" w:type="dxa"/>
            <w:tcBorders>
              <w:top w:val="single" w:sz="4" w:space="0" w:color="auto"/>
              <w:left w:val="nil"/>
              <w:bottom w:val="single" w:sz="4" w:space="0" w:color="auto"/>
              <w:right w:val="nil"/>
            </w:tcBorders>
            <w:shd w:val="clear" w:color="auto" w:fill="auto"/>
            <w:vAlign w:val="bottom"/>
            <w:hideMark/>
          </w:tcPr>
          <w:p w14:paraId="43C6ED45" w14:textId="77777777" w:rsidR="000332DE" w:rsidRPr="00E14060" w:rsidRDefault="000332DE" w:rsidP="00106D7E">
            <w:pPr>
              <w:jc w:val="center"/>
              <w:rPr>
                <w:b/>
                <w:bCs/>
                <w:sz w:val="22"/>
                <w:szCs w:val="22"/>
                <w:lang w:val="en-GB"/>
              </w:rPr>
            </w:pPr>
            <w:r w:rsidRPr="00E14060">
              <w:rPr>
                <w:b/>
                <w:bCs/>
                <w:sz w:val="22"/>
                <w:szCs w:val="22"/>
                <w:lang w:val="en-GB"/>
              </w:rPr>
              <w:t>95% Credible interval for relative risk</w:t>
            </w:r>
          </w:p>
        </w:tc>
        <w:tc>
          <w:tcPr>
            <w:tcW w:w="2692" w:type="dxa"/>
            <w:tcBorders>
              <w:top w:val="single" w:sz="4" w:space="0" w:color="auto"/>
              <w:left w:val="nil"/>
              <w:bottom w:val="single" w:sz="4" w:space="0" w:color="auto"/>
              <w:right w:val="nil"/>
            </w:tcBorders>
            <w:shd w:val="clear" w:color="auto" w:fill="auto"/>
            <w:vAlign w:val="bottom"/>
          </w:tcPr>
          <w:p w14:paraId="4189366D" w14:textId="77777777" w:rsidR="000332DE" w:rsidRPr="00E14060" w:rsidRDefault="000332DE" w:rsidP="00106D7E">
            <w:pPr>
              <w:jc w:val="center"/>
              <w:rPr>
                <w:b/>
                <w:sz w:val="22"/>
                <w:szCs w:val="22"/>
                <w:lang w:val="en-GB"/>
              </w:rPr>
            </w:pPr>
            <w:r w:rsidRPr="00E14060">
              <w:rPr>
                <w:b/>
                <w:sz w:val="22"/>
                <w:szCs w:val="22"/>
                <w:lang w:val="en-GB"/>
              </w:rPr>
              <w:t>Response rate</w:t>
            </w:r>
          </w:p>
          <w:p w14:paraId="47F9BC94" w14:textId="77777777" w:rsidR="000332DE" w:rsidRPr="00E14060" w:rsidRDefault="000332DE" w:rsidP="00106D7E">
            <w:pPr>
              <w:jc w:val="center"/>
              <w:rPr>
                <w:b/>
                <w:bCs/>
                <w:sz w:val="22"/>
                <w:szCs w:val="22"/>
                <w:lang w:val="en-GB"/>
              </w:rPr>
            </w:pPr>
          </w:p>
        </w:tc>
        <w:tc>
          <w:tcPr>
            <w:tcW w:w="2368" w:type="dxa"/>
            <w:tcBorders>
              <w:top w:val="nil"/>
              <w:left w:val="nil"/>
              <w:bottom w:val="nil"/>
              <w:right w:val="nil"/>
            </w:tcBorders>
            <w:shd w:val="clear" w:color="auto" w:fill="auto"/>
            <w:vAlign w:val="bottom"/>
            <w:hideMark/>
          </w:tcPr>
          <w:p w14:paraId="52C45075" w14:textId="77777777" w:rsidR="000332DE" w:rsidRPr="00E14060" w:rsidRDefault="000332DE" w:rsidP="00106D7E">
            <w:pPr>
              <w:jc w:val="center"/>
              <w:rPr>
                <w:b/>
                <w:bCs/>
                <w:sz w:val="22"/>
                <w:szCs w:val="22"/>
                <w:lang w:val="en-GB"/>
              </w:rPr>
            </w:pPr>
            <w:r w:rsidRPr="00E14060">
              <w:rPr>
                <w:b/>
                <w:bCs/>
                <w:sz w:val="22"/>
                <w:szCs w:val="22"/>
                <w:lang w:val="en-GB"/>
              </w:rPr>
              <w:t xml:space="preserve">Placebo Risk </w:t>
            </w:r>
          </w:p>
          <w:p w14:paraId="504F7869" w14:textId="77777777" w:rsidR="000332DE" w:rsidRPr="00E14060" w:rsidRDefault="000332DE" w:rsidP="00106D7E">
            <w:pPr>
              <w:jc w:val="center"/>
              <w:rPr>
                <w:b/>
                <w:bCs/>
                <w:sz w:val="22"/>
                <w:szCs w:val="22"/>
                <w:lang w:val="en-GB"/>
              </w:rPr>
            </w:pPr>
            <w:r w:rsidRPr="00E14060">
              <w:rPr>
                <w:b/>
                <w:bCs/>
                <w:sz w:val="22"/>
                <w:szCs w:val="22"/>
                <w:lang w:val="en-GB"/>
              </w:rPr>
              <w:t>(95% CI)</w:t>
            </w:r>
            <w:r w:rsidRPr="00E14060">
              <w:rPr>
                <w:rStyle w:val="FootnoteReference"/>
                <w:b/>
                <w:bCs/>
                <w:sz w:val="22"/>
                <w:szCs w:val="22"/>
                <w:lang w:val="en-GB"/>
              </w:rPr>
              <w:footnoteReference w:id="11"/>
            </w:r>
            <w:r w:rsidRPr="00E14060" w:rsidDel="001A78D0">
              <w:rPr>
                <w:b/>
                <w:bCs/>
                <w:sz w:val="22"/>
                <w:szCs w:val="22"/>
                <w:vertAlign w:val="superscript"/>
                <w:lang w:val="en-GB"/>
              </w:rPr>
              <w:t xml:space="preserve"> </w:t>
            </w:r>
          </w:p>
        </w:tc>
      </w:tr>
      <w:tr w:rsidR="00F334F9" w:rsidRPr="00E14060" w14:paraId="758D1EDF" w14:textId="77777777" w:rsidTr="00106D7E">
        <w:trPr>
          <w:trHeight w:val="300"/>
        </w:trPr>
        <w:tc>
          <w:tcPr>
            <w:tcW w:w="222" w:type="dxa"/>
            <w:tcBorders>
              <w:top w:val="nil"/>
              <w:left w:val="nil"/>
              <w:bottom w:val="nil"/>
              <w:right w:val="nil"/>
            </w:tcBorders>
            <w:shd w:val="clear" w:color="auto" w:fill="auto"/>
            <w:noWrap/>
            <w:vAlign w:val="bottom"/>
            <w:hideMark/>
          </w:tcPr>
          <w:p w14:paraId="778FCD1C" w14:textId="77777777" w:rsidR="001E04A1" w:rsidRPr="00E14060" w:rsidRDefault="001E04A1" w:rsidP="00106D7E">
            <w:pPr>
              <w:rPr>
                <w:sz w:val="22"/>
                <w:szCs w:val="22"/>
                <w:lang w:val="en-GB"/>
              </w:rPr>
            </w:pPr>
          </w:p>
        </w:tc>
        <w:tc>
          <w:tcPr>
            <w:tcW w:w="1301" w:type="dxa"/>
            <w:tcBorders>
              <w:top w:val="nil"/>
              <w:left w:val="nil"/>
              <w:bottom w:val="nil"/>
              <w:right w:val="nil"/>
            </w:tcBorders>
            <w:shd w:val="clear" w:color="auto" w:fill="auto"/>
            <w:noWrap/>
            <w:vAlign w:val="bottom"/>
            <w:hideMark/>
          </w:tcPr>
          <w:p w14:paraId="62BC97BE" w14:textId="77777777" w:rsidR="001E04A1" w:rsidRPr="00E14060" w:rsidRDefault="001E04A1" w:rsidP="00106D7E">
            <w:pPr>
              <w:rPr>
                <w:b/>
                <w:bCs/>
                <w:sz w:val="22"/>
                <w:szCs w:val="22"/>
                <w:lang w:val="en-GB"/>
              </w:rPr>
            </w:pPr>
            <w:r w:rsidRPr="00E14060">
              <w:rPr>
                <w:b/>
                <w:bCs/>
                <w:sz w:val="22"/>
                <w:szCs w:val="22"/>
                <w:lang w:val="en-GB"/>
              </w:rPr>
              <w:t>LDX</w:t>
            </w:r>
          </w:p>
        </w:tc>
        <w:tc>
          <w:tcPr>
            <w:tcW w:w="271" w:type="dxa"/>
            <w:tcBorders>
              <w:top w:val="nil"/>
              <w:left w:val="nil"/>
              <w:bottom w:val="nil"/>
              <w:right w:val="nil"/>
            </w:tcBorders>
            <w:shd w:val="clear" w:color="auto" w:fill="auto"/>
            <w:noWrap/>
            <w:vAlign w:val="bottom"/>
            <w:hideMark/>
          </w:tcPr>
          <w:p w14:paraId="78163581" w14:textId="77777777" w:rsidR="001E04A1" w:rsidRPr="00E14060" w:rsidRDefault="001E04A1" w:rsidP="00106D7E">
            <w:pPr>
              <w:rPr>
                <w:sz w:val="22"/>
                <w:szCs w:val="22"/>
                <w:lang w:val="en-GB"/>
              </w:rPr>
            </w:pPr>
          </w:p>
        </w:tc>
        <w:tc>
          <w:tcPr>
            <w:tcW w:w="1733" w:type="dxa"/>
            <w:tcBorders>
              <w:top w:val="nil"/>
              <w:left w:val="nil"/>
              <w:bottom w:val="nil"/>
              <w:right w:val="nil"/>
            </w:tcBorders>
            <w:shd w:val="clear" w:color="auto" w:fill="auto"/>
            <w:noWrap/>
            <w:vAlign w:val="bottom"/>
            <w:hideMark/>
          </w:tcPr>
          <w:p w14:paraId="070F7BC5" w14:textId="77777777" w:rsidR="001E04A1" w:rsidRPr="00E14060" w:rsidRDefault="001E04A1" w:rsidP="00106D7E">
            <w:pPr>
              <w:jc w:val="center"/>
              <w:rPr>
                <w:sz w:val="22"/>
                <w:szCs w:val="22"/>
                <w:lang w:val="en-GB"/>
              </w:rPr>
            </w:pPr>
            <w:r w:rsidRPr="00E14060">
              <w:rPr>
                <w:sz w:val="22"/>
                <w:szCs w:val="22"/>
                <w:lang w:val="en-GB"/>
              </w:rPr>
              <w:t>1.99</w:t>
            </w:r>
          </w:p>
        </w:tc>
        <w:tc>
          <w:tcPr>
            <w:tcW w:w="2126" w:type="dxa"/>
            <w:tcBorders>
              <w:top w:val="single" w:sz="4" w:space="0" w:color="auto"/>
              <w:left w:val="nil"/>
              <w:bottom w:val="nil"/>
              <w:right w:val="nil"/>
            </w:tcBorders>
            <w:shd w:val="clear" w:color="auto" w:fill="auto"/>
            <w:noWrap/>
            <w:vAlign w:val="bottom"/>
            <w:hideMark/>
          </w:tcPr>
          <w:p w14:paraId="780BE93D" w14:textId="77777777" w:rsidR="001E04A1" w:rsidRPr="00E14060" w:rsidRDefault="001E04A1" w:rsidP="00106D7E">
            <w:pPr>
              <w:jc w:val="center"/>
              <w:rPr>
                <w:sz w:val="22"/>
                <w:szCs w:val="22"/>
                <w:lang w:val="en-GB"/>
              </w:rPr>
            </w:pPr>
            <w:r w:rsidRPr="00E14060">
              <w:rPr>
                <w:sz w:val="22"/>
                <w:szCs w:val="22"/>
                <w:lang w:val="en-GB"/>
              </w:rPr>
              <w:t>(1.67, 2.30)</w:t>
            </w:r>
          </w:p>
        </w:tc>
        <w:tc>
          <w:tcPr>
            <w:tcW w:w="2692" w:type="dxa"/>
            <w:tcBorders>
              <w:top w:val="single" w:sz="4" w:space="0" w:color="auto"/>
              <w:left w:val="nil"/>
              <w:bottom w:val="nil"/>
              <w:right w:val="nil"/>
            </w:tcBorders>
            <w:shd w:val="clear" w:color="auto" w:fill="auto"/>
            <w:noWrap/>
            <w:vAlign w:val="bottom"/>
          </w:tcPr>
          <w:p w14:paraId="7BFFBD98" w14:textId="77777777" w:rsidR="001E04A1" w:rsidRPr="00E14060" w:rsidRDefault="001E04A1" w:rsidP="00106D7E">
            <w:pPr>
              <w:jc w:val="center"/>
              <w:rPr>
                <w:sz w:val="22"/>
                <w:szCs w:val="22"/>
                <w:lang w:val="en-GB"/>
              </w:rPr>
            </w:pPr>
            <w:r w:rsidRPr="00E14060">
              <w:rPr>
                <w:sz w:val="22"/>
                <w:szCs w:val="22"/>
                <w:lang w:val="en-GB"/>
              </w:rPr>
              <w:t>0.70</w:t>
            </w:r>
          </w:p>
        </w:tc>
        <w:tc>
          <w:tcPr>
            <w:tcW w:w="2368" w:type="dxa"/>
            <w:tcBorders>
              <w:top w:val="nil"/>
              <w:left w:val="nil"/>
              <w:bottom w:val="nil"/>
              <w:right w:val="nil"/>
            </w:tcBorders>
            <w:shd w:val="clear" w:color="auto" w:fill="auto"/>
            <w:noWrap/>
            <w:vAlign w:val="bottom"/>
            <w:hideMark/>
          </w:tcPr>
          <w:p w14:paraId="1D197AEA" w14:textId="77777777" w:rsidR="001E04A1" w:rsidRPr="00E14060" w:rsidRDefault="001E04A1" w:rsidP="00106D7E">
            <w:pPr>
              <w:jc w:val="center"/>
              <w:rPr>
                <w:sz w:val="22"/>
                <w:szCs w:val="22"/>
                <w:lang w:val="en-GB"/>
              </w:rPr>
            </w:pPr>
            <w:r w:rsidRPr="00E14060">
              <w:rPr>
                <w:sz w:val="22"/>
                <w:szCs w:val="22"/>
                <w:lang w:val="en-GB"/>
              </w:rPr>
              <w:t>0.3537</w:t>
            </w:r>
          </w:p>
        </w:tc>
      </w:tr>
      <w:tr w:rsidR="00F334F9" w:rsidRPr="00E14060" w14:paraId="5AA89213" w14:textId="77777777" w:rsidTr="00106D7E">
        <w:trPr>
          <w:trHeight w:val="300"/>
        </w:trPr>
        <w:tc>
          <w:tcPr>
            <w:tcW w:w="222" w:type="dxa"/>
            <w:tcBorders>
              <w:top w:val="nil"/>
              <w:left w:val="nil"/>
              <w:bottom w:val="nil"/>
              <w:right w:val="nil"/>
            </w:tcBorders>
            <w:shd w:val="clear" w:color="auto" w:fill="auto"/>
            <w:noWrap/>
            <w:vAlign w:val="bottom"/>
            <w:hideMark/>
          </w:tcPr>
          <w:p w14:paraId="41E6563C" w14:textId="77777777" w:rsidR="001E04A1" w:rsidRPr="00E14060" w:rsidRDefault="001E04A1" w:rsidP="00106D7E">
            <w:pPr>
              <w:rPr>
                <w:sz w:val="22"/>
                <w:szCs w:val="22"/>
                <w:lang w:val="en-GB"/>
              </w:rPr>
            </w:pPr>
          </w:p>
        </w:tc>
        <w:tc>
          <w:tcPr>
            <w:tcW w:w="1301" w:type="dxa"/>
            <w:tcBorders>
              <w:top w:val="nil"/>
              <w:left w:val="nil"/>
              <w:bottom w:val="nil"/>
              <w:right w:val="nil"/>
            </w:tcBorders>
            <w:shd w:val="clear" w:color="auto" w:fill="auto"/>
            <w:noWrap/>
            <w:vAlign w:val="bottom"/>
            <w:hideMark/>
          </w:tcPr>
          <w:p w14:paraId="3C871423" w14:textId="77777777" w:rsidR="001E04A1" w:rsidRPr="00E14060" w:rsidRDefault="001E04A1" w:rsidP="00106D7E">
            <w:pPr>
              <w:rPr>
                <w:b/>
                <w:bCs/>
                <w:sz w:val="22"/>
                <w:szCs w:val="22"/>
                <w:lang w:val="en-GB"/>
              </w:rPr>
            </w:pPr>
            <w:r w:rsidRPr="00E14060">
              <w:rPr>
                <w:b/>
                <w:bCs/>
                <w:sz w:val="22"/>
                <w:szCs w:val="22"/>
                <w:lang w:val="en-GB"/>
              </w:rPr>
              <w:t>ATX</w:t>
            </w:r>
          </w:p>
        </w:tc>
        <w:tc>
          <w:tcPr>
            <w:tcW w:w="271" w:type="dxa"/>
            <w:tcBorders>
              <w:top w:val="nil"/>
              <w:left w:val="nil"/>
              <w:bottom w:val="nil"/>
              <w:right w:val="nil"/>
            </w:tcBorders>
            <w:shd w:val="clear" w:color="auto" w:fill="auto"/>
            <w:noWrap/>
            <w:vAlign w:val="bottom"/>
            <w:hideMark/>
          </w:tcPr>
          <w:p w14:paraId="251C627A" w14:textId="77777777" w:rsidR="001E04A1" w:rsidRPr="00E14060" w:rsidRDefault="001E04A1" w:rsidP="00106D7E">
            <w:pPr>
              <w:rPr>
                <w:sz w:val="22"/>
                <w:szCs w:val="22"/>
                <w:lang w:val="en-GB"/>
              </w:rPr>
            </w:pPr>
          </w:p>
        </w:tc>
        <w:tc>
          <w:tcPr>
            <w:tcW w:w="1733" w:type="dxa"/>
            <w:tcBorders>
              <w:top w:val="nil"/>
              <w:left w:val="nil"/>
              <w:bottom w:val="nil"/>
              <w:right w:val="nil"/>
            </w:tcBorders>
            <w:shd w:val="clear" w:color="auto" w:fill="auto"/>
            <w:noWrap/>
            <w:vAlign w:val="bottom"/>
            <w:hideMark/>
          </w:tcPr>
          <w:p w14:paraId="4CFA9B0A" w14:textId="77777777" w:rsidR="001E04A1" w:rsidRPr="00E14060" w:rsidRDefault="001E04A1" w:rsidP="00106D7E">
            <w:pPr>
              <w:jc w:val="center"/>
              <w:rPr>
                <w:sz w:val="22"/>
                <w:szCs w:val="22"/>
                <w:lang w:val="en-GB"/>
              </w:rPr>
            </w:pPr>
            <w:r w:rsidRPr="00E14060">
              <w:rPr>
                <w:sz w:val="22"/>
                <w:szCs w:val="22"/>
                <w:lang w:val="en-GB"/>
              </w:rPr>
              <w:t>1.45</w:t>
            </w:r>
          </w:p>
        </w:tc>
        <w:tc>
          <w:tcPr>
            <w:tcW w:w="2126" w:type="dxa"/>
            <w:tcBorders>
              <w:top w:val="nil"/>
              <w:left w:val="nil"/>
              <w:bottom w:val="nil"/>
              <w:right w:val="nil"/>
            </w:tcBorders>
            <w:shd w:val="clear" w:color="auto" w:fill="auto"/>
            <w:noWrap/>
            <w:vAlign w:val="bottom"/>
            <w:hideMark/>
          </w:tcPr>
          <w:p w14:paraId="451ABBBA" w14:textId="77777777" w:rsidR="001E04A1" w:rsidRPr="00E14060" w:rsidRDefault="001E04A1" w:rsidP="00106D7E">
            <w:pPr>
              <w:jc w:val="center"/>
              <w:rPr>
                <w:sz w:val="22"/>
                <w:szCs w:val="22"/>
                <w:lang w:val="en-GB"/>
              </w:rPr>
            </w:pPr>
            <w:r w:rsidRPr="00E14060">
              <w:rPr>
                <w:sz w:val="22"/>
                <w:szCs w:val="22"/>
                <w:lang w:val="en-GB"/>
              </w:rPr>
              <w:t>(1.23, 1.67)</w:t>
            </w:r>
          </w:p>
        </w:tc>
        <w:tc>
          <w:tcPr>
            <w:tcW w:w="2692" w:type="dxa"/>
            <w:tcBorders>
              <w:top w:val="nil"/>
              <w:left w:val="nil"/>
              <w:bottom w:val="nil"/>
              <w:right w:val="nil"/>
            </w:tcBorders>
            <w:shd w:val="clear" w:color="auto" w:fill="auto"/>
            <w:noWrap/>
            <w:vAlign w:val="bottom"/>
          </w:tcPr>
          <w:p w14:paraId="2DA0BA65" w14:textId="77777777" w:rsidR="001E04A1" w:rsidRPr="00E14060" w:rsidRDefault="001E04A1" w:rsidP="00106D7E">
            <w:pPr>
              <w:jc w:val="center"/>
              <w:rPr>
                <w:sz w:val="22"/>
                <w:szCs w:val="22"/>
                <w:lang w:val="en-GB"/>
              </w:rPr>
            </w:pPr>
            <w:r w:rsidRPr="00E14060">
              <w:rPr>
                <w:sz w:val="22"/>
                <w:szCs w:val="22"/>
                <w:lang w:val="en-GB"/>
              </w:rPr>
              <w:t>0.51</w:t>
            </w:r>
          </w:p>
        </w:tc>
        <w:tc>
          <w:tcPr>
            <w:tcW w:w="2368" w:type="dxa"/>
            <w:tcBorders>
              <w:top w:val="nil"/>
              <w:left w:val="nil"/>
              <w:bottom w:val="nil"/>
              <w:right w:val="nil"/>
            </w:tcBorders>
            <w:shd w:val="clear" w:color="auto" w:fill="auto"/>
            <w:noWrap/>
            <w:vAlign w:val="bottom"/>
            <w:hideMark/>
          </w:tcPr>
          <w:p w14:paraId="0A1B76C8" w14:textId="77777777" w:rsidR="001E04A1" w:rsidRPr="00E14060" w:rsidRDefault="001E04A1" w:rsidP="00106D7E">
            <w:pPr>
              <w:jc w:val="center"/>
              <w:rPr>
                <w:sz w:val="22"/>
                <w:szCs w:val="22"/>
                <w:lang w:val="en-GB"/>
              </w:rPr>
            </w:pPr>
            <w:r w:rsidRPr="00E14060">
              <w:rPr>
                <w:sz w:val="22"/>
                <w:szCs w:val="22"/>
                <w:lang w:val="en-GB"/>
              </w:rPr>
              <w:t>(0.323, 0.384)</w:t>
            </w:r>
          </w:p>
        </w:tc>
      </w:tr>
      <w:tr w:rsidR="00F334F9" w:rsidRPr="00E14060" w14:paraId="60DF7A60" w14:textId="77777777" w:rsidTr="00106D7E">
        <w:trPr>
          <w:trHeight w:val="300"/>
        </w:trPr>
        <w:tc>
          <w:tcPr>
            <w:tcW w:w="222" w:type="dxa"/>
            <w:tcBorders>
              <w:top w:val="nil"/>
              <w:left w:val="nil"/>
              <w:bottom w:val="nil"/>
              <w:right w:val="nil"/>
            </w:tcBorders>
            <w:shd w:val="clear" w:color="auto" w:fill="auto"/>
            <w:noWrap/>
            <w:vAlign w:val="bottom"/>
            <w:hideMark/>
          </w:tcPr>
          <w:p w14:paraId="0FF8BE51" w14:textId="77777777" w:rsidR="001E04A1" w:rsidRPr="00E14060" w:rsidRDefault="001E04A1" w:rsidP="00106D7E">
            <w:pPr>
              <w:rPr>
                <w:sz w:val="22"/>
                <w:szCs w:val="22"/>
                <w:lang w:val="en-GB"/>
              </w:rPr>
            </w:pPr>
          </w:p>
        </w:tc>
        <w:tc>
          <w:tcPr>
            <w:tcW w:w="1301" w:type="dxa"/>
            <w:tcBorders>
              <w:top w:val="nil"/>
              <w:left w:val="nil"/>
              <w:bottom w:val="single" w:sz="4" w:space="0" w:color="auto"/>
              <w:right w:val="nil"/>
            </w:tcBorders>
            <w:shd w:val="clear" w:color="auto" w:fill="auto"/>
            <w:noWrap/>
            <w:vAlign w:val="bottom"/>
            <w:hideMark/>
          </w:tcPr>
          <w:p w14:paraId="54A9F3FA" w14:textId="77777777" w:rsidR="001E04A1" w:rsidRPr="00E14060" w:rsidRDefault="001E04A1" w:rsidP="00106D7E">
            <w:pPr>
              <w:rPr>
                <w:b/>
                <w:bCs/>
                <w:sz w:val="22"/>
                <w:szCs w:val="22"/>
                <w:lang w:val="en-GB"/>
              </w:rPr>
            </w:pPr>
            <w:r w:rsidRPr="00E14060">
              <w:rPr>
                <w:b/>
                <w:bCs/>
                <w:sz w:val="22"/>
                <w:szCs w:val="22"/>
                <w:lang w:val="en-GB"/>
              </w:rPr>
              <w:t>MPH-ER</w:t>
            </w:r>
          </w:p>
        </w:tc>
        <w:tc>
          <w:tcPr>
            <w:tcW w:w="271" w:type="dxa"/>
            <w:tcBorders>
              <w:top w:val="nil"/>
              <w:left w:val="nil"/>
              <w:bottom w:val="single" w:sz="4" w:space="0" w:color="auto"/>
              <w:right w:val="nil"/>
            </w:tcBorders>
            <w:shd w:val="clear" w:color="auto" w:fill="auto"/>
            <w:noWrap/>
            <w:vAlign w:val="bottom"/>
            <w:hideMark/>
          </w:tcPr>
          <w:p w14:paraId="1701B3C3" w14:textId="77777777" w:rsidR="001E04A1" w:rsidRPr="00E14060" w:rsidRDefault="001E04A1" w:rsidP="00106D7E">
            <w:pPr>
              <w:rPr>
                <w:sz w:val="22"/>
                <w:szCs w:val="22"/>
                <w:lang w:val="en-GB"/>
              </w:rPr>
            </w:pPr>
            <w:r w:rsidRPr="00E14060">
              <w:rPr>
                <w:sz w:val="22"/>
                <w:szCs w:val="22"/>
                <w:lang w:val="en-GB"/>
              </w:rPr>
              <w:t> </w:t>
            </w:r>
          </w:p>
        </w:tc>
        <w:tc>
          <w:tcPr>
            <w:tcW w:w="1733" w:type="dxa"/>
            <w:tcBorders>
              <w:top w:val="nil"/>
              <w:left w:val="nil"/>
              <w:bottom w:val="single" w:sz="4" w:space="0" w:color="auto"/>
              <w:right w:val="nil"/>
            </w:tcBorders>
            <w:shd w:val="clear" w:color="auto" w:fill="auto"/>
            <w:noWrap/>
            <w:vAlign w:val="bottom"/>
            <w:hideMark/>
          </w:tcPr>
          <w:p w14:paraId="3759EF92" w14:textId="77777777" w:rsidR="001E04A1" w:rsidRPr="00E14060" w:rsidRDefault="001E04A1" w:rsidP="00106D7E">
            <w:pPr>
              <w:jc w:val="center"/>
              <w:rPr>
                <w:sz w:val="22"/>
                <w:szCs w:val="22"/>
                <w:lang w:val="en-GB"/>
              </w:rPr>
            </w:pPr>
            <w:r w:rsidRPr="00E14060">
              <w:rPr>
                <w:sz w:val="22"/>
                <w:szCs w:val="22"/>
                <w:lang w:val="en-GB"/>
              </w:rPr>
              <w:t>1.74</w:t>
            </w:r>
          </w:p>
        </w:tc>
        <w:tc>
          <w:tcPr>
            <w:tcW w:w="2126" w:type="dxa"/>
            <w:tcBorders>
              <w:top w:val="nil"/>
              <w:left w:val="nil"/>
              <w:bottom w:val="single" w:sz="4" w:space="0" w:color="auto"/>
              <w:right w:val="nil"/>
            </w:tcBorders>
            <w:shd w:val="clear" w:color="auto" w:fill="auto"/>
            <w:noWrap/>
            <w:vAlign w:val="bottom"/>
            <w:hideMark/>
          </w:tcPr>
          <w:p w14:paraId="10488291" w14:textId="77777777" w:rsidR="001E04A1" w:rsidRPr="00E14060" w:rsidRDefault="001E04A1" w:rsidP="00106D7E">
            <w:pPr>
              <w:jc w:val="center"/>
              <w:rPr>
                <w:sz w:val="22"/>
                <w:szCs w:val="22"/>
                <w:lang w:val="en-GB"/>
              </w:rPr>
            </w:pPr>
            <w:r w:rsidRPr="00E14060">
              <w:rPr>
                <w:sz w:val="22"/>
                <w:szCs w:val="22"/>
                <w:lang w:val="en-GB"/>
              </w:rPr>
              <w:t>(1.42, 2.05)</w:t>
            </w:r>
          </w:p>
        </w:tc>
        <w:tc>
          <w:tcPr>
            <w:tcW w:w="2692" w:type="dxa"/>
            <w:tcBorders>
              <w:top w:val="nil"/>
              <w:left w:val="nil"/>
              <w:bottom w:val="single" w:sz="4" w:space="0" w:color="auto"/>
              <w:right w:val="nil"/>
            </w:tcBorders>
            <w:shd w:val="clear" w:color="auto" w:fill="auto"/>
            <w:noWrap/>
            <w:vAlign w:val="bottom"/>
            <w:hideMark/>
          </w:tcPr>
          <w:p w14:paraId="48C5B5F0" w14:textId="77777777" w:rsidR="001E04A1" w:rsidRPr="00E14060" w:rsidRDefault="001E04A1" w:rsidP="00106D7E">
            <w:pPr>
              <w:jc w:val="center"/>
              <w:rPr>
                <w:sz w:val="22"/>
                <w:szCs w:val="22"/>
                <w:lang w:val="en-GB"/>
              </w:rPr>
            </w:pPr>
            <w:r w:rsidRPr="00E14060">
              <w:rPr>
                <w:sz w:val="22"/>
                <w:szCs w:val="22"/>
                <w:lang w:val="en-GB"/>
              </w:rPr>
              <w:t>0.61</w:t>
            </w:r>
          </w:p>
        </w:tc>
        <w:tc>
          <w:tcPr>
            <w:tcW w:w="2368" w:type="dxa"/>
            <w:tcBorders>
              <w:top w:val="nil"/>
              <w:left w:val="nil"/>
              <w:bottom w:val="nil"/>
              <w:right w:val="nil"/>
            </w:tcBorders>
            <w:shd w:val="clear" w:color="auto" w:fill="auto"/>
            <w:noWrap/>
            <w:vAlign w:val="bottom"/>
            <w:hideMark/>
          </w:tcPr>
          <w:p w14:paraId="63E19A0B" w14:textId="77777777" w:rsidR="001E04A1" w:rsidRPr="00E14060" w:rsidRDefault="001E04A1" w:rsidP="00106D7E">
            <w:pPr>
              <w:jc w:val="center"/>
              <w:rPr>
                <w:sz w:val="22"/>
                <w:szCs w:val="22"/>
                <w:lang w:val="en-GB"/>
              </w:rPr>
            </w:pPr>
          </w:p>
        </w:tc>
      </w:tr>
    </w:tbl>
    <w:p w14:paraId="7866A1AB" w14:textId="77777777" w:rsidR="00621ED5" w:rsidRPr="00E14060" w:rsidRDefault="00621ED5" w:rsidP="003D1022">
      <w:pPr>
        <w:spacing w:before="240" w:after="240" w:line="360" w:lineRule="auto"/>
        <w:rPr>
          <w:sz w:val="24"/>
          <w:szCs w:val="24"/>
          <w:lang w:val="en-GB"/>
        </w:rPr>
      </w:pPr>
    </w:p>
    <w:p w14:paraId="14551370" w14:textId="77777777" w:rsidR="00106D7E" w:rsidRPr="00E14060" w:rsidRDefault="00106D7E">
      <w:pPr>
        <w:rPr>
          <w:lang w:val="en-GB"/>
        </w:rPr>
      </w:pPr>
      <w:r w:rsidRPr="00E14060">
        <w:rPr>
          <w:lang w:val="en-GB"/>
        </w:rPr>
        <w:br w:type="page"/>
      </w:r>
    </w:p>
    <w:tbl>
      <w:tblPr>
        <w:tblW w:w="10713" w:type="dxa"/>
        <w:tblInd w:w="108" w:type="dxa"/>
        <w:tblLook w:val="04A0" w:firstRow="1" w:lastRow="0" w:firstColumn="1" w:lastColumn="0" w:noHBand="0" w:noVBand="1"/>
      </w:tblPr>
      <w:tblGrid>
        <w:gridCol w:w="222"/>
        <w:gridCol w:w="1301"/>
        <w:gridCol w:w="271"/>
        <w:gridCol w:w="1733"/>
        <w:gridCol w:w="2126"/>
        <w:gridCol w:w="2692"/>
        <w:gridCol w:w="2368"/>
      </w:tblGrid>
      <w:tr w:rsidR="00F334F9" w:rsidRPr="00E14060" w14:paraId="46F02058" w14:textId="77777777" w:rsidTr="00106D7E">
        <w:trPr>
          <w:trHeight w:val="600"/>
        </w:trPr>
        <w:tc>
          <w:tcPr>
            <w:tcW w:w="10713" w:type="dxa"/>
            <w:gridSpan w:val="7"/>
            <w:tcBorders>
              <w:top w:val="nil"/>
              <w:left w:val="nil"/>
              <w:bottom w:val="nil"/>
              <w:right w:val="nil"/>
            </w:tcBorders>
            <w:shd w:val="clear" w:color="auto" w:fill="auto"/>
            <w:vAlign w:val="bottom"/>
            <w:hideMark/>
          </w:tcPr>
          <w:p w14:paraId="1ED75BF9" w14:textId="77777777" w:rsidR="001E04A1" w:rsidRPr="00E14060" w:rsidRDefault="001E04A1" w:rsidP="001E04A1">
            <w:pPr>
              <w:jc w:val="center"/>
              <w:rPr>
                <w:b/>
                <w:bCs/>
                <w:sz w:val="22"/>
                <w:szCs w:val="22"/>
                <w:lang w:val="en-GB"/>
              </w:rPr>
            </w:pPr>
            <w:r w:rsidRPr="00E14060">
              <w:rPr>
                <w:b/>
                <w:bCs/>
                <w:sz w:val="22"/>
                <w:szCs w:val="22"/>
                <w:lang w:val="en-GB"/>
              </w:rPr>
              <w:lastRenderedPageBreak/>
              <w:t>Table 15. Odds ratios and relative risks for treatment response, as defined by a rating of 1 or 2 in CGI-I score (drug vs. placebo)</w:t>
            </w:r>
          </w:p>
        </w:tc>
      </w:tr>
      <w:tr w:rsidR="00F334F9" w:rsidRPr="00E14060" w14:paraId="2CDAE7F5" w14:textId="77777777" w:rsidTr="00106D7E">
        <w:trPr>
          <w:trHeight w:val="300"/>
        </w:trPr>
        <w:tc>
          <w:tcPr>
            <w:tcW w:w="10713" w:type="dxa"/>
            <w:gridSpan w:val="7"/>
            <w:tcBorders>
              <w:top w:val="nil"/>
              <w:left w:val="nil"/>
              <w:bottom w:val="nil"/>
              <w:right w:val="nil"/>
            </w:tcBorders>
            <w:shd w:val="clear" w:color="auto" w:fill="auto"/>
            <w:noWrap/>
            <w:vAlign w:val="bottom"/>
            <w:hideMark/>
          </w:tcPr>
          <w:p w14:paraId="0515B55A" w14:textId="77777777" w:rsidR="001E04A1" w:rsidRPr="00E14060" w:rsidRDefault="001E04A1" w:rsidP="00106D7E">
            <w:pPr>
              <w:jc w:val="center"/>
              <w:rPr>
                <w:b/>
                <w:bCs/>
                <w:sz w:val="22"/>
                <w:szCs w:val="22"/>
                <w:lang w:val="en-GB"/>
              </w:rPr>
            </w:pPr>
            <w:r w:rsidRPr="00E14060">
              <w:rPr>
                <w:b/>
                <w:bCs/>
                <w:sz w:val="22"/>
                <w:szCs w:val="22"/>
                <w:lang w:val="en-GB"/>
              </w:rPr>
              <w:t>Quadratic regression (Goodman) extrapolation method for ATX arm (fixed effects model, combined doses)</w:t>
            </w:r>
          </w:p>
        </w:tc>
      </w:tr>
      <w:tr w:rsidR="00F334F9" w:rsidRPr="00E14060" w14:paraId="7E738056" w14:textId="77777777" w:rsidTr="00106D7E">
        <w:trPr>
          <w:trHeight w:val="300"/>
        </w:trPr>
        <w:tc>
          <w:tcPr>
            <w:tcW w:w="222" w:type="dxa"/>
            <w:tcBorders>
              <w:top w:val="nil"/>
              <w:left w:val="nil"/>
              <w:bottom w:val="nil"/>
              <w:right w:val="nil"/>
            </w:tcBorders>
            <w:shd w:val="clear" w:color="auto" w:fill="auto"/>
            <w:noWrap/>
            <w:vAlign w:val="bottom"/>
            <w:hideMark/>
          </w:tcPr>
          <w:p w14:paraId="65016690" w14:textId="77777777" w:rsidR="000332DE" w:rsidRPr="00E14060" w:rsidRDefault="000332DE" w:rsidP="00106D7E">
            <w:pPr>
              <w:rPr>
                <w:sz w:val="22"/>
                <w:szCs w:val="22"/>
                <w:lang w:val="en-GB"/>
              </w:rPr>
            </w:pPr>
          </w:p>
        </w:tc>
        <w:tc>
          <w:tcPr>
            <w:tcW w:w="1301" w:type="dxa"/>
            <w:tcBorders>
              <w:top w:val="nil"/>
              <w:left w:val="nil"/>
              <w:bottom w:val="nil"/>
              <w:right w:val="nil"/>
            </w:tcBorders>
            <w:shd w:val="clear" w:color="auto" w:fill="auto"/>
            <w:noWrap/>
            <w:vAlign w:val="bottom"/>
            <w:hideMark/>
          </w:tcPr>
          <w:p w14:paraId="01C883E0" w14:textId="77777777" w:rsidR="000332DE" w:rsidRPr="00E14060" w:rsidRDefault="000332DE" w:rsidP="00106D7E">
            <w:pPr>
              <w:rPr>
                <w:sz w:val="22"/>
                <w:szCs w:val="22"/>
                <w:lang w:val="en-GB"/>
              </w:rPr>
            </w:pPr>
          </w:p>
        </w:tc>
        <w:tc>
          <w:tcPr>
            <w:tcW w:w="271" w:type="dxa"/>
            <w:tcBorders>
              <w:top w:val="nil"/>
              <w:left w:val="nil"/>
              <w:bottom w:val="nil"/>
              <w:right w:val="nil"/>
            </w:tcBorders>
            <w:shd w:val="clear" w:color="auto" w:fill="auto"/>
            <w:noWrap/>
            <w:vAlign w:val="bottom"/>
            <w:hideMark/>
          </w:tcPr>
          <w:p w14:paraId="0477C886" w14:textId="77777777" w:rsidR="000332DE" w:rsidRPr="00E14060" w:rsidRDefault="000332DE" w:rsidP="00106D7E">
            <w:pPr>
              <w:rPr>
                <w:sz w:val="22"/>
                <w:szCs w:val="22"/>
                <w:lang w:val="en-GB"/>
              </w:rPr>
            </w:pPr>
          </w:p>
        </w:tc>
        <w:tc>
          <w:tcPr>
            <w:tcW w:w="1733" w:type="dxa"/>
            <w:tcBorders>
              <w:top w:val="nil"/>
              <w:left w:val="nil"/>
              <w:bottom w:val="nil"/>
              <w:right w:val="nil"/>
            </w:tcBorders>
            <w:shd w:val="clear" w:color="auto" w:fill="auto"/>
            <w:noWrap/>
            <w:vAlign w:val="bottom"/>
            <w:hideMark/>
          </w:tcPr>
          <w:p w14:paraId="02546D3D" w14:textId="77777777" w:rsidR="000332DE" w:rsidRPr="00E14060" w:rsidRDefault="000332DE" w:rsidP="00106D7E">
            <w:pPr>
              <w:rPr>
                <w:sz w:val="22"/>
                <w:szCs w:val="22"/>
                <w:lang w:val="en-GB"/>
              </w:rPr>
            </w:pPr>
          </w:p>
        </w:tc>
        <w:tc>
          <w:tcPr>
            <w:tcW w:w="2126" w:type="dxa"/>
            <w:tcBorders>
              <w:top w:val="nil"/>
              <w:left w:val="nil"/>
              <w:bottom w:val="nil"/>
              <w:right w:val="nil"/>
            </w:tcBorders>
            <w:shd w:val="clear" w:color="auto" w:fill="auto"/>
            <w:noWrap/>
            <w:vAlign w:val="bottom"/>
            <w:hideMark/>
          </w:tcPr>
          <w:p w14:paraId="7BEF7C3D" w14:textId="77777777" w:rsidR="000332DE" w:rsidRPr="00E14060" w:rsidRDefault="000332DE" w:rsidP="00106D7E">
            <w:pPr>
              <w:rPr>
                <w:sz w:val="22"/>
                <w:szCs w:val="22"/>
                <w:lang w:val="en-GB"/>
              </w:rPr>
            </w:pPr>
          </w:p>
        </w:tc>
        <w:tc>
          <w:tcPr>
            <w:tcW w:w="2692" w:type="dxa"/>
            <w:tcBorders>
              <w:top w:val="nil"/>
              <w:left w:val="nil"/>
              <w:bottom w:val="nil"/>
              <w:right w:val="nil"/>
            </w:tcBorders>
            <w:shd w:val="clear" w:color="auto" w:fill="auto"/>
            <w:noWrap/>
            <w:vAlign w:val="bottom"/>
            <w:hideMark/>
          </w:tcPr>
          <w:p w14:paraId="2D7E1EDC" w14:textId="77777777" w:rsidR="000332DE" w:rsidRPr="00E14060" w:rsidRDefault="000332DE" w:rsidP="00106D7E">
            <w:pPr>
              <w:rPr>
                <w:sz w:val="22"/>
                <w:szCs w:val="22"/>
                <w:lang w:val="en-GB"/>
              </w:rPr>
            </w:pPr>
          </w:p>
        </w:tc>
        <w:tc>
          <w:tcPr>
            <w:tcW w:w="2368" w:type="dxa"/>
            <w:tcBorders>
              <w:top w:val="nil"/>
              <w:left w:val="nil"/>
              <w:bottom w:val="nil"/>
              <w:right w:val="nil"/>
            </w:tcBorders>
            <w:shd w:val="clear" w:color="auto" w:fill="auto"/>
            <w:noWrap/>
            <w:vAlign w:val="bottom"/>
            <w:hideMark/>
          </w:tcPr>
          <w:p w14:paraId="5A72BAC2" w14:textId="77777777" w:rsidR="000332DE" w:rsidRPr="00E14060" w:rsidRDefault="000332DE" w:rsidP="00106D7E">
            <w:pPr>
              <w:rPr>
                <w:sz w:val="22"/>
                <w:szCs w:val="22"/>
                <w:lang w:val="en-GB"/>
              </w:rPr>
            </w:pPr>
          </w:p>
        </w:tc>
      </w:tr>
      <w:tr w:rsidR="00F334F9" w:rsidRPr="00E14060" w14:paraId="2F73713B" w14:textId="77777777" w:rsidTr="00106D7E">
        <w:trPr>
          <w:trHeight w:val="870"/>
        </w:trPr>
        <w:tc>
          <w:tcPr>
            <w:tcW w:w="222" w:type="dxa"/>
            <w:tcBorders>
              <w:top w:val="nil"/>
              <w:left w:val="nil"/>
              <w:bottom w:val="nil"/>
              <w:right w:val="nil"/>
            </w:tcBorders>
            <w:shd w:val="clear" w:color="auto" w:fill="auto"/>
            <w:noWrap/>
            <w:vAlign w:val="bottom"/>
            <w:hideMark/>
          </w:tcPr>
          <w:p w14:paraId="300F579B" w14:textId="77777777" w:rsidR="000332DE" w:rsidRPr="00E14060" w:rsidRDefault="000332DE" w:rsidP="00106D7E">
            <w:pPr>
              <w:rPr>
                <w:sz w:val="22"/>
                <w:szCs w:val="22"/>
                <w:lang w:val="en-GB"/>
              </w:rPr>
            </w:pPr>
          </w:p>
        </w:tc>
        <w:tc>
          <w:tcPr>
            <w:tcW w:w="1301" w:type="dxa"/>
            <w:tcBorders>
              <w:top w:val="single" w:sz="4" w:space="0" w:color="auto"/>
              <w:left w:val="nil"/>
              <w:bottom w:val="nil"/>
              <w:right w:val="nil"/>
            </w:tcBorders>
            <w:shd w:val="clear" w:color="auto" w:fill="auto"/>
            <w:noWrap/>
            <w:vAlign w:val="bottom"/>
            <w:hideMark/>
          </w:tcPr>
          <w:p w14:paraId="57A0B298" w14:textId="77777777" w:rsidR="000332DE" w:rsidRPr="00E14060" w:rsidRDefault="000332DE" w:rsidP="00106D7E">
            <w:pPr>
              <w:rPr>
                <w:sz w:val="22"/>
                <w:szCs w:val="22"/>
                <w:lang w:val="en-GB"/>
              </w:rPr>
            </w:pPr>
            <w:r w:rsidRPr="00E14060">
              <w:rPr>
                <w:sz w:val="22"/>
                <w:szCs w:val="22"/>
                <w:lang w:val="en-GB"/>
              </w:rPr>
              <w:t> </w:t>
            </w:r>
          </w:p>
        </w:tc>
        <w:tc>
          <w:tcPr>
            <w:tcW w:w="271" w:type="dxa"/>
            <w:tcBorders>
              <w:top w:val="single" w:sz="4" w:space="0" w:color="auto"/>
              <w:left w:val="nil"/>
              <w:bottom w:val="nil"/>
              <w:right w:val="nil"/>
            </w:tcBorders>
            <w:shd w:val="clear" w:color="auto" w:fill="auto"/>
            <w:noWrap/>
            <w:vAlign w:val="bottom"/>
            <w:hideMark/>
          </w:tcPr>
          <w:p w14:paraId="4AF05087" w14:textId="77777777" w:rsidR="000332DE" w:rsidRPr="00E14060" w:rsidRDefault="000332DE" w:rsidP="00106D7E">
            <w:pPr>
              <w:rPr>
                <w:sz w:val="22"/>
                <w:szCs w:val="22"/>
                <w:lang w:val="en-GB"/>
              </w:rPr>
            </w:pPr>
            <w:r w:rsidRPr="00E14060">
              <w:rPr>
                <w:sz w:val="22"/>
                <w:szCs w:val="22"/>
                <w:lang w:val="en-GB"/>
              </w:rPr>
              <w:t> </w:t>
            </w:r>
          </w:p>
        </w:tc>
        <w:tc>
          <w:tcPr>
            <w:tcW w:w="1733" w:type="dxa"/>
            <w:tcBorders>
              <w:top w:val="single" w:sz="4" w:space="0" w:color="auto"/>
              <w:left w:val="nil"/>
              <w:bottom w:val="single" w:sz="4" w:space="0" w:color="auto"/>
              <w:right w:val="nil"/>
            </w:tcBorders>
            <w:shd w:val="clear" w:color="auto" w:fill="auto"/>
            <w:vAlign w:val="bottom"/>
            <w:hideMark/>
          </w:tcPr>
          <w:p w14:paraId="004E26AF" w14:textId="77777777" w:rsidR="000332DE" w:rsidRPr="00E14060" w:rsidRDefault="000332DE" w:rsidP="00106D7E">
            <w:pPr>
              <w:jc w:val="center"/>
              <w:rPr>
                <w:b/>
                <w:bCs/>
                <w:sz w:val="22"/>
                <w:szCs w:val="22"/>
                <w:lang w:val="en-GB"/>
              </w:rPr>
            </w:pPr>
            <w:r w:rsidRPr="00E14060">
              <w:rPr>
                <w:b/>
                <w:bCs/>
                <w:sz w:val="22"/>
                <w:szCs w:val="22"/>
                <w:lang w:val="en-GB"/>
              </w:rPr>
              <w:t>Odds Ratio</w:t>
            </w:r>
          </w:p>
        </w:tc>
        <w:tc>
          <w:tcPr>
            <w:tcW w:w="2126" w:type="dxa"/>
            <w:tcBorders>
              <w:top w:val="single" w:sz="4" w:space="0" w:color="auto"/>
              <w:left w:val="nil"/>
              <w:bottom w:val="single" w:sz="4" w:space="0" w:color="auto"/>
              <w:right w:val="nil"/>
            </w:tcBorders>
            <w:shd w:val="clear" w:color="auto" w:fill="auto"/>
            <w:vAlign w:val="bottom"/>
            <w:hideMark/>
          </w:tcPr>
          <w:p w14:paraId="512EC0AB" w14:textId="77777777" w:rsidR="000332DE" w:rsidRPr="00E14060" w:rsidRDefault="000332DE" w:rsidP="00106D7E">
            <w:pPr>
              <w:jc w:val="center"/>
              <w:rPr>
                <w:b/>
                <w:bCs/>
                <w:sz w:val="22"/>
                <w:szCs w:val="22"/>
                <w:lang w:val="en-GB"/>
              </w:rPr>
            </w:pPr>
            <w:r w:rsidRPr="00E14060">
              <w:rPr>
                <w:b/>
                <w:bCs/>
                <w:sz w:val="22"/>
                <w:szCs w:val="22"/>
                <w:lang w:val="en-GB"/>
              </w:rPr>
              <w:t>95% Credible Interval</w:t>
            </w:r>
          </w:p>
        </w:tc>
        <w:tc>
          <w:tcPr>
            <w:tcW w:w="2692" w:type="dxa"/>
            <w:tcBorders>
              <w:top w:val="single" w:sz="4" w:space="0" w:color="auto"/>
              <w:left w:val="nil"/>
              <w:bottom w:val="single" w:sz="4" w:space="0" w:color="auto"/>
              <w:right w:val="nil"/>
            </w:tcBorders>
            <w:shd w:val="clear" w:color="auto" w:fill="auto"/>
            <w:vAlign w:val="bottom"/>
            <w:hideMark/>
          </w:tcPr>
          <w:p w14:paraId="09A249B3" w14:textId="77777777" w:rsidR="000332DE" w:rsidRPr="00E14060" w:rsidRDefault="000332DE" w:rsidP="00106D7E">
            <w:pPr>
              <w:jc w:val="center"/>
              <w:rPr>
                <w:b/>
                <w:bCs/>
                <w:sz w:val="22"/>
                <w:szCs w:val="22"/>
                <w:lang w:val="en-GB"/>
              </w:rPr>
            </w:pPr>
            <w:r w:rsidRPr="00E14060">
              <w:rPr>
                <w:b/>
                <w:bCs/>
                <w:sz w:val="22"/>
                <w:szCs w:val="22"/>
                <w:lang w:val="en-GB"/>
              </w:rPr>
              <w:t>Probability of the treatment being most effective among all</w:t>
            </w:r>
          </w:p>
        </w:tc>
        <w:tc>
          <w:tcPr>
            <w:tcW w:w="2368" w:type="dxa"/>
            <w:tcBorders>
              <w:top w:val="single" w:sz="4" w:space="0" w:color="auto"/>
              <w:left w:val="nil"/>
              <w:bottom w:val="single" w:sz="4" w:space="0" w:color="auto"/>
              <w:right w:val="nil"/>
            </w:tcBorders>
            <w:shd w:val="clear" w:color="auto" w:fill="auto"/>
            <w:vAlign w:val="bottom"/>
            <w:hideMark/>
          </w:tcPr>
          <w:p w14:paraId="31F21745" w14:textId="77777777" w:rsidR="000332DE" w:rsidRPr="00E14060" w:rsidRDefault="000332DE" w:rsidP="00106D7E">
            <w:pPr>
              <w:jc w:val="center"/>
              <w:rPr>
                <w:b/>
                <w:bCs/>
                <w:sz w:val="22"/>
                <w:szCs w:val="22"/>
                <w:lang w:val="en-GB"/>
              </w:rPr>
            </w:pPr>
            <w:r w:rsidRPr="00E14060">
              <w:rPr>
                <w:b/>
                <w:bCs/>
                <w:sz w:val="22"/>
                <w:szCs w:val="22"/>
                <w:lang w:val="en-GB"/>
              </w:rPr>
              <w:t>Probability of LDX being more effective compared to each treatment</w:t>
            </w:r>
          </w:p>
        </w:tc>
      </w:tr>
      <w:tr w:rsidR="00F334F9" w:rsidRPr="00E14060" w14:paraId="6D410B94" w14:textId="77777777" w:rsidTr="00106D7E">
        <w:trPr>
          <w:trHeight w:val="300"/>
        </w:trPr>
        <w:tc>
          <w:tcPr>
            <w:tcW w:w="222" w:type="dxa"/>
            <w:tcBorders>
              <w:top w:val="nil"/>
              <w:left w:val="nil"/>
              <w:bottom w:val="nil"/>
              <w:right w:val="nil"/>
            </w:tcBorders>
            <w:shd w:val="clear" w:color="auto" w:fill="auto"/>
            <w:noWrap/>
            <w:vAlign w:val="bottom"/>
            <w:hideMark/>
          </w:tcPr>
          <w:p w14:paraId="7ACBC2FD" w14:textId="77777777" w:rsidR="001E04A1" w:rsidRPr="00E14060" w:rsidRDefault="001E04A1" w:rsidP="00106D7E">
            <w:pPr>
              <w:rPr>
                <w:sz w:val="22"/>
                <w:szCs w:val="22"/>
                <w:lang w:val="en-GB"/>
              </w:rPr>
            </w:pPr>
          </w:p>
        </w:tc>
        <w:tc>
          <w:tcPr>
            <w:tcW w:w="1301" w:type="dxa"/>
            <w:tcBorders>
              <w:top w:val="nil"/>
              <w:left w:val="nil"/>
              <w:bottom w:val="nil"/>
              <w:right w:val="nil"/>
            </w:tcBorders>
            <w:shd w:val="clear" w:color="auto" w:fill="auto"/>
            <w:noWrap/>
            <w:vAlign w:val="bottom"/>
            <w:hideMark/>
          </w:tcPr>
          <w:p w14:paraId="76046CF3" w14:textId="77777777" w:rsidR="001E04A1" w:rsidRPr="00E14060" w:rsidRDefault="001E04A1" w:rsidP="00106D7E">
            <w:pPr>
              <w:rPr>
                <w:b/>
                <w:bCs/>
                <w:sz w:val="22"/>
                <w:szCs w:val="22"/>
                <w:lang w:val="en-GB"/>
              </w:rPr>
            </w:pPr>
            <w:r w:rsidRPr="00E14060">
              <w:rPr>
                <w:b/>
                <w:bCs/>
                <w:sz w:val="22"/>
                <w:szCs w:val="22"/>
                <w:lang w:val="en-GB"/>
              </w:rPr>
              <w:t>LDX</w:t>
            </w:r>
          </w:p>
        </w:tc>
        <w:tc>
          <w:tcPr>
            <w:tcW w:w="271" w:type="dxa"/>
            <w:tcBorders>
              <w:top w:val="nil"/>
              <w:left w:val="nil"/>
              <w:bottom w:val="nil"/>
              <w:right w:val="nil"/>
            </w:tcBorders>
            <w:shd w:val="clear" w:color="auto" w:fill="auto"/>
            <w:noWrap/>
            <w:vAlign w:val="bottom"/>
            <w:hideMark/>
          </w:tcPr>
          <w:p w14:paraId="22D4AF06" w14:textId="77777777" w:rsidR="001E04A1" w:rsidRPr="00E14060" w:rsidRDefault="001E04A1" w:rsidP="00106D7E">
            <w:pPr>
              <w:rPr>
                <w:b/>
                <w:bCs/>
                <w:sz w:val="22"/>
                <w:szCs w:val="22"/>
                <w:lang w:val="en-GB"/>
              </w:rPr>
            </w:pPr>
          </w:p>
        </w:tc>
        <w:tc>
          <w:tcPr>
            <w:tcW w:w="1733" w:type="dxa"/>
            <w:tcBorders>
              <w:top w:val="nil"/>
              <w:left w:val="nil"/>
              <w:bottom w:val="nil"/>
              <w:right w:val="nil"/>
            </w:tcBorders>
            <w:shd w:val="clear" w:color="auto" w:fill="auto"/>
            <w:noWrap/>
            <w:vAlign w:val="bottom"/>
            <w:hideMark/>
          </w:tcPr>
          <w:p w14:paraId="544B3FB0" w14:textId="77777777" w:rsidR="001E04A1" w:rsidRPr="00E14060" w:rsidRDefault="001E04A1" w:rsidP="00106D7E">
            <w:pPr>
              <w:jc w:val="center"/>
              <w:rPr>
                <w:sz w:val="22"/>
                <w:szCs w:val="22"/>
                <w:lang w:val="en-GB"/>
              </w:rPr>
            </w:pPr>
            <w:r w:rsidRPr="00E14060">
              <w:rPr>
                <w:sz w:val="22"/>
                <w:szCs w:val="22"/>
                <w:lang w:val="en-GB"/>
              </w:rPr>
              <w:t>4.45</w:t>
            </w:r>
          </w:p>
        </w:tc>
        <w:tc>
          <w:tcPr>
            <w:tcW w:w="2126" w:type="dxa"/>
            <w:tcBorders>
              <w:top w:val="nil"/>
              <w:left w:val="nil"/>
              <w:bottom w:val="nil"/>
              <w:right w:val="nil"/>
            </w:tcBorders>
            <w:shd w:val="clear" w:color="auto" w:fill="auto"/>
            <w:noWrap/>
            <w:vAlign w:val="bottom"/>
            <w:hideMark/>
          </w:tcPr>
          <w:p w14:paraId="65D719DA" w14:textId="77777777" w:rsidR="001E04A1" w:rsidRPr="00E14060" w:rsidRDefault="001E04A1" w:rsidP="00106D7E">
            <w:pPr>
              <w:jc w:val="center"/>
              <w:rPr>
                <w:sz w:val="22"/>
                <w:szCs w:val="22"/>
                <w:lang w:val="en-GB"/>
              </w:rPr>
            </w:pPr>
            <w:r w:rsidRPr="00E14060">
              <w:rPr>
                <w:sz w:val="22"/>
                <w:szCs w:val="22"/>
                <w:lang w:val="en-GB"/>
              </w:rPr>
              <w:t>(2.85, 7.02)</w:t>
            </w:r>
          </w:p>
        </w:tc>
        <w:tc>
          <w:tcPr>
            <w:tcW w:w="2692" w:type="dxa"/>
            <w:tcBorders>
              <w:top w:val="nil"/>
              <w:left w:val="nil"/>
              <w:bottom w:val="nil"/>
              <w:right w:val="nil"/>
            </w:tcBorders>
            <w:shd w:val="clear" w:color="auto" w:fill="auto"/>
            <w:noWrap/>
            <w:vAlign w:val="bottom"/>
            <w:hideMark/>
          </w:tcPr>
          <w:p w14:paraId="0807B503" w14:textId="77777777" w:rsidR="001E04A1" w:rsidRPr="00E14060" w:rsidRDefault="001E04A1" w:rsidP="00106D7E">
            <w:pPr>
              <w:jc w:val="center"/>
              <w:rPr>
                <w:sz w:val="22"/>
                <w:szCs w:val="22"/>
                <w:lang w:val="en-GB"/>
              </w:rPr>
            </w:pPr>
            <w:r w:rsidRPr="00E14060">
              <w:rPr>
                <w:sz w:val="22"/>
                <w:szCs w:val="22"/>
                <w:lang w:val="en-GB"/>
              </w:rPr>
              <w:t>91.49%</w:t>
            </w:r>
          </w:p>
        </w:tc>
        <w:tc>
          <w:tcPr>
            <w:tcW w:w="2368" w:type="dxa"/>
            <w:tcBorders>
              <w:top w:val="nil"/>
              <w:left w:val="nil"/>
              <w:bottom w:val="nil"/>
              <w:right w:val="nil"/>
            </w:tcBorders>
            <w:shd w:val="clear" w:color="auto" w:fill="auto"/>
            <w:noWrap/>
            <w:vAlign w:val="bottom"/>
            <w:hideMark/>
          </w:tcPr>
          <w:p w14:paraId="2AB7EE63" w14:textId="77777777" w:rsidR="001E04A1" w:rsidRPr="00E14060" w:rsidRDefault="001E04A1" w:rsidP="00106D7E">
            <w:pPr>
              <w:jc w:val="center"/>
              <w:rPr>
                <w:sz w:val="22"/>
                <w:szCs w:val="22"/>
                <w:lang w:val="en-GB"/>
              </w:rPr>
            </w:pPr>
            <w:r w:rsidRPr="00E14060">
              <w:rPr>
                <w:sz w:val="22"/>
                <w:szCs w:val="22"/>
                <w:lang w:val="en-GB"/>
              </w:rPr>
              <w:t>--</w:t>
            </w:r>
          </w:p>
        </w:tc>
      </w:tr>
      <w:tr w:rsidR="00F334F9" w:rsidRPr="00E14060" w14:paraId="2BEB70A6" w14:textId="77777777" w:rsidTr="00106D7E">
        <w:trPr>
          <w:trHeight w:val="300"/>
        </w:trPr>
        <w:tc>
          <w:tcPr>
            <w:tcW w:w="222" w:type="dxa"/>
            <w:tcBorders>
              <w:top w:val="nil"/>
              <w:left w:val="nil"/>
              <w:bottom w:val="nil"/>
              <w:right w:val="nil"/>
            </w:tcBorders>
            <w:shd w:val="clear" w:color="auto" w:fill="auto"/>
            <w:noWrap/>
            <w:vAlign w:val="bottom"/>
            <w:hideMark/>
          </w:tcPr>
          <w:p w14:paraId="73660EC5" w14:textId="77777777" w:rsidR="001E04A1" w:rsidRPr="00E14060" w:rsidRDefault="001E04A1" w:rsidP="00106D7E">
            <w:pPr>
              <w:rPr>
                <w:sz w:val="22"/>
                <w:szCs w:val="22"/>
                <w:lang w:val="en-GB"/>
              </w:rPr>
            </w:pPr>
          </w:p>
        </w:tc>
        <w:tc>
          <w:tcPr>
            <w:tcW w:w="1301" w:type="dxa"/>
            <w:tcBorders>
              <w:top w:val="nil"/>
              <w:left w:val="nil"/>
              <w:bottom w:val="nil"/>
              <w:right w:val="nil"/>
            </w:tcBorders>
            <w:shd w:val="clear" w:color="auto" w:fill="auto"/>
            <w:noWrap/>
            <w:vAlign w:val="bottom"/>
            <w:hideMark/>
          </w:tcPr>
          <w:p w14:paraId="2D518BE3" w14:textId="77777777" w:rsidR="001E04A1" w:rsidRPr="00E14060" w:rsidRDefault="001E04A1" w:rsidP="00106D7E">
            <w:pPr>
              <w:rPr>
                <w:b/>
                <w:bCs/>
                <w:sz w:val="22"/>
                <w:szCs w:val="22"/>
                <w:lang w:val="en-GB"/>
              </w:rPr>
            </w:pPr>
            <w:r w:rsidRPr="00E14060">
              <w:rPr>
                <w:b/>
                <w:bCs/>
                <w:sz w:val="22"/>
                <w:szCs w:val="22"/>
                <w:lang w:val="en-GB"/>
              </w:rPr>
              <w:t>ATX</w:t>
            </w:r>
          </w:p>
        </w:tc>
        <w:tc>
          <w:tcPr>
            <w:tcW w:w="271" w:type="dxa"/>
            <w:tcBorders>
              <w:top w:val="nil"/>
              <w:left w:val="nil"/>
              <w:bottom w:val="nil"/>
              <w:right w:val="nil"/>
            </w:tcBorders>
            <w:shd w:val="clear" w:color="auto" w:fill="auto"/>
            <w:noWrap/>
            <w:vAlign w:val="bottom"/>
            <w:hideMark/>
          </w:tcPr>
          <w:p w14:paraId="2C7041BB" w14:textId="77777777" w:rsidR="001E04A1" w:rsidRPr="00E14060" w:rsidRDefault="001E04A1" w:rsidP="00106D7E">
            <w:pPr>
              <w:rPr>
                <w:b/>
                <w:bCs/>
                <w:sz w:val="22"/>
                <w:szCs w:val="22"/>
                <w:lang w:val="en-GB"/>
              </w:rPr>
            </w:pPr>
          </w:p>
        </w:tc>
        <w:tc>
          <w:tcPr>
            <w:tcW w:w="1733" w:type="dxa"/>
            <w:tcBorders>
              <w:top w:val="nil"/>
              <w:left w:val="nil"/>
              <w:bottom w:val="nil"/>
              <w:right w:val="nil"/>
            </w:tcBorders>
            <w:shd w:val="clear" w:color="auto" w:fill="auto"/>
            <w:noWrap/>
            <w:vAlign w:val="bottom"/>
            <w:hideMark/>
          </w:tcPr>
          <w:p w14:paraId="69967A99" w14:textId="77777777" w:rsidR="001E04A1" w:rsidRPr="00E14060" w:rsidRDefault="001E04A1" w:rsidP="00106D7E">
            <w:pPr>
              <w:jc w:val="center"/>
              <w:rPr>
                <w:sz w:val="22"/>
                <w:szCs w:val="22"/>
                <w:lang w:val="en-GB"/>
              </w:rPr>
            </w:pPr>
            <w:r w:rsidRPr="00E14060">
              <w:rPr>
                <w:sz w:val="22"/>
                <w:szCs w:val="22"/>
                <w:lang w:val="en-GB"/>
              </w:rPr>
              <w:t>1.91</w:t>
            </w:r>
          </w:p>
        </w:tc>
        <w:tc>
          <w:tcPr>
            <w:tcW w:w="2126" w:type="dxa"/>
            <w:tcBorders>
              <w:top w:val="nil"/>
              <w:left w:val="nil"/>
              <w:bottom w:val="nil"/>
              <w:right w:val="nil"/>
            </w:tcBorders>
            <w:shd w:val="clear" w:color="auto" w:fill="auto"/>
            <w:noWrap/>
            <w:vAlign w:val="bottom"/>
            <w:hideMark/>
          </w:tcPr>
          <w:p w14:paraId="4CEA2D5A" w14:textId="77777777" w:rsidR="001E04A1" w:rsidRPr="00E14060" w:rsidRDefault="001E04A1" w:rsidP="00106D7E">
            <w:pPr>
              <w:jc w:val="center"/>
              <w:rPr>
                <w:sz w:val="22"/>
                <w:szCs w:val="22"/>
                <w:lang w:val="en-GB"/>
              </w:rPr>
            </w:pPr>
            <w:r w:rsidRPr="00E14060">
              <w:rPr>
                <w:sz w:val="22"/>
                <w:szCs w:val="22"/>
                <w:lang w:val="en-GB"/>
              </w:rPr>
              <w:t>(1.52, 2.39)</w:t>
            </w:r>
          </w:p>
        </w:tc>
        <w:tc>
          <w:tcPr>
            <w:tcW w:w="2692" w:type="dxa"/>
            <w:tcBorders>
              <w:top w:val="nil"/>
              <w:left w:val="nil"/>
              <w:bottom w:val="nil"/>
              <w:right w:val="nil"/>
            </w:tcBorders>
            <w:shd w:val="clear" w:color="auto" w:fill="auto"/>
            <w:noWrap/>
            <w:vAlign w:val="bottom"/>
            <w:hideMark/>
          </w:tcPr>
          <w:p w14:paraId="4EDAB381" w14:textId="77777777" w:rsidR="001E04A1" w:rsidRPr="00E14060" w:rsidRDefault="001E04A1" w:rsidP="00106D7E">
            <w:pPr>
              <w:jc w:val="center"/>
              <w:rPr>
                <w:sz w:val="22"/>
                <w:szCs w:val="22"/>
                <w:lang w:val="en-GB"/>
              </w:rPr>
            </w:pPr>
            <w:r w:rsidRPr="00E14060">
              <w:rPr>
                <w:sz w:val="22"/>
                <w:szCs w:val="22"/>
                <w:lang w:val="en-GB"/>
              </w:rPr>
              <w:t>0.01%</w:t>
            </w:r>
          </w:p>
        </w:tc>
        <w:tc>
          <w:tcPr>
            <w:tcW w:w="2368" w:type="dxa"/>
            <w:tcBorders>
              <w:top w:val="nil"/>
              <w:left w:val="nil"/>
              <w:bottom w:val="nil"/>
              <w:right w:val="nil"/>
            </w:tcBorders>
            <w:shd w:val="clear" w:color="auto" w:fill="auto"/>
            <w:noWrap/>
            <w:vAlign w:val="bottom"/>
            <w:hideMark/>
          </w:tcPr>
          <w:p w14:paraId="37254597" w14:textId="77777777" w:rsidR="001E04A1" w:rsidRPr="00E14060" w:rsidRDefault="001E04A1" w:rsidP="00106D7E">
            <w:pPr>
              <w:jc w:val="center"/>
              <w:rPr>
                <w:sz w:val="22"/>
                <w:szCs w:val="22"/>
                <w:lang w:val="en-GB"/>
              </w:rPr>
            </w:pPr>
            <w:r w:rsidRPr="00E14060">
              <w:rPr>
                <w:sz w:val="22"/>
                <w:szCs w:val="22"/>
                <w:lang w:val="en-GB"/>
              </w:rPr>
              <w:t>99.96%</w:t>
            </w:r>
          </w:p>
        </w:tc>
      </w:tr>
      <w:tr w:rsidR="00F334F9" w:rsidRPr="00E14060" w14:paraId="01D008CA" w14:textId="77777777" w:rsidTr="00106D7E">
        <w:trPr>
          <w:trHeight w:val="300"/>
        </w:trPr>
        <w:tc>
          <w:tcPr>
            <w:tcW w:w="222" w:type="dxa"/>
            <w:tcBorders>
              <w:top w:val="nil"/>
              <w:left w:val="nil"/>
              <w:bottom w:val="nil"/>
              <w:right w:val="nil"/>
            </w:tcBorders>
            <w:shd w:val="clear" w:color="auto" w:fill="auto"/>
            <w:noWrap/>
            <w:vAlign w:val="bottom"/>
            <w:hideMark/>
          </w:tcPr>
          <w:p w14:paraId="024D4C07" w14:textId="77777777" w:rsidR="001E04A1" w:rsidRPr="00E14060" w:rsidRDefault="001E04A1" w:rsidP="00106D7E">
            <w:pPr>
              <w:rPr>
                <w:sz w:val="22"/>
                <w:szCs w:val="22"/>
                <w:lang w:val="en-GB"/>
              </w:rPr>
            </w:pPr>
          </w:p>
        </w:tc>
        <w:tc>
          <w:tcPr>
            <w:tcW w:w="1301" w:type="dxa"/>
            <w:tcBorders>
              <w:top w:val="nil"/>
              <w:left w:val="nil"/>
              <w:bottom w:val="single" w:sz="4" w:space="0" w:color="auto"/>
              <w:right w:val="nil"/>
            </w:tcBorders>
            <w:shd w:val="clear" w:color="auto" w:fill="auto"/>
            <w:noWrap/>
            <w:vAlign w:val="bottom"/>
            <w:hideMark/>
          </w:tcPr>
          <w:p w14:paraId="6A6A531A" w14:textId="77777777" w:rsidR="001E04A1" w:rsidRPr="00E14060" w:rsidRDefault="001E04A1" w:rsidP="00106D7E">
            <w:pPr>
              <w:rPr>
                <w:b/>
                <w:bCs/>
                <w:sz w:val="22"/>
                <w:szCs w:val="22"/>
                <w:lang w:val="en-GB"/>
              </w:rPr>
            </w:pPr>
            <w:r w:rsidRPr="00E14060">
              <w:rPr>
                <w:b/>
                <w:bCs/>
                <w:sz w:val="22"/>
                <w:szCs w:val="22"/>
                <w:lang w:val="en-GB"/>
              </w:rPr>
              <w:t>MPH-ER</w:t>
            </w:r>
          </w:p>
        </w:tc>
        <w:tc>
          <w:tcPr>
            <w:tcW w:w="271" w:type="dxa"/>
            <w:tcBorders>
              <w:top w:val="nil"/>
              <w:left w:val="nil"/>
              <w:bottom w:val="single" w:sz="4" w:space="0" w:color="auto"/>
              <w:right w:val="nil"/>
            </w:tcBorders>
            <w:shd w:val="clear" w:color="auto" w:fill="auto"/>
            <w:noWrap/>
            <w:vAlign w:val="bottom"/>
            <w:hideMark/>
          </w:tcPr>
          <w:p w14:paraId="0C02ECE2" w14:textId="77777777" w:rsidR="001E04A1" w:rsidRPr="00E14060" w:rsidRDefault="001E04A1" w:rsidP="00106D7E">
            <w:pPr>
              <w:rPr>
                <w:b/>
                <w:bCs/>
                <w:sz w:val="22"/>
                <w:szCs w:val="22"/>
                <w:lang w:val="en-GB"/>
              </w:rPr>
            </w:pPr>
            <w:r w:rsidRPr="00E14060">
              <w:rPr>
                <w:b/>
                <w:bCs/>
                <w:sz w:val="22"/>
                <w:szCs w:val="22"/>
                <w:lang w:val="en-GB"/>
              </w:rPr>
              <w:t> </w:t>
            </w:r>
          </w:p>
        </w:tc>
        <w:tc>
          <w:tcPr>
            <w:tcW w:w="1733" w:type="dxa"/>
            <w:tcBorders>
              <w:top w:val="nil"/>
              <w:left w:val="nil"/>
              <w:bottom w:val="single" w:sz="4" w:space="0" w:color="auto"/>
              <w:right w:val="nil"/>
            </w:tcBorders>
            <w:shd w:val="clear" w:color="auto" w:fill="auto"/>
            <w:noWrap/>
            <w:vAlign w:val="bottom"/>
            <w:hideMark/>
          </w:tcPr>
          <w:p w14:paraId="67465BD0" w14:textId="77777777" w:rsidR="001E04A1" w:rsidRPr="00E14060" w:rsidRDefault="001E04A1" w:rsidP="00106D7E">
            <w:pPr>
              <w:jc w:val="center"/>
              <w:rPr>
                <w:sz w:val="22"/>
                <w:szCs w:val="22"/>
                <w:lang w:val="en-GB"/>
              </w:rPr>
            </w:pPr>
            <w:r w:rsidRPr="00E14060">
              <w:rPr>
                <w:sz w:val="22"/>
                <w:szCs w:val="22"/>
                <w:lang w:val="en-GB"/>
              </w:rPr>
              <w:t>2.92</w:t>
            </w:r>
          </w:p>
        </w:tc>
        <w:tc>
          <w:tcPr>
            <w:tcW w:w="2126" w:type="dxa"/>
            <w:tcBorders>
              <w:top w:val="nil"/>
              <w:left w:val="nil"/>
              <w:bottom w:val="single" w:sz="4" w:space="0" w:color="auto"/>
              <w:right w:val="nil"/>
            </w:tcBorders>
            <w:shd w:val="clear" w:color="auto" w:fill="auto"/>
            <w:noWrap/>
            <w:vAlign w:val="bottom"/>
            <w:hideMark/>
          </w:tcPr>
          <w:p w14:paraId="113D1FDE" w14:textId="77777777" w:rsidR="001E04A1" w:rsidRPr="00E14060" w:rsidRDefault="001E04A1" w:rsidP="00106D7E">
            <w:pPr>
              <w:jc w:val="center"/>
              <w:rPr>
                <w:sz w:val="22"/>
                <w:szCs w:val="22"/>
                <w:lang w:val="en-GB"/>
              </w:rPr>
            </w:pPr>
            <w:r w:rsidRPr="00E14060">
              <w:rPr>
                <w:sz w:val="22"/>
                <w:szCs w:val="22"/>
                <w:lang w:val="en-GB"/>
              </w:rPr>
              <w:t>(1.97, 4.34)</w:t>
            </w:r>
          </w:p>
        </w:tc>
        <w:tc>
          <w:tcPr>
            <w:tcW w:w="2692" w:type="dxa"/>
            <w:tcBorders>
              <w:top w:val="nil"/>
              <w:left w:val="nil"/>
              <w:bottom w:val="single" w:sz="4" w:space="0" w:color="auto"/>
              <w:right w:val="nil"/>
            </w:tcBorders>
            <w:shd w:val="clear" w:color="auto" w:fill="auto"/>
            <w:noWrap/>
            <w:vAlign w:val="bottom"/>
            <w:hideMark/>
          </w:tcPr>
          <w:p w14:paraId="70FC514D" w14:textId="77777777" w:rsidR="001E04A1" w:rsidRPr="00E14060" w:rsidRDefault="001E04A1" w:rsidP="00106D7E">
            <w:pPr>
              <w:jc w:val="center"/>
              <w:rPr>
                <w:sz w:val="22"/>
                <w:szCs w:val="22"/>
                <w:lang w:val="en-GB"/>
              </w:rPr>
            </w:pPr>
            <w:r w:rsidRPr="00E14060">
              <w:rPr>
                <w:sz w:val="22"/>
                <w:szCs w:val="22"/>
                <w:lang w:val="en-GB"/>
              </w:rPr>
              <w:t>8.51%</w:t>
            </w:r>
          </w:p>
        </w:tc>
        <w:tc>
          <w:tcPr>
            <w:tcW w:w="2368" w:type="dxa"/>
            <w:tcBorders>
              <w:top w:val="nil"/>
              <w:left w:val="nil"/>
              <w:bottom w:val="single" w:sz="4" w:space="0" w:color="auto"/>
              <w:right w:val="nil"/>
            </w:tcBorders>
            <w:shd w:val="clear" w:color="auto" w:fill="auto"/>
            <w:noWrap/>
            <w:vAlign w:val="bottom"/>
            <w:hideMark/>
          </w:tcPr>
          <w:p w14:paraId="1AC7E605" w14:textId="77777777" w:rsidR="001E04A1" w:rsidRPr="00E14060" w:rsidRDefault="001E04A1" w:rsidP="00106D7E">
            <w:pPr>
              <w:jc w:val="center"/>
              <w:rPr>
                <w:sz w:val="22"/>
                <w:szCs w:val="22"/>
                <w:lang w:val="en-GB"/>
              </w:rPr>
            </w:pPr>
            <w:r w:rsidRPr="00E14060">
              <w:rPr>
                <w:sz w:val="22"/>
                <w:szCs w:val="22"/>
                <w:lang w:val="en-GB"/>
              </w:rPr>
              <w:t>91.49%</w:t>
            </w:r>
          </w:p>
        </w:tc>
      </w:tr>
      <w:tr w:rsidR="00F334F9" w:rsidRPr="00E14060" w14:paraId="71F1DCA6" w14:textId="77777777" w:rsidTr="00106D7E">
        <w:trPr>
          <w:trHeight w:val="300"/>
        </w:trPr>
        <w:tc>
          <w:tcPr>
            <w:tcW w:w="222" w:type="dxa"/>
            <w:tcBorders>
              <w:top w:val="nil"/>
              <w:left w:val="nil"/>
              <w:bottom w:val="nil"/>
              <w:right w:val="nil"/>
            </w:tcBorders>
            <w:shd w:val="clear" w:color="auto" w:fill="auto"/>
            <w:noWrap/>
            <w:vAlign w:val="bottom"/>
            <w:hideMark/>
          </w:tcPr>
          <w:p w14:paraId="24EDDEFD" w14:textId="77777777" w:rsidR="000332DE" w:rsidRPr="00E14060" w:rsidRDefault="000332DE" w:rsidP="00106D7E">
            <w:pPr>
              <w:rPr>
                <w:sz w:val="22"/>
                <w:szCs w:val="22"/>
                <w:lang w:val="en-GB"/>
              </w:rPr>
            </w:pPr>
          </w:p>
        </w:tc>
        <w:tc>
          <w:tcPr>
            <w:tcW w:w="1301" w:type="dxa"/>
            <w:tcBorders>
              <w:top w:val="nil"/>
              <w:left w:val="nil"/>
              <w:bottom w:val="nil"/>
              <w:right w:val="nil"/>
            </w:tcBorders>
            <w:shd w:val="clear" w:color="auto" w:fill="auto"/>
            <w:noWrap/>
            <w:vAlign w:val="bottom"/>
            <w:hideMark/>
          </w:tcPr>
          <w:p w14:paraId="54904CD4" w14:textId="77777777" w:rsidR="000332DE" w:rsidRPr="00E14060" w:rsidRDefault="000332DE" w:rsidP="00106D7E">
            <w:pPr>
              <w:rPr>
                <w:sz w:val="22"/>
                <w:szCs w:val="22"/>
                <w:lang w:val="en-GB"/>
              </w:rPr>
            </w:pPr>
          </w:p>
        </w:tc>
        <w:tc>
          <w:tcPr>
            <w:tcW w:w="271" w:type="dxa"/>
            <w:tcBorders>
              <w:top w:val="nil"/>
              <w:left w:val="nil"/>
              <w:bottom w:val="nil"/>
              <w:right w:val="nil"/>
            </w:tcBorders>
            <w:shd w:val="clear" w:color="auto" w:fill="auto"/>
            <w:noWrap/>
            <w:vAlign w:val="bottom"/>
            <w:hideMark/>
          </w:tcPr>
          <w:p w14:paraId="3EE04558" w14:textId="77777777" w:rsidR="000332DE" w:rsidRPr="00E14060" w:rsidRDefault="000332DE" w:rsidP="00106D7E">
            <w:pPr>
              <w:rPr>
                <w:sz w:val="22"/>
                <w:szCs w:val="22"/>
                <w:lang w:val="en-GB"/>
              </w:rPr>
            </w:pPr>
          </w:p>
        </w:tc>
        <w:tc>
          <w:tcPr>
            <w:tcW w:w="1733" w:type="dxa"/>
            <w:tcBorders>
              <w:top w:val="nil"/>
              <w:left w:val="nil"/>
              <w:bottom w:val="nil"/>
              <w:right w:val="nil"/>
            </w:tcBorders>
            <w:shd w:val="clear" w:color="auto" w:fill="auto"/>
            <w:noWrap/>
            <w:vAlign w:val="bottom"/>
            <w:hideMark/>
          </w:tcPr>
          <w:p w14:paraId="3CD12320" w14:textId="77777777" w:rsidR="000332DE" w:rsidRPr="00E14060" w:rsidRDefault="000332DE" w:rsidP="00106D7E">
            <w:pPr>
              <w:rPr>
                <w:sz w:val="22"/>
                <w:szCs w:val="22"/>
                <w:lang w:val="en-GB"/>
              </w:rPr>
            </w:pPr>
          </w:p>
        </w:tc>
        <w:tc>
          <w:tcPr>
            <w:tcW w:w="2126" w:type="dxa"/>
            <w:tcBorders>
              <w:top w:val="single" w:sz="4" w:space="0" w:color="auto"/>
              <w:left w:val="nil"/>
              <w:bottom w:val="single" w:sz="4" w:space="0" w:color="auto"/>
              <w:right w:val="nil"/>
            </w:tcBorders>
            <w:shd w:val="clear" w:color="auto" w:fill="auto"/>
            <w:noWrap/>
            <w:vAlign w:val="bottom"/>
            <w:hideMark/>
          </w:tcPr>
          <w:p w14:paraId="3E3D5A84" w14:textId="77777777" w:rsidR="000332DE" w:rsidRPr="00E14060" w:rsidRDefault="000332DE" w:rsidP="00106D7E">
            <w:pPr>
              <w:jc w:val="center"/>
              <w:rPr>
                <w:sz w:val="22"/>
                <w:szCs w:val="22"/>
                <w:lang w:val="en-GB"/>
              </w:rPr>
            </w:pPr>
          </w:p>
        </w:tc>
        <w:tc>
          <w:tcPr>
            <w:tcW w:w="2692" w:type="dxa"/>
            <w:tcBorders>
              <w:top w:val="single" w:sz="4" w:space="0" w:color="auto"/>
              <w:left w:val="nil"/>
              <w:bottom w:val="single" w:sz="4" w:space="0" w:color="auto"/>
              <w:right w:val="nil"/>
            </w:tcBorders>
            <w:shd w:val="clear" w:color="auto" w:fill="auto"/>
            <w:noWrap/>
            <w:vAlign w:val="bottom"/>
            <w:hideMark/>
          </w:tcPr>
          <w:p w14:paraId="52C65644" w14:textId="77777777" w:rsidR="000332DE" w:rsidRPr="00E14060" w:rsidRDefault="000332DE" w:rsidP="00106D7E">
            <w:pPr>
              <w:rPr>
                <w:sz w:val="22"/>
                <w:szCs w:val="22"/>
                <w:lang w:val="en-GB"/>
              </w:rPr>
            </w:pPr>
          </w:p>
        </w:tc>
        <w:tc>
          <w:tcPr>
            <w:tcW w:w="2368" w:type="dxa"/>
            <w:tcBorders>
              <w:top w:val="nil"/>
              <w:left w:val="nil"/>
              <w:bottom w:val="nil"/>
              <w:right w:val="nil"/>
            </w:tcBorders>
            <w:shd w:val="clear" w:color="auto" w:fill="auto"/>
            <w:noWrap/>
            <w:vAlign w:val="bottom"/>
            <w:hideMark/>
          </w:tcPr>
          <w:p w14:paraId="1DE84027" w14:textId="77777777" w:rsidR="000332DE" w:rsidRPr="00E14060" w:rsidRDefault="000332DE" w:rsidP="00106D7E">
            <w:pPr>
              <w:rPr>
                <w:sz w:val="22"/>
                <w:szCs w:val="22"/>
                <w:lang w:val="en-GB"/>
              </w:rPr>
            </w:pPr>
          </w:p>
        </w:tc>
      </w:tr>
      <w:tr w:rsidR="00F334F9" w:rsidRPr="00E14060" w14:paraId="274DAD2F" w14:textId="77777777" w:rsidTr="00106D7E">
        <w:trPr>
          <w:trHeight w:val="870"/>
        </w:trPr>
        <w:tc>
          <w:tcPr>
            <w:tcW w:w="222" w:type="dxa"/>
            <w:tcBorders>
              <w:top w:val="nil"/>
              <w:left w:val="nil"/>
              <w:bottom w:val="nil"/>
              <w:right w:val="nil"/>
            </w:tcBorders>
            <w:shd w:val="clear" w:color="auto" w:fill="auto"/>
            <w:noWrap/>
            <w:vAlign w:val="bottom"/>
            <w:hideMark/>
          </w:tcPr>
          <w:p w14:paraId="66AACD41" w14:textId="77777777" w:rsidR="000332DE" w:rsidRPr="00E14060" w:rsidRDefault="000332DE" w:rsidP="00106D7E">
            <w:pPr>
              <w:rPr>
                <w:sz w:val="22"/>
                <w:szCs w:val="22"/>
                <w:lang w:val="en-GB"/>
              </w:rPr>
            </w:pPr>
          </w:p>
        </w:tc>
        <w:tc>
          <w:tcPr>
            <w:tcW w:w="1301" w:type="dxa"/>
            <w:tcBorders>
              <w:top w:val="single" w:sz="4" w:space="0" w:color="auto"/>
              <w:left w:val="nil"/>
              <w:bottom w:val="nil"/>
              <w:right w:val="nil"/>
            </w:tcBorders>
            <w:shd w:val="clear" w:color="auto" w:fill="auto"/>
            <w:noWrap/>
            <w:vAlign w:val="bottom"/>
            <w:hideMark/>
          </w:tcPr>
          <w:p w14:paraId="419127AE" w14:textId="77777777" w:rsidR="000332DE" w:rsidRPr="00E14060" w:rsidRDefault="000332DE" w:rsidP="00106D7E">
            <w:pPr>
              <w:rPr>
                <w:sz w:val="22"/>
                <w:szCs w:val="22"/>
                <w:lang w:val="en-GB"/>
              </w:rPr>
            </w:pPr>
            <w:r w:rsidRPr="00E14060">
              <w:rPr>
                <w:sz w:val="22"/>
                <w:szCs w:val="22"/>
                <w:lang w:val="en-GB"/>
              </w:rPr>
              <w:t> </w:t>
            </w:r>
          </w:p>
        </w:tc>
        <w:tc>
          <w:tcPr>
            <w:tcW w:w="271" w:type="dxa"/>
            <w:tcBorders>
              <w:top w:val="single" w:sz="4" w:space="0" w:color="auto"/>
              <w:left w:val="nil"/>
              <w:bottom w:val="nil"/>
              <w:right w:val="nil"/>
            </w:tcBorders>
            <w:shd w:val="clear" w:color="auto" w:fill="auto"/>
            <w:noWrap/>
            <w:vAlign w:val="bottom"/>
            <w:hideMark/>
          </w:tcPr>
          <w:p w14:paraId="78AC1BB8" w14:textId="77777777" w:rsidR="000332DE" w:rsidRPr="00E14060" w:rsidRDefault="000332DE" w:rsidP="00106D7E">
            <w:pPr>
              <w:rPr>
                <w:sz w:val="22"/>
                <w:szCs w:val="22"/>
                <w:lang w:val="en-GB"/>
              </w:rPr>
            </w:pPr>
            <w:r w:rsidRPr="00E14060">
              <w:rPr>
                <w:sz w:val="22"/>
                <w:szCs w:val="22"/>
                <w:lang w:val="en-GB"/>
              </w:rPr>
              <w:t> </w:t>
            </w:r>
          </w:p>
        </w:tc>
        <w:tc>
          <w:tcPr>
            <w:tcW w:w="1733" w:type="dxa"/>
            <w:tcBorders>
              <w:top w:val="single" w:sz="4" w:space="0" w:color="auto"/>
              <w:left w:val="nil"/>
              <w:bottom w:val="single" w:sz="4" w:space="0" w:color="auto"/>
              <w:right w:val="nil"/>
            </w:tcBorders>
            <w:shd w:val="clear" w:color="auto" w:fill="auto"/>
            <w:vAlign w:val="bottom"/>
            <w:hideMark/>
          </w:tcPr>
          <w:p w14:paraId="7DB0560E" w14:textId="77777777" w:rsidR="000332DE" w:rsidRPr="00E14060" w:rsidRDefault="000332DE" w:rsidP="00106D7E">
            <w:pPr>
              <w:jc w:val="center"/>
              <w:rPr>
                <w:b/>
                <w:bCs/>
                <w:sz w:val="22"/>
                <w:szCs w:val="22"/>
                <w:lang w:val="en-GB"/>
              </w:rPr>
            </w:pPr>
            <w:r w:rsidRPr="00E14060">
              <w:rPr>
                <w:b/>
                <w:bCs/>
                <w:sz w:val="22"/>
                <w:szCs w:val="22"/>
                <w:lang w:val="en-GB"/>
              </w:rPr>
              <w:t>Relative risk of drug vs. placebo</w:t>
            </w:r>
          </w:p>
        </w:tc>
        <w:tc>
          <w:tcPr>
            <w:tcW w:w="2126" w:type="dxa"/>
            <w:tcBorders>
              <w:top w:val="single" w:sz="4" w:space="0" w:color="auto"/>
              <w:left w:val="nil"/>
              <w:bottom w:val="single" w:sz="4" w:space="0" w:color="auto"/>
              <w:right w:val="nil"/>
            </w:tcBorders>
            <w:shd w:val="clear" w:color="auto" w:fill="auto"/>
            <w:vAlign w:val="bottom"/>
            <w:hideMark/>
          </w:tcPr>
          <w:p w14:paraId="70E24CCC" w14:textId="77777777" w:rsidR="000332DE" w:rsidRPr="00E14060" w:rsidRDefault="000332DE" w:rsidP="00106D7E">
            <w:pPr>
              <w:jc w:val="center"/>
              <w:rPr>
                <w:b/>
                <w:bCs/>
                <w:sz w:val="22"/>
                <w:szCs w:val="22"/>
                <w:lang w:val="en-GB"/>
              </w:rPr>
            </w:pPr>
            <w:r w:rsidRPr="00E14060">
              <w:rPr>
                <w:b/>
                <w:bCs/>
                <w:sz w:val="22"/>
                <w:szCs w:val="22"/>
                <w:lang w:val="en-GB"/>
              </w:rPr>
              <w:t>95% Credible interval for relative risk</w:t>
            </w:r>
          </w:p>
        </w:tc>
        <w:tc>
          <w:tcPr>
            <w:tcW w:w="2692" w:type="dxa"/>
            <w:tcBorders>
              <w:top w:val="single" w:sz="4" w:space="0" w:color="auto"/>
              <w:left w:val="nil"/>
              <w:bottom w:val="single" w:sz="4" w:space="0" w:color="auto"/>
              <w:right w:val="nil"/>
            </w:tcBorders>
            <w:shd w:val="clear" w:color="auto" w:fill="auto"/>
            <w:vAlign w:val="bottom"/>
          </w:tcPr>
          <w:p w14:paraId="34A915BC" w14:textId="77777777" w:rsidR="000332DE" w:rsidRPr="00E14060" w:rsidRDefault="000332DE" w:rsidP="00106D7E">
            <w:pPr>
              <w:jc w:val="center"/>
              <w:rPr>
                <w:b/>
                <w:sz w:val="22"/>
                <w:szCs w:val="22"/>
                <w:lang w:val="en-GB"/>
              </w:rPr>
            </w:pPr>
            <w:r w:rsidRPr="00E14060">
              <w:rPr>
                <w:b/>
                <w:sz w:val="22"/>
                <w:szCs w:val="22"/>
                <w:lang w:val="en-GB"/>
              </w:rPr>
              <w:t>Response rate</w:t>
            </w:r>
          </w:p>
          <w:p w14:paraId="55B3AF3A" w14:textId="77777777" w:rsidR="000332DE" w:rsidRPr="00E14060" w:rsidRDefault="000332DE" w:rsidP="00106D7E">
            <w:pPr>
              <w:jc w:val="center"/>
              <w:rPr>
                <w:b/>
                <w:bCs/>
                <w:sz w:val="22"/>
                <w:szCs w:val="22"/>
                <w:lang w:val="en-GB"/>
              </w:rPr>
            </w:pPr>
          </w:p>
        </w:tc>
        <w:tc>
          <w:tcPr>
            <w:tcW w:w="2368" w:type="dxa"/>
            <w:tcBorders>
              <w:top w:val="nil"/>
              <w:left w:val="nil"/>
              <w:bottom w:val="nil"/>
              <w:right w:val="nil"/>
            </w:tcBorders>
            <w:shd w:val="clear" w:color="auto" w:fill="auto"/>
            <w:vAlign w:val="bottom"/>
            <w:hideMark/>
          </w:tcPr>
          <w:p w14:paraId="69562D6B" w14:textId="77777777" w:rsidR="000332DE" w:rsidRPr="00E14060" w:rsidRDefault="000332DE" w:rsidP="00106D7E">
            <w:pPr>
              <w:jc w:val="center"/>
              <w:rPr>
                <w:b/>
                <w:bCs/>
                <w:sz w:val="22"/>
                <w:szCs w:val="22"/>
                <w:lang w:val="en-GB"/>
              </w:rPr>
            </w:pPr>
            <w:r w:rsidRPr="00E14060">
              <w:rPr>
                <w:b/>
                <w:bCs/>
                <w:sz w:val="22"/>
                <w:szCs w:val="22"/>
                <w:lang w:val="en-GB"/>
              </w:rPr>
              <w:t xml:space="preserve">Placebo Risk </w:t>
            </w:r>
          </w:p>
          <w:p w14:paraId="2A194A8C" w14:textId="77777777" w:rsidR="000332DE" w:rsidRPr="00E14060" w:rsidRDefault="000332DE" w:rsidP="00106D7E">
            <w:pPr>
              <w:jc w:val="center"/>
              <w:rPr>
                <w:b/>
                <w:bCs/>
                <w:sz w:val="22"/>
                <w:szCs w:val="22"/>
                <w:lang w:val="en-GB"/>
              </w:rPr>
            </w:pPr>
            <w:r w:rsidRPr="00E14060">
              <w:rPr>
                <w:b/>
                <w:bCs/>
                <w:sz w:val="22"/>
                <w:szCs w:val="22"/>
                <w:lang w:val="en-GB"/>
              </w:rPr>
              <w:t>(95% CI)</w:t>
            </w:r>
            <w:r w:rsidRPr="00E14060">
              <w:rPr>
                <w:rStyle w:val="FootnoteReference"/>
                <w:b/>
                <w:bCs/>
                <w:sz w:val="22"/>
                <w:szCs w:val="22"/>
                <w:lang w:val="en-GB"/>
              </w:rPr>
              <w:footnoteReference w:id="12"/>
            </w:r>
            <w:r w:rsidRPr="00E14060" w:rsidDel="001A78D0">
              <w:rPr>
                <w:b/>
                <w:bCs/>
                <w:sz w:val="22"/>
                <w:szCs w:val="22"/>
                <w:vertAlign w:val="superscript"/>
                <w:lang w:val="en-GB"/>
              </w:rPr>
              <w:t xml:space="preserve"> </w:t>
            </w:r>
          </w:p>
        </w:tc>
      </w:tr>
      <w:tr w:rsidR="00F334F9" w:rsidRPr="00E14060" w14:paraId="5336B2AC" w14:textId="77777777" w:rsidTr="00106D7E">
        <w:trPr>
          <w:trHeight w:val="300"/>
        </w:trPr>
        <w:tc>
          <w:tcPr>
            <w:tcW w:w="222" w:type="dxa"/>
            <w:tcBorders>
              <w:top w:val="nil"/>
              <w:left w:val="nil"/>
              <w:bottom w:val="nil"/>
              <w:right w:val="nil"/>
            </w:tcBorders>
            <w:shd w:val="clear" w:color="auto" w:fill="auto"/>
            <w:noWrap/>
            <w:vAlign w:val="bottom"/>
            <w:hideMark/>
          </w:tcPr>
          <w:p w14:paraId="69F9B31F" w14:textId="77777777" w:rsidR="001E04A1" w:rsidRPr="00E14060" w:rsidRDefault="001E04A1" w:rsidP="00106D7E">
            <w:pPr>
              <w:rPr>
                <w:sz w:val="22"/>
                <w:szCs w:val="22"/>
                <w:lang w:val="en-GB"/>
              </w:rPr>
            </w:pPr>
          </w:p>
        </w:tc>
        <w:tc>
          <w:tcPr>
            <w:tcW w:w="1301" w:type="dxa"/>
            <w:tcBorders>
              <w:top w:val="nil"/>
              <w:left w:val="nil"/>
              <w:bottom w:val="nil"/>
              <w:right w:val="nil"/>
            </w:tcBorders>
            <w:shd w:val="clear" w:color="auto" w:fill="auto"/>
            <w:noWrap/>
            <w:vAlign w:val="bottom"/>
            <w:hideMark/>
          </w:tcPr>
          <w:p w14:paraId="2B599E4E" w14:textId="77777777" w:rsidR="001E04A1" w:rsidRPr="00E14060" w:rsidRDefault="001E04A1" w:rsidP="00106D7E">
            <w:pPr>
              <w:rPr>
                <w:b/>
                <w:bCs/>
                <w:sz w:val="22"/>
                <w:szCs w:val="22"/>
                <w:lang w:val="en-GB"/>
              </w:rPr>
            </w:pPr>
            <w:r w:rsidRPr="00E14060">
              <w:rPr>
                <w:b/>
                <w:bCs/>
                <w:sz w:val="22"/>
                <w:szCs w:val="22"/>
                <w:lang w:val="en-GB"/>
              </w:rPr>
              <w:t>LDX</w:t>
            </w:r>
          </w:p>
        </w:tc>
        <w:tc>
          <w:tcPr>
            <w:tcW w:w="271" w:type="dxa"/>
            <w:tcBorders>
              <w:top w:val="nil"/>
              <w:left w:val="nil"/>
              <w:bottom w:val="nil"/>
              <w:right w:val="nil"/>
            </w:tcBorders>
            <w:shd w:val="clear" w:color="auto" w:fill="auto"/>
            <w:noWrap/>
            <w:vAlign w:val="bottom"/>
            <w:hideMark/>
          </w:tcPr>
          <w:p w14:paraId="281ADB59" w14:textId="77777777" w:rsidR="001E04A1" w:rsidRPr="00E14060" w:rsidRDefault="001E04A1" w:rsidP="00106D7E">
            <w:pPr>
              <w:rPr>
                <w:sz w:val="22"/>
                <w:szCs w:val="22"/>
                <w:lang w:val="en-GB"/>
              </w:rPr>
            </w:pPr>
          </w:p>
        </w:tc>
        <w:tc>
          <w:tcPr>
            <w:tcW w:w="1733" w:type="dxa"/>
            <w:tcBorders>
              <w:top w:val="nil"/>
              <w:left w:val="nil"/>
              <w:bottom w:val="nil"/>
              <w:right w:val="nil"/>
            </w:tcBorders>
            <w:shd w:val="clear" w:color="auto" w:fill="auto"/>
            <w:noWrap/>
            <w:vAlign w:val="bottom"/>
            <w:hideMark/>
          </w:tcPr>
          <w:p w14:paraId="295DA3F9" w14:textId="77777777" w:rsidR="001E04A1" w:rsidRPr="00E14060" w:rsidRDefault="001E04A1" w:rsidP="00106D7E">
            <w:pPr>
              <w:jc w:val="center"/>
              <w:rPr>
                <w:sz w:val="22"/>
                <w:szCs w:val="22"/>
                <w:lang w:val="en-GB"/>
              </w:rPr>
            </w:pPr>
            <w:r w:rsidRPr="00E14060">
              <w:rPr>
                <w:sz w:val="22"/>
                <w:szCs w:val="22"/>
                <w:lang w:val="en-GB"/>
              </w:rPr>
              <w:t>2.00</w:t>
            </w:r>
          </w:p>
        </w:tc>
        <w:tc>
          <w:tcPr>
            <w:tcW w:w="2126" w:type="dxa"/>
            <w:tcBorders>
              <w:top w:val="single" w:sz="4" w:space="0" w:color="auto"/>
              <w:left w:val="nil"/>
              <w:bottom w:val="nil"/>
              <w:right w:val="nil"/>
            </w:tcBorders>
            <w:shd w:val="clear" w:color="auto" w:fill="auto"/>
            <w:noWrap/>
            <w:vAlign w:val="bottom"/>
            <w:hideMark/>
          </w:tcPr>
          <w:p w14:paraId="08685B9B" w14:textId="77777777" w:rsidR="001E04A1" w:rsidRPr="00E14060" w:rsidRDefault="001E04A1" w:rsidP="00106D7E">
            <w:pPr>
              <w:jc w:val="center"/>
              <w:rPr>
                <w:sz w:val="22"/>
                <w:szCs w:val="22"/>
                <w:lang w:val="en-GB"/>
              </w:rPr>
            </w:pPr>
            <w:r w:rsidRPr="00E14060">
              <w:rPr>
                <w:sz w:val="22"/>
                <w:szCs w:val="22"/>
                <w:lang w:val="en-GB"/>
              </w:rPr>
              <w:t>(1.71, 2.28)</w:t>
            </w:r>
          </w:p>
        </w:tc>
        <w:tc>
          <w:tcPr>
            <w:tcW w:w="2692" w:type="dxa"/>
            <w:tcBorders>
              <w:top w:val="single" w:sz="4" w:space="0" w:color="auto"/>
              <w:left w:val="nil"/>
              <w:bottom w:val="nil"/>
              <w:right w:val="nil"/>
            </w:tcBorders>
            <w:shd w:val="clear" w:color="auto" w:fill="auto"/>
            <w:noWrap/>
            <w:vAlign w:val="bottom"/>
          </w:tcPr>
          <w:p w14:paraId="268EFC1D" w14:textId="77777777" w:rsidR="001E04A1" w:rsidRPr="00E14060" w:rsidRDefault="001E04A1" w:rsidP="00106D7E">
            <w:pPr>
              <w:jc w:val="center"/>
              <w:rPr>
                <w:sz w:val="22"/>
                <w:szCs w:val="22"/>
                <w:lang w:val="en-GB"/>
              </w:rPr>
            </w:pPr>
            <w:r w:rsidRPr="00E14060">
              <w:rPr>
                <w:sz w:val="22"/>
                <w:szCs w:val="22"/>
                <w:lang w:val="en-GB"/>
              </w:rPr>
              <w:t>0.71</w:t>
            </w:r>
          </w:p>
        </w:tc>
        <w:tc>
          <w:tcPr>
            <w:tcW w:w="2368" w:type="dxa"/>
            <w:tcBorders>
              <w:top w:val="nil"/>
              <w:left w:val="nil"/>
              <w:bottom w:val="nil"/>
              <w:right w:val="nil"/>
            </w:tcBorders>
            <w:shd w:val="clear" w:color="auto" w:fill="auto"/>
            <w:noWrap/>
            <w:vAlign w:val="bottom"/>
            <w:hideMark/>
          </w:tcPr>
          <w:p w14:paraId="566A9DDB" w14:textId="77777777" w:rsidR="001E04A1" w:rsidRPr="00E14060" w:rsidRDefault="001E04A1" w:rsidP="00106D7E">
            <w:pPr>
              <w:jc w:val="center"/>
              <w:rPr>
                <w:sz w:val="22"/>
                <w:szCs w:val="22"/>
                <w:lang w:val="en-GB"/>
              </w:rPr>
            </w:pPr>
            <w:r w:rsidRPr="00E14060">
              <w:rPr>
                <w:sz w:val="22"/>
                <w:szCs w:val="22"/>
                <w:lang w:val="en-GB"/>
              </w:rPr>
              <w:t>0.3537</w:t>
            </w:r>
          </w:p>
        </w:tc>
      </w:tr>
      <w:tr w:rsidR="00F334F9" w:rsidRPr="00E14060" w14:paraId="5D922909" w14:textId="77777777" w:rsidTr="00106D7E">
        <w:trPr>
          <w:trHeight w:val="300"/>
        </w:trPr>
        <w:tc>
          <w:tcPr>
            <w:tcW w:w="222" w:type="dxa"/>
            <w:tcBorders>
              <w:top w:val="nil"/>
              <w:left w:val="nil"/>
              <w:bottom w:val="nil"/>
              <w:right w:val="nil"/>
            </w:tcBorders>
            <w:shd w:val="clear" w:color="auto" w:fill="auto"/>
            <w:noWrap/>
            <w:vAlign w:val="bottom"/>
            <w:hideMark/>
          </w:tcPr>
          <w:p w14:paraId="747161B3" w14:textId="77777777" w:rsidR="001E04A1" w:rsidRPr="00E14060" w:rsidRDefault="001E04A1" w:rsidP="00106D7E">
            <w:pPr>
              <w:rPr>
                <w:sz w:val="22"/>
                <w:szCs w:val="22"/>
                <w:lang w:val="en-GB"/>
              </w:rPr>
            </w:pPr>
          </w:p>
        </w:tc>
        <w:tc>
          <w:tcPr>
            <w:tcW w:w="1301" w:type="dxa"/>
            <w:tcBorders>
              <w:top w:val="nil"/>
              <w:left w:val="nil"/>
              <w:bottom w:val="nil"/>
              <w:right w:val="nil"/>
            </w:tcBorders>
            <w:shd w:val="clear" w:color="auto" w:fill="auto"/>
            <w:noWrap/>
            <w:vAlign w:val="bottom"/>
            <w:hideMark/>
          </w:tcPr>
          <w:p w14:paraId="3CBDFB7A" w14:textId="77777777" w:rsidR="001E04A1" w:rsidRPr="00E14060" w:rsidRDefault="001E04A1" w:rsidP="00106D7E">
            <w:pPr>
              <w:rPr>
                <w:b/>
                <w:bCs/>
                <w:sz w:val="22"/>
                <w:szCs w:val="22"/>
                <w:lang w:val="en-GB"/>
              </w:rPr>
            </w:pPr>
            <w:r w:rsidRPr="00E14060">
              <w:rPr>
                <w:b/>
                <w:bCs/>
                <w:sz w:val="22"/>
                <w:szCs w:val="22"/>
                <w:lang w:val="en-GB"/>
              </w:rPr>
              <w:t>ATX</w:t>
            </w:r>
          </w:p>
        </w:tc>
        <w:tc>
          <w:tcPr>
            <w:tcW w:w="271" w:type="dxa"/>
            <w:tcBorders>
              <w:top w:val="nil"/>
              <w:left w:val="nil"/>
              <w:bottom w:val="nil"/>
              <w:right w:val="nil"/>
            </w:tcBorders>
            <w:shd w:val="clear" w:color="auto" w:fill="auto"/>
            <w:noWrap/>
            <w:vAlign w:val="bottom"/>
            <w:hideMark/>
          </w:tcPr>
          <w:p w14:paraId="5F653D14" w14:textId="77777777" w:rsidR="001E04A1" w:rsidRPr="00E14060" w:rsidRDefault="001E04A1" w:rsidP="00106D7E">
            <w:pPr>
              <w:rPr>
                <w:sz w:val="22"/>
                <w:szCs w:val="22"/>
                <w:lang w:val="en-GB"/>
              </w:rPr>
            </w:pPr>
          </w:p>
        </w:tc>
        <w:tc>
          <w:tcPr>
            <w:tcW w:w="1733" w:type="dxa"/>
            <w:tcBorders>
              <w:top w:val="nil"/>
              <w:left w:val="nil"/>
              <w:bottom w:val="nil"/>
              <w:right w:val="nil"/>
            </w:tcBorders>
            <w:shd w:val="clear" w:color="auto" w:fill="auto"/>
            <w:noWrap/>
            <w:vAlign w:val="bottom"/>
            <w:hideMark/>
          </w:tcPr>
          <w:p w14:paraId="49E5063A" w14:textId="77777777" w:rsidR="001E04A1" w:rsidRPr="00E14060" w:rsidRDefault="001E04A1" w:rsidP="00106D7E">
            <w:pPr>
              <w:jc w:val="center"/>
              <w:rPr>
                <w:sz w:val="22"/>
                <w:szCs w:val="22"/>
                <w:lang w:val="en-GB"/>
              </w:rPr>
            </w:pPr>
            <w:r w:rsidRPr="00E14060">
              <w:rPr>
                <w:sz w:val="22"/>
                <w:szCs w:val="22"/>
                <w:lang w:val="en-GB"/>
              </w:rPr>
              <w:t>1.44</w:t>
            </w:r>
          </w:p>
        </w:tc>
        <w:tc>
          <w:tcPr>
            <w:tcW w:w="2126" w:type="dxa"/>
            <w:tcBorders>
              <w:top w:val="nil"/>
              <w:left w:val="nil"/>
              <w:bottom w:val="nil"/>
              <w:right w:val="nil"/>
            </w:tcBorders>
            <w:shd w:val="clear" w:color="auto" w:fill="auto"/>
            <w:noWrap/>
            <w:vAlign w:val="bottom"/>
            <w:hideMark/>
          </w:tcPr>
          <w:p w14:paraId="722CB05D" w14:textId="77777777" w:rsidR="001E04A1" w:rsidRPr="00E14060" w:rsidRDefault="001E04A1" w:rsidP="00106D7E">
            <w:pPr>
              <w:jc w:val="center"/>
              <w:rPr>
                <w:sz w:val="22"/>
                <w:szCs w:val="22"/>
                <w:lang w:val="en-GB"/>
              </w:rPr>
            </w:pPr>
            <w:r w:rsidRPr="00E14060">
              <w:rPr>
                <w:sz w:val="22"/>
                <w:szCs w:val="22"/>
                <w:lang w:val="en-GB"/>
              </w:rPr>
              <w:t>(1.28, 1.61)</w:t>
            </w:r>
          </w:p>
        </w:tc>
        <w:tc>
          <w:tcPr>
            <w:tcW w:w="2692" w:type="dxa"/>
            <w:tcBorders>
              <w:top w:val="nil"/>
              <w:left w:val="nil"/>
              <w:bottom w:val="nil"/>
              <w:right w:val="nil"/>
            </w:tcBorders>
            <w:shd w:val="clear" w:color="auto" w:fill="auto"/>
            <w:noWrap/>
            <w:vAlign w:val="bottom"/>
          </w:tcPr>
          <w:p w14:paraId="3776E30F" w14:textId="77777777" w:rsidR="001E04A1" w:rsidRPr="00E14060" w:rsidRDefault="001E04A1" w:rsidP="00106D7E">
            <w:pPr>
              <w:jc w:val="center"/>
              <w:rPr>
                <w:sz w:val="22"/>
                <w:szCs w:val="22"/>
                <w:lang w:val="en-GB"/>
              </w:rPr>
            </w:pPr>
            <w:r w:rsidRPr="00E14060">
              <w:rPr>
                <w:sz w:val="22"/>
                <w:szCs w:val="22"/>
                <w:lang w:val="en-GB"/>
              </w:rPr>
              <w:t>0.51</w:t>
            </w:r>
          </w:p>
        </w:tc>
        <w:tc>
          <w:tcPr>
            <w:tcW w:w="2368" w:type="dxa"/>
            <w:tcBorders>
              <w:top w:val="nil"/>
              <w:left w:val="nil"/>
              <w:bottom w:val="nil"/>
              <w:right w:val="nil"/>
            </w:tcBorders>
            <w:shd w:val="clear" w:color="auto" w:fill="auto"/>
            <w:noWrap/>
            <w:vAlign w:val="bottom"/>
            <w:hideMark/>
          </w:tcPr>
          <w:p w14:paraId="66F19947" w14:textId="77777777" w:rsidR="001E04A1" w:rsidRPr="00E14060" w:rsidRDefault="001E04A1" w:rsidP="00106D7E">
            <w:pPr>
              <w:jc w:val="center"/>
              <w:rPr>
                <w:sz w:val="22"/>
                <w:szCs w:val="22"/>
                <w:lang w:val="en-GB"/>
              </w:rPr>
            </w:pPr>
            <w:r w:rsidRPr="00E14060">
              <w:rPr>
                <w:sz w:val="22"/>
                <w:szCs w:val="22"/>
                <w:lang w:val="en-GB"/>
              </w:rPr>
              <w:t>(0.323, 0.384)</w:t>
            </w:r>
          </w:p>
        </w:tc>
      </w:tr>
      <w:tr w:rsidR="00F334F9" w:rsidRPr="00E14060" w14:paraId="07F7C01C" w14:textId="77777777" w:rsidTr="00106D7E">
        <w:trPr>
          <w:trHeight w:val="300"/>
        </w:trPr>
        <w:tc>
          <w:tcPr>
            <w:tcW w:w="222" w:type="dxa"/>
            <w:tcBorders>
              <w:top w:val="nil"/>
              <w:left w:val="nil"/>
              <w:bottom w:val="nil"/>
              <w:right w:val="nil"/>
            </w:tcBorders>
            <w:shd w:val="clear" w:color="auto" w:fill="auto"/>
            <w:noWrap/>
            <w:vAlign w:val="bottom"/>
            <w:hideMark/>
          </w:tcPr>
          <w:p w14:paraId="4B3D1BDB" w14:textId="77777777" w:rsidR="001E04A1" w:rsidRPr="00E14060" w:rsidRDefault="001E04A1" w:rsidP="00106D7E">
            <w:pPr>
              <w:rPr>
                <w:sz w:val="22"/>
                <w:szCs w:val="22"/>
                <w:lang w:val="en-GB"/>
              </w:rPr>
            </w:pPr>
          </w:p>
        </w:tc>
        <w:tc>
          <w:tcPr>
            <w:tcW w:w="1301" w:type="dxa"/>
            <w:tcBorders>
              <w:top w:val="nil"/>
              <w:left w:val="nil"/>
              <w:bottom w:val="single" w:sz="4" w:space="0" w:color="auto"/>
              <w:right w:val="nil"/>
            </w:tcBorders>
            <w:shd w:val="clear" w:color="auto" w:fill="auto"/>
            <w:noWrap/>
            <w:vAlign w:val="bottom"/>
            <w:hideMark/>
          </w:tcPr>
          <w:p w14:paraId="02627562" w14:textId="77777777" w:rsidR="001E04A1" w:rsidRPr="00E14060" w:rsidRDefault="001E04A1" w:rsidP="00106D7E">
            <w:pPr>
              <w:rPr>
                <w:b/>
                <w:bCs/>
                <w:sz w:val="22"/>
                <w:szCs w:val="22"/>
                <w:lang w:val="en-GB"/>
              </w:rPr>
            </w:pPr>
            <w:r w:rsidRPr="00E14060">
              <w:rPr>
                <w:b/>
                <w:bCs/>
                <w:sz w:val="22"/>
                <w:szCs w:val="22"/>
                <w:lang w:val="en-GB"/>
              </w:rPr>
              <w:t>MPH-ER</w:t>
            </w:r>
          </w:p>
        </w:tc>
        <w:tc>
          <w:tcPr>
            <w:tcW w:w="271" w:type="dxa"/>
            <w:tcBorders>
              <w:top w:val="nil"/>
              <w:left w:val="nil"/>
              <w:bottom w:val="single" w:sz="4" w:space="0" w:color="auto"/>
              <w:right w:val="nil"/>
            </w:tcBorders>
            <w:shd w:val="clear" w:color="auto" w:fill="auto"/>
            <w:noWrap/>
            <w:vAlign w:val="bottom"/>
            <w:hideMark/>
          </w:tcPr>
          <w:p w14:paraId="163DD565" w14:textId="77777777" w:rsidR="001E04A1" w:rsidRPr="00E14060" w:rsidRDefault="001E04A1" w:rsidP="00106D7E">
            <w:pPr>
              <w:rPr>
                <w:sz w:val="22"/>
                <w:szCs w:val="22"/>
                <w:lang w:val="en-GB"/>
              </w:rPr>
            </w:pPr>
            <w:r w:rsidRPr="00E14060">
              <w:rPr>
                <w:sz w:val="22"/>
                <w:szCs w:val="22"/>
                <w:lang w:val="en-GB"/>
              </w:rPr>
              <w:t> </w:t>
            </w:r>
          </w:p>
        </w:tc>
        <w:tc>
          <w:tcPr>
            <w:tcW w:w="1733" w:type="dxa"/>
            <w:tcBorders>
              <w:top w:val="nil"/>
              <w:left w:val="nil"/>
              <w:bottom w:val="single" w:sz="4" w:space="0" w:color="auto"/>
              <w:right w:val="nil"/>
            </w:tcBorders>
            <w:shd w:val="clear" w:color="auto" w:fill="auto"/>
            <w:noWrap/>
            <w:vAlign w:val="bottom"/>
            <w:hideMark/>
          </w:tcPr>
          <w:p w14:paraId="5D303E49" w14:textId="77777777" w:rsidR="001E04A1" w:rsidRPr="00E14060" w:rsidRDefault="001E04A1" w:rsidP="00106D7E">
            <w:pPr>
              <w:jc w:val="center"/>
              <w:rPr>
                <w:sz w:val="22"/>
                <w:szCs w:val="22"/>
                <w:lang w:val="en-GB"/>
              </w:rPr>
            </w:pPr>
            <w:r w:rsidRPr="00E14060">
              <w:rPr>
                <w:sz w:val="22"/>
                <w:szCs w:val="22"/>
                <w:lang w:val="en-GB"/>
              </w:rPr>
              <w:t>1.74</w:t>
            </w:r>
          </w:p>
        </w:tc>
        <w:tc>
          <w:tcPr>
            <w:tcW w:w="2126" w:type="dxa"/>
            <w:tcBorders>
              <w:top w:val="nil"/>
              <w:left w:val="nil"/>
              <w:bottom w:val="single" w:sz="4" w:space="0" w:color="auto"/>
              <w:right w:val="nil"/>
            </w:tcBorders>
            <w:shd w:val="clear" w:color="auto" w:fill="auto"/>
            <w:noWrap/>
            <w:vAlign w:val="bottom"/>
            <w:hideMark/>
          </w:tcPr>
          <w:p w14:paraId="1ED26903" w14:textId="77777777" w:rsidR="001E04A1" w:rsidRPr="00E14060" w:rsidRDefault="001E04A1" w:rsidP="00106D7E">
            <w:pPr>
              <w:jc w:val="center"/>
              <w:rPr>
                <w:sz w:val="22"/>
                <w:szCs w:val="22"/>
                <w:lang w:val="en-GB"/>
              </w:rPr>
            </w:pPr>
            <w:r w:rsidRPr="00E14060">
              <w:rPr>
                <w:sz w:val="22"/>
                <w:szCs w:val="22"/>
                <w:lang w:val="en-GB"/>
              </w:rPr>
              <w:t>(1.46, 2.01)</w:t>
            </w:r>
          </w:p>
        </w:tc>
        <w:tc>
          <w:tcPr>
            <w:tcW w:w="2692" w:type="dxa"/>
            <w:tcBorders>
              <w:top w:val="nil"/>
              <w:left w:val="nil"/>
              <w:bottom w:val="single" w:sz="4" w:space="0" w:color="auto"/>
              <w:right w:val="nil"/>
            </w:tcBorders>
            <w:shd w:val="clear" w:color="auto" w:fill="auto"/>
            <w:noWrap/>
            <w:vAlign w:val="bottom"/>
            <w:hideMark/>
          </w:tcPr>
          <w:p w14:paraId="0913608D" w14:textId="77777777" w:rsidR="001E04A1" w:rsidRPr="00E14060" w:rsidRDefault="001E04A1" w:rsidP="00106D7E">
            <w:pPr>
              <w:jc w:val="center"/>
              <w:rPr>
                <w:sz w:val="22"/>
                <w:szCs w:val="22"/>
                <w:lang w:val="en-GB"/>
              </w:rPr>
            </w:pPr>
            <w:r w:rsidRPr="00E14060">
              <w:rPr>
                <w:sz w:val="22"/>
                <w:szCs w:val="22"/>
                <w:lang w:val="en-GB"/>
              </w:rPr>
              <w:t>0.61</w:t>
            </w:r>
          </w:p>
        </w:tc>
        <w:tc>
          <w:tcPr>
            <w:tcW w:w="2368" w:type="dxa"/>
            <w:tcBorders>
              <w:top w:val="nil"/>
              <w:left w:val="nil"/>
              <w:bottom w:val="nil"/>
              <w:right w:val="nil"/>
            </w:tcBorders>
            <w:shd w:val="clear" w:color="auto" w:fill="auto"/>
            <w:noWrap/>
            <w:vAlign w:val="bottom"/>
            <w:hideMark/>
          </w:tcPr>
          <w:p w14:paraId="476BA723" w14:textId="77777777" w:rsidR="001E04A1" w:rsidRPr="00E14060" w:rsidRDefault="001E04A1" w:rsidP="00106D7E">
            <w:pPr>
              <w:jc w:val="center"/>
              <w:rPr>
                <w:sz w:val="22"/>
                <w:szCs w:val="22"/>
                <w:lang w:val="en-GB"/>
              </w:rPr>
            </w:pPr>
          </w:p>
        </w:tc>
      </w:tr>
    </w:tbl>
    <w:p w14:paraId="4691B635" w14:textId="77777777" w:rsidR="00621ED5" w:rsidRPr="00E14060" w:rsidRDefault="00621ED5" w:rsidP="003D1022">
      <w:pPr>
        <w:spacing w:before="240" w:after="240" w:line="360" w:lineRule="auto"/>
        <w:rPr>
          <w:sz w:val="24"/>
          <w:szCs w:val="24"/>
          <w:lang w:val="en-GB"/>
        </w:rPr>
      </w:pPr>
    </w:p>
    <w:tbl>
      <w:tblPr>
        <w:tblW w:w="10713" w:type="dxa"/>
        <w:tblInd w:w="108" w:type="dxa"/>
        <w:tblLook w:val="04A0" w:firstRow="1" w:lastRow="0" w:firstColumn="1" w:lastColumn="0" w:noHBand="0" w:noVBand="1"/>
      </w:tblPr>
      <w:tblGrid>
        <w:gridCol w:w="222"/>
        <w:gridCol w:w="1301"/>
        <w:gridCol w:w="271"/>
        <w:gridCol w:w="1733"/>
        <w:gridCol w:w="2126"/>
        <w:gridCol w:w="2692"/>
        <w:gridCol w:w="2368"/>
      </w:tblGrid>
      <w:tr w:rsidR="00F334F9" w:rsidRPr="00E14060" w14:paraId="4D1E940C" w14:textId="77777777" w:rsidTr="00106D7E">
        <w:trPr>
          <w:trHeight w:val="600"/>
        </w:trPr>
        <w:tc>
          <w:tcPr>
            <w:tcW w:w="10713" w:type="dxa"/>
            <w:gridSpan w:val="7"/>
            <w:tcBorders>
              <w:top w:val="nil"/>
              <w:left w:val="nil"/>
              <w:bottom w:val="nil"/>
              <w:right w:val="nil"/>
            </w:tcBorders>
            <w:shd w:val="clear" w:color="auto" w:fill="auto"/>
            <w:vAlign w:val="bottom"/>
            <w:hideMark/>
          </w:tcPr>
          <w:p w14:paraId="5F07E665" w14:textId="77777777" w:rsidR="001E04A1" w:rsidRPr="00E14060" w:rsidRDefault="001E04A1" w:rsidP="001E04A1">
            <w:pPr>
              <w:jc w:val="center"/>
              <w:rPr>
                <w:b/>
                <w:bCs/>
                <w:sz w:val="22"/>
                <w:szCs w:val="22"/>
                <w:lang w:val="en-GB"/>
              </w:rPr>
            </w:pPr>
            <w:r w:rsidRPr="00E14060">
              <w:rPr>
                <w:b/>
                <w:bCs/>
                <w:sz w:val="22"/>
                <w:szCs w:val="22"/>
                <w:lang w:val="en-GB"/>
              </w:rPr>
              <w:t>Table 16. Odds ratios and relative risks for treatment response, as defined by a rating of 1 or 2 in CGI-I score (drug vs. placebo)</w:t>
            </w:r>
          </w:p>
        </w:tc>
      </w:tr>
      <w:tr w:rsidR="00F334F9" w:rsidRPr="00E14060" w14:paraId="277C41C5" w14:textId="77777777" w:rsidTr="00106D7E">
        <w:trPr>
          <w:trHeight w:val="300"/>
        </w:trPr>
        <w:tc>
          <w:tcPr>
            <w:tcW w:w="10713" w:type="dxa"/>
            <w:gridSpan w:val="7"/>
            <w:tcBorders>
              <w:top w:val="nil"/>
              <w:left w:val="nil"/>
              <w:bottom w:val="nil"/>
              <w:right w:val="nil"/>
            </w:tcBorders>
            <w:shd w:val="clear" w:color="auto" w:fill="auto"/>
            <w:noWrap/>
            <w:vAlign w:val="bottom"/>
            <w:hideMark/>
          </w:tcPr>
          <w:p w14:paraId="292264A8" w14:textId="77777777" w:rsidR="001E04A1" w:rsidRPr="00E14060" w:rsidRDefault="001E04A1" w:rsidP="00106D7E">
            <w:pPr>
              <w:jc w:val="center"/>
              <w:rPr>
                <w:b/>
                <w:bCs/>
                <w:sz w:val="22"/>
                <w:szCs w:val="22"/>
                <w:lang w:val="en-GB"/>
              </w:rPr>
            </w:pPr>
            <w:r w:rsidRPr="00E14060">
              <w:rPr>
                <w:b/>
                <w:bCs/>
                <w:sz w:val="22"/>
                <w:szCs w:val="22"/>
                <w:lang w:val="en-GB"/>
              </w:rPr>
              <w:t>Direct extrapolation method for ATX arm (random effects model, combined doses)</w:t>
            </w:r>
          </w:p>
        </w:tc>
      </w:tr>
      <w:tr w:rsidR="00F334F9" w:rsidRPr="00E14060" w14:paraId="6D8333C4" w14:textId="77777777" w:rsidTr="00106D7E">
        <w:trPr>
          <w:trHeight w:val="300"/>
        </w:trPr>
        <w:tc>
          <w:tcPr>
            <w:tcW w:w="222" w:type="dxa"/>
            <w:tcBorders>
              <w:top w:val="nil"/>
              <w:left w:val="nil"/>
              <w:bottom w:val="nil"/>
              <w:right w:val="nil"/>
            </w:tcBorders>
            <w:shd w:val="clear" w:color="auto" w:fill="auto"/>
            <w:noWrap/>
            <w:vAlign w:val="bottom"/>
            <w:hideMark/>
          </w:tcPr>
          <w:p w14:paraId="64F3FA01" w14:textId="77777777" w:rsidR="000332DE" w:rsidRPr="00E14060" w:rsidRDefault="000332DE" w:rsidP="00106D7E">
            <w:pPr>
              <w:rPr>
                <w:sz w:val="22"/>
                <w:szCs w:val="22"/>
                <w:lang w:val="en-GB"/>
              </w:rPr>
            </w:pPr>
          </w:p>
        </w:tc>
        <w:tc>
          <w:tcPr>
            <w:tcW w:w="1301" w:type="dxa"/>
            <w:tcBorders>
              <w:top w:val="nil"/>
              <w:left w:val="nil"/>
              <w:bottom w:val="nil"/>
              <w:right w:val="nil"/>
            </w:tcBorders>
            <w:shd w:val="clear" w:color="auto" w:fill="auto"/>
            <w:noWrap/>
            <w:vAlign w:val="bottom"/>
            <w:hideMark/>
          </w:tcPr>
          <w:p w14:paraId="7ECAF797" w14:textId="77777777" w:rsidR="000332DE" w:rsidRPr="00E14060" w:rsidRDefault="000332DE" w:rsidP="00106D7E">
            <w:pPr>
              <w:rPr>
                <w:sz w:val="22"/>
                <w:szCs w:val="22"/>
                <w:lang w:val="en-GB"/>
              </w:rPr>
            </w:pPr>
          </w:p>
        </w:tc>
        <w:tc>
          <w:tcPr>
            <w:tcW w:w="271" w:type="dxa"/>
            <w:tcBorders>
              <w:top w:val="nil"/>
              <w:left w:val="nil"/>
              <w:bottom w:val="nil"/>
              <w:right w:val="nil"/>
            </w:tcBorders>
            <w:shd w:val="clear" w:color="auto" w:fill="auto"/>
            <w:noWrap/>
            <w:vAlign w:val="bottom"/>
            <w:hideMark/>
          </w:tcPr>
          <w:p w14:paraId="4B894607" w14:textId="77777777" w:rsidR="000332DE" w:rsidRPr="00E14060" w:rsidRDefault="000332DE" w:rsidP="00106D7E">
            <w:pPr>
              <w:rPr>
                <w:sz w:val="22"/>
                <w:szCs w:val="22"/>
                <w:lang w:val="en-GB"/>
              </w:rPr>
            </w:pPr>
          </w:p>
        </w:tc>
        <w:tc>
          <w:tcPr>
            <w:tcW w:w="1733" w:type="dxa"/>
            <w:tcBorders>
              <w:top w:val="nil"/>
              <w:left w:val="nil"/>
              <w:bottom w:val="nil"/>
              <w:right w:val="nil"/>
            </w:tcBorders>
            <w:shd w:val="clear" w:color="auto" w:fill="auto"/>
            <w:noWrap/>
            <w:vAlign w:val="bottom"/>
            <w:hideMark/>
          </w:tcPr>
          <w:p w14:paraId="6C506337" w14:textId="77777777" w:rsidR="000332DE" w:rsidRPr="00E14060" w:rsidRDefault="000332DE" w:rsidP="00106D7E">
            <w:pPr>
              <w:rPr>
                <w:sz w:val="22"/>
                <w:szCs w:val="22"/>
                <w:lang w:val="en-GB"/>
              </w:rPr>
            </w:pPr>
          </w:p>
        </w:tc>
        <w:tc>
          <w:tcPr>
            <w:tcW w:w="2126" w:type="dxa"/>
            <w:tcBorders>
              <w:top w:val="nil"/>
              <w:left w:val="nil"/>
              <w:bottom w:val="nil"/>
              <w:right w:val="nil"/>
            </w:tcBorders>
            <w:shd w:val="clear" w:color="auto" w:fill="auto"/>
            <w:noWrap/>
            <w:vAlign w:val="bottom"/>
            <w:hideMark/>
          </w:tcPr>
          <w:p w14:paraId="62FB2BAA" w14:textId="77777777" w:rsidR="000332DE" w:rsidRPr="00E14060" w:rsidRDefault="000332DE" w:rsidP="00106D7E">
            <w:pPr>
              <w:rPr>
                <w:sz w:val="22"/>
                <w:szCs w:val="22"/>
                <w:lang w:val="en-GB"/>
              </w:rPr>
            </w:pPr>
          </w:p>
        </w:tc>
        <w:tc>
          <w:tcPr>
            <w:tcW w:w="2692" w:type="dxa"/>
            <w:tcBorders>
              <w:top w:val="nil"/>
              <w:left w:val="nil"/>
              <w:bottom w:val="nil"/>
              <w:right w:val="nil"/>
            </w:tcBorders>
            <w:shd w:val="clear" w:color="auto" w:fill="auto"/>
            <w:noWrap/>
            <w:vAlign w:val="bottom"/>
            <w:hideMark/>
          </w:tcPr>
          <w:p w14:paraId="58C70E2B" w14:textId="77777777" w:rsidR="000332DE" w:rsidRPr="00E14060" w:rsidRDefault="000332DE" w:rsidP="00106D7E">
            <w:pPr>
              <w:rPr>
                <w:sz w:val="22"/>
                <w:szCs w:val="22"/>
                <w:lang w:val="en-GB"/>
              </w:rPr>
            </w:pPr>
          </w:p>
        </w:tc>
        <w:tc>
          <w:tcPr>
            <w:tcW w:w="2368" w:type="dxa"/>
            <w:tcBorders>
              <w:top w:val="nil"/>
              <w:left w:val="nil"/>
              <w:bottom w:val="nil"/>
              <w:right w:val="nil"/>
            </w:tcBorders>
            <w:shd w:val="clear" w:color="auto" w:fill="auto"/>
            <w:noWrap/>
            <w:vAlign w:val="bottom"/>
            <w:hideMark/>
          </w:tcPr>
          <w:p w14:paraId="677779A9" w14:textId="77777777" w:rsidR="000332DE" w:rsidRPr="00E14060" w:rsidRDefault="000332DE" w:rsidP="00106D7E">
            <w:pPr>
              <w:rPr>
                <w:sz w:val="22"/>
                <w:szCs w:val="22"/>
                <w:lang w:val="en-GB"/>
              </w:rPr>
            </w:pPr>
          </w:p>
        </w:tc>
      </w:tr>
      <w:tr w:rsidR="00F334F9" w:rsidRPr="00E14060" w14:paraId="6578490D" w14:textId="77777777" w:rsidTr="00106D7E">
        <w:trPr>
          <w:trHeight w:val="870"/>
        </w:trPr>
        <w:tc>
          <w:tcPr>
            <w:tcW w:w="222" w:type="dxa"/>
            <w:tcBorders>
              <w:top w:val="nil"/>
              <w:left w:val="nil"/>
              <w:bottom w:val="nil"/>
              <w:right w:val="nil"/>
            </w:tcBorders>
            <w:shd w:val="clear" w:color="auto" w:fill="auto"/>
            <w:noWrap/>
            <w:vAlign w:val="bottom"/>
            <w:hideMark/>
          </w:tcPr>
          <w:p w14:paraId="5D65CB34" w14:textId="77777777" w:rsidR="000332DE" w:rsidRPr="00E14060" w:rsidRDefault="000332DE" w:rsidP="00106D7E">
            <w:pPr>
              <w:rPr>
                <w:sz w:val="22"/>
                <w:szCs w:val="22"/>
                <w:lang w:val="en-GB"/>
              </w:rPr>
            </w:pPr>
          </w:p>
        </w:tc>
        <w:tc>
          <w:tcPr>
            <w:tcW w:w="1301" w:type="dxa"/>
            <w:tcBorders>
              <w:top w:val="single" w:sz="4" w:space="0" w:color="auto"/>
              <w:left w:val="nil"/>
              <w:bottom w:val="nil"/>
              <w:right w:val="nil"/>
            </w:tcBorders>
            <w:shd w:val="clear" w:color="auto" w:fill="auto"/>
            <w:noWrap/>
            <w:vAlign w:val="bottom"/>
            <w:hideMark/>
          </w:tcPr>
          <w:p w14:paraId="25318466" w14:textId="77777777" w:rsidR="000332DE" w:rsidRPr="00E14060" w:rsidRDefault="000332DE" w:rsidP="00106D7E">
            <w:pPr>
              <w:rPr>
                <w:sz w:val="22"/>
                <w:szCs w:val="22"/>
                <w:lang w:val="en-GB"/>
              </w:rPr>
            </w:pPr>
            <w:r w:rsidRPr="00E14060">
              <w:rPr>
                <w:sz w:val="22"/>
                <w:szCs w:val="22"/>
                <w:lang w:val="en-GB"/>
              </w:rPr>
              <w:t> </w:t>
            </w:r>
          </w:p>
        </w:tc>
        <w:tc>
          <w:tcPr>
            <w:tcW w:w="271" w:type="dxa"/>
            <w:tcBorders>
              <w:top w:val="single" w:sz="4" w:space="0" w:color="auto"/>
              <w:left w:val="nil"/>
              <w:bottom w:val="nil"/>
              <w:right w:val="nil"/>
            </w:tcBorders>
            <w:shd w:val="clear" w:color="auto" w:fill="auto"/>
            <w:noWrap/>
            <w:vAlign w:val="bottom"/>
            <w:hideMark/>
          </w:tcPr>
          <w:p w14:paraId="77B11637" w14:textId="77777777" w:rsidR="000332DE" w:rsidRPr="00E14060" w:rsidRDefault="000332DE" w:rsidP="00106D7E">
            <w:pPr>
              <w:rPr>
                <w:sz w:val="22"/>
                <w:szCs w:val="22"/>
                <w:lang w:val="en-GB"/>
              </w:rPr>
            </w:pPr>
            <w:r w:rsidRPr="00E14060">
              <w:rPr>
                <w:sz w:val="22"/>
                <w:szCs w:val="22"/>
                <w:lang w:val="en-GB"/>
              </w:rPr>
              <w:t> </w:t>
            </w:r>
          </w:p>
        </w:tc>
        <w:tc>
          <w:tcPr>
            <w:tcW w:w="1733" w:type="dxa"/>
            <w:tcBorders>
              <w:top w:val="single" w:sz="4" w:space="0" w:color="auto"/>
              <w:left w:val="nil"/>
              <w:bottom w:val="single" w:sz="4" w:space="0" w:color="auto"/>
              <w:right w:val="nil"/>
            </w:tcBorders>
            <w:shd w:val="clear" w:color="auto" w:fill="auto"/>
            <w:vAlign w:val="bottom"/>
            <w:hideMark/>
          </w:tcPr>
          <w:p w14:paraId="5FAE4207" w14:textId="77777777" w:rsidR="000332DE" w:rsidRPr="00E14060" w:rsidRDefault="000332DE" w:rsidP="00106D7E">
            <w:pPr>
              <w:jc w:val="center"/>
              <w:rPr>
                <w:b/>
                <w:bCs/>
                <w:sz w:val="22"/>
                <w:szCs w:val="22"/>
                <w:lang w:val="en-GB"/>
              </w:rPr>
            </w:pPr>
            <w:r w:rsidRPr="00E14060">
              <w:rPr>
                <w:b/>
                <w:bCs/>
                <w:sz w:val="22"/>
                <w:szCs w:val="22"/>
                <w:lang w:val="en-GB"/>
              </w:rPr>
              <w:t>Odds Ratio</w:t>
            </w:r>
          </w:p>
        </w:tc>
        <w:tc>
          <w:tcPr>
            <w:tcW w:w="2126" w:type="dxa"/>
            <w:tcBorders>
              <w:top w:val="single" w:sz="4" w:space="0" w:color="auto"/>
              <w:left w:val="nil"/>
              <w:bottom w:val="single" w:sz="4" w:space="0" w:color="auto"/>
              <w:right w:val="nil"/>
            </w:tcBorders>
            <w:shd w:val="clear" w:color="auto" w:fill="auto"/>
            <w:vAlign w:val="bottom"/>
            <w:hideMark/>
          </w:tcPr>
          <w:p w14:paraId="3B27DEBC" w14:textId="77777777" w:rsidR="000332DE" w:rsidRPr="00E14060" w:rsidRDefault="000332DE" w:rsidP="00106D7E">
            <w:pPr>
              <w:jc w:val="center"/>
              <w:rPr>
                <w:b/>
                <w:bCs/>
                <w:sz w:val="22"/>
                <w:szCs w:val="22"/>
                <w:lang w:val="en-GB"/>
              </w:rPr>
            </w:pPr>
            <w:r w:rsidRPr="00E14060">
              <w:rPr>
                <w:b/>
                <w:bCs/>
                <w:sz w:val="22"/>
                <w:szCs w:val="22"/>
                <w:lang w:val="en-GB"/>
              </w:rPr>
              <w:t>95% Credible Interval</w:t>
            </w:r>
          </w:p>
        </w:tc>
        <w:tc>
          <w:tcPr>
            <w:tcW w:w="2692" w:type="dxa"/>
            <w:tcBorders>
              <w:top w:val="single" w:sz="4" w:space="0" w:color="auto"/>
              <w:left w:val="nil"/>
              <w:bottom w:val="single" w:sz="4" w:space="0" w:color="auto"/>
              <w:right w:val="nil"/>
            </w:tcBorders>
            <w:shd w:val="clear" w:color="auto" w:fill="auto"/>
            <w:vAlign w:val="bottom"/>
            <w:hideMark/>
          </w:tcPr>
          <w:p w14:paraId="0398A41F" w14:textId="77777777" w:rsidR="000332DE" w:rsidRPr="00E14060" w:rsidRDefault="000332DE" w:rsidP="00106D7E">
            <w:pPr>
              <w:jc w:val="center"/>
              <w:rPr>
                <w:b/>
                <w:bCs/>
                <w:sz w:val="22"/>
                <w:szCs w:val="22"/>
                <w:lang w:val="en-GB"/>
              </w:rPr>
            </w:pPr>
            <w:r w:rsidRPr="00E14060">
              <w:rPr>
                <w:b/>
                <w:bCs/>
                <w:sz w:val="22"/>
                <w:szCs w:val="22"/>
                <w:lang w:val="en-GB"/>
              </w:rPr>
              <w:t>Probability of the treatment being most effective among all</w:t>
            </w:r>
          </w:p>
        </w:tc>
        <w:tc>
          <w:tcPr>
            <w:tcW w:w="2368" w:type="dxa"/>
            <w:tcBorders>
              <w:top w:val="single" w:sz="4" w:space="0" w:color="auto"/>
              <w:left w:val="nil"/>
              <w:bottom w:val="single" w:sz="4" w:space="0" w:color="auto"/>
              <w:right w:val="nil"/>
            </w:tcBorders>
            <w:shd w:val="clear" w:color="auto" w:fill="auto"/>
            <w:vAlign w:val="bottom"/>
            <w:hideMark/>
          </w:tcPr>
          <w:p w14:paraId="11DCFA3A" w14:textId="77777777" w:rsidR="000332DE" w:rsidRPr="00E14060" w:rsidRDefault="000332DE" w:rsidP="00106D7E">
            <w:pPr>
              <w:jc w:val="center"/>
              <w:rPr>
                <w:b/>
                <w:bCs/>
                <w:sz w:val="22"/>
                <w:szCs w:val="22"/>
                <w:lang w:val="en-GB"/>
              </w:rPr>
            </w:pPr>
            <w:r w:rsidRPr="00E14060">
              <w:rPr>
                <w:b/>
                <w:bCs/>
                <w:sz w:val="22"/>
                <w:szCs w:val="22"/>
                <w:lang w:val="en-GB"/>
              </w:rPr>
              <w:t>Probability of LDX being more effective compared to each treatment</w:t>
            </w:r>
          </w:p>
        </w:tc>
      </w:tr>
      <w:tr w:rsidR="00F334F9" w:rsidRPr="00E14060" w14:paraId="0DD7F4D6" w14:textId="77777777" w:rsidTr="00106D7E">
        <w:trPr>
          <w:trHeight w:val="300"/>
        </w:trPr>
        <w:tc>
          <w:tcPr>
            <w:tcW w:w="222" w:type="dxa"/>
            <w:tcBorders>
              <w:top w:val="nil"/>
              <w:left w:val="nil"/>
              <w:bottom w:val="nil"/>
              <w:right w:val="nil"/>
            </w:tcBorders>
            <w:shd w:val="clear" w:color="auto" w:fill="auto"/>
            <w:noWrap/>
            <w:vAlign w:val="bottom"/>
            <w:hideMark/>
          </w:tcPr>
          <w:p w14:paraId="52976A96" w14:textId="77777777" w:rsidR="001E04A1" w:rsidRPr="00E14060" w:rsidRDefault="001E04A1" w:rsidP="00106D7E">
            <w:pPr>
              <w:rPr>
                <w:sz w:val="22"/>
                <w:szCs w:val="22"/>
                <w:lang w:val="en-GB"/>
              </w:rPr>
            </w:pPr>
          </w:p>
        </w:tc>
        <w:tc>
          <w:tcPr>
            <w:tcW w:w="1301" w:type="dxa"/>
            <w:tcBorders>
              <w:top w:val="nil"/>
              <w:left w:val="nil"/>
              <w:bottom w:val="nil"/>
              <w:right w:val="nil"/>
            </w:tcBorders>
            <w:shd w:val="clear" w:color="auto" w:fill="auto"/>
            <w:noWrap/>
            <w:vAlign w:val="bottom"/>
            <w:hideMark/>
          </w:tcPr>
          <w:p w14:paraId="15E0E7CB" w14:textId="77777777" w:rsidR="001E04A1" w:rsidRPr="00E14060" w:rsidRDefault="001E04A1" w:rsidP="00106D7E">
            <w:pPr>
              <w:rPr>
                <w:b/>
                <w:bCs/>
                <w:sz w:val="22"/>
                <w:szCs w:val="22"/>
                <w:lang w:val="en-GB"/>
              </w:rPr>
            </w:pPr>
            <w:r w:rsidRPr="00E14060">
              <w:rPr>
                <w:b/>
                <w:bCs/>
                <w:sz w:val="22"/>
                <w:szCs w:val="22"/>
                <w:lang w:val="en-GB"/>
              </w:rPr>
              <w:t>LDX</w:t>
            </w:r>
          </w:p>
        </w:tc>
        <w:tc>
          <w:tcPr>
            <w:tcW w:w="271" w:type="dxa"/>
            <w:tcBorders>
              <w:top w:val="nil"/>
              <w:left w:val="nil"/>
              <w:bottom w:val="nil"/>
              <w:right w:val="nil"/>
            </w:tcBorders>
            <w:shd w:val="clear" w:color="auto" w:fill="auto"/>
            <w:noWrap/>
            <w:vAlign w:val="bottom"/>
            <w:hideMark/>
          </w:tcPr>
          <w:p w14:paraId="70290E6A" w14:textId="77777777" w:rsidR="001E04A1" w:rsidRPr="00E14060" w:rsidRDefault="001E04A1" w:rsidP="00106D7E">
            <w:pPr>
              <w:rPr>
                <w:b/>
                <w:bCs/>
                <w:sz w:val="22"/>
                <w:szCs w:val="22"/>
                <w:lang w:val="en-GB"/>
              </w:rPr>
            </w:pPr>
          </w:p>
        </w:tc>
        <w:tc>
          <w:tcPr>
            <w:tcW w:w="1733" w:type="dxa"/>
            <w:tcBorders>
              <w:top w:val="nil"/>
              <w:left w:val="nil"/>
              <w:bottom w:val="nil"/>
              <w:right w:val="nil"/>
            </w:tcBorders>
            <w:shd w:val="clear" w:color="auto" w:fill="auto"/>
            <w:noWrap/>
            <w:vAlign w:val="bottom"/>
            <w:hideMark/>
          </w:tcPr>
          <w:p w14:paraId="721AF722" w14:textId="77777777" w:rsidR="001E04A1" w:rsidRPr="00E14060" w:rsidRDefault="001E04A1" w:rsidP="00106D7E">
            <w:pPr>
              <w:jc w:val="center"/>
              <w:rPr>
                <w:sz w:val="22"/>
                <w:szCs w:val="22"/>
                <w:lang w:val="en-GB"/>
              </w:rPr>
            </w:pPr>
            <w:r w:rsidRPr="00E14060">
              <w:rPr>
                <w:sz w:val="22"/>
                <w:szCs w:val="22"/>
                <w:lang w:val="en-GB"/>
              </w:rPr>
              <w:t>4.40</w:t>
            </w:r>
          </w:p>
        </w:tc>
        <w:tc>
          <w:tcPr>
            <w:tcW w:w="2126" w:type="dxa"/>
            <w:tcBorders>
              <w:top w:val="nil"/>
              <w:left w:val="nil"/>
              <w:bottom w:val="nil"/>
              <w:right w:val="nil"/>
            </w:tcBorders>
            <w:shd w:val="clear" w:color="auto" w:fill="auto"/>
            <w:noWrap/>
            <w:vAlign w:val="bottom"/>
            <w:hideMark/>
          </w:tcPr>
          <w:p w14:paraId="0F87D2A8" w14:textId="77777777" w:rsidR="001E04A1" w:rsidRPr="00E14060" w:rsidRDefault="001E04A1" w:rsidP="00106D7E">
            <w:pPr>
              <w:jc w:val="center"/>
              <w:rPr>
                <w:sz w:val="22"/>
                <w:szCs w:val="22"/>
                <w:lang w:val="en-GB"/>
              </w:rPr>
            </w:pPr>
            <w:r w:rsidRPr="00E14060">
              <w:rPr>
                <w:sz w:val="22"/>
                <w:szCs w:val="22"/>
                <w:lang w:val="en-GB"/>
              </w:rPr>
              <w:t>(2.63, 7.48)</w:t>
            </w:r>
          </w:p>
        </w:tc>
        <w:tc>
          <w:tcPr>
            <w:tcW w:w="2692" w:type="dxa"/>
            <w:tcBorders>
              <w:top w:val="nil"/>
              <w:left w:val="nil"/>
              <w:bottom w:val="nil"/>
              <w:right w:val="nil"/>
            </w:tcBorders>
            <w:shd w:val="clear" w:color="auto" w:fill="auto"/>
            <w:noWrap/>
            <w:vAlign w:val="bottom"/>
            <w:hideMark/>
          </w:tcPr>
          <w:p w14:paraId="68A941E2" w14:textId="77777777" w:rsidR="001E04A1" w:rsidRPr="00E14060" w:rsidRDefault="001E04A1" w:rsidP="00106D7E">
            <w:pPr>
              <w:jc w:val="center"/>
              <w:rPr>
                <w:sz w:val="22"/>
                <w:szCs w:val="22"/>
                <w:lang w:val="en-GB"/>
              </w:rPr>
            </w:pPr>
            <w:r w:rsidRPr="00E14060">
              <w:rPr>
                <w:sz w:val="22"/>
                <w:szCs w:val="22"/>
                <w:lang w:val="en-GB"/>
              </w:rPr>
              <w:t>89.30%</w:t>
            </w:r>
          </w:p>
        </w:tc>
        <w:tc>
          <w:tcPr>
            <w:tcW w:w="2368" w:type="dxa"/>
            <w:tcBorders>
              <w:top w:val="nil"/>
              <w:left w:val="nil"/>
              <w:bottom w:val="nil"/>
              <w:right w:val="nil"/>
            </w:tcBorders>
            <w:shd w:val="clear" w:color="auto" w:fill="auto"/>
            <w:noWrap/>
            <w:vAlign w:val="bottom"/>
            <w:hideMark/>
          </w:tcPr>
          <w:p w14:paraId="4051668D" w14:textId="77777777" w:rsidR="001E04A1" w:rsidRPr="00E14060" w:rsidRDefault="001E04A1" w:rsidP="00106D7E">
            <w:pPr>
              <w:jc w:val="center"/>
              <w:rPr>
                <w:sz w:val="22"/>
                <w:szCs w:val="22"/>
                <w:lang w:val="en-GB"/>
              </w:rPr>
            </w:pPr>
            <w:r w:rsidRPr="00E14060">
              <w:rPr>
                <w:sz w:val="22"/>
                <w:szCs w:val="22"/>
                <w:lang w:val="en-GB"/>
              </w:rPr>
              <w:t>--</w:t>
            </w:r>
          </w:p>
        </w:tc>
      </w:tr>
      <w:tr w:rsidR="00F334F9" w:rsidRPr="00E14060" w14:paraId="5C6548CF" w14:textId="77777777" w:rsidTr="00106D7E">
        <w:trPr>
          <w:trHeight w:val="300"/>
        </w:trPr>
        <w:tc>
          <w:tcPr>
            <w:tcW w:w="222" w:type="dxa"/>
            <w:tcBorders>
              <w:top w:val="nil"/>
              <w:left w:val="nil"/>
              <w:bottom w:val="nil"/>
              <w:right w:val="nil"/>
            </w:tcBorders>
            <w:shd w:val="clear" w:color="auto" w:fill="auto"/>
            <w:noWrap/>
            <w:vAlign w:val="bottom"/>
            <w:hideMark/>
          </w:tcPr>
          <w:p w14:paraId="30D85F67" w14:textId="77777777" w:rsidR="001E04A1" w:rsidRPr="00E14060" w:rsidRDefault="001E04A1" w:rsidP="00106D7E">
            <w:pPr>
              <w:rPr>
                <w:sz w:val="22"/>
                <w:szCs w:val="22"/>
                <w:lang w:val="en-GB"/>
              </w:rPr>
            </w:pPr>
          </w:p>
        </w:tc>
        <w:tc>
          <w:tcPr>
            <w:tcW w:w="1301" w:type="dxa"/>
            <w:tcBorders>
              <w:top w:val="nil"/>
              <w:left w:val="nil"/>
              <w:bottom w:val="nil"/>
              <w:right w:val="nil"/>
            </w:tcBorders>
            <w:shd w:val="clear" w:color="auto" w:fill="auto"/>
            <w:noWrap/>
            <w:vAlign w:val="bottom"/>
            <w:hideMark/>
          </w:tcPr>
          <w:p w14:paraId="77D0CBF4" w14:textId="77777777" w:rsidR="001E04A1" w:rsidRPr="00E14060" w:rsidRDefault="001E04A1" w:rsidP="00106D7E">
            <w:pPr>
              <w:rPr>
                <w:b/>
                <w:bCs/>
                <w:sz w:val="22"/>
                <w:szCs w:val="22"/>
                <w:lang w:val="en-GB"/>
              </w:rPr>
            </w:pPr>
            <w:r w:rsidRPr="00E14060">
              <w:rPr>
                <w:b/>
                <w:bCs/>
                <w:sz w:val="22"/>
                <w:szCs w:val="22"/>
                <w:lang w:val="en-GB"/>
              </w:rPr>
              <w:t>ATX</w:t>
            </w:r>
          </w:p>
        </w:tc>
        <w:tc>
          <w:tcPr>
            <w:tcW w:w="271" w:type="dxa"/>
            <w:tcBorders>
              <w:top w:val="nil"/>
              <w:left w:val="nil"/>
              <w:bottom w:val="nil"/>
              <w:right w:val="nil"/>
            </w:tcBorders>
            <w:shd w:val="clear" w:color="auto" w:fill="auto"/>
            <w:noWrap/>
            <w:vAlign w:val="bottom"/>
            <w:hideMark/>
          </w:tcPr>
          <w:p w14:paraId="202D522B" w14:textId="77777777" w:rsidR="001E04A1" w:rsidRPr="00E14060" w:rsidRDefault="001E04A1" w:rsidP="00106D7E">
            <w:pPr>
              <w:rPr>
                <w:b/>
                <w:bCs/>
                <w:sz w:val="22"/>
                <w:szCs w:val="22"/>
                <w:lang w:val="en-GB"/>
              </w:rPr>
            </w:pPr>
          </w:p>
        </w:tc>
        <w:tc>
          <w:tcPr>
            <w:tcW w:w="1733" w:type="dxa"/>
            <w:tcBorders>
              <w:top w:val="nil"/>
              <w:left w:val="nil"/>
              <w:bottom w:val="nil"/>
              <w:right w:val="nil"/>
            </w:tcBorders>
            <w:shd w:val="clear" w:color="auto" w:fill="auto"/>
            <w:noWrap/>
            <w:vAlign w:val="bottom"/>
            <w:hideMark/>
          </w:tcPr>
          <w:p w14:paraId="05B5FF49" w14:textId="77777777" w:rsidR="001E04A1" w:rsidRPr="00E14060" w:rsidRDefault="001E04A1" w:rsidP="00106D7E">
            <w:pPr>
              <w:jc w:val="center"/>
              <w:rPr>
                <w:sz w:val="22"/>
                <w:szCs w:val="22"/>
                <w:lang w:val="en-GB"/>
              </w:rPr>
            </w:pPr>
            <w:r w:rsidRPr="00E14060">
              <w:rPr>
                <w:sz w:val="22"/>
                <w:szCs w:val="22"/>
                <w:lang w:val="en-GB"/>
              </w:rPr>
              <w:t>1.92</w:t>
            </w:r>
          </w:p>
        </w:tc>
        <w:tc>
          <w:tcPr>
            <w:tcW w:w="2126" w:type="dxa"/>
            <w:tcBorders>
              <w:top w:val="nil"/>
              <w:left w:val="nil"/>
              <w:bottom w:val="nil"/>
              <w:right w:val="nil"/>
            </w:tcBorders>
            <w:shd w:val="clear" w:color="auto" w:fill="auto"/>
            <w:noWrap/>
            <w:vAlign w:val="bottom"/>
            <w:hideMark/>
          </w:tcPr>
          <w:p w14:paraId="320F47D2" w14:textId="77777777" w:rsidR="001E04A1" w:rsidRPr="00E14060" w:rsidRDefault="001E04A1" w:rsidP="00106D7E">
            <w:pPr>
              <w:jc w:val="center"/>
              <w:rPr>
                <w:sz w:val="22"/>
                <w:szCs w:val="22"/>
                <w:lang w:val="en-GB"/>
              </w:rPr>
            </w:pPr>
            <w:r w:rsidRPr="00E14060">
              <w:rPr>
                <w:sz w:val="22"/>
                <w:szCs w:val="22"/>
                <w:lang w:val="en-GB"/>
              </w:rPr>
              <w:t>(1.41, 2.63)</w:t>
            </w:r>
          </w:p>
        </w:tc>
        <w:tc>
          <w:tcPr>
            <w:tcW w:w="2692" w:type="dxa"/>
            <w:tcBorders>
              <w:top w:val="nil"/>
              <w:left w:val="nil"/>
              <w:bottom w:val="nil"/>
              <w:right w:val="nil"/>
            </w:tcBorders>
            <w:shd w:val="clear" w:color="auto" w:fill="auto"/>
            <w:noWrap/>
            <w:vAlign w:val="bottom"/>
            <w:hideMark/>
          </w:tcPr>
          <w:p w14:paraId="0F4314E4" w14:textId="77777777" w:rsidR="001E04A1" w:rsidRPr="00E14060" w:rsidRDefault="001E04A1" w:rsidP="00106D7E">
            <w:pPr>
              <w:jc w:val="center"/>
              <w:rPr>
                <w:sz w:val="22"/>
                <w:szCs w:val="22"/>
                <w:lang w:val="en-GB"/>
              </w:rPr>
            </w:pPr>
            <w:r w:rsidRPr="00E14060">
              <w:rPr>
                <w:sz w:val="22"/>
                <w:szCs w:val="22"/>
                <w:lang w:val="en-GB"/>
              </w:rPr>
              <w:t>0.20%</w:t>
            </w:r>
          </w:p>
        </w:tc>
        <w:tc>
          <w:tcPr>
            <w:tcW w:w="2368" w:type="dxa"/>
            <w:tcBorders>
              <w:top w:val="nil"/>
              <w:left w:val="nil"/>
              <w:bottom w:val="nil"/>
              <w:right w:val="nil"/>
            </w:tcBorders>
            <w:shd w:val="clear" w:color="auto" w:fill="auto"/>
            <w:noWrap/>
            <w:vAlign w:val="bottom"/>
            <w:hideMark/>
          </w:tcPr>
          <w:p w14:paraId="1B851AE3" w14:textId="77777777" w:rsidR="001E04A1" w:rsidRPr="00E14060" w:rsidRDefault="001E04A1" w:rsidP="00106D7E">
            <w:pPr>
              <w:jc w:val="center"/>
              <w:rPr>
                <w:sz w:val="22"/>
                <w:szCs w:val="22"/>
                <w:lang w:val="en-GB"/>
              </w:rPr>
            </w:pPr>
            <w:r w:rsidRPr="00E14060">
              <w:rPr>
                <w:sz w:val="22"/>
                <w:szCs w:val="22"/>
                <w:lang w:val="en-GB"/>
              </w:rPr>
              <w:t>99.52%</w:t>
            </w:r>
          </w:p>
        </w:tc>
      </w:tr>
      <w:tr w:rsidR="00F334F9" w:rsidRPr="00E14060" w14:paraId="5E5851B2" w14:textId="77777777" w:rsidTr="00106D7E">
        <w:trPr>
          <w:trHeight w:val="300"/>
        </w:trPr>
        <w:tc>
          <w:tcPr>
            <w:tcW w:w="222" w:type="dxa"/>
            <w:tcBorders>
              <w:top w:val="nil"/>
              <w:left w:val="nil"/>
              <w:bottom w:val="nil"/>
              <w:right w:val="nil"/>
            </w:tcBorders>
            <w:shd w:val="clear" w:color="auto" w:fill="auto"/>
            <w:noWrap/>
            <w:vAlign w:val="bottom"/>
            <w:hideMark/>
          </w:tcPr>
          <w:p w14:paraId="34A71EF1" w14:textId="77777777" w:rsidR="001E04A1" w:rsidRPr="00E14060" w:rsidRDefault="001E04A1" w:rsidP="00106D7E">
            <w:pPr>
              <w:rPr>
                <w:sz w:val="22"/>
                <w:szCs w:val="22"/>
                <w:lang w:val="en-GB"/>
              </w:rPr>
            </w:pPr>
          </w:p>
        </w:tc>
        <w:tc>
          <w:tcPr>
            <w:tcW w:w="1301" w:type="dxa"/>
            <w:tcBorders>
              <w:top w:val="nil"/>
              <w:left w:val="nil"/>
              <w:bottom w:val="single" w:sz="4" w:space="0" w:color="auto"/>
              <w:right w:val="nil"/>
            </w:tcBorders>
            <w:shd w:val="clear" w:color="auto" w:fill="auto"/>
            <w:noWrap/>
            <w:vAlign w:val="bottom"/>
            <w:hideMark/>
          </w:tcPr>
          <w:p w14:paraId="0A5AD30E" w14:textId="77777777" w:rsidR="001E04A1" w:rsidRPr="00E14060" w:rsidRDefault="001E04A1" w:rsidP="00106D7E">
            <w:pPr>
              <w:rPr>
                <w:b/>
                <w:bCs/>
                <w:sz w:val="22"/>
                <w:szCs w:val="22"/>
                <w:lang w:val="en-GB"/>
              </w:rPr>
            </w:pPr>
            <w:r w:rsidRPr="00E14060">
              <w:rPr>
                <w:b/>
                <w:bCs/>
                <w:sz w:val="22"/>
                <w:szCs w:val="22"/>
                <w:lang w:val="en-GB"/>
              </w:rPr>
              <w:t>MPH-ER</w:t>
            </w:r>
          </w:p>
        </w:tc>
        <w:tc>
          <w:tcPr>
            <w:tcW w:w="271" w:type="dxa"/>
            <w:tcBorders>
              <w:top w:val="nil"/>
              <w:left w:val="nil"/>
              <w:bottom w:val="single" w:sz="4" w:space="0" w:color="auto"/>
              <w:right w:val="nil"/>
            </w:tcBorders>
            <w:shd w:val="clear" w:color="auto" w:fill="auto"/>
            <w:noWrap/>
            <w:vAlign w:val="bottom"/>
            <w:hideMark/>
          </w:tcPr>
          <w:p w14:paraId="595F68D9" w14:textId="77777777" w:rsidR="001E04A1" w:rsidRPr="00E14060" w:rsidRDefault="001E04A1" w:rsidP="00106D7E">
            <w:pPr>
              <w:rPr>
                <w:b/>
                <w:bCs/>
                <w:sz w:val="22"/>
                <w:szCs w:val="22"/>
                <w:lang w:val="en-GB"/>
              </w:rPr>
            </w:pPr>
            <w:r w:rsidRPr="00E14060">
              <w:rPr>
                <w:b/>
                <w:bCs/>
                <w:sz w:val="22"/>
                <w:szCs w:val="22"/>
                <w:lang w:val="en-GB"/>
              </w:rPr>
              <w:t> </w:t>
            </w:r>
          </w:p>
        </w:tc>
        <w:tc>
          <w:tcPr>
            <w:tcW w:w="1733" w:type="dxa"/>
            <w:tcBorders>
              <w:top w:val="nil"/>
              <w:left w:val="nil"/>
              <w:bottom w:val="single" w:sz="4" w:space="0" w:color="auto"/>
              <w:right w:val="nil"/>
            </w:tcBorders>
            <w:shd w:val="clear" w:color="auto" w:fill="auto"/>
            <w:noWrap/>
            <w:vAlign w:val="bottom"/>
            <w:hideMark/>
          </w:tcPr>
          <w:p w14:paraId="3C461F7A" w14:textId="77777777" w:rsidR="001E04A1" w:rsidRPr="00E14060" w:rsidRDefault="001E04A1" w:rsidP="00106D7E">
            <w:pPr>
              <w:jc w:val="center"/>
              <w:rPr>
                <w:sz w:val="22"/>
                <w:szCs w:val="22"/>
                <w:lang w:val="en-GB"/>
              </w:rPr>
            </w:pPr>
            <w:r w:rsidRPr="00E14060">
              <w:rPr>
                <w:sz w:val="22"/>
                <w:szCs w:val="22"/>
                <w:lang w:val="en-GB"/>
              </w:rPr>
              <w:t>2.91</w:t>
            </w:r>
          </w:p>
        </w:tc>
        <w:tc>
          <w:tcPr>
            <w:tcW w:w="2126" w:type="dxa"/>
            <w:tcBorders>
              <w:top w:val="nil"/>
              <w:left w:val="nil"/>
              <w:bottom w:val="single" w:sz="4" w:space="0" w:color="auto"/>
              <w:right w:val="nil"/>
            </w:tcBorders>
            <w:shd w:val="clear" w:color="auto" w:fill="auto"/>
            <w:noWrap/>
            <w:vAlign w:val="bottom"/>
            <w:hideMark/>
          </w:tcPr>
          <w:p w14:paraId="69327292" w14:textId="77777777" w:rsidR="001E04A1" w:rsidRPr="00E14060" w:rsidRDefault="001E04A1" w:rsidP="00106D7E">
            <w:pPr>
              <w:jc w:val="center"/>
              <w:rPr>
                <w:sz w:val="22"/>
                <w:szCs w:val="22"/>
                <w:lang w:val="en-GB"/>
              </w:rPr>
            </w:pPr>
            <w:r w:rsidRPr="00E14060">
              <w:rPr>
                <w:sz w:val="22"/>
                <w:szCs w:val="22"/>
                <w:lang w:val="en-GB"/>
              </w:rPr>
              <w:t>(1.85, 4.54)</w:t>
            </w:r>
          </w:p>
        </w:tc>
        <w:tc>
          <w:tcPr>
            <w:tcW w:w="2692" w:type="dxa"/>
            <w:tcBorders>
              <w:top w:val="nil"/>
              <w:left w:val="nil"/>
              <w:bottom w:val="single" w:sz="4" w:space="0" w:color="auto"/>
              <w:right w:val="nil"/>
            </w:tcBorders>
            <w:shd w:val="clear" w:color="auto" w:fill="auto"/>
            <w:noWrap/>
            <w:vAlign w:val="bottom"/>
            <w:hideMark/>
          </w:tcPr>
          <w:p w14:paraId="4F62306B" w14:textId="77777777" w:rsidR="001E04A1" w:rsidRPr="00E14060" w:rsidRDefault="001E04A1" w:rsidP="00106D7E">
            <w:pPr>
              <w:jc w:val="center"/>
              <w:rPr>
                <w:sz w:val="22"/>
                <w:szCs w:val="22"/>
                <w:lang w:val="en-GB"/>
              </w:rPr>
            </w:pPr>
            <w:r w:rsidRPr="00E14060">
              <w:rPr>
                <w:sz w:val="22"/>
                <w:szCs w:val="22"/>
                <w:lang w:val="en-GB"/>
              </w:rPr>
              <w:t>10.50%</w:t>
            </w:r>
          </w:p>
        </w:tc>
        <w:tc>
          <w:tcPr>
            <w:tcW w:w="2368" w:type="dxa"/>
            <w:tcBorders>
              <w:top w:val="nil"/>
              <w:left w:val="nil"/>
              <w:bottom w:val="single" w:sz="4" w:space="0" w:color="auto"/>
              <w:right w:val="nil"/>
            </w:tcBorders>
            <w:shd w:val="clear" w:color="auto" w:fill="auto"/>
            <w:noWrap/>
            <w:vAlign w:val="bottom"/>
            <w:hideMark/>
          </w:tcPr>
          <w:p w14:paraId="04E8497F" w14:textId="77777777" w:rsidR="001E04A1" w:rsidRPr="00E14060" w:rsidRDefault="001E04A1" w:rsidP="00106D7E">
            <w:pPr>
              <w:jc w:val="center"/>
              <w:rPr>
                <w:sz w:val="22"/>
                <w:szCs w:val="22"/>
                <w:lang w:val="en-GB"/>
              </w:rPr>
            </w:pPr>
            <w:r w:rsidRPr="00E14060">
              <w:rPr>
                <w:sz w:val="22"/>
                <w:szCs w:val="22"/>
                <w:lang w:val="en-GB"/>
              </w:rPr>
              <w:t>89.42%</w:t>
            </w:r>
          </w:p>
        </w:tc>
      </w:tr>
      <w:tr w:rsidR="00F334F9" w:rsidRPr="00E14060" w14:paraId="2EC7CBFA" w14:textId="77777777" w:rsidTr="00106D7E">
        <w:trPr>
          <w:trHeight w:val="300"/>
        </w:trPr>
        <w:tc>
          <w:tcPr>
            <w:tcW w:w="222" w:type="dxa"/>
            <w:tcBorders>
              <w:top w:val="nil"/>
              <w:left w:val="nil"/>
              <w:bottom w:val="nil"/>
              <w:right w:val="nil"/>
            </w:tcBorders>
            <w:shd w:val="clear" w:color="auto" w:fill="auto"/>
            <w:noWrap/>
            <w:vAlign w:val="bottom"/>
            <w:hideMark/>
          </w:tcPr>
          <w:p w14:paraId="7D42FB38" w14:textId="77777777" w:rsidR="000332DE" w:rsidRPr="00E14060" w:rsidRDefault="000332DE" w:rsidP="00106D7E">
            <w:pPr>
              <w:rPr>
                <w:sz w:val="22"/>
                <w:szCs w:val="22"/>
                <w:lang w:val="en-GB"/>
              </w:rPr>
            </w:pPr>
          </w:p>
        </w:tc>
        <w:tc>
          <w:tcPr>
            <w:tcW w:w="1301" w:type="dxa"/>
            <w:tcBorders>
              <w:top w:val="nil"/>
              <w:left w:val="nil"/>
              <w:bottom w:val="nil"/>
              <w:right w:val="nil"/>
            </w:tcBorders>
            <w:shd w:val="clear" w:color="auto" w:fill="auto"/>
            <w:noWrap/>
            <w:vAlign w:val="bottom"/>
            <w:hideMark/>
          </w:tcPr>
          <w:p w14:paraId="0DAC8038" w14:textId="77777777" w:rsidR="000332DE" w:rsidRPr="00E14060" w:rsidRDefault="000332DE" w:rsidP="00106D7E">
            <w:pPr>
              <w:rPr>
                <w:sz w:val="22"/>
                <w:szCs w:val="22"/>
                <w:lang w:val="en-GB"/>
              </w:rPr>
            </w:pPr>
          </w:p>
        </w:tc>
        <w:tc>
          <w:tcPr>
            <w:tcW w:w="271" w:type="dxa"/>
            <w:tcBorders>
              <w:top w:val="nil"/>
              <w:left w:val="nil"/>
              <w:bottom w:val="nil"/>
              <w:right w:val="nil"/>
            </w:tcBorders>
            <w:shd w:val="clear" w:color="auto" w:fill="auto"/>
            <w:noWrap/>
            <w:vAlign w:val="bottom"/>
            <w:hideMark/>
          </w:tcPr>
          <w:p w14:paraId="2DBF94F9" w14:textId="77777777" w:rsidR="000332DE" w:rsidRPr="00E14060" w:rsidRDefault="000332DE" w:rsidP="00106D7E">
            <w:pPr>
              <w:rPr>
                <w:sz w:val="22"/>
                <w:szCs w:val="22"/>
                <w:lang w:val="en-GB"/>
              </w:rPr>
            </w:pPr>
          </w:p>
        </w:tc>
        <w:tc>
          <w:tcPr>
            <w:tcW w:w="1733" w:type="dxa"/>
            <w:tcBorders>
              <w:top w:val="nil"/>
              <w:left w:val="nil"/>
              <w:bottom w:val="nil"/>
              <w:right w:val="nil"/>
            </w:tcBorders>
            <w:shd w:val="clear" w:color="auto" w:fill="auto"/>
            <w:noWrap/>
            <w:vAlign w:val="bottom"/>
            <w:hideMark/>
          </w:tcPr>
          <w:p w14:paraId="29C2E9E1" w14:textId="77777777" w:rsidR="000332DE" w:rsidRPr="00E14060" w:rsidRDefault="000332DE" w:rsidP="00106D7E">
            <w:pPr>
              <w:rPr>
                <w:sz w:val="22"/>
                <w:szCs w:val="22"/>
                <w:lang w:val="en-GB"/>
              </w:rPr>
            </w:pPr>
          </w:p>
        </w:tc>
        <w:tc>
          <w:tcPr>
            <w:tcW w:w="2126" w:type="dxa"/>
            <w:tcBorders>
              <w:top w:val="single" w:sz="4" w:space="0" w:color="auto"/>
              <w:left w:val="nil"/>
              <w:bottom w:val="single" w:sz="4" w:space="0" w:color="auto"/>
              <w:right w:val="nil"/>
            </w:tcBorders>
            <w:shd w:val="clear" w:color="auto" w:fill="auto"/>
            <w:noWrap/>
            <w:vAlign w:val="bottom"/>
            <w:hideMark/>
          </w:tcPr>
          <w:p w14:paraId="359312EA" w14:textId="77777777" w:rsidR="000332DE" w:rsidRPr="00E14060" w:rsidRDefault="000332DE" w:rsidP="00106D7E">
            <w:pPr>
              <w:jc w:val="center"/>
              <w:rPr>
                <w:sz w:val="22"/>
                <w:szCs w:val="22"/>
                <w:lang w:val="en-GB"/>
              </w:rPr>
            </w:pPr>
          </w:p>
        </w:tc>
        <w:tc>
          <w:tcPr>
            <w:tcW w:w="2692" w:type="dxa"/>
            <w:tcBorders>
              <w:top w:val="single" w:sz="4" w:space="0" w:color="auto"/>
              <w:left w:val="nil"/>
              <w:bottom w:val="single" w:sz="4" w:space="0" w:color="auto"/>
              <w:right w:val="nil"/>
            </w:tcBorders>
            <w:shd w:val="clear" w:color="auto" w:fill="auto"/>
            <w:noWrap/>
            <w:vAlign w:val="bottom"/>
            <w:hideMark/>
          </w:tcPr>
          <w:p w14:paraId="66495AFF" w14:textId="77777777" w:rsidR="000332DE" w:rsidRPr="00E14060" w:rsidRDefault="000332DE" w:rsidP="00106D7E">
            <w:pPr>
              <w:rPr>
                <w:sz w:val="22"/>
                <w:szCs w:val="22"/>
                <w:lang w:val="en-GB"/>
              </w:rPr>
            </w:pPr>
          </w:p>
        </w:tc>
        <w:tc>
          <w:tcPr>
            <w:tcW w:w="2368" w:type="dxa"/>
            <w:tcBorders>
              <w:top w:val="nil"/>
              <w:left w:val="nil"/>
              <w:bottom w:val="nil"/>
              <w:right w:val="nil"/>
            </w:tcBorders>
            <w:shd w:val="clear" w:color="auto" w:fill="auto"/>
            <w:noWrap/>
            <w:vAlign w:val="bottom"/>
            <w:hideMark/>
          </w:tcPr>
          <w:p w14:paraId="2734C720" w14:textId="77777777" w:rsidR="000332DE" w:rsidRPr="00E14060" w:rsidRDefault="000332DE" w:rsidP="00106D7E">
            <w:pPr>
              <w:rPr>
                <w:sz w:val="22"/>
                <w:szCs w:val="22"/>
                <w:lang w:val="en-GB"/>
              </w:rPr>
            </w:pPr>
          </w:p>
        </w:tc>
      </w:tr>
      <w:tr w:rsidR="00F334F9" w:rsidRPr="00E14060" w14:paraId="21782F10" w14:textId="77777777" w:rsidTr="00106D7E">
        <w:trPr>
          <w:trHeight w:val="870"/>
        </w:trPr>
        <w:tc>
          <w:tcPr>
            <w:tcW w:w="222" w:type="dxa"/>
            <w:tcBorders>
              <w:top w:val="nil"/>
              <w:left w:val="nil"/>
              <w:bottom w:val="nil"/>
              <w:right w:val="nil"/>
            </w:tcBorders>
            <w:shd w:val="clear" w:color="auto" w:fill="auto"/>
            <w:noWrap/>
            <w:vAlign w:val="bottom"/>
            <w:hideMark/>
          </w:tcPr>
          <w:p w14:paraId="41E8F5E2" w14:textId="77777777" w:rsidR="000332DE" w:rsidRPr="00E14060" w:rsidRDefault="000332DE" w:rsidP="00106D7E">
            <w:pPr>
              <w:rPr>
                <w:sz w:val="22"/>
                <w:szCs w:val="22"/>
                <w:lang w:val="en-GB"/>
              </w:rPr>
            </w:pPr>
          </w:p>
        </w:tc>
        <w:tc>
          <w:tcPr>
            <w:tcW w:w="1301" w:type="dxa"/>
            <w:tcBorders>
              <w:top w:val="single" w:sz="4" w:space="0" w:color="auto"/>
              <w:left w:val="nil"/>
              <w:bottom w:val="nil"/>
              <w:right w:val="nil"/>
            </w:tcBorders>
            <w:shd w:val="clear" w:color="auto" w:fill="auto"/>
            <w:noWrap/>
            <w:vAlign w:val="bottom"/>
            <w:hideMark/>
          </w:tcPr>
          <w:p w14:paraId="212DC48F" w14:textId="77777777" w:rsidR="000332DE" w:rsidRPr="00E14060" w:rsidRDefault="000332DE" w:rsidP="00106D7E">
            <w:pPr>
              <w:rPr>
                <w:sz w:val="22"/>
                <w:szCs w:val="22"/>
                <w:lang w:val="en-GB"/>
              </w:rPr>
            </w:pPr>
            <w:r w:rsidRPr="00E14060">
              <w:rPr>
                <w:sz w:val="22"/>
                <w:szCs w:val="22"/>
                <w:lang w:val="en-GB"/>
              </w:rPr>
              <w:t> </w:t>
            </w:r>
          </w:p>
        </w:tc>
        <w:tc>
          <w:tcPr>
            <w:tcW w:w="271" w:type="dxa"/>
            <w:tcBorders>
              <w:top w:val="single" w:sz="4" w:space="0" w:color="auto"/>
              <w:left w:val="nil"/>
              <w:bottom w:val="nil"/>
              <w:right w:val="nil"/>
            </w:tcBorders>
            <w:shd w:val="clear" w:color="auto" w:fill="auto"/>
            <w:noWrap/>
            <w:vAlign w:val="bottom"/>
            <w:hideMark/>
          </w:tcPr>
          <w:p w14:paraId="73DA532D" w14:textId="77777777" w:rsidR="000332DE" w:rsidRPr="00E14060" w:rsidRDefault="000332DE" w:rsidP="00106D7E">
            <w:pPr>
              <w:rPr>
                <w:sz w:val="22"/>
                <w:szCs w:val="22"/>
                <w:lang w:val="en-GB"/>
              </w:rPr>
            </w:pPr>
            <w:r w:rsidRPr="00E14060">
              <w:rPr>
                <w:sz w:val="22"/>
                <w:szCs w:val="22"/>
                <w:lang w:val="en-GB"/>
              </w:rPr>
              <w:t> </w:t>
            </w:r>
          </w:p>
        </w:tc>
        <w:tc>
          <w:tcPr>
            <w:tcW w:w="1733" w:type="dxa"/>
            <w:tcBorders>
              <w:top w:val="single" w:sz="4" w:space="0" w:color="auto"/>
              <w:left w:val="nil"/>
              <w:bottom w:val="single" w:sz="4" w:space="0" w:color="auto"/>
              <w:right w:val="nil"/>
            </w:tcBorders>
            <w:shd w:val="clear" w:color="auto" w:fill="auto"/>
            <w:vAlign w:val="bottom"/>
            <w:hideMark/>
          </w:tcPr>
          <w:p w14:paraId="19B5CC27" w14:textId="77777777" w:rsidR="000332DE" w:rsidRPr="00E14060" w:rsidRDefault="000332DE" w:rsidP="00106D7E">
            <w:pPr>
              <w:jc w:val="center"/>
              <w:rPr>
                <w:b/>
                <w:bCs/>
                <w:sz w:val="22"/>
                <w:szCs w:val="22"/>
                <w:lang w:val="en-GB"/>
              </w:rPr>
            </w:pPr>
            <w:r w:rsidRPr="00E14060">
              <w:rPr>
                <w:b/>
                <w:bCs/>
                <w:sz w:val="22"/>
                <w:szCs w:val="22"/>
                <w:lang w:val="en-GB"/>
              </w:rPr>
              <w:t>Relative risk of drug vs. placebo</w:t>
            </w:r>
          </w:p>
        </w:tc>
        <w:tc>
          <w:tcPr>
            <w:tcW w:w="2126" w:type="dxa"/>
            <w:tcBorders>
              <w:top w:val="single" w:sz="4" w:space="0" w:color="auto"/>
              <w:left w:val="nil"/>
              <w:bottom w:val="single" w:sz="4" w:space="0" w:color="auto"/>
              <w:right w:val="nil"/>
            </w:tcBorders>
            <w:shd w:val="clear" w:color="auto" w:fill="auto"/>
            <w:vAlign w:val="bottom"/>
            <w:hideMark/>
          </w:tcPr>
          <w:p w14:paraId="6E65AFBC" w14:textId="77777777" w:rsidR="000332DE" w:rsidRPr="00E14060" w:rsidRDefault="000332DE" w:rsidP="00106D7E">
            <w:pPr>
              <w:jc w:val="center"/>
              <w:rPr>
                <w:b/>
                <w:bCs/>
                <w:sz w:val="22"/>
                <w:szCs w:val="22"/>
                <w:lang w:val="en-GB"/>
              </w:rPr>
            </w:pPr>
            <w:r w:rsidRPr="00E14060">
              <w:rPr>
                <w:b/>
                <w:bCs/>
                <w:sz w:val="22"/>
                <w:szCs w:val="22"/>
                <w:lang w:val="en-GB"/>
              </w:rPr>
              <w:t>95% Credible interval for relative risk</w:t>
            </w:r>
          </w:p>
        </w:tc>
        <w:tc>
          <w:tcPr>
            <w:tcW w:w="2692" w:type="dxa"/>
            <w:tcBorders>
              <w:top w:val="single" w:sz="4" w:space="0" w:color="auto"/>
              <w:left w:val="nil"/>
              <w:bottom w:val="single" w:sz="4" w:space="0" w:color="auto"/>
              <w:right w:val="nil"/>
            </w:tcBorders>
            <w:shd w:val="clear" w:color="auto" w:fill="auto"/>
            <w:vAlign w:val="bottom"/>
          </w:tcPr>
          <w:p w14:paraId="4E13A8A5" w14:textId="77777777" w:rsidR="000332DE" w:rsidRPr="00E14060" w:rsidRDefault="000332DE" w:rsidP="00106D7E">
            <w:pPr>
              <w:jc w:val="center"/>
              <w:rPr>
                <w:b/>
                <w:sz w:val="22"/>
                <w:szCs w:val="22"/>
                <w:lang w:val="en-GB"/>
              </w:rPr>
            </w:pPr>
            <w:r w:rsidRPr="00E14060">
              <w:rPr>
                <w:b/>
                <w:sz w:val="22"/>
                <w:szCs w:val="22"/>
                <w:lang w:val="en-GB"/>
              </w:rPr>
              <w:t>Response rate</w:t>
            </w:r>
          </w:p>
          <w:p w14:paraId="6339AAC4" w14:textId="77777777" w:rsidR="000332DE" w:rsidRPr="00E14060" w:rsidRDefault="000332DE" w:rsidP="00106D7E">
            <w:pPr>
              <w:jc w:val="center"/>
              <w:rPr>
                <w:b/>
                <w:bCs/>
                <w:sz w:val="22"/>
                <w:szCs w:val="22"/>
                <w:lang w:val="en-GB"/>
              </w:rPr>
            </w:pPr>
          </w:p>
        </w:tc>
        <w:tc>
          <w:tcPr>
            <w:tcW w:w="2368" w:type="dxa"/>
            <w:tcBorders>
              <w:top w:val="nil"/>
              <w:left w:val="nil"/>
              <w:bottom w:val="nil"/>
              <w:right w:val="nil"/>
            </w:tcBorders>
            <w:shd w:val="clear" w:color="auto" w:fill="auto"/>
            <w:vAlign w:val="bottom"/>
            <w:hideMark/>
          </w:tcPr>
          <w:p w14:paraId="3658FF77" w14:textId="77777777" w:rsidR="000332DE" w:rsidRPr="00E14060" w:rsidRDefault="000332DE" w:rsidP="00106D7E">
            <w:pPr>
              <w:jc w:val="center"/>
              <w:rPr>
                <w:b/>
                <w:bCs/>
                <w:sz w:val="22"/>
                <w:szCs w:val="22"/>
                <w:lang w:val="en-GB"/>
              </w:rPr>
            </w:pPr>
            <w:r w:rsidRPr="00E14060">
              <w:rPr>
                <w:b/>
                <w:bCs/>
                <w:sz w:val="22"/>
                <w:szCs w:val="22"/>
                <w:lang w:val="en-GB"/>
              </w:rPr>
              <w:t xml:space="preserve">Placebo Risk </w:t>
            </w:r>
          </w:p>
          <w:p w14:paraId="0F4D3F0A" w14:textId="77777777" w:rsidR="000332DE" w:rsidRPr="00E14060" w:rsidRDefault="000332DE" w:rsidP="00106D7E">
            <w:pPr>
              <w:jc w:val="center"/>
              <w:rPr>
                <w:b/>
                <w:bCs/>
                <w:sz w:val="22"/>
                <w:szCs w:val="22"/>
                <w:lang w:val="en-GB"/>
              </w:rPr>
            </w:pPr>
            <w:r w:rsidRPr="00E14060">
              <w:rPr>
                <w:b/>
                <w:bCs/>
                <w:sz w:val="22"/>
                <w:szCs w:val="22"/>
                <w:lang w:val="en-GB"/>
              </w:rPr>
              <w:t>(95% CI)</w:t>
            </w:r>
            <w:r w:rsidRPr="00E14060">
              <w:rPr>
                <w:rStyle w:val="FootnoteReference"/>
                <w:b/>
                <w:bCs/>
                <w:sz w:val="22"/>
                <w:szCs w:val="22"/>
                <w:lang w:val="en-GB"/>
              </w:rPr>
              <w:footnoteReference w:id="13"/>
            </w:r>
            <w:r w:rsidRPr="00E14060" w:rsidDel="001A78D0">
              <w:rPr>
                <w:b/>
                <w:bCs/>
                <w:sz w:val="22"/>
                <w:szCs w:val="22"/>
                <w:vertAlign w:val="superscript"/>
                <w:lang w:val="en-GB"/>
              </w:rPr>
              <w:t xml:space="preserve"> </w:t>
            </w:r>
          </w:p>
        </w:tc>
      </w:tr>
      <w:tr w:rsidR="00F334F9" w:rsidRPr="00E14060" w14:paraId="11CB36B7" w14:textId="77777777" w:rsidTr="00106D7E">
        <w:trPr>
          <w:trHeight w:val="300"/>
        </w:trPr>
        <w:tc>
          <w:tcPr>
            <w:tcW w:w="222" w:type="dxa"/>
            <w:tcBorders>
              <w:top w:val="nil"/>
              <w:left w:val="nil"/>
              <w:bottom w:val="nil"/>
              <w:right w:val="nil"/>
            </w:tcBorders>
            <w:shd w:val="clear" w:color="auto" w:fill="auto"/>
            <w:noWrap/>
            <w:vAlign w:val="bottom"/>
            <w:hideMark/>
          </w:tcPr>
          <w:p w14:paraId="1AB236C8" w14:textId="77777777" w:rsidR="001E04A1" w:rsidRPr="00E14060" w:rsidRDefault="001E04A1" w:rsidP="00106D7E">
            <w:pPr>
              <w:rPr>
                <w:sz w:val="22"/>
                <w:szCs w:val="22"/>
                <w:lang w:val="en-GB"/>
              </w:rPr>
            </w:pPr>
          </w:p>
        </w:tc>
        <w:tc>
          <w:tcPr>
            <w:tcW w:w="1301" w:type="dxa"/>
            <w:tcBorders>
              <w:top w:val="nil"/>
              <w:left w:val="nil"/>
              <w:bottom w:val="nil"/>
              <w:right w:val="nil"/>
            </w:tcBorders>
            <w:shd w:val="clear" w:color="auto" w:fill="auto"/>
            <w:noWrap/>
            <w:vAlign w:val="bottom"/>
            <w:hideMark/>
          </w:tcPr>
          <w:p w14:paraId="41EC5273" w14:textId="77777777" w:rsidR="001E04A1" w:rsidRPr="00E14060" w:rsidRDefault="001E04A1" w:rsidP="00106D7E">
            <w:pPr>
              <w:rPr>
                <w:b/>
                <w:bCs/>
                <w:sz w:val="22"/>
                <w:szCs w:val="22"/>
                <w:lang w:val="en-GB"/>
              </w:rPr>
            </w:pPr>
            <w:r w:rsidRPr="00E14060">
              <w:rPr>
                <w:b/>
                <w:bCs/>
                <w:sz w:val="22"/>
                <w:szCs w:val="22"/>
                <w:lang w:val="en-GB"/>
              </w:rPr>
              <w:t>LDX</w:t>
            </w:r>
          </w:p>
        </w:tc>
        <w:tc>
          <w:tcPr>
            <w:tcW w:w="271" w:type="dxa"/>
            <w:tcBorders>
              <w:top w:val="nil"/>
              <w:left w:val="nil"/>
              <w:bottom w:val="nil"/>
              <w:right w:val="nil"/>
            </w:tcBorders>
            <w:shd w:val="clear" w:color="auto" w:fill="auto"/>
            <w:noWrap/>
            <w:vAlign w:val="bottom"/>
            <w:hideMark/>
          </w:tcPr>
          <w:p w14:paraId="2223DDAC" w14:textId="77777777" w:rsidR="001E04A1" w:rsidRPr="00E14060" w:rsidRDefault="001E04A1" w:rsidP="00106D7E">
            <w:pPr>
              <w:rPr>
                <w:sz w:val="22"/>
                <w:szCs w:val="22"/>
                <w:lang w:val="en-GB"/>
              </w:rPr>
            </w:pPr>
          </w:p>
        </w:tc>
        <w:tc>
          <w:tcPr>
            <w:tcW w:w="1733" w:type="dxa"/>
            <w:tcBorders>
              <w:top w:val="nil"/>
              <w:left w:val="nil"/>
              <w:bottom w:val="nil"/>
              <w:right w:val="nil"/>
            </w:tcBorders>
            <w:shd w:val="clear" w:color="auto" w:fill="auto"/>
            <w:noWrap/>
            <w:vAlign w:val="bottom"/>
            <w:hideMark/>
          </w:tcPr>
          <w:p w14:paraId="54FBC56F" w14:textId="77777777" w:rsidR="001E04A1" w:rsidRPr="00E14060" w:rsidRDefault="001E04A1" w:rsidP="00106D7E">
            <w:pPr>
              <w:jc w:val="center"/>
              <w:rPr>
                <w:sz w:val="22"/>
                <w:szCs w:val="22"/>
                <w:lang w:val="en-GB"/>
              </w:rPr>
            </w:pPr>
            <w:r w:rsidRPr="00E14060">
              <w:rPr>
                <w:sz w:val="22"/>
                <w:szCs w:val="22"/>
                <w:lang w:val="en-GB"/>
              </w:rPr>
              <w:t>2.03</w:t>
            </w:r>
          </w:p>
        </w:tc>
        <w:tc>
          <w:tcPr>
            <w:tcW w:w="2126" w:type="dxa"/>
            <w:tcBorders>
              <w:top w:val="single" w:sz="4" w:space="0" w:color="auto"/>
              <w:left w:val="nil"/>
              <w:bottom w:val="nil"/>
              <w:right w:val="nil"/>
            </w:tcBorders>
            <w:shd w:val="clear" w:color="auto" w:fill="auto"/>
            <w:noWrap/>
            <w:vAlign w:val="bottom"/>
            <w:hideMark/>
          </w:tcPr>
          <w:p w14:paraId="59D204C5" w14:textId="77777777" w:rsidR="001E04A1" w:rsidRPr="00E14060" w:rsidRDefault="001E04A1" w:rsidP="00106D7E">
            <w:pPr>
              <w:jc w:val="center"/>
              <w:rPr>
                <w:sz w:val="22"/>
                <w:szCs w:val="22"/>
                <w:lang w:val="en-GB"/>
              </w:rPr>
            </w:pPr>
            <w:r w:rsidRPr="00E14060">
              <w:rPr>
                <w:sz w:val="22"/>
                <w:szCs w:val="22"/>
                <w:lang w:val="en-GB"/>
              </w:rPr>
              <w:t>(1.69, 2.36)</w:t>
            </w:r>
          </w:p>
        </w:tc>
        <w:tc>
          <w:tcPr>
            <w:tcW w:w="2692" w:type="dxa"/>
            <w:tcBorders>
              <w:top w:val="single" w:sz="4" w:space="0" w:color="auto"/>
              <w:left w:val="nil"/>
              <w:bottom w:val="nil"/>
              <w:right w:val="nil"/>
            </w:tcBorders>
            <w:shd w:val="clear" w:color="auto" w:fill="auto"/>
            <w:noWrap/>
            <w:vAlign w:val="bottom"/>
          </w:tcPr>
          <w:p w14:paraId="690DE469" w14:textId="77777777" w:rsidR="001E04A1" w:rsidRPr="00E14060" w:rsidRDefault="001E04A1" w:rsidP="00106D7E">
            <w:pPr>
              <w:jc w:val="center"/>
              <w:rPr>
                <w:sz w:val="22"/>
                <w:szCs w:val="22"/>
                <w:lang w:val="en-GB"/>
              </w:rPr>
            </w:pPr>
            <w:r w:rsidRPr="00E14060">
              <w:rPr>
                <w:sz w:val="22"/>
                <w:szCs w:val="22"/>
                <w:lang w:val="en-GB"/>
              </w:rPr>
              <w:t>0.69</w:t>
            </w:r>
          </w:p>
        </w:tc>
        <w:tc>
          <w:tcPr>
            <w:tcW w:w="2368" w:type="dxa"/>
            <w:tcBorders>
              <w:top w:val="nil"/>
              <w:left w:val="nil"/>
              <w:bottom w:val="nil"/>
              <w:right w:val="nil"/>
            </w:tcBorders>
            <w:shd w:val="clear" w:color="auto" w:fill="auto"/>
            <w:noWrap/>
            <w:vAlign w:val="bottom"/>
            <w:hideMark/>
          </w:tcPr>
          <w:p w14:paraId="55009118" w14:textId="77777777" w:rsidR="001E04A1" w:rsidRPr="00E14060" w:rsidRDefault="001E04A1" w:rsidP="00106D7E">
            <w:pPr>
              <w:jc w:val="center"/>
              <w:rPr>
                <w:sz w:val="22"/>
                <w:szCs w:val="22"/>
                <w:lang w:val="en-GB"/>
              </w:rPr>
            </w:pPr>
            <w:r w:rsidRPr="00E14060">
              <w:rPr>
                <w:sz w:val="22"/>
                <w:szCs w:val="22"/>
                <w:lang w:val="en-GB"/>
              </w:rPr>
              <w:t>0.3411</w:t>
            </w:r>
          </w:p>
        </w:tc>
      </w:tr>
      <w:tr w:rsidR="00F334F9" w:rsidRPr="00E14060" w14:paraId="36B51D2F" w14:textId="77777777" w:rsidTr="00106D7E">
        <w:trPr>
          <w:trHeight w:val="300"/>
        </w:trPr>
        <w:tc>
          <w:tcPr>
            <w:tcW w:w="222" w:type="dxa"/>
            <w:tcBorders>
              <w:top w:val="nil"/>
              <w:left w:val="nil"/>
              <w:bottom w:val="nil"/>
              <w:right w:val="nil"/>
            </w:tcBorders>
            <w:shd w:val="clear" w:color="auto" w:fill="auto"/>
            <w:noWrap/>
            <w:vAlign w:val="bottom"/>
            <w:hideMark/>
          </w:tcPr>
          <w:p w14:paraId="3BFEBAA9" w14:textId="77777777" w:rsidR="001E04A1" w:rsidRPr="00E14060" w:rsidRDefault="001E04A1" w:rsidP="00106D7E">
            <w:pPr>
              <w:rPr>
                <w:sz w:val="22"/>
                <w:szCs w:val="22"/>
                <w:lang w:val="en-GB"/>
              </w:rPr>
            </w:pPr>
          </w:p>
        </w:tc>
        <w:tc>
          <w:tcPr>
            <w:tcW w:w="1301" w:type="dxa"/>
            <w:tcBorders>
              <w:top w:val="nil"/>
              <w:left w:val="nil"/>
              <w:bottom w:val="nil"/>
              <w:right w:val="nil"/>
            </w:tcBorders>
            <w:shd w:val="clear" w:color="auto" w:fill="auto"/>
            <w:noWrap/>
            <w:vAlign w:val="bottom"/>
            <w:hideMark/>
          </w:tcPr>
          <w:p w14:paraId="364BB75E" w14:textId="77777777" w:rsidR="001E04A1" w:rsidRPr="00E14060" w:rsidRDefault="001E04A1" w:rsidP="00106D7E">
            <w:pPr>
              <w:rPr>
                <w:b/>
                <w:bCs/>
                <w:sz w:val="22"/>
                <w:szCs w:val="22"/>
                <w:lang w:val="en-GB"/>
              </w:rPr>
            </w:pPr>
            <w:r w:rsidRPr="00E14060">
              <w:rPr>
                <w:b/>
                <w:bCs/>
                <w:sz w:val="22"/>
                <w:szCs w:val="22"/>
                <w:lang w:val="en-GB"/>
              </w:rPr>
              <w:t>ATX</w:t>
            </w:r>
          </w:p>
        </w:tc>
        <w:tc>
          <w:tcPr>
            <w:tcW w:w="271" w:type="dxa"/>
            <w:tcBorders>
              <w:top w:val="nil"/>
              <w:left w:val="nil"/>
              <w:bottom w:val="nil"/>
              <w:right w:val="nil"/>
            </w:tcBorders>
            <w:shd w:val="clear" w:color="auto" w:fill="auto"/>
            <w:noWrap/>
            <w:vAlign w:val="bottom"/>
            <w:hideMark/>
          </w:tcPr>
          <w:p w14:paraId="11C6600D" w14:textId="77777777" w:rsidR="001E04A1" w:rsidRPr="00E14060" w:rsidRDefault="001E04A1" w:rsidP="00106D7E">
            <w:pPr>
              <w:rPr>
                <w:sz w:val="22"/>
                <w:szCs w:val="22"/>
                <w:lang w:val="en-GB"/>
              </w:rPr>
            </w:pPr>
          </w:p>
        </w:tc>
        <w:tc>
          <w:tcPr>
            <w:tcW w:w="1733" w:type="dxa"/>
            <w:tcBorders>
              <w:top w:val="nil"/>
              <w:left w:val="nil"/>
              <w:bottom w:val="nil"/>
              <w:right w:val="nil"/>
            </w:tcBorders>
            <w:shd w:val="clear" w:color="auto" w:fill="auto"/>
            <w:noWrap/>
            <w:vAlign w:val="bottom"/>
            <w:hideMark/>
          </w:tcPr>
          <w:p w14:paraId="025F9078" w14:textId="77777777" w:rsidR="001E04A1" w:rsidRPr="00E14060" w:rsidRDefault="001E04A1" w:rsidP="00106D7E">
            <w:pPr>
              <w:jc w:val="center"/>
              <w:rPr>
                <w:sz w:val="22"/>
                <w:szCs w:val="22"/>
                <w:lang w:val="en-GB"/>
              </w:rPr>
            </w:pPr>
            <w:r w:rsidRPr="00E14060">
              <w:rPr>
                <w:sz w:val="22"/>
                <w:szCs w:val="22"/>
                <w:lang w:val="en-GB"/>
              </w:rPr>
              <w:t>1.46</w:t>
            </w:r>
          </w:p>
        </w:tc>
        <w:tc>
          <w:tcPr>
            <w:tcW w:w="2126" w:type="dxa"/>
            <w:tcBorders>
              <w:top w:val="nil"/>
              <w:left w:val="nil"/>
              <w:bottom w:val="nil"/>
              <w:right w:val="nil"/>
            </w:tcBorders>
            <w:shd w:val="clear" w:color="auto" w:fill="auto"/>
            <w:noWrap/>
            <w:vAlign w:val="bottom"/>
            <w:hideMark/>
          </w:tcPr>
          <w:p w14:paraId="2735F27C" w14:textId="77777777" w:rsidR="001E04A1" w:rsidRPr="00E14060" w:rsidRDefault="001E04A1" w:rsidP="00106D7E">
            <w:pPr>
              <w:jc w:val="center"/>
              <w:rPr>
                <w:sz w:val="22"/>
                <w:szCs w:val="22"/>
                <w:lang w:val="en-GB"/>
              </w:rPr>
            </w:pPr>
            <w:r w:rsidRPr="00E14060">
              <w:rPr>
                <w:sz w:val="22"/>
                <w:szCs w:val="22"/>
                <w:lang w:val="en-GB"/>
              </w:rPr>
              <w:t>(1.24, 1.69)</w:t>
            </w:r>
          </w:p>
        </w:tc>
        <w:tc>
          <w:tcPr>
            <w:tcW w:w="2692" w:type="dxa"/>
            <w:tcBorders>
              <w:top w:val="nil"/>
              <w:left w:val="nil"/>
              <w:bottom w:val="nil"/>
              <w:right w:val="nil"/>
            </w:tcBorders>
            <w:shd w:val="clear" w:color="auto" w:fill="auto"/>
            <w:noWrap/>
            <w:vAlign w:val="bottom"/>
          </w:tcPr>
          <w:p w14:paraId="5BA43CF0" w14:textId="77777777" w:rsidR="001E04A1" w:rsidRPr="00E14060" w:rsidRDefault="001E04A1" w:rsidP="00106D7E">
            <w:pPr>
              <w:jc w:val="center"/>
              <w:rPr>
                <w:sz w:val="22"/>
                <w:szCs w:val="22"/>
                <w:lang w:val="en-GB"/>
              </w:rPr>
            </w:pPr>
            <w:r w:rsidRPr="00E14060">
              <w:rPr>
                <w:sz w:val="22"/>
                <w:szCs w:val="22"/>
                <w:lang w:val="en-GB"/>
              </w:rPr>
              <w:t>0.50</w:t>
            </w:r>
          </w:p>
        </w:tc>
        <w:tc>
          <w:tcPr>
            <w:tcW w:w="2368" w:type="dxa"/>
            <w:tcBorders>
              <w:top w:val="nil"/>
              <w:left w:val="nil"/>
              <w:bottom w:val="nil"/>
              <w:right w:val="nil"/>
            </w:tcBorders>
            <w:shd w:val="clear" w:color="auto" w:fill="auto"/>
            <w:noWrap/>
            <w:vAlign w:val="bottom"/>
            <w:hideMark/>
          </w:tcPr>
          <w:p w14:paraId="46C2B561" w14:textId="77777777" w:rsidR="001E04A1" w:rsidRPr="00E14060" w:rsidRDefault="001E04A1" w:rsidP="00106D7E">
            <w:pPr>
              <w:jc w:val="center"/>
              <w:rPr>
                <w:sz w:val="22"/>
                <w:szCs w:val="22"/>
                <w:lang w:val="en-GB"/>
              </w:rPr>
            </w:pPr>
            <w:r w:rsidRPr="00E14060">
              <w:rPr>
                <w:sz w:val="22"/>
                <w:szCs w:val="22"/>
                <w:lang w:val="en-GB"/>
              </w:rPr>
              <w:t>(0.311, 0.371)</w:t>
            </w:r>
          </w:p>
        </w:tc>
      </w:tr>
      <w:tr w:rsidR="00F334F9" w:rsidRPr="00E14060" w14:paraId="61F8BF9A" w14:textId="77777777" w:rsidTr="00106D7E">
        <w:trPr>
          <w:trHeight w:val="300"/>
        </w:trPr>
        <w:tc>
          <w:tcPr>
            <w:tcW w:w="222" w:type="dxa"/>
            <w:tcBorders>
              <w:top w:val="nil"/>
              <w:left w:val="nil"/>
              <w:bottom w:val="nil"/>
              <w:right w:val="nil"/>
            </w:tcBorders>
            <w:shd w:val="clear" w:color="auto" w:fill="auto"/>
            <w:noWrap/>
            <w:vAlign w:val="bottom"/>
            <w:hideMark/>
          </w:tcPr>
          <w:p w14:paraId="5D2D70D6" w14:textId="77777777" w:rsidR="001E04A1" w:rsidRPr="00E14060" w:rsidRDefault="001E04A1" w:rsidP="00106D7E">
            <w:pPr>
              <w:rPr>
                <w:sz w:val="22"/>
                <w:szCs w:val="22"/>
                <w:lang w:val="en-GB"/>
              </w:rPr>
            </w:pPr>
          </w:p>
        </w:tc>
        <w:tc>
          <w:tcPr>
            <w:tcW w:w="1301" w:type="dxa"/>
            <w:tcBorders>
              <w:top w:val="nil"/>
              <w:left w:val="nil"/>
              <w:bottom w:val="single" w:sz="4" w:space="0" w:color="auto"/>
              <w:right w:val="nil"/>
            </w:tcBorders>
            <w:shd w:val="clear" w:color="auto" w:fill="auto"/>
            <w:noWrap/>
            <w:vAlign w:val="bottom"/>
            <w:hideMark/>
          </w:tcPr>
          <w:p w14:paraId="334E96A3" w14:textId="77777777" w:rsidR="001E04A1" w:rsidRPr="00E14060" w:rsidRDefault="001E04A1" w:rsidP="00106D7E">
            <w:pPr>
              <w:rPr>
                <w:b/>
                <w:bCs/>
                <w:sz w:val="22"/>
                <w:szCs w:val="22"/>
                <w:lang w:val="en-GB"/>
              </w:rPr>
            </w:pPr>
            <w:r w:rsidRPr="00E14060">
              <w:rPr>
                <w:b/>
                <w:bCs/>
                <w:sz w:val="22"/>
                <w:szCs w:val="22"/>
                <w:lang w:val="en-GB"/>
              </w:rPr>
              <w:t>MPH-ER</w:t>
            </w:r>
          </w:p>
        </w:tc>
        <w:tc>
          <w:tcPr>
            <w:tcW w:w="271" w:type="dxa"/>
            <w:tcBorders>
              <w:top w:val="nil"/>
              <w:left w:val="nil"/>
              <w:bottom w:val="single" w:sz="4" w:space="0" w:color="auto"/>
              <w:right w:val="nil"/>
            </w:tcBorders>
            <w:shd w:val="clear" w:color="auto" w:fill="auto"/>
            <w:noWrap/>
            <w:vAlign w:val="bottom"/>
            <w:hideMark/>
          </w:tcPr>
          <w:p w14:paraId="68F5BD56" w14:textId="77777777" w:rsidR="001E04A1" w:rsidRPr="00E14060" w:rsidRDefault="001E04A1" w:rsidP="00106D7E">
            <w:pPr>
              <w:rPr>
                <w:sz w:val="22"/>
                <w:szCs w:val="22"/>
                <w:lang w:val="en-GB"/>
              </w:rPr>
            </w:pPr>
            <w:r w:rsidRPr="00E14060">
              <w:rPr>
                <w:sz w:val="22"/>
                <w:szCs w:val="22"/>
                <w:lang w:val="en-GB"/>
              </w:rPr>
              <w:t> </w:t>
            </w:r>
          </w:p>
        </w:tc>
        <w:tc>
          <w:tcPr>
            <w:tcW w:w="1733" w:type="dxa"/>
            <w:tcBorders>
              <w:top w:val="nil"/>
              <w:left w:val="nil"/>
              <w:bottom w:val="single" w:sz="4" w:space="0" w:color="auto"/>
              <w:right w:val="nil"/>
            </w:tcBorders>
            <w:shd w:val="clear" w:color="auto" w:fill="auto"/>
            <w:noWrap/>
            <w:vAlign w:val="bottom"/>
            <w:hideMark/>
          </w:tcPr>
          <w:p w14:paraId="366D6914" w14:textId="77777777" w:rsidR="001E04A1" w:rsidRPr="00E14060" w:rsidRDefault="001E04A1" w:rsidP="00106D7E">
            <w:pPr>
              <w:jc w:val="center"/>
              <w:rPr>
                <w:sz w:val="22"/>
                <w:szCs w:val="22"/>
                <w:lang w:val="en-GB"/>
              </w:rPr>
            </w:pPr>
            <w:r w:rsidRPr="00E14060">
              <w:rPr>
                <w:sz w:val="22"/>
                <w:szCs w:val="22"/>
                <w:lang w:val="en-GB"/>
              </w:rPr>
              <w:t>1.76</w:t>
            </w:r>
          </w:p>
        </w:tc>
        <w:tc>
          <w:tcPr>
            <w:tcW w:w="2126" w:type="dxa"/>
            <w:tcBorders>
              <w:top w:val="nil"/>
              <w:left w:val="nil"/>
              <w:bottom w:val="single" w:sz="4" w:space="0" w:color="auto"/>
              <w:right w:val="nil"/>
            </w:tcBorders>
            <w:shd w:val="clear" w:color="auto" w:fill="auto"/>
            <w:noWrap/>
            <w:vAlign w:val="bottom"/>
            <w:hideMark/>
          </w:tcPr>
          <w:p w14:paraId="1E650021" w14:textId="77777777" w:rsidR="001E04A1" w:rsidRPr="00E14060" w:rsidRDefault="001E04A1" w:rsidP="00106D7E">
            <w:pPr>
              <w:jc w:val="center"/>
              <w:rPr>
                <w:sz w:val="22"/>
                <w:szCs w:val="22"/>
                <w:lang w:val="en-GB"/>
              </w:rPr>
            </w:pPr>
            <w:r w:rsidRPr="00E14060">
              <w:rPr>
                <w:sz w:val="22"/>
                <w:szCs w:val="22"/>
                <w:lang w:val="en-GB"/>
              </w:rPr>
              <w:t>(1.43, 2.07)</w:t>
            </w:r>
          </w:p>
        </w:tc>
        <w:tc>
          <w:tcPr>
            <w:tcW w:w="2692" w:type="dxa"/>
            <w:tcBorders>
              <w:top w:val="nil"/>
              <w:left w:val="nil"/>
              <w:bottom w:val="single" w:sz="4" w:space="0" w:color="auto"/>
              <w:right w:val="nil"/>
            </w:tcBorders>
            <w:shd w:val="clear" w:color="auto" w:fill="auto"/>
            <w:noWrap/>
            <w:vAlign w:val="bottom"/>
            <w:hideMark/>
          </w:tcPr>
          <w:p w14:paraId="23C2BFFE" w14:textId="77777777" w:rsidR="001E04A1" w:rsidRPr="00E14060" w:rsidRDefault="001E04A1" w:rsidP="00106D7E">
            <w:pPr>
              <w:jc w:val="center"/>
              <w:rPr>
                <w:sz w:val="22"/>
                <w:szCs w:val="22"/>
                <w:lang w:val="en-GB"/>
              </w:rPr>
            </w:pPr>
            <w:r w:rsidRPr="00E14060">
              <w:rPr>
                <w:sz w:val="22"/>
                <w:szCs w:val="22"/>
                <w:lang w:val="en-GB"/>
              </w:rPr>
              <w:t>0.60</w:t>
            </w:r>
          </w:p>
        </w:tc>
        <w:tc>
          <w:tcPr>
            <w:tcW w:w="2368" w:type="dxa"/>
            <w:tcBorders>
              <w:top w:val="nil"/>
              <w:left w:val="nil"/>
              <w:bottom w:val="nil"/>
              <w:right w:val="nil"/>
            </w:tcBorders>
            <w:shd w:val="clear" w:color="auto" w:fill="auto"/>
            <w:noWrap/>
            <w:vAlign w:val="bottom"/>
            <w:hideMark/>
          </w:tcPr>
          <w:p w14:paraId="014C2A20" w14:textId="77777777" w:rsidR="001E04A1" w:rsidRPr="00E14060" w:rsidRDefault="001E04A1" w:rsidP="00106D7E">
            <w:pPr>
              <w:jc w:val="center"/>
              <w:rPr>
                <w:sz w:val="22"/>
                <w:szCs w:val="22"/>
                <w:lang w:val="en-GB"/>
              </w:rPr>
            </w:pPr>
          </w:p>
        </w:tc>
      </w:tr>
    </w:tbl>
    <w:p w14:paraId="1EDB56B5" w14:textId="77777777" w:rsidR="000332DE" w:rsidRPr="00E14060" w:rsidRDefault="000332DE" w:rsidP="003D1022">
      <w:pPr>
        <w:spacing w:before="240" w:after="240" w:line="360" w:lineRule="auto"/>
        <w:rPr>
          <w:sz w:val="24"/>
          <w:szCs w:val="24"/>
          <w:lang w:val="en-GB"/>
        </w:rPr>
      </w:pPr>
    </w:p>
    <w:tbl>
      <w:tblPr>
        <w:tblW w:w="10713" w:type="dxa"/>
        <w:tblInd w:w="108" w:type="dxa"/>
        <w:tblLook w:val="04A0" w:firstRow="1" w:lastRow="0" w:firstColumn="1" w:lastColumn="0" w:noHBand="0" w:noVBand="1"/>
      </w:tblPr>
      <w:tblGrid>
        <w:gridCol w:w="222"/>
        <w:gridCol w:w="1301"/>
        <w:gridCol w:w="271"/>
        <w:gridCol w:w="1733"/>
        <w:gridCol w:w="2126"/>
        <w:gridCol w:w="2692"/>
        <w:gridCol w:w="2368"/>
      </w:tblGrid>
      <w:tr w:rsidR="00F334F9" w:rsidRPr="00E14060" w14:paraId="3714D944" w14:textId="77777777" w:rsidTr="00106D7E">
        <w:trPr>
          <w:trHeight w:val="600"/>
        </w:trPr>
        <w:tc>
          <w:tcPr>
            <w:tcW w:w="10713" w:type="dxa"/>
            <w:gridSpan w:val="7"/>
            <w:tcBorders>
              <w:top w:val="nil"/>
              <w:left w:val="nil"/>
              <w:bottom w:val="nil"/>
              <w:right w:val="nil"/>
            </w:tcBorders>
            <w:shd w:val="clear" w:color="auto" w:fill="auto"/>
            <w:vAlign w:val="bottom"/>
            <w:hideMark/>
          </w:tcPr>
          <w:p w14:paraId="5F9A21F0" w14:textId="77777777" w:rsidR="001E04A1" w:rsidRPr="00E14060" w:rsidRDefault="001E04A1" w:rsidP="001E04A1">
            <w:pPr>
              <w:jc w:val="center"/>
              <w:rPr>
                <w:b/>
                <w:bCs/>
                <w:sz w:val="22"/>
                <w:szCs w:val="22"/>
                <w:lang w:val="en-GB"/>
              </w:rPr>
            </w:pPr>
            <w:r w:rsidRPr="00E14060">
              <w:rPr>
                <w:b/>
                <w:bCs/>
                <w:sz w:val="22"/>
                <w:szCs w:val="22"/>
                <w:lang w:val="en-GB"/>
              </w:rPr>
              <w:t>Table 17. Odds ratios and relative risks for treatment response, as defined by a rating of 1 or 2 in CGI-I score (drug vs. placebo)</w:t>
            </w:r>
          </w:p>
        </w:tc>
      </w:tr>
      <w:tr w:rsidR="00F334F9" w:rsidRPr="00E14060" w14:paraId="68C086F8" w14:textId="77777777" w:rsidTr="00106D7E">
        <w:trPr>
          <w:trHeight w:val="300"/>
        </w:trPr>
        <w:tc>
          <w:tcPr>
            <w:tcW w:w="10713" w:type="dxa"/>
            <w:gridSpan w:val="7"/>
            <w:tcBorders>
              <w:top w:val="nil"/>
              <w:left w:val="nil"/>
              <w:bottom w:val="nil"/>
              <w:right w:val="nil"/>
            </w:tcBorders>
            <w:shd w:val="clear" w:color="auto" w:fill="auto"/>
            <w:noWrap/>
            <w:vAlign w:val="bottom"/>
            <w:hideMark/>
          </w:tcPr>
          <w:p w14:paraId="35DFE0D1" w14:textId="77777777" w:rsidR="001E04A1" w:rsidRPr="00E14060" w:rsidRDefault="001E04A1" w:rsidP="00106D7E">
            <w:pPr>
              <w:jc w:val="center"/>
              <w:rPr>
                <w:b/>
                <w:bCs/>
                <w:sz w:val="22"/>
                <w:szCs w:val="22"/>
                <w:lang w:val="en-GB"/>
              </w:rPr>
            </w:pPr>
            <w:r w:rsidRPr="00E14060">
              <w:rPr>
                <w:b/>
                <w:bCs/>
                <w:sz w:val="22"/>
                <w:szCs w:val="22"/>
                <w:lang w:val="en-GB"/>
              </w:rPr>
              <w:t>Direct extrapolation method for ATX arm (fixed effects model, combined doses)</w:t>
            </w:r>
          </w:p>
        </w:tc>
      </w:tr>
      <w:tr w:rsidR="00F334F9" w:rsidRPr="00E14060" w14:paraId="00FA97A2" w14:textId="77777777" w:rsidTr="00106D7E">
        <w:trPr>
          <w:trHeight w:val="300"/>
        </w:trPr>
        <w:tc>
          <w:tcPr>
            <w:tcW w:w="222" w:type="dxa"/>
            <w:tcBorders>
              <w:top w:val="nil"/>
              <w:left w:val="nil"/>
              <w:bottom w:val="nil"/>
              <w:right w:val="nil"/>
            </w:tcBorders>
            <w:shd w:val="clear" w:color="auto" w:fill="auto"/>
            <w:noWrap/>
            <w:vAlign w:val="bottom"/>
            <w:hideMark/>
          </w:tcPr>
          <w:p w14:paraId="3D06B827" w14:textId="77777777" w:rsidR="000332DE" w:rsidRPr="00E14060" w:rsidRDefault="000332DE" w:rsidP="00106D7E">
            <w:pPr>
              <w:rPr>
                <w:sz w:val="22"/>
                <w:szCs w:val="22"/>
                <w:lang w:val="en-GB"/>
              </w:rPr>
            </w:pPr>
          </w:p>
        </w:tc>
        <w:tc>
          <w:tcPr>
            <w:tcW w:w="1301" w:type="dxa"/>
            <w:tcBorders>
              <w:top w:val="nil"/>
              <w:left w:val="nil"/>
              <w:bottom w:val="nil"/>
              <w:right w:val="nil"/>
            </w:tcBorders>
            <w:shd w:val="clear" w:color="auto" w:fill="auto"/>
            <w:noWrap/>
            <w:vAlign w:val="bottom"/>
            <w:hideMark/>
          </w:tcPr>
          <w:p w14:paraId="45D384C3" w14:textId="77777777" w:rsidR="000332DE" w:rsidRPr="00E14060" w:rsidRDefault="000332DE" w:rsidP="00106D7E">
            <w:pPr>
              <w:rPr>
                <w:sz w:val="22"/>
                <w:szCs w:val="22"/>
                <w:lang w:val="en-GB"/>
              </w:rPr>
            </w:pPr>
          </w:p>
        </w:tc>
        <w:tc>
          <w:tcPr>
            <w:tcW w:w="271" w:type="dxa"/>
            <w:tcBorders>
              <w:top w:val="nil"/>
              <w:left w:val="nil"/>
              <w:bottom w:val="nil"/>
              <w:right w:val="nil"/>
            </w:tcBorders>
            <w:shd w:val="clear" w:color="auto" w:fill="auto"/>
            <w:noWrap/>
            <w:vAlign w:val="bottom"/>
            <w:hideMark/>
          </w:tcPr>
          <w:p w14:paraId="5E990973" w14:textId="77777777" w:rsidR="000332DE" w:rsidRPr="00E14060" w:rsidRDefault="000332DE" w:rsidP="00106D7E">
            <w:pPr>
              <w:rPr>
                <w:sz w:val="22"/>
                <w:szCs w:val="22"/>
                <w:lang w:val="en-GB"/>
              </w:rPr>
            </w:pPr>
          </w:p>
        </w:tc>
        <w:tc>
          <w:tcPr>
            <w:tcW w:w="1733" w:type="dxa"/>
            <w:tcBorders>
              <w:top w:val="nil"/>
              <w:left w:val="nil"/>
              <w:bottom w:val="nil"/>
              <w:right w:val="nil"/>
            </w:tcBorders>
            <w:shd w:val="clear" w:color="auto" w:fill="auto"/>
            <w:noWrap/>
            <w:vAlign w:val="bottom"/>
            <w:hideMark/>
          </w:tcPr>
          <w:p w14:paraId="300C6E19" w14:textId="77777777" w:rsidR="000332DE" w:rsidRPr="00E14060" w:rsidRDefault="000332DE" w:rsidP="00106D7E">
            <w:pPr>
              <w:rPr>
                <w:sz w:val="22"/>
                <w:szCs w:val="22"/>
                <w:lang w:val="en-GB"/>
              </w:rPr>
            </w:pPr>
          </w:p>
        </w:tc>
        <w:tc>
          <w:tcPr>
            <w:tcW w:w="2126" w:type="dxa"/>
            <w:tcBorders>
              <w:top w:val="nil"/>
              <w:left w:val="nil"/>
              <w:bottom w:val="nil"/>
              <w:right w:val="nil"/>
            </w:tcBorders>
            <w:shd w:val="clear" w:color="auto" w:fill="auto"/>
            <w:noWrap/>
            <w:vAlign w:val="bottom"/>
            <w:hideMark/>
          </w:tcPr>
          <w:p w14:paraId="67E88F72" w14:textId="77777777" w:rsidR="000332DE" w:rsidRPr="00E14060" w:rsidRDefault="000332DE" w:rsidP="00106D7E">
            <w:pPr>
              <w:rPr>
                <w:sz w:val="22"/>
                <w:szCs w:val="22"/>
                <w:lang w:val="en-GB"/>
              </w:rPr>
            </w:pPr>
          </w:p>
        </w:tc>
        <w:tc>
          <w:tcPr>
            <w:tcW w:w="2692" w:type="dxa"/>
            <w:tcBorders>
              <w:top w:val="nil"/>
              <w:left w:val="nil"/>
              <w:bottom w:val="nil"/>
              <w:right w:val="nil"/>
            </w:tcBorders>
            <w:shd w:val="clear" w:color="auto" w:fill="auto"/>
            <w:noWrap/>
            <w:vAlign w:val="bottom"/>
            <w:hideMark/>
          </w:tcPr>
          <w:p w14:paraId="5FD3E480" w14:textId="77777777" w:rsidR="000332DE" w:rsidRPr="00E14060" w:rsidRDefault="000332DE" w:rsidP="00106D7E">
            <w:pPr>
              <w:rPr>
                <w:sz w:val="22"/>
                <w:szCs w:val="22"/>
                <w:lang w:val="en-GB"/>
              </w:rPr>
            </w:pPr>
          </w:p>
        </w:tc>
        <w:tc>
          <w:tcPr>
            <w:tcW w:w="2368" w:type="dxa"/>
            <w:tcBorders>
              <w:top w:val="nil"/>
              <w:left w:val="nil"/>
              <w:bottom w:val="nil"/>
              <w:right w:val="nil"/>
            </w:tcBorders>
            <w:shd w:val="clear" w:color="auto" w:fill="auto"/>
            <w:noWrap/>
            <w:vAlign w:val="bottom"/>
            <w:hideMark/>
          </w:tcPr>
          <w:p w14:paraId="5EF1E567" w14:textId="77777777" w:rsidR="000332DE" w:rsidRPr="00E14060" w:rsidRDefault="000332DE" w:rsidP="00106D7E">
            <w:pPr>
              <w:rPr>
                <w:sz w:val="22"/>
                <w:szCs w:val="22"/>
                <w:lang w:val="en-GB"/>
              </w:rPr>
            </w:pPr>
          </w:p>
        </w:tc>
      </w:tr>
      <w:tr w:rsidR="00F334F9" w:rsidRPr="00E14060" w14:paraId="0ACAF56F" w14:textId="77777777" w:rsidTr="00106D7E">
        <w:trPr>
          <w:trHeight w:val="870"/>
        </w:trPr>
        <w:tc>
          <w:tcPr>
            <w:tcW w:w="222" w:type="dxa"/>
            <w:tcBorders>
              <w:top w:val="nil"/>
              <w:left w:val="nil"/>
              <w:bottom w:val="nil"/>
              <w:right w:val="nil"/>
            </w:tcBorders>
            <w:shd w:val="clear" w:color="auto" w:fill="auto"/>
            <w:noWrap/>
            <w:vAlign w:val="bottom"/>
            <w:hideMark/>
          </w:tcPr>
          <w:p w14:paraId="2897D4F4" w14:textId="77777777" w:rsidR="000332DE" w:rsidRPr="00E14060" w:rsidRDefault="000332DE" w:rsidP="00106D7E">
            <w:pPr>
              <w:rPr>
                <w:sz w:val="22"/>
                <w:szCs w:val="22"/>
                <w:lang w:val="en-GB"/>
              </w:rPr>
            </w:pPr>
          </w:p>
        </w:tc>
        <w:tc>
          <w:tcPr>
            <w:tcW w:w="1301" w:type="dxa"/>
            <w:tcBorders>
              <w:top w:val="single" w:sz="4" w:space="0" w:color="auto"/>
              <w:left w:val="nil"/>
              <w:bottom w:val="nil"/>
              <w:right w:val="nil"/>
            </w:tcBorders>
            <w:shd w:val="clear" w:color="auto" w:fill="auto"/>
            <w:noWrap/>
            <w:vAlign w:val="bottom"/>
            <w:hideMark/>
          </w:tcPr>
          <w:p w14:paraId="63D169D5" w14:textId="77777777" w:rsidR="000332DE" w:rsidRPr="00E14060" w:rsidRDefault="000332DE" w:rsidP="00106D7E">
            <w:pPr>
              <w:rPr>
                <w:sz w:val="22"/>
                <w:szCs w:val="22"/>
                <w:lang w:val="en-GB"/>
              </w:rPr>
            </w:pPr>
            <w:r w:rsidRPr="00E14060">
              <w:rPr>
                <w:sz w:val="22"/>
                <w:szCs w:val="22"/>
                <w:lang w:val="en-GB"/>
              </w:rPr>
              <w:t> </w:t>
            </w:r>
          </w:p>
        </w:tc>
        <w:tc>
          <w:tcPr>
            <w:tcW w:w="271" w:type="dxa"/>
            <w:tcBorders>
              <w:top w:val="single" w:sz="4" w:space="0" w:color="auto"/>
              <w:left w:val="nil"/>
              <w:bottom w:val="nil"/>
              <w:right w:val="nil"/>
            </w:tcBorders>
            <w:shd w:val="clear" w:color="auto" w:fill="auto"/>
            <w:noWrap/>
            <w:vAlign w:val="bottom"/>
            <w:hideMark/>
          </w:tcPr>
          <w:p w14:paraId="73D609DF" w14:textId="77777777" w:rsidR="000332DE" w:rsidRPr="00E14060" w:rsidRDefault="000332DE" w:rsidP="00106D7E">
            <w:pPr>
              <w:rPr>
                <w:sz w:val="22"/>
                <w:szCs w:val="22"/>
                <w:lang w:val="en-GB"/>
              </w:rPr>
            </w:pPr>
            <w:r w:rsidRPr="00E14060">
              <w:rPr>
                <w:sz w:val="22"/>
                <w:szCs w:val="22"/>
                <w:lang w:val="en-GB"/>
              </w:rPr>
              <w:t> </w:t>
            </w:r>
          </w:p>
        </w:tc>
        <w:tc>
          <w:tcPr>
            <w:tcW w:w="1733" w:type="dxa"/>
            <w:tcBorders>
              <w:top w:val="single" w:sz="4" w:space="0" w:color="auto"/>
              <w:left w:val="nil"/>
              <w:bottom w:val="single" w:sz="4" w:space="0" w:color="auto"/>
              <w:right w:val="nil"/>
            </w:tcBorders>
            <w:shd w:val="clear" w:color="auto" w:fill="auto"/>
            <w:vAlign w:val="bottom"/>
            <w:hideMark/>
          </w:tcPr>
          <w:p w14:paraId="7545B156" w14:textId="77777777" w:rsidR="000332DE" w:rsidRPr="00E14060" w:rsidRDefault="000332DE" w:rsidP="00106D7E">
            <w:pPr>
              <w:jc w:val="center"/>
              <w:rPr>
                <w:b/>
                <w:bCs/>
                <w:sz w:val="22"/>
                <w:szCs w:val="22"/>
                <w:lang w:val="en-GB"/>
              </w:rPr>
            </w:pPr>
            <w:r w:rsidRPr="00E14060">
              <w:rPr>
                <w:b/>
                <w:bCs/>
                <w:sz w:val="22"/>
                <w:szCs w:val="22"/>
                <w:lang w:val="en-GB"/>
              </w:rPr>
              <w:t>Odds Ratio</w:t>
            </w:r>
          </w:p>
        </w:tc>
        <w:tc>
          <w:tcPr>
            <w:tcW w:w="2126" w:type="dxa"/>
            <w:tcBorders>
              <w:top w:val="single" w:sz="4" w:space="0" w:color="auto"/>
              <w:left w:val="nil"/>
              <w:bottom w:val="single" w:sz="4" w:space="0" w:color="auto"/>
              <w:right w:val="nil"/>
            </w:tcBorders>
            <w:shd w:val="clear" w:color="auto" w:fill="auto"/>
            <w:vAlign w:val="bottom"/>
            <w:hideMark/>
          </w:tcPr>
          <w:p w14:paraId="0DB11DDE" w14:textId="77777777" w:rsidR="000332DE" w:rsidRPr="00E14060" w:rsidRDefault="000332DE" w:rsidP="00106D7E">
            <w:pPr>
              <w:jc w:val="center"/>
              <w:rPr>
                <w:b/>
                <w:bCs/>
                <w:sz w:val="22"/>
                <w:szCs w:val="22"/>
                <w:lang w:val="en-GB"/>
              </w:rPr>
            </w:pPr>
            <w:r w:rsidRPr="00E14060">
              <w:rPr>
                <w:b/>
                <w:bCs/>
                <w:sz w:val="22"/>
                <w:szCs w:val="22"/>
                <w:lang w:val="en-GB"/>
              </w:rPr>
              <w:t>95% Credible Interval</w:t>
            </w:r>
          </w:p>
        </w:tc>
        <w:tc>
          <w:tcPr>
            <w:tcW w:w="2692" w:type="dxa"/>
            <w:tcBorders>
              <w:top w:val="single" w:sz="4" w:space="0" w:color="auto"/>
              <w:left w:val="nil"/>
              <w:bottom w:val="single" w:sz="4" w:space="0" w:color="auto"/>
              <w:right w:val="nil"/>
            </w:tcBorders>
            <w:shd w:val="clear" w:color="auto" w:fill="auto"/>
            <w:vAlign w:val="bottom"/>
            <w:hideMark/>
          </w:tcPr>
          <w:p w14:paraId="5ED3773B" w14:textId="77777777" w:rsidR="000332DE" w:rsidRPr="00E14060" w:rsidRDefault="000332DE" w:rsidP="00106D7E">
            <w:pPr>
              <w:jc w:val="center"/>
              <w:rPr>
                <w:b/>
                <w:bCs/>
                <w:sz w:val="22"/>
                <w:szCs w:val="22"/>
                <w:lang w:val="en-GB"/>
              </w:rPr>
            </w:pPr>
            <w:r w:rsidRPr="00E14060">
              <w:rPr>
                <w:b/>
                <w:bCs/>
                <w:sz w:val="22"/>
                <w:szCs w:val="22"/>
                <w:lang w:val="en-GB"/>
              </w:rPr>
              <w:t>Probability of the treatment being most effective among all</w:t>
            </w:r>
          </w:p>
        </w:tc>
        <w:tc>
          <w:tcPr>
            <w:tcW w:w="2368" w:type="dxa"/>
            <w:tcBorders>
              <w:top w:val="single" w:sz="4" w:space="0" w:color="auto"/>
              <w:left w:val="nil"/>
              <w:bottom w:val="single" w:sz="4" w:space="0" w:color="auto"/>
              <w:right w:val="nil"/>
            </w:tcBorders>
            <w:shd w:val="clear" w:color="auto" w:fill="auto"/>
            <w:vAlign w:val="bottom"/>
            <w:hideMark/>
          </w:tcPr>
          <w:p w14:paraId="71920B5D" w14:textId="77777777" w:rsidR="000332DE" w:rsidRPr="00E14060" w:rsidRDefault="000332DE" w:rsidP="00106D7E">
            <w:pPr>
              <w:jc w:val="center"/>
              <w:rPr>
                <w:b/>
                <w:bCs/>
                <w:sz w:val="22"/>
                <w:szCs w:val="22"/>
                <w:lang w:val="en-GB"/>
              </w:rPr>
            </w:pPr>
            <w:r w:rsidRPr="00E14060">
              <w:rPr>
                <w:b/>
                <w:bCs/>
                <w:sz w:val="22"/>
                <w:szCs w:val="22"/>
                <w:lang w:val="en-GB"/>
              </w:rPr>
              <w:t>Probability of LDX being more effective compared to each treatment</w:t>
            </w:r>
          </w:p>
        </w:tc>
      </w:tr>
      <w:tr w:rsidR="00F334F9" w:rsidRPr="00E14060" w14:paraId="2E7790B9" w14:textId="77777777" w:rsidTr="00106D7E">
        <w:trPr>
          <w:trHeight w:val="300"/>
        </w:trPr>
        <w:tc>
          <w:tcPr>
            <w:tcW w:w="222" w:type="dxa"/>
            <w:tcBorders>
              <w:top w:val="nil"/>
              <w:left w:val="nil"/>
              <w:bottom w:val="nil"/>
              <w:right w:val="nil"/>
            </w:tcBorders>
            <w:shd w:val="clear" w:color="auto" w:fill="auto"/>
            <w:noWrap/>
            <w:vAlign w:val="bottom"/>
            <w:hideMark/>
          </w:tcPr>
          <w:p w14:paraId="27366689" w14:textId="77777777" w:rsidR="001E04A1" w:rsidRPr="00E14060" w:rsidRDefault="001E04A1" w:rsidP="00106D7E">
            <w:pPr>
              <w:rPr>
                <w:sz w:val="22"/>
                <w:szCs w:val="22"/>
                <w:lang w:val="en-GB"/>
              </w:rPr>
            </w:pPr>
          </w:p>
        </w:tc>
        <w:tc>
          <w:tcPr>
            <w:tcW w:w="1301" w:type="dxa"/>
            <w:tcBorders>
              <w:top w:val="nil"/>
              <w:left w:val="nil"/>
              <w:bottom w:val="nil"/>
              <w:right w:val="nil"/>
            </w:tcBorders>
            <w:shd w:val="clear" w:color="auto" w:fill="auto"/>
            <w:noWrap/>
            <w:vAlign w:val="bottom"/>
            <w:hideMark/>
          </w:tcPr>
          <w:p w14:paraId="6D086CFC" w14:textId="77777777" w:rsidR="001E04A1" w:rsidRPr="00E14060" w:rsidRDefault="001E04A1" w:rsidP="00106D7E">
            <w:pPr>
              <w:rPr>
                <w:b/>
                <w:bCs/>
                <w:sz w:val="22"/>
                <w:szCs w:val="22"/>
                <w:lang w:val="en-GB"/>
              </w:rPr>
            </w:pPr>
            <w:r w:rsidRPr="00E14060">
              <w:rPr>
                <w:b/>
                <w:bCs/>
                <w:sz w:val="22"/>
                <w:szCs w:val="22"/>
                <w:lang w:val="en-GB"/>
              </w:rPr>
              <w:t>LDX</w:t>
            </w:r>
          </w:p>
        </w:tc>
        <w:tc>
          <w:tcPr>
            <w:tcW w:w="271" w:type="dxa"/>
            <w:tcBorders>
              <w:top w:val="nil"/>
              <w:left w:val="nil"/>
              <w:bottom w:val="nil"/>
              <w:right w:val="nil"/>
            </w:tcBorders>
            <w:shd w:val="clear" w:color="auto" w:fill="auto"/>
            <w:noWrap/>
            <w:vAlign w:val="bottom"/>
            <w:hideMark/>
          </w:tcPr>
          <w:p w14:paraId="7749E9DE" w14:textId="77777777" w:rsidR="001E04A1" w:rsidRPr="00E14060" w:rsidRDefault="001E04A1" w:rsidP="00106D7E">
            <w:pPr>
              <w:rPr>
                <w:b/>
                <w:bCs/>
                <w:sz w:val="22"/>
                <w:szCs w:val="22"/>
                <w:lang w:val="en-GB"/>
              </w:rPr>
            </w:pPr>
          </w:p>
        </w:tc>
        <w:tc>
          <w:tcPr>
            <w:tcW w:w="1733" w:type="dxa"/>
            <w:tcBorders>
              <w:top w:val="nil"/>
              <w:left w:val="nil"/>
              <w:bottom w:val="nil"/>
              <w:right w:val="nil"/>
            </w:tcBorders>
            <w:shd w:val="clear" w:color="auto" w:fill="auto"/>
            <w:noWrap/>
            <w:vAlign w:val="bottom"/>
            <w:hideMark/>
          </w:tcPr>
          <w:p w14:paraId="699DE042" w14:textId="77777777" w:rsidR="001E04A1" w:rsidRPr="00E14060" w:rsidRDefault="001E04A1" w:rsidP="00106D7E">
            <w:pPr>
              <w:jc w:val="center"/>
              <w:rPr>
                <w:sz w:val="22"/>
                <w:szCs w:val="22"/>
                <w:lang w:val="en-GB"/>
              </w:rPr>
            </w:pPr>
            <w:r w:rsidRPr="00E14060">
              <w:rPr>
                <w:sz w:val="22"/>
                <w:szCs w:val="22"/>
                <w:lang w:val="en-GB"/>
              </w:rPr>
              <w:t>4.44</w:t>
            </w:r>
          </w:p>
        </w:tc>
        <w:tc>
          <w:tcPr>
            <w:tcW w:w="2126" w:type="dxa"/>
            <w:tcBorders>
              <w:top w:val="nil"/>
              <w:left w:val="nil"/>
              <w:bottom w:val="nil"/>
              <w:right w:val="nil"/>
            </w:tcBorders>
            <w:shd w:val="clear" w:color="auto" w:fill="auto"/>
            <w:noWrap/>
            <w:vAlign w:val="bottom"/>
            <w:hideMark/>
          </w:tcPr>
          <w:p w14:paraId="68B1327E" w14:textId="77777777" w:rsidR="001E04A1" w:rsidRPr="00E14060" w:rsidRDefault="001E04A1" w:rsidP="00106D7E">
            <w:pPr>
              <w:jc w:val="center"/>
              <w:rPr>
                <w:sz w:val="22"/>
                <w:szCs w:val="22"/>
                <w:lang w:val="en-GB"/>
              </w:rPr>
            </w:pPr>
            <w:r w:rsidRPr="00E14060">
              <w:rPr>
                <w:sz w:val="22"/>
                <w:szCs w:val="22"/>
                <w:lang w:val="en-GB"/>
              </w:rPr>
              <w:t>(2.83, 7.10)</w:t>
            </w:r>
          </w:p>
        </w:tc>
        <w:tc>
          <w:tcPr>
            <w:tcW w:w="2692" w:type="dxa"/>
            <w:tcBorders>
              <w:top w:val="nil"/>
              <w:left w:val="nil"/>
              <w:bottom w:val="nil"/>
              <w:right w:val="nil"/>
            </w:tcBorders>
            <w:shd w:val="clear" w:color="auto" w:fill="auto"/>
            <w:noWrap/>
            <w:vAlign w:val="bottom"/>
            <w:hideMark/>
          </w:tcPr>
          <w:p w14:paraId="70EB08E7" w14:textId="77777777" w:rsidR="001E04A1" w:rsidRPr="00E14060" w:rsidRDefault="001E04A1" w:rsidP="00106D7E">
            <w:pPr>
              <w:jc w:val="center"/>
              <w:rPr>
                <w:sz w:val="22"/>
                <w:szCs w:val="22"/>
                <w:lang w:val="en-GB"/>
              </w:rPr>
            </w:pPr>
            <w:r w:rsidRPr="00E14060">
              <w:rPr>
                <w:sz w:val="22"/>
                <w:szCs w:val="22"/>
                <w:lang w:val="en-GB"/>
              </w:rPr>
              <w:t>91.34%</w:t>
            </w:r>
          </w:p>
        </w:tc>
        <w:tc>
          <w:tcPr>
            <w:tcW w:w="2368" w:type="dxa"/>
            <w:tcBorders>
              <w:top w:val="nil"/>
              <w:left w:val="nil"/>
              <w:bottom w:val="nil"/>
              <w:right w:val="nil"/>
            </w:tcBorders>
            <w:shd w:val="clear" w:color="auto" w:fill="auto"/>
            <w:noWrap/>
            <w:vAlign w:val="bottom"/>
            <w:hideMark/>
          </w:tcPr>
          <w:p w14:paraId="03C16CCC" w14:textId="77777777" w:rsidR="001E04A1" w:rsidRPr="00E14060" w:rsidRDefault="001E04A1" w:rsidP="00106D7E">
            <w:pPr>
              <w:jc w:val="center"/>
              <w:rPr>
                <w:sz w:val="22"/>
                <w:szCs w:val="22"/>
                <w:lang w:val="en-GB"/>
              </w:rPr>
            </w:pPr>
            <w:r w:rsidRPr="00E14060">
              <w:rPr>
                <w:sz w:val="22"/>
                <w:szCs w:val="22"/>
                <w:lang w:val="en-GB"/>
              </w:rPr>
              <w:t>--</w:t>
            </w:r>
          </w:p>
        </w:tc>
      </w:tr>
      <w:tr w:rsidR="00F334F9" w:rsidRPr="00E14060" w14:paraId="6D0006CA" w14:textId="77777777" w:rsidTr="00106D7E">
        <w:trPr>
          <w:trHeight w:val="300"/>
        </w:trPr>
        <w:tc>
          <w:tcPr>
            <w:tcW w:w="222" w:type="dxa"/>
            <w:tcBorders>
              <w:top w:val="nil"/>
              <w:left w:val="nil"/>
              <w:bottom w:val="nil"/>
              <w:right w:val="nil"/>
            </w:tcBorders>
            <w:shd w:val="clear" w:color="auto" w:fill="auto"/>
            <w:noWrap/>
            <w:vAlign w:val="bottom"/>
            <w:hideMark/>
          </w:tcPr>
          <w:p w14:paraId="3BF7CF0A" w14:textId="77777777" w:rsidR="001E04A1" w:rsidRPr="00E14060" w:rsidRDefault="001E04A1" w:rsidP="00106D7E">
            <w:pPr>
              <w:rPr>
                <w:sz w:val="22"/>
                <w:szCs w:val="22"/>
                <w:lang w:val="en-GB"/>
              </w:rPr>
            </w:pPr>
          </w:p>
        </w:tc>
        <w:tc>
          <w:tcPr>
            <w:tcW w:w="1301" w:type="dxa"/>
            <w:tcBorders>
              <w:top w:val="nil"/>
              <w:left w:val="nil"/>
              <w:bottom w:val="nil"/>
              <w:right w:val="nil"/>
            </w:tcBorders>
            <w:shd w:val="clear" w:color="auto" w:fill="auto"/>
            <w:noWrap/>
            <w:vAlign w:val="bottom"/>
            <w:hideMark/>
          </w:tcPr>
          <w:p w14:paraId="2CCE9790" w14:textId="77777777" w:rsidR="001E04A1" w:rsidRPr="00E14060" w:rsidRDefault="001E04A1" w:rsidP="00106D7E">
            <w:pPr>
              <w:rPr>
                <w:b/>
                <w:bCs/>
                <w:sz w:val="22"/>
                <w:szCs w:val="22"/>
                <w:lang w:val="en-GB"/>
              </w:rPr>
            </w:pPr>
            <w:r w:rsidRPr="00E14060">
              <w:rPr>
                <w:b/>
                <w:bCs/>
                <w:sz w:val="22"/>
                <w:szCs w:val="22"/>
                <w:lang w:val="en-GB"/>
              </w:rPr>
              <w:t>ATX</w:t>
            </w:r>
          </w:p>
        </w:tc>
        <w:tc>
          <w:tcPr>
            <w:tcW w:w="271" w:type="dxa"/>
            <w:tcBorders>
              <w:top w:val="nil"/>
              <w:left w:val="nil"/>
              <w:bottom w:val="nil"/>
              <w:right w:val="nil"/>
            </w:tcBorders>
            <w:shd w:val="clear" w:color="auto" w:fill="auto"/>
            <w:noWrap/>
            <w:vAlign w:val="bottom"/>
            <w:hideMark/>
          </w:tcPr>
          <w:p w14:paraId="0C993C7E" w14:textId="77777777" w:rsidR="001E04A1" w:rsidRPr="00E14060" w:rsidRDefault="001E04A1" w:rsidP="00106D7E">
            <w:pPr>
              <w:rPr>
                <w:b/>
                <w:bCs/>
                <w:sz w:val="22"/>
                <w:szCs w:val="22"/>
                <w:lang w:val="en-GB"/>
              </w:rPr>
            </w:pPr>
          </w:p>
        </w:tc>
        <w:tc>
          <w:tcPr>
            <w:tcW w:w="1733" w:type="dxa"/>
            <w:tcBorders>
              <w:top w:val="nil"/>
              <w:left w:val="nil"/>
              <w:bottom w:val="nil"/>
              <w:right w:val="nil"/>
            </w:tcBorders>
            <w:shd w:val="clear" w:color="auto" w:fill="auto"/>
            <w:noWrap/>
            <w:vAlign w:val="bottom"/>
            <w:hideMark/>
          </w:tcPr>
          <w:p w14:paraId="6DB264B2" w14:textId="77777777" w:rsidR="001E04A1" w:rsidRPr="00E14060" w:rsidRDefault="001E04A1" w:rsidP="00106D7E">
            <w:pPr>
              <w:jc w:val="center"/>
              <w:rPr>
                <w:sz w:val="22"/>
                <w:szCs w:val="22"/>
                <w:lang w:val="en-GB"/>
              </w:rPr>
            </w:pPr>
            <w:r w:rsidRPr="00E14060">
              <w:rPr>
                <w:sz w:val="22"/>
                <w:szCs w:val="22"/>
                <w:lang w:val="en-GB"/>
              </w:rPr>
              <w:t>1.90</w:t>
            </w:r>
          </w:p>
        </w:tc>
        <w:tc>
          <w:tcPr>
            <w:tcW w:w="2126" w:type="dxa"/>
            <w:tcBorders>
              <w:top w:val="nil"/>
              <w:left w:val="nil"/>
              <w:bottom w:val="nil"/>
              <w:right w:val="nil"/>
            </w:tcBorders>
            <w:shd w:val="clear" w:color="auto" w:fill="auto"/>
            <w:noWrap/>
            <w:vAlign w:val="bottom"/>
            <w:hideMark/>
          </w:tcPr>
          <w:p w14:paraId="6FCDDFF8" w14:textId="77777777" w:rsidR="001E04A1" w:rsidRPr="00E14060" w:rsidRDefault="001E04A1" w:rsidP="00106D7E">
            <w:pPr>
              <w:jc w:val="center"/>
              <w:rPr>
                <w:sz w:val="22"/>
                <w:szCs w:val="22"/>
                <w:lang w:val="en-GB"/>
              </w:rPr>
            </w:pPr>
            <w:r w:rsidRPr="00E14060">
              <w:rPr>
                <w:sz w:val="22"/>
                <w:szCs w:val="22"/>
                <w:lang w:val="en-GB"/>
              </w:rPr>
              <w:t>(1.52, 2.38)</w:t>
            </w:r>
          </w:p>
        </w:tc>
        <w:tc>
          <w:tcPr>
            <w:tcW w:w="2692" w:type="dxa"/>
            <w:tcBorders>
              <w:top w:val="nil"/>
              <w:left w:val="nil"/>
              <w:bottom w:val="nil"/>
              <w:right w:val="nil"/>
            </w:tcBorders>
            <w:shd w:val="clear" w:color="auto" w:fill="auto"/>
            <w:noWrap/>
            <w:vAlign w:val="bottom"/>
            <w:hideMark/>
          </w:tcPr>
          <w:p w14:paraId="48162F18" w14:textId="77777777" w:rsidR="001E04A1" w:rsidRPr="00E14060" w:rsidRDefault="001E04A1" w:rsidP="00106D7E">
            <w:pPr>
              <w:jc w:val="center"/>
              <w:rPr>
                <w:sz w:val="22"/>
                <w:szCs w:val="22"/>
                <w:lang w:val="en-GB"/>
              </w:rPr>
            </w:pPr>
            <w:r w:rsidRPr="00E14060">
              <w:rPr>
                <w:sz w:val="22"/>
                <w:szCs w:val="22"/>
                <w:lang w:val="en-GB"/>
              </w:rPr>
              <w:t>0.01%</w:t>
            </w:r>
          </w:p>
        </w:tc>
        <w:tc>
          <w:tcPr>
            <w:tcW w:w="2368" w:type="dxa"/>
            <w:tcBorders>
              <w:top w:val="nil"/>
              <w:left w:val="nil"/>
              <w:bottom w:val="nil"/>
              <w:right w:val="nil"/>
            </w:tcBorders>
            <w:shd w:val="clear" w:color="auto" w:fill="auto"/>
            <w:noWrap/>
            <w:vAlign w:val="bottom"/>
            <w:hideMark/>
          </w:tcPr>
          <w:p w14:paraId="16198B41" w14:textId="77777777" w:rsidR="001E04A1" w:rsidRPr="00E14060" w:rsidRDefault="001E04A1" w:rsidP="00106D7E">
            <w:pPr>
              <w:jc w:val="center"/>
              <w:rPr>
                <w:sz w:val="22"/>
                <w:szCs w:val="22"/>
                <w:lang w:val="en-GB"/>
              </w:rPr>
            </w:pPr>
            <w:r w:rsidRPr="00E14060">
              <w:rPr>
                <w:sz w:val="22"/>
                <w:szCs w:val="22"/>
                <w:lang w:val="en-GB"/>
              </w:rPr>
              <w:t>99.97%</w:t>
            </w:r>
          </w:p>
        </w:tc>
      </w:tr>
      <w:tr w:rsidR="00F334F9" w:rsidRPr="00E14060" w14:paraId="7F9EC7A7" w14:textId="77777777" w:rsidTr="00106D7E">
        <w:trPr>
          <w:trHeight w:val="300"/>
        </w:trPr>
        <w:tc>
          <w:tcPr>
            <w:tcW w:w="222" w:type="dxa"/>
            <w:tcBorders>
              <w:top w:val="nil"/>
              <w:left w:val="nil"/>
              <w:bottom w:val="nil"/>
              <w:right w:val="nil"/>
            </w:tcBorders>
            <w:shd w:val="clear" w:color="auto" w:fill="auto"/>
            <w:noWrap/>
            <w:vAlign w:val="bottom"/>
            <w:hideMark/>
          </w:tcPr>
          <w:p w14:paraId="35116CD8" w14:textId="77777777" w:rsidR="001E04A1" w:rsidRPr="00E14060" w:rsidRDefault="001E04A1" w:rsidP="00106D7E">
            <w:pPr>
              <w:rPr>
                <w:sz w:val="22"/>
                <w:szCs w:val="22"/>
                <w:lang w:val="en-GB"/>
              </w:rPr>
            </w:pPr>
          </w:p>
        </w:tc>
        <w:tc>
          <w:tcPr>
            <w:tcW w:w="1301" w:type="dxa"/>
            <w:tcBorders>
              <w:top w:val="nil"/>
              <w:left w:val="nil"/>
              <w:bottom w:val="single" w:sz="4" w:space="0" w:color="auto"/>
              <w:right w:val="nil"/>
            </w:tcBorders>
            <w:shd w:val="clear" w:color="auto" w:fill="auto"/>
            <w:noWrap/>
            <w:vAlign w:val="bottom"/>
            <w:hideMark/>
          </w:tcPr>
          <w:p w14:paraId="78895EE0" w14:textId="77777777" w:rsidR="001E04A1" w:rsidRPr="00E14060" w:rsidRDefault="001E04A1" w:rsidP="00106D7E">
            <w:pPr>
              <w:rPr>
                <w:b/>
                <w:bCs/>
                <w:sz w:val="22"/>
                <w:szCs w:val="22"/>
                <w:lang w:val="en-GB"/>
              </w:rPr>
            </w:pPr>
            <w:r w:rsidRPr="00E14060">
              <w:rPr>
                <w:b/>
                <w:bCs/>
                <w:sz w:val="22"/>
                <w:szCs w:val="22"/>
                <w:lang w:val="en-GB"/>
              </w:rPr>
              <w:t>MPH-ER</w:t>
            </w:r>
          </w:p>
        </w:tc>
        <w:tc>
          <w:tcPr>
            <w:tcW w:w="271" w:type="dxa"/>
            <w:tcBorders>
              <w:top w:val="nil"/>
              <w:left w:val="nil"/>
              <w:bottom w:val="single" w:sz="4" w:space="0" w:color="auto"/>
              <w:right w:val="nil"/>
            </w:tcBorders>
            <w:shd w:val="clear" w:color="auto" w:fill="auto"/>
            <w:noWrap/>
            <w:vAlign w:val="bottom"/>
            <w:hideMark/>
          </w:tcPr>
          <w:p w14:paraId="4909B15C" w14:textId="77777777" w:rsidR="001E04A1" w:rsidRPr="00E14060" w:rsidRDefault="001E04A1" w:rsidP="00106D7E">
            <w:pPr>
              <w:rPr>
                <w:b/>
                <w:bCs/>
                <w:sz w:val="22"/>
                <w:szCs w:val="22"/>
                <w:lang w:val="en-GB"/>
              </w:rPr>
            </w:pPr>
            <w:r w:rsidRPr="00E14060">
              <w:rPr>
                <w:b/>
                <w:bCs/>
                <w:sz w:val="22"/>
                <w:szCs w:val="22"/>
                <w:lang w:val="en-GB"/>
              </w:rPr>
              <w:t> </w:t>
            </w:r>
          </w:p>
        </w:tc>
        <w:tc>
          <w:tcPr>
            <w:tcW w:w="1733" w:type="dxa"/>
            <w:tcBorders>
              <w:top w:val="nil"/>
              <w:left w:val="nil"/>
              <w:bottom w:val="single" w:sz="4" w:space="0" w:color="auto"/>
              <w:right w:val="nil"/>
            </w:tcBorders>
            <w:shd w:val="clear" w:color="auto" w:fill="auto"/>
            <w:noWrap/>
            <w:vAlign w:val="bottom"/>
            <w:hideMark/>
          </w:tcPr>
          <w:p w14:paraId="13E5E52D" w14:textId="77777777" w:rsidR="001E04A1" w:rsidRPr="00E14060" w:rsidRDefault="001E04A1" w:rsidP="00106D7E">
            <w:pPr>
              <w:jc w:val="center"/>
              <w:rPr>
                <w:sz w:val="22"/>
                <w:szCs w:val="22"/>
                <w:lang w:val="en-GB"/>
              </w:rPr>
            </w:pPr>
            <w:r w:rsidRPr="00E14060">
              <w:rPr>
                <w:sz w:val="22"/>
                <w:szCs w:val="22"/>
                <w:lang w:val="en-GB"/>
              </w:rPr>
              <w:t>2.93</w:t>
            </w:r>
          </w:p>
        </w:tc>
        <w:tc>
          <w:tcPr>
            <w:tcW w:w="2126" w:type="dxa"/>
            <w:tcBorders>
              <w:top w:val="nil"/>
              <w:left w:val="nil"/>
              <w:bottom w:val="single" w:sz="4" w:space="0" w:color="auto"/>
              <w:right w:val="nil"/>
            </w:tcBorders>
            <w:shd w:val="clear" w:color="auto" w:fill="auto"/>
            <w:noWrap/>
            <w:vAlign w:val="bottom"/>
            <w:hideMark/>
          </w:tcPr>
          <w:p w14:paraId="75959F26" w14:textId="77777777" w:rsidR="001E04A1" w:rsidRPr="00E14060" w:rsidRDefault="001E04A1" w:rsidP="00106D7E">
            <w:pPr>
              <w:jc w:val="center"/>
              <w:rPr>
                <w:sz w:val="22"/>
                <w:szCs w:val="22"/>
                <w:lang w:val="en-GB"/>
              </w:rPr>
            </w:pPr>
            <w:r w:rsidRPr="00E14060">
              <w:rPr>
                <w:sz w:val="22"/>
                <w:szCs w:val="22"/>
                <w:lang w:val="en-GB"/>
              </w:rPr>
              <w:t>(1.98, 4.37)</w:t>
            </w:r>
          </w:p>
        </w:tc>
        <w:tc>
          <w:tcPr>
            <w:tcW w:w="2692" w:type="dxa"/>
            <w:tcBorders>
              <w:top w:val="nil"/>
              <w:left w:val="nil"/>
              <w:bottom w:val="single" w:sz="4" w:space="0" w:color="auto"/>
              <w:right w:val="nil"/>
            </w:tcBorders>
            <w:shd w:val="clear" w:color="auto" w:fill="auto"/>
            <w:noWrap/>
            <w:vAlign w:val="bottom"/>
            <w:hideMark/>
          </w:tcPr>
          <w:p w14:paraId="080770AA" w14:textId="77777777" w:rsidR="001E04A1" w:rsidRPr="00E14060" w:rsidRDefault="001E04A1" w:rsidP="00106D7E">
            <w:pPr>
              <w:jc w:val="center"/>
              <w:rPr>
                <w:sz w:val="22"/>
                <w:szCs w:val="22"/>
                <w:lang w:val="en-GB"/>
              </w:rPr>
            </w:pPr>
            <w:r w:rsidRPr="00E14060">
              <w:rPr>
                <w:sz w:val="22"/>
                <w:szCs w:val="22"/>
                <w:lang w:val="en-GB"/>
              </w:rPr>
              <w:t>8.65%</w:t>
            </w:r>
          </w:p>
        </w:tc>
        <w:tc>
          <w:tcPr>
            <w:tcW w:w="2368" w:type="dxa"/>
            <w:tcBorders>
              <w:top w:val="nil"/>
              <w:left w:val="nil"/>
              <w:bottom w:val="single" w:sz="4" w:space="0" w:color="auto"/>
              <w:right w:val="nil"/>
            </w:tcBorders>
            <w:shd w:val="clear" w:color="auto" w:fill="auto"/>
            <w:noWrap/>
            <w:vAlign w:val="bottom"/>
            <w:hideMark/>
          </w:tcPr>
          <w:p w14:paraId="2079E6FA" w14:textId="77777777" w:rsidR="001E04A1" w:rsidRPr="00E14060" w:rsidRDefault="001E04A1" w:rsidP="00106D7E">
            <w:pPr>
              <w:jc w:val="center"/>
              <w:rPr>
                <w:sz w:val="22"/>
                <w:szCs w:val="22"/>
                <w:lang w:val="en-GB"/>
              </w:rPr>
            </w:pPr>
            <w:r w:rsidRPr="00E14060">
              <w:rPr>
                <w:sz w:val="22"/>
                <w:szCs w:val="22"/>
                <w:lang w:val="en-GB"/>
              </w:rPr>
              <w:t>91.35%</w:t>
            </w:r>
          </w:p>
        </w:tc>
      </w:tr>
      <w:tr w:rsidR="00F334F9" w:rsidRPr="00E14060" w14:paraId="54C5BF2E" w14:textId="77777777" w:rsidTr="00106D7E">
        <w:trPr>
          <w:trHeight w:val="300"/>
        </w:trPr>
        <w:tc>
          <w:tcPr>
            <w:tcW w:w="222" w:type="dxa"/>
            <w:tcBorders>
              <w:top w:val="nil"/>
              <w:left w:val="nil"/>
              <w:bottom w:val="nil"/>
              <w:right w:val="nil"/>
            </w:tcBorders>
            <w:shd w:val="clear" w:color="auto" w:fill="auto"/>
            <w:noWrap/>
            <w:vAlign w:val="bottom"/>
            <w:hideMark/>
          </w:tcPr>
          <w:p w14:paraId="095E52C6" w14:textId="77777777" w:rsidR="000332DE" w:rsidRPr="00E14060" w:rsidRDefault="000332DE" w:rsidP="00106D7E">
            <w:pPr>
              <w:rPr>
                <w:sz w:val="22"/>
                <w:szCs w:val="22"/>
                <w:lang w:val="en-GB"/>
              </w:rPr>
            </w:pPr>
          </w:p>
        </w:tc>
        <w:tc>
          <w:tcPr>
            <w:tcW w:w="1301" w:type="dxa"/>
            <w:tcBorders>
              <w:top w:val="nil"/>
              <w:left w:val="nil"/>
              <w:bottom w:val="nil"/>
              <w:right w:val="nil"/>
            </w:tcBorders>
            <w:shd w:val="clear" w:color="auto" w:fill="auto"/>
            <w:noWrap/>
            <w:vAlign w:val="bottom"/>
            <w:hideMark/>
          </w:tcPr>
          <w:p w14:paraId="029A2836" w14:textId="77777777" w:rsidR="000332DE" w:rsidRPr="00E14060" w:rsidRDefault="000332DE" w:rsidP="00106D7E">
            <w:pPr>
              <w:rPr>
                <w:sz w:val="22"/>
                <w:szCs w:val="22"/>
                <w:lang w:val="en-GB"/>
              </w:rPr>
            </w:pPr>
          </w:p>
        </w:tc>
        <w:tc>
          <w:tcPr>
            <w:tcW w:w="271" w:type="dxa"/>
            <w:tcBorders>
              <w:top w:val="nil"/>
              <w:left w:val="nil"/>
              <w:bottom w:val="nil"/>
              <w:right w:val="nil"/>
            </w:tcBorders>
            <w:shd w:val="clear" w:color="auto" w:fill="auto"/>
            <w:noWrap/>
            <w:vAlign w:val="bottom"/>
            <w:hideMark/>
          </w:tcPr>
          <w:p w14:paraId="6F054E85" w14:textId="77777777" w:rsidR="000332DE" w:rsidRPr="00E14060" w:rsidRDefault="000332DE" w:rsidP="00106D7E">
            <w:pPr>
              <w:rPr>
                <w:sz w:val="22"/>
                <w:szCs w:val="22"/>
                <w:lang w:val="en-GB"/>
              </w:rPr>
            </w:pPr>
          </w:p>
        </w:tc>
        <w:tc>
          <w:tcPr>
            <w:tcW w:w="1733" w:type="dxa"/>
            <w:tcBorders>
              <w:top w:val="nil"/>
              <w:left w:val="nil"/>
              <w:bottom w:val="nil"/>
              <w:right w:val="nil"/>
            </w:tcBorders>
            <w:shd w:val="clear" w:color="auto" w:fill="auto"/>
            <w:noWrap/>
            <w:vAlign w:val="bottom"/>
            <w:hideMark/>
          </w:tcPr>
          <w:p w14:paraId="39A23948" w14:textId="77777777" w:rsidR="000332DE" w:rsidRPr="00E14060" w:rsidRDefault="000332DE" w:rsidP="00106D7E">
            <w:pPr>
              <w:rPr>
                <w:sz w:val="22"/>
                <w:szCs w:val="22"/>
                <w:lang w:val="en-GB"/>
              </w:rPr>
            </w:pPr>
          </w:p>
        </w:tc>
        <w:tc>
          <w:tcPr>
            <w:tcW w:w="2126" w:type="dxa"/>
            <w:tcBorders>
              <w:top w:val="single" w:sz="4" w:space="0" w:color="auto"/>
              <w:left w:val="nil"/>
              <w:bottom w:val="single" w:sz="4" w:space="0" w:color="auto"/>
              <w:right w:val="nil"/>
            </w:tcBorders>
            <w:shd w:val="clear" w:color="auto" w:fill="auto"/>
            <w:noWrap/>
            <w:vAlign w:val="bottom"/>
            <w:hideMark/>
          </w:tcPr>
          <w:p w14:paraId="1F7C5E64" w14:textId="77777777" w:rsidR="000332DE" w:rsidRPr="00E14060" w:rsidRDefault="000332DE" w:rsidP="00106D7E">
            <w:pPr>
              <w:jc w:val="center"/>
              <w:rPr>
                <w:sz w:val="22"/>
                <w:szCs w:val="22"/>
                <w:lang w:val="en-GB"/>
              </w:rPr>
            </w:pPr>
          </w:p>
        </w:tc>
        <w:tc>
          <w:tcPr>
            <w:tcW w:w="2692" w:type="dxa"/>
            <w:tcBorders>
              <w:top w:val="single" w:sz="4" w:space="0" w:color="auto"/>
              <w:left w:val="nil"/>
              <w:bottom w:val="single" w:sz="4" w:space="0" w:color="auto"/>
              <w:right w:val="nil"/>
            </w:tcBorders>
            <w:shd w:val="clear" w:color="auto" w:fill="auto"/>
            <w:noWrap/>
            <w:vAlign w:val="bottom"/>
            <w:hideMark/>
          </w:tcPr>
          <w:p w14:paraId="013DF700" w14:textId="77777777" w:rsidR="000332DE" w:rsidRPr="00E14060" w:rsidRDefault="000332DE" w:rsidP="00106D7E">
            <w:pPr>
              <w:rPr>
                <w:sz w:val="22"/>
                <w:szCs w:val="22"/>
                <w:lang w:val="en-GB"/>
              </w:rPr>
            </w:pPr>
          </w:p>
        </w:tc>
        <w:tc>
          <w:tcPr>
            <w:tcW w:w="2368" w:type="dxa"/>
            <w:tcBorders>
              <w:top w:val="nil"/>
              <w:left w:val="nil"/>
              <w:bottom w:val="nil"/>
              <w:right w:val="nil"/>
            </w:tcBorders>
            <w:shd w:val="clear" w:color="auto" w:fill="auto"/>
            <w:noWrap/>
            <w:vAlign w:val="bottom"/>
            <w:hideMark/>
          </w:tcPr>
          <w:p w14:paraId="41397837" w14:textId="77777777" w:rsidR="000332DE" w:rsidRPr="00E14060" w:rsidRDefault="000332DE" w:rsidP="00106D7E">
            <w:pPr>
              <w:rPr>
                <w:sz w:val="22"/>
                <w:szCs w:val="22"/>
                <w:lang w:val="en-GB"/>
              </w:rPr>
            </w:pPr>
          </w:p>
        </w:tc>
      </w:tr>
      <w:tr w:rsidR="00F334F9" w:rsidRPr="00E14060" w14:paraId="12F1B947" w14:textId="77777777" w:rsidTr="00106D7E">
        <w:trPr>
          <w:trHeight w:val="870"/>
        </w:trPr>
        <w:tc>
          <w:tcPr>
            <w:tcW w:w="222" w:type="dxa"/>
            <w:tcBorders>
              <w:top w:val="nil"/>
              <w:left w:val="nil"/>
              <w:bottom w:val="nil"/>
              <w:right w:val="nil"/>
            </w:tcBorders>
            <w:shd w:val="clear" w:color="auto" w:fill="auto"/>
            <w:noWrap/>
            <w:vAlign w:val="bottom"/>
            <w:hideMark/>
          </w:tcPr>
          <w:p w14:paraId="41442DEA" w14:textId="77777777" w:rsidR="000332DE" w:rsidRPr="00E14060" w:rsidRDefault="000332DE" w:rsidP="00106D7E">
            <w:pPr>
              <w:rPr>
                <w:sz w:val="22"/>
                <w:szCs w:val="22"/>
                <w:lang w:val="en-GB"/>
              </w:rPr>
            </w:pPr>
          </w:p>
        </w:tc>
        <w:tc>
          <w:tcPr>
            <w:tcW w:w="1301" w:type="dxa"/>
            <w:tcBorders>
              <w:top w:val="single" w:sz="4" w:space="0" w:color="auto"/>
              <w:left w:val="nil"/>
              <w:bottom w:val="nil"/>
              <w:right w:val="nil"/>
            </w:tcBorders>
            <w:shd w:val="clear" w:color="auto" w:fill="auto"/>
            <w:noWrap/>
            <w:vAlign w:val="bottom"/>
            <w:hideMark/>
          </w:tcPr>
          <w:p w14:paraId="6FA23A8E" w14:textId="77777777" w:rsidR="000332DE" w:rsidRPr="00E14060" w:rsidRDefault="000332DE" w:rsidP="00106D7E">
            <w:pPr>
              <w:rPr>
                <w:sz w:val="22"/>
                <w:szCs w:val="22"/>
                <w:lang w:val="en-GB"/>
              </w:rPr>
            </w:pPr>
            <w:r w:rsidRPr="00E14060">
              <w:rPr>
                <w:sz w:val="22"/>
                <w:szCs w:val="22"/>
                <w:lang w:val="en-GB"/>
              </w:rPr>
              <w:t> </w:t>
            </w:r>
          </w:p>
        </w:tc>
        <w:tc>
          <w:tcPr>
            <w:tcW w:w="271" w:type="dxa"/>
            <w:tcBorders>
              <w:top w:val="single" w:sz="4" w:space="0" w:color="auto"/>
              <w:left w:val="nil"/>
              <w:bottom w:val="nil"/>
              <w:right w:val="nil"/>
            </w:tcBorders>
            <w:shd w:val="clear" w:color="auto" w:fill="auto"/>
            <w:noWrap/>
            <w:vAlign w:val="bottom"/>
            <w:hideMark/>
          </w:tcPr>
          <w:p w14:paraId="3DAD3D8A" w14:textId="77777777" w:rsidR="000332DE" w:rsidRPr="00E14060" w:rsidRDefault="000332DE" w:rsidP="00106D7E">
            <w:pPr>
              <w:rPr>
                <w:sz w:val="22"/>
                <w:szCs w:val="22"/>
                <w:lang w:val="en-GB"/>
              </w:rPr>
            </w:pPr>
            <w:r w:rsidRPr="00E14060">
              <w:rPr>
                <w:sz w:val="22"/>
                <w:szCs w:val="22"/>
                <w:lang w:val="en-GB"/>
              </w:rPr>
              <w:t> </w:t>
            </w:r>
          </w:p>
        </w:tc>
        <w:tc>
          <w:tcPr>
            <w:tcW w:w="1733" w:type="dxa"/>
            <w:tcBorders>
              <w:top w:val="single" w:sz="4" w:space="0" w:color="auto"/>
              <w:left w:val="nil"/>
              <w:bottom w:val="single" w:sz="4" w:space="0" w:color="auto"/>
              <w:right w:val="nil"/>
            </w:tcBorders>
            <w:shd w:val="clear" w:color="auto" w:fill="auto"/>
            <w:vAlign w:val="bottom"/>
            <w:hideMark/>
          </w:tcPr>
          <w:p w14:paraId="3A1EBCF6" w14:textId="77777777" w:rsidR="000332DE" w:rsidRPr="00E14060" w:rsidRDefault="000332DE" w:rsidP="00106D7E">
            <w:pPr>
              <w:jc w:val="center"/>
              <w:rPr>
                <w:b/>
                <w:bCs/>
                <w:sz w:val="22"/>
                <w:szCs w:val="22"/>
                <w:lang w:val="en-GB"/>
              </w:rPr>
            </w:pPr>
            <w:r w:rsidRPr="00E14060">
              <w:rPr>
                <w:b/>
                <w:bCs/>
                <w:sz w:val="22"/>
                <w:szCs w:val="22"/>
                <w:lang w:val="en-GB"/>
              </w:rPr>
              <w:t>Relative risk of drug vs. placebo</w:t>
            </w:r>
          </w:p>
        </w:tc>
        <w:tc>
          <w:tcPr>
            <w:tcW w:w="2126" w:type="dxa"/>
            <w:tcBorders>
              <w:top w:val="single" w:sz="4" w:space="0" w:color="auto"/>
              <w:left w:val="nil"/>
              <w:bottom w:val="single" w:sz="4" w:space="0" w:color="auto"/>
              <w:right w:val="nil"/>
            </w:tcBorders>
            <w:shd w:val="clear" w:color="auto" w:fill="auto"/>
            <w:vAlign w:val="bottom"/>
            <w:hideMark/>
          </w:tcPr>
          <w:p w14:paraId="4843FD70" w14:textId="77777777" w:rsidR="000332DE" w:rsidRPr="00E14060" w:rsidRDefault="000332DE" w:rsidP="00106D7E">
            <w:pPr>
              <w:jc w:val="center"/>
              <w:rPr>
                <w:b/>
                <w:bCs/>
                <w:sz w:val="22"/>
                <w:szCs w:val="22"/>
                <w:lang w:val="en-GB"/>
              </w:rPr>
            </w:pPr>
            <w:r w:rsidRPr="00E14060">
              <w:rPr>
                <w:b/>
                <w:bCs/>
                <w:sz w:val="22"/>
                <w:szCs w:val="22"/>
                <w:lang w:val="en-GB"/>
              </w:rPr>
              <w:t>95% Credible interval for relative risk</w:t>
            </w:r>
          </w:p>
        </w:tc>
        <w:tc>
          <w:tcPr>
            <w:tcW w:w="2692" w:type="dxa"/>
            <w:tcBorders>
              <w:top w:val="single" w:sz="4" w:space="0" w:color="auto"/>
              <w:left w:val="nil"/>
              <w:bottom w:val="single" w:sz="4" w:space="0" w:color="auto"/>
              <w:right w:val="nil"/>
            </w:tcBorders>
            <w:shd w:val="clear" w:color="auto" w:fill="auto"/>
            <w:vAlign w:val="bottom"/>
          </w:tcPr>
          <w:p w14:paraId="735E83E2" w14:textId="77777777" w:rsidR="000332DE" w:rsidRPr="00E14060" w:rsidRDefault="000332DE" w:rsidP="00106D7E">
            <w:pPr>
              <w:jc w:val="center"/>
              <w:rPr>
                <w:b/>
                <w:sz w:val="22"/>
                <w:szCs w:val="22"/>
                <w:lang w:val="en-GB"/>
              </w:rPr>
            </w:pPr>
            <w:r w:rsidRPr="00E14060">
              <w:rPr>
                <w:b/>
                <w:sz w:val="22"/>
                <w:szCs w:val="22"/>
                <w:lang w:val="en-GB"/>
              </w:rPr>
              <w:t>Response rate</w:t>
            </w:r>
          </w:p>
          <w:p w14:paraId="0BF658E9" w14:textId="77777777" w:rsidR="000332DE" w:rsidRPr="00E14060" w:rsidRDefault="000332DE" w:rsidP="00106D7E">
            <w:pPr>
              <w:jc w:val="center"/>
              <w:rPr>
                <w:b/>
                <w:bCs/>
                <w:sz w:val="22"/>
                <w:szCs w:val="22"/>
                <w:lang w:val="en-GB"/>
              </w:rPr>
            </w:pPr>
          </w:p>
        </w:tc>
        <w:tc>
          <w:tcPr>
            <w:tcW w:w="2368" w:type="dxa"/>
            <w:tcBorders>
              <w:top w:val="nil"/>
              <w:left w:val="nil"/>
              <w:bottom w:val="nil"/>
              <w:right w:val="nil"/>
            </w:tcBorders>
            <w:shd w:val="clear" w:color="auto" w:fill="auto"/>
            <w:vAlign w:val="bottom"/>
            <w:hideMark/>
          </w:tcPr>
          <w:p w14:paraId="04BD9407" w14:textId="77777777" w:rsidR="000332DE" w:rsidRPr="00E14060" w:rsidRDefault="000332DE" w:rsidP="00106D7E">
            <w:pPr>
              <w:jc w:val="center"/>
              <w:rPr>
                <w:b/>
                <w:bCs/>
                <w:sz w:val="22"/>
                <w:szCs w:val="22"/>
                <w:lang w:val="en-GB"/>
              </w:rPr>
            </w:pPr>
            <w:r w:rsidRPr="00E14060">
              <w:rPr>
                <w:b/>
                <w:bCs/>
                <w:sz w:val="22"/>
                <w:szCs w:val="22"/>
                <w:lang w:val="en-GB"/>
              </w:rPr>
              <w:t xml:space="preserve">Placebo Risk </w:t>
            </w:r>
          </w:p>
          <w:p w14:paraId="77E4788D" w14:textId="77777777" w:rsidR="000332DE" w:rsidRPr="00E14060" w:rsidRDefault="000332DE" w:rsidP="00106D7E">
            <w:pPr>
              <w:jc w:val="center"/>
              <w:rPr>
                <w:b/>
                <w:bCs/>
                <w:sz w:val="22"/>
                <w:szCs w:val="22"/>
                <w:lang w:val="en-GB"/>
              </w:rPr>
            </w:pPr>
            <w:r w:rsidRPr="00E14060">
              <w:rPr>
                <w:b/>
                <w:bCs/>
                <w:sz w:val="22"/>
                <w:szCs w:val="22"/>
                <w:lang w:val="en-GB"/>
              </w:rPr>
              <w:t>(95% CI)</w:t>
            </w:r>
            <w:r w:rsidRPr="00E14060">
              <w:rPr>
                <w:rStyle w:val="FootnoteReference"/>
                <w:b/>
                <w:bCs/>
                <w:sz w:val="22"/>
                <w:szCs w:val="22"/>
                <w:lang w:val="en-GB"/>
              </w:rPr>
              <w:footnoteReference w:id="14"/>
            </w:r>
            <w:r w:rsidRPr="00E14060" w:rsidDel="001A78D0">
              <w:rPr>
                <w:b/>
                <w:bCs/>
                <w:sz w:val="22"/>
                <w:szCs w:val="22"/>
                <w:vertAlign w:val="superscript"/>
                <w:lang w:val="en-GB"/>
              </w:rPr>
              <w:t xml:space="preserve"> </w:t>
            </w:r>
          </w:p>
        </w:tc>
      </w:tr>
      <w:tr w:rsidR="00F334F9" w:rsidRPr="00E14060" w14:paraId="7F05A531" w14:textId="77777777" w:rsidTr="00106D7E">
        <w:trPr>
          <w:trHeight w:val="300"/>
        </w:trPr>
        <w:tc>
          <w:tcPr>
            <w:tcW w:w="222" w:type="dxa"/>
            <w:tcBorders>
              <w:top w:val="nil"/>
              <w:left w:val="nil"/>
              <w:bottom w:val="nil"/>
              <w:right w:val="nil"/>
            </w:tcBorders>
            <w:shd w:val="clear" w:color="auto" w:fill="auto"/>
            <w:noWrap/>
            <w:vAlign w:val="bottom"/>
            <w:hideMark/>
          </w:tcPr>
          <w:p w14:paraId="5E5D9C9A" w14:textId="77777777" w:rsidR="001E04A1" w:rsidRPr="00E14060" w:rsidRDefault="001E04A1" w:rsidP="00106D7E">
            <w:pPr>
              <w:rPr>
                <w:sz w:val="22"/>
                <w:szCs w:val="22"/>
                <w:lang w:val="en-GB"/>
              </w:rPr>
            </w:pPr>
          </w:p>
        </w:tc>
        <w:tc>
          <w:tcPr>
            <w:tcW w:w="1301" w:type="dxa"/>
            <w:tcBorders>
              <w:top w:val="nil"/>
              <w:left w:val="nil"/>
              <w:bottom w:val="nil"/>
              <w:right w:val="nil"/>
            </w:tcBorders>
            <w:shd w:val="clear" w:color="auto" w:fill="auto"/>
            <w:noWrap/>
            <w:vAlign w:val="bottom"/>
            <w:hideMark/>
          </w:tcPr>
          <w:p w14:paraId="484DA88C" w14:textId="77777777" w:rsidR="001E04A1" w:rsidRPr="00E14060" w:rsidRDefault="001E04A1" w:rsidP="00106D7E">
            <w:pPr>
              <w:rPr>
                <w:b/>
                <w:bCs/>
                <w:sz w:val="22"/>
                <w:szCs w:val="22"/>
                <w:lang w:val="en-GB"/>
              </w:rPr>
            </w:pPr>
            <w:r w:rsidRPr="00E14060">
              <w:rPr>
                <w:b/>
                <w:bCs/>
                <w:sz w:val="22"/>
                <w:szCs w:val="22"/>
                <w:lang w:val="en-GB"/>
              </w:rPr>
              <w:t>LDX</w:t>
            </w:r>
          </w:p>
        </w:tc>
        <w:tc>
          <w:tcPr>
            <w:tcW w:w="271" w:type="dxa"/>
            <w:tcBorders>
              <w:top w:val="nil"/>
              <w:left w:val="nil"/>
              <w:bottom w:val="nil"/>
              <w:right w:val="nil"/>
            </w:tcBorders>
            <w:shd w:val="clear" w:color="auto" w:fill="auto"/>
            <w:noWrap/>
            <w:vAlign w:val="bottom"/>
            <w:hideMark/>
          </w:tcPr>
          <w:p w14:paraId="6647CC36" w14:textId="77777777" w:rsidR="001E04A1" w:rsidRPr="00E14060" w:rsidRDefault="001E04A1" w:rsidP="00106D7E">
            <w:pPr>
              <w:rPr>
                <w:sz w:val="22"/>
                <w:szCs w:val="22"/>
                <w:lang w:val="en-GB"/>
              </w:rPr>
            </w:pPr>
          </w:p>
        </w:tc>
        <w:tc>
          <w:tcPr>
            <w:tcW w:w="1733" w:type="dxa"/>
            <w:tcBorders>
              <w:top w:val="nil"/>
              <w:left w:val="nil"/>
              <w:bottom w:val="nil"/>
              <w:right w:val="nil"/>
            </w:tcBorders>
            <w:shd w:val="clear" w:color="auto" w:fill="auto"/>
            <w:noWrap/>
            <w:vAlign w:val="bottom"/>
            <w:hideMark/>
          </w:tcPr>
          <w:p w14:paraId="6B722D26" w14:textId="77777777" w:rsidR="001E04A1" w:rsidRPr="00E14060" w:rsidRDefault="001E04A1" w:rsidP="00106D7E">
            <w:pPr>
              <w:jc w:val="center"/>
              <w:rPr>
                <w:sz w:val="22"/>
                <w:szCs w:val="22"/>
                <w:lang w:val="en-GB"/>
              </w:rPr>
            </w:pPr>
            <w:r w:rsidRPr="00E14060">
              <w:rPr>
                <w:sz w:val="22"/>
                <w:szCs w:val="22"/>
                <w:lang w:val="en-GB"/>
              </w:rPr>
              <w:t>2.04</w:t>
            </w:r>
          </w:p>
        </w:tc>
        <w:tc>
          <w:tcPr>
            <w:tcW w:w="2126" w:type="dxa"/>
            <w:tcBorders>
              <w:top w:val="single" w:sz="4" w:space="0" w:color="auto"/>
              <w:left w:val="nil"/>
              <w:bottom w:val="nil"/>
              <w:right w:val="nil"/>
            </w:tcBorders>
            <w:shd w:val="clear" w:color="auto" w:fill="auto"/>
            <w:noWrap/>
            <w:vAlign w:val="bottom"/>
            <w:hideMark/>
          </w:tcPr>
          <w:p w14:paraId="163AFC79" w14:textId="77777777" w:rsidR="001E04A1" w:rsidRPr="00E14060" w:rsidRDefault="001E04A1" w:rsidP="00106D7E">
            <w:pPr>
              <w:jc w:val="center"/>
              <w:rPr>
                <w:sz w:val="22"/>
                <w:szCs w:val="22"/>
                <w:lang w:val="en-GB"/>
              </w:rPr>
            </w:pPr>
            <w:r w:rsidRPr="00E14060">
              <w:rPr>
                <w:sz w:val="22"/>
                <w:szCs w:val="22"/>
                <w:lang w:val="en-GB"/>
              </w:rPr>
              <w:t>(1.74, 2.33)</w:t>
            </w:r>
          </w:p>
        </w:tc>
        <w:tc>
          <w:tcPr>
            <w:tcW w:w="2692" w:type="dxa"/>
            <w:tcBorders>
              <w:top w:val="single" w:sz="4" w:space="0" w:color="auto"/>
              <w:left w:val="nil"/>
              <w:bottom w:val="nil"/>
              <w:right w:val="nil"/>
            </w:tcBorders>
            <w:shd w:val="clear" w:color="auto" w:fill="auto"/>
            <w:noWrap/>
            <w:vAlign w:val="bottom"/>
          </w:tcPr>
          <w:p w14:paraId="6FF4768F" w14:textId="77777777" w:rsidR="001E04A1" w:rsidRPr="00E14060" w:rsidRDefault="001E04A1" w:rsidP="00106D7E">
            <w:pPr>
              <w:jc w:val="center"/>
              <w:rPr>
                <w:sz w:val="22"/>
                <w:szCs w:val="22"/>
                <w:lang w:val="en-GB"/>
              </w:rPr>
            </w:pPr>
            <w:r w:rsidRPr="00E14060">
              <w:rPr>
                <w:sz w:val="22"/>
                <w:szCs w:val="22"/>
                <w:lang w:val="en-GB"/>
              </w:rPr>
              <w:t>0.69</w:t>
            </w:r>
          </w:p>
        </w:tc>
        <w:tc>
          <w:tcPr>
            <w:tcW w:w="2368" w:type="dxa"/>
            <w:tcBorders>
              <w:top w:val="nil"/>
              <w:left w:val="nil"/>
              <w:bottom w:val="nil"/>
              <w:right w:val="nil"/>
            </w:tcBorders>
            <w:shd w:val="clear" w:color="auto" w:fill="auto"/>
            <w:noWrap/>
            <w:vAlign w:val="bottom"/>
            <w:hideMark/>
          </w:tcPr>
          <w:p w14:paraId="10754C88" w14:textId="77777777" w:rsidR="001E04A1" w:rsidRPr="00E14060" w:rsidRDefault="001E04A1" w:rsidP="00106D7E">
            <w:pPr>
              <w:jc w:val="center"/>
              <w:rPr>
                <w:sz w:val="22"/>
                <w:szCs w:val="22"/>
                <w:lang w:val="en-GB"/>
              </w:rPr>
            </w:pPr>
            <w:r w:rsidRPr="00E14060">
              <w:rPr>
                <w:sz w:val="22"/>
                <w:szCs w:val="22"/>
                <w:lang w:val="en-GB"/>
              </w:rPr>
              <w:t>0.3411</w:t>
            </w:r>
          </w:p>
        </w:tc>
      </w:tr>
      <w:tr w:rsidR="00F334F9" w:rsidRPr="00E14060" w14:paraId="253ED925" w14:textId="77777777" w:rsidTr="00106D7E">
        <w:trPr>
          <w:trHeight w:val="300"/>
        </w:trPr>
        <w:tc>
          <w:tcPr>
            <w:tcW w:w="222" w:type="dxa"/>
            <w:tcBorders>
              <w:top w:val="nil"/>
              <w:left w:val="nil"/>
              <w:bottom w:val="nil"/>
              <w:right w:val="nil"/>
            </w:tcBorders>
            <w:shd w:val="clear" w:color="auto" w:fill="auto"/>
            <w:noWrap/>
            <w:vAlign w:val="bottom"/>
            <w:hideMark/>
          </w:tcPr>
          <w:p w14:paraId="169F33F3" w14:textId="77777777" w:rsidR="001E04A1" w:rsidRPr="00E14060" w:rsidRDefault="001E04A1" w:rsidP="00106D7E">
            <w:pPr>
              <w:rPr>
                <w:sz w:val="22"/>
                <w:szCs w:val="22"/>
                <w:lang w:val="en-GB"/>
              </w:rPr>
            </w:pPr>
          </w:p>
        </w:tc>
        <w:tc>
          <w:tcPr>
            <w:tcW w:w="1301" w:type="dxa"/>
            <w:tcBorders>
              <w:top w:val="nil"/>
              <w:left w:val="nil"/>
              <w:bottom w:val="nil"/>
              <w:right w:val="nil"/>
            </w:tcBorders>
            <w:shd w:val="clear" w:color="auto" w:fill="auto"/>
            <w:noWrap/>
            <w:vAlign w:val="bottom"/>
            <w:hideMark/>
          </w:tcPr>
          <w:p w14:paraId="7498C186" w14:textId="77777777" w:rsidR="001E04A1" w:rsidRPr="00E14060" w:rsidRDefault="001E04A1" w:rsidP="00106D7E">
            <w:pPr>
              <w:rPr>
                <w:b/>
                <w:bCs/>
                <w:sz w:val="22"/>
                <w:szCs w:val="22"/>
                <w:lang w:val="en-GB"/>
              </w:rPr>
            </w:pPr>
            <w:r w:rsidRPr="00E14060">
              <w:rPr>
                <w:b/>
                <w:bCs/>
                <w:sz w:val="22"/>
                <w:szCs w:val="22"/>
                <w:lang w:val="en-GB"/>
              </w:rPr>
              <w:t>ATX</w:t>
            </w:r>
          </w:p>
        </w:tc>
        <w:tc>
          <w:tcPr>
            <w:tcW w:w="271" w:type="dxa"/>
            <w:tcBorders>
              <w:top w:val="nil"/>
              <w:left w:val="nil"/>
              <w:bottom w:val="nil"/>
              <w:right w:val="nil"/>
            </w:tcBorders>
            <w:shd w:val="clear" w:color="auto" w:fill="auto"/>
            <w:noWrap/>
            <w:vAlign w:val="bottom"/>
            <w:hideMark/>
          </w:tcPr>
          <w:p w14:paraId="23452020" w14:textId="77777777" w:rsidR="001E04A1" w:rsidRPr="00E14060" w:rsidRDefault="001E04A1" w:rsidP="00106D7E">
            <w:pPr>
              <w:rPr>
                <w:sz w:val="22"/>
                <w:szCs w:val="22"/>
                <w:lang w:val="en-GB"/>
              </w:rPr>
            </w:pPr>
          </w:p>
        </w:tc>
        <w:tc>
          <w:tcPr>
            <w:tcW w:w="1733" w:type="dxa"/>
            <w:tcBorders>
              <w:top w:val="nil"/>
              <w:left w:val="nil"/>
              <w:bottom w:val="nil"/>
              <w:right w:val="nil"/>
            </w:tcBorders>
            <w:shd w:val="clear" w:color="auto" w:fill="auto"/>
            <w:noWrap/>
            <w:vAlign w:val="bottom"/>
            <w:hideMark/>
          </w:tcPr>
          <w:p w14:paraId="2DEE3B93" w14:textId="77777777" w:rsidR="001E04A1" w:rsidRPr="00E14060" w:rsidRDefault="001E04A1" w:rsidP="00106D7E">
            <w:pPr>
              <w:jc w:val="center"/>
              <w:rPr>
                <w:sz w:val="22"/>
                <w:szCs w:val="22"/>
                <w:lang w:val="en-GB"/>
              </w:rPr>
            </w:pPr>
            <w:r w:rsidRPr="00E14060">
              <w:rPr>
                <w:sz w:val="22"/>
                <w:szCs w:val="22"/>
                <w:lang w:val="en-GB"/>
              </w:rPr>
              <w:t>1.45</w:t>
            </w:r>
          </w:p>
        </w:tc>
        <w:tc>
          <w:tcPr>
            <w:tcW w:w="2126" w:type="dxa"/>
            <w:tcBorders>
              <w:top w:val="nil"/>
              <w:left w:val="nil"/>
              <w:bottom w:val="nil"/>
              <w:right w:val="nil"/>
            </w:tcBorders>
            <w:shd w:val="clear" w:color="auto" w:fill="auto"/>
            <w:noWrap/>
            <w:vAlign w:val="bottom"/>
            <w:hideMark/>
          </w:tcPr>
          <w:p w14:paraId="277048FA" w14:textId="77777777" w:rsidR="001E04A1" w:rsidRPr="00E14060" w:rsidRDefault="001E04A1" w:rsidP="00106D7E">
            <w:pPr>
              <w:jc w:val="center"/>
              <w:rPr>
                <w:sz w:val="22"/>
                <w:szCs w:val="22"/>
                <w:lang w:val="en-GB"/>
              </w:rPr>
            </w:pPr>
            <w:r w:rsidRPr="00E14060">
              <w:rPr>
                <w:sz w:val="22"/>
                <w:szCs w:val="22"/>
                <w:lang w:val="en-GB"/>
              </w:rPr>
              <w:t>(1.29, 1.62)</w:t>
            </w:r>
          </w:p>
        </w:tc>
        <w:tc>
          <w:tcPr>
            <w:tcW w:w="2692" w:type="dxa"/>
            <w:tcBorders>
              <w:top w:val="nil"/>
              <w:left w:val="nil"/>
              <w:bottom w:val="nil"/>
              <w:right w:val="nil"/>
            </w:tcBorders>
            <w:shd w:val="clear" w:color="auto" w:fill="auto"/>
            <w:noWrap/>
            <w:vAlign w:val="bottom"/>
          </w:tcPr>
          <w:p w14:paraId="19AC58BE" w14:textId="77777777" w:rsidR="001E04A1" w:rsidRPr="00E14060" w:rsidRDefault="001E04A1" w:rsidP="00106D7E">
            <w:pPr>
              <w:jc w:val="center"/>
              <w:rPr>
                <w:sz w:val="22"/>
                <w:szCs w:val="22"/>
                <w:lang w:val="en-GB"/>
              </w:rPr>
            </w:pPr>
            <w:r w:rsidRPr="00E14060">
              <w:rPr>
                <w:sz w:val="22"/>
                <w:szCs w:val="22"/>
                <w:lang w:val="en-GB"/>
              </w:rPr>
              <w:t>0.50</w:t>
            </w:r>
          </w:p>
        </w:tc>
        <w:tc>
          <w:tcPr>
            <w:tcW w:w="2368" w:type="dxa"/>
            <w:tcBorders>
              <w:top w:val="nil"/>
              <w:left w:val="nil"/>
              <w:bottom w:val="nil"/>
              <w:right w:val="nil"/>
            </w:tcBorders>
            <w:shd w:val="clear" w:color="auto" w:fill="auto"/>
            <w:noWrap/>
            <w:vAlign w:val="bottom"/>
            <w:hideMark/>
          </w:tcPr>
          <w:p w14:paraId="03D5342A" w14:textId="77777777" w:rsidR="001E04A1" w:rsidRPr="00E14060" w:rsidRDefault="001E04A1" w:rsidP="00106D7E">
            <w:pPr>
              <w:jc w:val="center"/>
              <w:rPr>
                <w:sz w:val="22"/>
                <w:szCs w:val="22"/>
                <w:lang w:val="en-GB"/>
              </w:rPr>
            </w:pPr>
            <w:r w:rsidRPr="00E14060">
              <w:rPr>
                <w:sz w:val="22"/>
                <w:szCs w:val="22"/>
                <w:lang w:val="en-GB"/>
              </w:rPr>
              <w:t>(0.311, 0.371)</w:t>
            </w:r>
          </w:p>
        </w:tc>
      </w:tr>
      <w:tr w:rsidR="00F334F9" w:rsidRPr="00E14060" w14:paraId="1B355985" w14:textId="77777777" w:rsidTr="00106D7E">
        <w:trPr>
          <w:trHeight w:val="300"/>
        </w:trPr>
        <w:tc>
          <w:tcPr>
            <w:tcW w:w="222" w:type="dxa"/>
            <w:tcBorders>
              <w:top w:val="nil"/>
              <w:left w:val="nil"/>
              <w:bottom w:val="nil"/>
              <w:right w:val="nil"/>
            </w:tcBorders>
            <w:shd w:val="clear" w:color="auto" w:fill="auto"/>
            <w:noWrap/>
            <w:vAlign w:val="bottom"/>
            <w:hideMark/>
          </w:tcPr>
          <w:p w14:paraId="771D2885" w14:textId="77777777" w:rsidR="001E04A1" w:rsidRPr="00E14060" w:rsidRDefault="001E04A1" w:rsidP="00106D7E">
            <w:pPr>
              <w:rPr>
                <w:sz w:val="22"/>
                <w:szCs w:val="22"/>
                <w:lang w:val="en-GB"/>
              </w:rPr>
            </w:pPr>
          </w:p>
        </w:tc>
        <w:tc>
          <w:tcPr>
            <w:tcW w:w="1301" w:type="dxa"/>
            <w:tcBorders>
              <w:top w:val="nil"/>
              <w:left w:val="nil"/>
              <w:bottom w:val="single" w:sz="4" w:space="0" w:color="auto"/>
              <w:right w:val="nil"/>
            </w:tcBorders>
            <w:shd w:val="clear" w:color="auto" w:fill="auto"/>
            <w:noWrap/>
            <w:vAlign w:val="bottom"/>
            <w:hideMark/>
          </w:tcPr>
          <w:p w14:paraId="34A86C7B" w14:textId="77777777" w:rsidR="001E04A1" w:rsidRPr="00E14060" w:rsidRDefault="001E04A1" w:rsidP="00106D7E">
            <w:pPr>
              <w:rPr>
                <w:b/>
                <w:bCs/>
                <w:sz w:val="22"/>
                <w:szCs w:val="22"/>
                <w:lang w:val="en-GB"/>
              </w:rPr>
            </w:pPr>
            <w:r w:rsidRPr="00E14060">
              <w:rPr>
                <w:b/>
                <w:bCs/>
                <w:sz w:val="22"/>
                <w:szCs w:val="22"/>
                <w:lang w:val="en-GB"/>
              </w:rPr>
              <w:t>MPH-ER</w:t>
            </w:r>
          </w:p>
        </w:tc>
        <w:tc>
          <w:tcPr>
            <w:tcW w:w="271" w:type="dxa"/>
            <w:tcBorders>
              <w:top w:val="nil"/>
              <w:left w:val="nil"/>
              <w:bottom w:val="single" w:sz="4" w:space="0" w:color="auto"/>
              <w:right w:val="nil"/>
            </w:tcBorders>
            <w:shd w:val="clear" w:color="auto" w:fill="auto"/>
            <w:noWrap/>
            <w:vAlign w:val="bottom"/>
            <w:hideMark/>
          </w:tcPr>
          <w:p w14:paraId="3C566F65" w14:textId="77777777" w:rsidR="001E04A1" w:rsidRPr="00E14060" w:rsidRDefault="001E04A1" w:rsidP="00106D7E">
            <w:pPr>
              <w:rPr>
                <w:sz w:val="22"/>
                <w:szCs w:val="22"/>
                <w:lang w:val="en-GB"/>
              </w:rPr>
            </w:pPr>
            <w:r w:rsidRPr="00E14060">
              <w:rPr>
                <w:sz w:val="22"/>
                <w:szCs w:val="22"/>
                <w:lang w:val="en-GB"/>
              </w:rPr>
              <w:t> </w:t>
            </w:r>
          </w:p>
        </w:tc>
        <w:tc>
          <w:tcPr>
            <w:tcW w:w="1733" w:type="dxa"/>
            <w:tcBorders>
              <w:top w:val="nil"/>
              <w:left w:val="nil"/>
              <w:bottom w:val="single" w:sz="4" w:space="0" w:color="auto"/>
              <w:right w:val="nil"/>
            </w:tcBorders>
            <w:shd w:val="clear" w:color="auto" w:fill="auto"/>
            <w:noWrap/>
            <w:vAlign w:val="bottom"/>
            <w:hideMark/>
          </w:tcPr>
          <w:p w14:paraId="5AFC3ED2" w14:textId="77777777" w:rsidR="001E04A1" w:rsidRPr="00E14060" w:rsidRDefault="001E04A1" w:rsidP="00106D7E">
            <w:pPr>
              <w:jc w:val="center"/>
              <w:rPr>
                <w:sz w:val="22"/>
                <w:szCs w:val="22"/>
                <w:lang w:val="en-GB"/>
              </w:rPr>
            </w:pPr>
            <w:r w:rsidRPr="00E14060">
              <w:rPr>
                <w:sz w:val="22"/>
                <w:szCs w:val="22"/>
                <w:lang w:val="en-GB"/>
              </w:rPr>
              <w:t>1.77</w:t>
            </w:r>
          </w:p>
        </w:tc>
        <w:tc>
          <w:tcPr>
            <w:tcW w:w="2126" w:type="dxa"/>
            <w:tcBorders>
              <w:top w:val="nil"/>
              <w:left w:val="nil"/>
              <w:bottom w:val="single" w:sz="4" w:space="0" w:color="auto"/>
              <w:right w:val="nil"/>
            </w:tcBorders>
            <w:shd w:val="clear" w:color="auto" w:fill="auto"/>
            <w:noWrap/>
            <w:vAlign w:val="bottom"/>
            <w:hideMark/>
          </w:tcPr>
          <w:p w14:paraId="1A02E2EC" w14:textId="77777777" w:rsidR="001E04A1" w:rsidRPr="00E14060" w:rsidRDefault="001E04A1" w:rsidP="00106D7E">
            <w:pPr>
              <w:jc w:val="center"/>
              <w:rPr>
                <w:sz w:val="22"/>
                <w:szCs w:val="22"/>
                <w:lang w:val="en-GB"/>
              </w:rPr>
            </w:pPr>
            <w:r w:rsidRPr="00E14060">
              <w:rPr>
                <w:sz w:val="22"/>
                <w:szCs w:val="22"/>
                <w:lang w:val="en-GB"/>
              </w:rPr>
              <w:t>(1.48, 2.05)</w:t>
            </w:r>
          </w:p>
        </w:tc>
        <w:tc>
          <w:tcPr>
            <w:tcW w:w="2692" w:type="dxa"/>
            <w:tcBorders>
              <w:top w:val="nil"/>
              <w:left w:val="nil"/>
              <w:bottom w:val="single" w:sz="4" w:space="0" w:color="auto"/>
              <w:right w:val="nil"/>
            </w:tcBorders>
            <w:shd w:val="clear" w:color="auto" w:fill="auto"/>
            <w:noWrap/>
            <w:vAlign w:val="bottom"/>
            <w:hideMark/>
          </w:tcPr>
          <w:p w14:paraId="7BC82909" w14:textId="77777777" w:rsidR="001E04A1" w:rsidRPr="00E14060" w:rsidRDefault="001E04A1" w:rsidP="00106D7E">
            <w:pPr>
              <w:jc w:val="center"/>
              <w:rPr>
                <w:sz w:val="22"/>
                <w:szCs w:val="22"/>
                <w:lang w:val="en-GB"/>
              </w:rPr>
            </w:pPr>
            <w:r w:rsidRPr="00E14060">
              <w:rPr>
                <w:sz w:val="22"/>
                <w:szCs w:val="22"/>
                <w:lang w:val="en-GB"/>
              </w:rPr>
              <w:t>0.60</w:t>
            </w:r>
          </w:p>
        </w:tc>
        <w:tc>
          <w:tcPr>
            <w:tcW w:w="2368" w:type="dxa"/>
            <w:tcBorders>
              <w:top w:val="nil"/>
              <w:left w:val="nil"/>
              <w:bottom w:val="nil"/>
              <w:right w:val="nil"/>
            </w:tcBorders>
            <w:shd w:val="clear" w:color="auto" w:fill="auto"/>
            <w:noWrap/>
            <w:vAlign w:val="bottom"/>
            <w:hideMark/>
          </w:tcPr>
          <w:p w14:paraId="48DB2C0A" w14:textId="77777777" w:rsidR="001E04A1" w:rsidRPr="00E14060" w:rsidRDefault="001E04A1" w:rsidP="00106D7E">
            <w:pPr>
              <w:jc w:val="center"/>
              <w:rPr>
                <w:sz w:val="22"/>
                <w:szCs w:val="22"/>
                <w:lang w:val="en-GB"/>
              </w:rPr>
            </w:pPr>
          </w:p>
        </w:tc>
      </w:tr>
    </w:tbl>
    <w:p w14:paraId="68B80DA5" w14:textId="77777777" w:rsidR="000332DE" w:rsidRPr="00E14060" w:rsidRDefault="000332DE" w:rsidP="003D1022">
      <w:pPr>
        <w:spacing w:before="240" w:after="240" w:line="360" w:lineRule="auto"/>
        <w:rPr>
          <w:sz w:val="24"/>
          <w:szCs w:val="24"/>
          <w:lang w:val="en-GB"/>
        </w:rPr>
      </w:pPr>
    </w:p>
    <w:p w14:paraId="77F053F8" w14:textId="77777777" w:rsidR="00621ED5" w:rsidRPr="00E14060" w:rsidRDefault="00621ED5" w:rsidP="003D1022">
      <w:pPr>
        <w:spacing w:before="240" w:after="240" w:line="360" w:lineRule="auto"/>
        <w:rPr>
          <w:sz w:val="24"/>
          <w:szCs w:val="24"/>
          <w:lang w:val="en-GB"/>
        </w:rPr>
      </w:pPr>
    </w:p>
    <w:p w14:paraId="59D259E9" w14:textId="77777777" w:rsidR="000332DE" w:rsidRPr="00E14060" w:rsidRDefault="000332DE">
      <w:pPr>
        <w:rPr>
          <w:b/>
          <w:sz w:val="24"/>
          <w:lang w:val="en-GB"/>
        </w:rPr>
      </w:pPr>
      <w:r w:rsidRPr="00E14060">
        <w:rPr>
          <w:lang w:val="en-GB"/>
        </w:rPr>
        <w:br w:type="page"/>
      </w:r>
    </w:p>
    <w:p w14:paraId="75D0338E" w14:textId="77777777" w:rsidR="003D1022" w:rsidRPr="00E14060" w:rsidRDefault="003D1022" w:rsidP="003D1022">
      <w:pPr>
        <w:pStyle w:val="Heading3"/>
        <w:rPr>
          <w:color w:val="auto"/>
          <w:lang w:val="en-GB"/>
        </w:rPr>
      </w:pPr>
      <w:bookmarkStart w:id="320" w:name="_Toc402543857"/>
      <w:r w:rsidRPr="00E14060">
        <w:rPr>
          <w:color w:val="auto"/>
          <w:lang w:val="en-GB"/>
        </w:rPr>
        <w:lastRenderedPageBreak/>
        <w:t>Frequentist MTC results incorporating data extrapolated from ADHD-RS-IV</w:t>
      </w:r>
      <w:r w:rsidR="00006F21" w:rsidRPr="00E14060">
        <w:rPr>
          <w:color w:val="auto"/>
          <w:lang w:val="en-GB"/>
        </w:rPr>
        <w:t xml:space="preserve"> and AISRS</w:t>
      </w:r>
      <w:bookmarkEnd w:id="320"/>
    </w:p>
    <w:p w14:paraId="4F56CEB6" w14:textId="6DA0F7FF" w:rsidR="003D1022" w:rsidRPr="00E14060" w:rsidRDefault="003D1022" w:rsidP="003D1022">
      <w:pPr>
        <w:spacing w:line="360" w:lineRule="auto"/>
        <w:rPr>
          <w:lang w:val="en-GB"/>
        </w:rPr>
      </w:pPr>
      <w:r w:rsidRPr="00E14060">
        <w:rPr>
          <w:sz w:val="24"/>
          <w:szCs w:val="24"/>
          <w:lang w:val="en-GB"/>
        </w:rPr>
        <w:t>Adding CGI-I response of ATX imputed from the imputation analyses to the frequentist MTC, LDX continued to be the treatment with the highest probability of being the most effective. The two methods of cutoff estimation yielded ultimately similar MTC results. Using the Goodman method for the imputation analysis</w:t>
      </w:r>
      <w:r w:rsidR="006C37CD" w:rsidRPr="00E14060">
        <w:rPr>
          <w:sz w:val="24"/>
          <w:szCs w:val="24"/>
          <w:lang w:val="en-GB"/>
        </w:rPr>
        <w:t xml:space="preserve"> and a random effects model</w:t>
      </w:r>
      <w:r w:rsidRPr="00E14060">
        <w:rPr>
          <w:sz w:val="24"/>
          <w:szCs w:val="24"/>
          <w:lang w:val="en-GB"/>
        </w:rPr>
        <w:t>, LDX had the highest relative risk (2.23), followed by MPH-ER (1.80) and ATX (1.</w:t>
      </w:r>
      <w:r w:rsidR="006C37CD" w:rsidRPr="00E14060">
        <w:rPr>
          <w:sz w:val="24"/>
          <w:szCs w:val="24"/>
          <w:lang w:val="en-GB"/>
        </w:rPr>
        <w:t>39</w:t>
      </w:r>
      <w:r w:rsidRPr="00E14060">
        <w:rPr>
          <w:sz w:val="24"/>
          <w:szCs w:val="24"/>
          <w:lang w:val="en-GB"/>
        </w:rPr>
        <w:t>).</w:t>
      </w:r>
      <w:r w:rsidR="00241DBD" w:rsidRPr="00E14060">
        <w:rPr>
          <w:sz w:val="24"/>
          <w:szCs w:val="24"/>
          <w:lang w:val="en-GB"/>
        </w:rPr>
        <w:t xml:space="preserve"> </w:t>
      </w:r>
      <w:r w:rsidRPr="00E14060">
        <w:rPr>
          <w:sz w:val="24"/>
          <w:szCs w:val="24"/>
          <w:lang w:val="en-GB"/>
        </w:rPr>
        <w:t>Using the direct method for the imputation analysis</w:t>
      </w:r>
      <w:r w:rsidR="006C37CD" w:rsidRPr="00E14060">
        <w:rPr>
          <w:sz w:val="24"/>
          <w:szCs w:val="24"/>
          <w:lang w:val="en-GB"/>
        </w:rPr>
        <w:t xml:space="preserve"> and a random effects model</w:t>
      </w:r>
      <w:r w:rsidRPr="00E14060">
        <w:rPr>
          <w:sz w:val="24"/>
          <w:szCs w:val="24"/>
          <w:lang w:val="en-GB"/>
        </w:rPr>
        <w:t>, LDX again had the highest relative risk (2.23), followed by MPH-ER (1.80) and ATX (1.</w:t>
      </w:r>
      <w:r w:rsidR="006C37CD" w:rsidRPr="00E14060">
        <w:rPr>
          <w:sz w:val="24"/>
          <w:szCs w:val="24"/>
          <w:lang w:val="en-GB"/>
        </w:rPr>
        <w:t>41</w:t>
      </w:r>
      <w:r w:rsidRPr="00E14060">
        <w:rPr>
          <w:sz w:val="24"/>
          <w:szCs w:val="24"/>
          <w:lang w:val="en-GB"/>
        </w:rPr>
        <w:t>).</w:t>
      </w:r>
      <w:r w:rsidR="00241DBD" w:rsidRPr="00E14060">
        <w:rPr>
          <w:sz w:val="24"/>
          <w:szCs w:val="24"/>
          <w:lang w:val="en-GB"/>
        </w:rPr>
        <w:t xml:space="preserve"> </w:t>
      </w:r>
      <w:r w:rsidRPr="00E14060">
        <w:rPr>
          <w:sz w:val="24"/>
          <w:szCs w:val="24"/>
          <w:lang w:val="en-GB"/>
        </w:rPr>
        <w:t xml:space="preserve">Complete frequentist MTC results are presented in </w:t>
      </w:r>
      <w:r w:rsidRPr="00E14060">
        <w:rPr>
          <w:b/>
          <w:sz w:val="24"/>
          <w:szCs w:val="24"/>
          <w:lang w:val="en-GB"/>
        </w:rPr>
        <w:t>Tables 18-21</w:t>
      </w:r>
      <w:r w:rsidRPr="00E14060">
        <w:rPr>
          <w:sz w:val="24"/>
          <w:szCs w:val="24"/>
          <w:lang w:val="en-GB"/>
        </w:rPr>
        <w:t xml:space="preserve">. </w:t>
      </w:r>
    </w:p>
    <w:p w14:paraId="50450D55" w14:textId="77777777" w:rsidR="000332DE" w:rsidRPr="00E14060" w:rsidRDefault="000332DE">
      <w:pPr>
        <w:rPr>
          <w:lang w:val="en-GB"/>
        </w:rPr>
      </w:pPr>
    </w:p>
    <w:tbl>
      <w:tblPr>
        <w:tblW w:w="10908" w:type="dxa"/>
        <w:tblInd w:w="108" w:type="dxa"/>
        <w:tblLook w:val="04A0" w:firstRow="1" w:lastRow="0" w:firstColumn="1" w:lastColumn="0" w:noHBand="0" w:noVBand="1"/>
      </w:tblPr>
      <w:tblGrid>
        <w:gridCol w:w="222"/>
        <w:gridCol w:w="1466"/>
        <w:gridCol w:w="271"/>
        <w:gridCol w:w="3735"/>
        <w:gridCol w:w="5214"/>
      </w:tblGrid>
      <w:tr w:rsidR="00F334F9" w:rsidRPr="00E14060" w14:paraId="762B991F" w14:textId="77777777" w:rsidTr="001E04A1">
        <w:trPr>
          <w:trHeight w:val="555"/>
        </w:trPr>
        <w:tc>
          <w:tcPr>
            <w:tcW w:w="10908" w:type="dxa"/>
            <w:gridSpan w:val="5"/>
            <w:tcBorders>
              <w:top w:val="nil"/>
              <w:left w:val="nil"/>
              <w:bottom w:val="nil"/>
              <w:right w:val="nil"/>
            </w:tcBorders>
            <w:shd w:val="clear" w:color="auto" w:fill="auto"/>
            <w:noWrap/>
            <w:vAlign w:val="bottom"/>
            <w:hideMark/>
          </w:tcPr>
          <w:p w14:paraId="041D6154" w14:textId="77777777" w:rsidR="001E04A1" w:rsidRPr="00E14060" w:rsidRDefault="001E04A1" w:rsidP="001E04A1">
            <w:pPr>
              <w:jc w:val="center"/>
              <w:rPr>
                <w:b/>
                <w:bCs/>
                <w:sz w:val="22"/>
                <w:szCs w:val="22"/>
                <w:lang w:val="en-GB"/>
              </w:rPr>
            </w:pPr>
            <w:bookmarkStart w:id="321" w:name="RANGE!A1"/>
            <w:r w:rsidRPr="00E14060">
              <w:rPr>
                <w:b/>
                <w:bCs/>
                <w:sz w:val="22"/>
                <w:szCs w:val="22"/>
                <w:lang w:val="en-GB"/>
              </w:rPr>
              <w:t>Table 18. Relative risks for treatment response, as defined by a rating of 1 or 2 in CGI-I score (drug vs. placebo)</w:t>
            </w:r>
            <w:bookmarkEnd w:id="321"/>
          </w:p>
        </w:tc>
      </w:tr>
      <w:tr w:rsidR="00F334F9" w:rsidRPr="00E14060" w14:paraId="2CBD29D8" w14:textId="77777777" w:rsidTr="001E04A1">
        <w:trPr>
          <w:trHeight w:val="300"/>
        </w:trPr>
        <w:tc>
          <w:tcPr>
            <w:tcW w:w="10908" w:type="dxa"/>
            <w:gridSpan w:val="5"/>
            <w:tcBorders>
              <w:top w:val="nil"/>
              <w:left w:val="nil"/>
              <w:bottom w:val="nil"/>
              <w:right w:val="nil"/>
            </w:tcBorders>
            <w:shd w:val="clear" w:color="auto" w:fill="auto"/>
            <w:noWrap/>
            <w:vAlign w:val="bottom"/>
            <w:hideMark/>
          </w:tcPr>
          <w:p w14:paraId="019E30A7" w14:textId="77777777" w:rsidR="001E04A1" w:rsidRPr="00E14060" w:rsidRDefault="001E04A1" w:rsidP="008F071D">
            <w:pPr>
              <w:jc w:val="center"/>
              <w:rPr>
                <w:b/>
                <w:bCs/>
                <w:sz w:val="22"/>
                <w:szCs w:val="22"/>
                <w:lang w:val="en-GB"/>
              </w:rPr>
            </w:pPr>
            <w:r w:rsidRPr="00E14060">
              <w:rPr>
                <w:b/>
                <w:bCs/>
                <w:sz w:val="22"/>
                <w:szCs w:val="22"/>
                <w:lang w:val="en-GB"/>
              </w:rPr>
              <w:t>Quadratic regression (Goodman) extrapolation method for ATX arm (random effects model, combined doses)</w:t>
            </w:r>
          </w:p>
        </w:tc>
      </w:tr>
      <w:tr w:rsidR="00F334F9" w:rsidRPr="00E14060" w14:paraId="6FD3D0AF" w14:textId="77777777" w:rsidTr="001E04A1">
        <w:trPr>
          <w:trHeight w:val="300"/>
        </w:trPr>
        <w:tc>
          <w:tcPr>
            <w:tcW w:w="222" w:type="dxa"/>
            <w:tcBorders>
              <w:top w:val="nil"/>
              <w:left w:val="nil"/>
              <w:bottom w:val="nil"/>
              <w:right w:val="nil"/>
            </w:tcBorders>
            <w:shd w:val="clear" w:color="auto" w:fill="auto"/>
            <w:noWrap/>
            <w:vAlign w:val="bottom"/>
            <w:hideMark/>
          </w:tcPr>
          <w:p w14:paraId="6FFB1FA1" w14:textId="77777777" w:rsidR="000332DE" w:rsidRPr="00E14060" w:rsidRDefault="000332DE" w:rsidP="00106D7E">
            <w:pPr>
              <w:rPr>
                <w:sz w:val="22"/>
                <w:szCs w:val="22"/>
                <w:lang w:val="en-GB"/>
              </w:rPr>
            </w:pPr>
          </w:p>
        </w:tc>
        <w:tc>
          <w:tcPr>
            <w:tcW w:w="1466" w:type="dxa"/>
            <w:tcBorders>
              <w:top w:val="nil"/>
              <w:left w:val="nil"/>
              <w:bottom w:val="nil"/>
              <w:right w:val="nil"/>
            </w:tcBorders>
            <w:shd w:val="clear" w:color="auto" w:fill="auto"/>
            <w:noWrap/>
            <w:vAlign w:val="bottom"/>
            <w:hideMark/>
          </w:tcPr>
          <w:p w14:paraId="0FF958DE" w14:textId="77777777" w:rsidR="000332DE" w:rsidRPr="00E14060" w:rsidRDefault="000332DE" w:rsidP="00106D7E">
            <w:pPr>
              <w:rPr>
                <w:sz w:val="22"/>
                <w:szCs w:val="22"/>
                <w:lang w:val="en-GB"/>
              </w:rPr>
            </w:pPr>
          </w:p>
        </w:tc>
        <w:tc>
          <w:tcPr>
            <w:tcW w:w="271" w:type="dxa"/>
            <w:tcBorders>
              <w:top w:val="nil"/>
              <w:left w:val="nil"/>
              <w:bottom w:val="nil"/>
              <w:right w:val="nil"/>
            </w:tcBorders>
            <w:shd w:val="clear" w:color="auto" w:fill="auto"/>
            <w:noWrap/>
            <w:vAlign w:val="bottom"/>
            <w:hideMark/>
          </w:tcPr>
          <w:p w14:paraId="6BD2F1C5" w14:textId="77777777" w:rsidR="000332DE" w:rsidRPr="00E14060" w:rsidRDefault="000332DE" w:rsidP="00106D7E">
            <w:pPr>
              <w:rPr>
                <w:sz w:val="22"/>
                <w:szCs w:val="22"/>
                <w:lang w:val="en-GB"/>
              </w:rPr>
            </w:pPr>
          </w:p>
        </w:tc>
        <w:tc>
          <w:tcPr>
            <w:tcW w:w="3735" w:type="dxa"/>
            <w:tcBorders>
              <w:top w:val="nil"/>
              <w:left w:val="nil"/>
              <w:bottom w:val="nil"/>
              <w:right w:val="nil"/>
            </w:tcBorders>
            <w:shd w:val="clear" w:color="auto" w:fill="auto"/>
            <w:noWrap/>
            <w:vAlign w:val="bottom"/>
            <w:hideMark/>
          </w:tcPr>
          <w:p w14:paraId="16920A74" w14:textId="77777777" w:rsidR="000332DE" w:rsidRPr="00E14060" w:rsidRDefault="000332DE" w:rsidP="00106D7E">
            <w:pPr>
              <w:rPr>
                <w:sz w:val="22"/>
                <w:szCs w:val="22"/>
                <w:lang w:val="en-GB"/>
              </w:rPr>
            </w:pPr>
          </w:p>
        </w:tc>
        <w:tc>
          <w:tcPr>
            <w:tcW w:w="5214" w:type="dxa"/>
            <w:tcBorders>
              <w:top w:val="nil"/>
              <w:left w:val="nil"/>
              <w:bottom w:val="nil"/>
              <w:right w:val="nil"/>
            </w:tcBorders>
            <w:shd w:val="clear" w:color="auto" w:fill="auto"/>
            <w:noWrap/>
            <w:vAlign w:val="bottom"/>
            <w:hideMark/>
          </w:tcPr>
          <w:p w14:paraId="7BA7CF97" w14:textId="77777777" w:rsidR="000332DE" w:rsidRPr="00E14060" w:rsidRDefault="000332DE" w:rsidP="00106D7E">
            <w:pPr>
              <w:rPr>
                <w:sz w:val="22"/>
                <w:szCs w:val="22"/>
                <w:lang w:val="en-GB"/>
              </w:rPr>
            </w:pPr>
          </w:p>
        </w:tc>
      </w:tr>
      <w:tr w:rsidR="00F334F9" w:rsidRPr="00E14060" w14:paraId="486183F1" w14:textId="77777777" w:rsidTr="001E04A1">
        <w:trPr>
          <w:trHeight w:val="645"/>
        </w:trPr>
        <w:tc>
          <w:tcPr>
            <w:tcW w:w="222" w:type="dxa"/>
            <w:tcBorders>
              <w:top w:val="nil"/>
              <w:left w:val="nil"/>
              <w:bottom w:val="nil"/>
              <w:right w:val="nil"/>
            </w:tcBorders>
            <w:shd w:val="clear" w:color="auto" w:fill="auto"/>
            <w:noWrap/>
            <w:vAlign w:val="bottom"/>
            <w:hideMark/>
          </w:tcPr>
          <w:p w14:paraId="2BF9BB18" w14:textId="77777777" w:rsidR="000332DE" w:rsidRPr="00E14060" w:rsidRDefault="000332DE" w:rsidP="00106D7E">
            <w:pPr>
              <w:rPr>
                <w:sz w:val="22"/>
                <w:szCs w:val="22"/>
                <w:lang w:val="en-GB"/>
              </w:rPr>
            </w:pPr>
          </w:p>
        </w:tc>
        <w:tc>
          <w:tcPr>
            <w:tcW w:w="1466" w:type="dxa"/>
            <w:tcBorders>
              <w:top w:val="single" w:sz="4" w:space="0" w:color="auto"/>
              <w:left w:val="nil"/>
              <w:bottom w:val="nil"/>
              <w:right w:val="nil"/>
            </w:tcBorders>
            <w:shd w:val="clear" w:color="auto" w:fill="auto"/>
            <w:noWrap/>
            <w:vAlign w:val="bottom"/>
            <w:hideMark/>
          </w:tcPr>
          <w:p w14:paraId="268B4264" w14:textId="77777777" w:rsidR="000332DE" w:rsidRPr="00E14060" w:rsidRDefault="000332DE" w:rsidP="00106D7E">
            <w:pPr>
              <w:rPr>
                <w:sz w:val="22"/>
                <w:szCs w:val="22"/>
                <w:lang w:val="en-GB"/>
              </w:rPr>
            </w:pPr>
            <w:r w:rsidRPr="00E14060">
              <w:rPr>
                <w:sz w:val="22"/>
                <w:szCs w:val="22"/>
                <w:lang w:val="en-GB"/>
              </w:rPr>
              <w:t> </w:t>
            </w:r>
          </w:p>
        </w:tc>
        <w:tc>
          <w:tcPr>
            <w:tcW w:w="271" w:type="dxa"/>
            <w:tcBorders>
              <w:top w:val="single" w:sz="4" w:space="0" w:color="auto"/>
              <w:left w:val="nil"/>
              <w:bottom w:val="nil"/>
              <w:right w:val="nil"/>
            </w:tcBorders>
            <w:shd w:val="clear" w:color="auto" w:fill="auto"/>
            <w:noWrap/>
            <w:vAlign w:val="bottom"/>
            <w:hideMark/>
          </w:tcPr>
          <w:p w14:paraId="477EB26C" w14:textId="77777777" w:rsidR="000332DE" w:rsidRPr="00E14060" w:rsidRDefault="000332DE" w:rsidP="00106D7E">
            <w:pPr>
              <w:rPr>
                <w:sz w:val="22"/>
                <w:szCs w:val="22"/>
                <w:lang w:val="en-GB"/>
              </w:rPr>
            </w:pPr>
            <w:r w:rsidRPr="00E14060">
              <w:rPr>
                <w:sz w:val="22"/>
                <w:szCs w:val="22"/>
                <w:lang w:val="en-GB"/>
              </w:rPr>
              <w:t> </w:t>
            </w:r>
          </w:p>
        </w:tc>
        <w:tc>
          <w:tcPr>
            <w:tcW w:w="3735" w:type="dxa"/>
            <w:tcBorders>
              <w:top w:val="single" w:sz="4" w:space="0" w:color="auto"/>
              <w:left w:val="nil"/>
              <w:bottom w:val="single" w:sz="4" w:space="0" w:color="auto"/>
              <w:right w:val="nil"/>
            </w:tcBorders>
            <w:shd w:val="clear" w:color="auto" w:fill="auto"/>
            <w:vAlign w:val="bottom"/>
            <w:hideMark/>
          </w:tcPr>
          <w:p w14:paraId="628FA6A2" w14:textId="77777777" w:rsidR="000332DE" w:rsidRPr="00E14060" w:rsidRDefault="000332DE" w:rsidP="00106D7E">
            <w:pPr>
              <w:jc w:val="center"/>
              <w:rPr>
                <w:b/>
                <w:bCs/>
                <w:sz w:val="22"/>
                <w:szCs w:val="22"/>
                <w:lang w:val="en-GB"/>
              </w:rPr>
            </w:pPr>
            <w:r w:rsidRPr="00E14060">
              <w:rPr>
                <w:b/>
                <w:bCs/>
                <w:sz w:val="22"/>
                <w:szCs w:val="22"/>
                <w:lang w:val="en-GB"/>
              </w:rPr>
              <w:t>Relative Risk</w:t>
            </w:r>
            <w:r w:rsidRPr="00E14060">
              <w:rPr>
                <w:rStyle w:val="FootnoteReference"/>
                <w:b/>
                <w:bCs/>
                <w:sz w:val="22"/>
                <w:szCs w:val="22"/>
                <w:lang w:val="en-GB"/>
              </w:rPr>
              <w:footnoteReference w:id="15"/>
            </w:r>
          </w:p>
        </w:tc>
        <w:tc>
          <w:tcPr>
            <w:tcW w:w="5214" w:type="dxa"/>
            <w:tcBorders>
              <w:top w:val="single" w:sz="4" w:space="0" w:color="auto"/>
              <w:left w:val="nil"/>
              <w:bottom w:val="single" w:sz="4" w:space="0" w:color="auto"/>
              <w:right w:val="nil"/>
            </w:tcBorders>
            <w:shd w:val="clear" w:color="auto" w:fill="auto"/>
            <w:vAlign w:val="bottom"/>
            <w:hideMark/>
          </w:tcPr>
          <w:p w14:paraId="3BF8870B" w14:textId="77777777" w:rsidR="000332DE" w:rsidRPr="00E14060" w:rsidRDefault="000332DE" w:rsidP="00106D7E">
            <w:pPr>
              <w:jc w:val="center"/>
              <w:rPr>
                <w:b/>
                <w:bCs/>
                <w:sz w:val="22"/>
                <w:szCs w:val="22"/>
                <w:lang w:val="en-GB"/>
              </w:rPr>
            </w:pPr>
            <w:r w:rsidRPr="00E14060">
              <w:rPr>
                <w:b/>
                <w:bCs/>
                <w:sz w:val="22"/>
                <w:szCs w:val="22"/>
                <w:lang w:val="en-GB"/>
              </w:rPr>
              <w:t>95% Confidence Interval</w:t>
            </w:r>
          </w:p>
        </w:tc>
      </w:tr>
      <w:tr w:rsidR="00F334F9" w:rsidRPr="00E14060" w14:paraId="6BE06915" w14:textId="77777777" w:rsidTr="001E04A1">
        <w:trPr>
          <w:trHeight w:val="300"/>
        </w:trPr>
        <w:tc>
          <w:tcPr>
            <w:tcW w:w="222" w:type="dxa"/>
            <w:tcBorders>
              <w:top w:val="nil"/>
              <w:left w:val="nil"/>
              <w:bottom w:val="nil"/>
              <w:right w:val="nil"/>
            </w:tcBorders>
            <w:shd w:val="clear" w:color="auto" w:fill="auto"/>
            <w:noWrap/>
            <w:vAlign w:val="bottom"/>
            <w:hideMark/>
          </w:tcPr>
          <w:p w14:paraId="600F914F" w14:textId="77777777" w:rsidR="001E04A1" w:rsidRPr="00E14060" w:rsidRDefault="001E04A1" w:rsidP="00106D7E">
            <w:pPr>
              <w:rPr>
                <w:sz w:val="22"/>
                <w:szCs w:val="22"/>
                <w:lang w:val="en-GB"/>
              </w:rPr>
            </w:pPr>
          </w:p>
        </w:tc>
        <w:tc>
          <w:tcPr>
            <w:tcW w:w="1466" w:type="dxa"/>
            <w:tcBorders>
              <w:top w:val="nil"/>
              <w:left w:val="nil"/>
              <w:bottom w:val="nil"/>
              <w:right w:val="nil"/>
            </w:tcBorders>
            <w:shd w:val="clear" w:color="auto" w:fill="auto"/>
            <w:noWrap/>
            <w:vAlign w:val="bottom"/>
            <w:hideMark/>
          </w:tcPr>
          <w:p w14:paraId="50467EF5" w14:textId="77777777" w:rsidR="001E04A1" w:rsidRPr="00E14060" w:rsidRDefault="001E04A1" w:rsidP="00106D7E">
            <w:pPr>
              <w:rPr>
                <w:b/>
                <w:bCs/>
                <w:sz w:val="22"/>
                <w:szCs w:val="22"/>
                <w:lang w:val="en-GB"/>
              </w:rPr>
            </w:pPr>
            <w:r w:rsidRPr="00E14060">
              <w:rPr>
                <w:b/>
                <w:bCs/>
                <w:sz w:val="22"/>
                <w:szCs w:val="22"/>
                <w:lang w:val="en-GB"/>
              </w:rPr>
              <w:t>LDX</w:t>
            </w:r>
          </w:p>
        </w:tc>
        <w:tc>
          <w:tcPr>
            <w:tcW w:w="271" w:type="dxa"/>
            <w:tcBorders>
              <w:top w:val="nil"/>
              <w:left w:val="nil"/>
              <w:bottom w:val="nil"/>
              <w:right w:val="nil"/>
            </w:tcBorders>
            <w:shd w:val="clear" w:color="auto" w:fill="auto"/>
            <w:noWrap/>
            <w:vAlign w:val="bottom"/>
            <w:hideMark/>
          </w:tcPr>
          <w:p w14:paraId="3B814F20" w14:textId="77777777" w:rsidR="001E04A1" w:rsidRPr="00E14060" w:rsidRDefault="001E04A1" w:rsidP="00106D7E">
            <w:pPr>
              <w:rPr>
                <w:b/>
                <w:bCs/>
                <w:sz w:val="22"/>
                <w:szCs w:val="22"/>
                <w:lang w:val="en-GB"/>
              </w:rPr>
            </w:pPr>
          </w:p>
        </w:tc>
        <w:tc>
          <w:tcPr>
            <w:tcW w:w="3735" w:type="dxa"/>
            <w:tcBorders>
              <w:top w:val="nil"/>
              <w:left w:val="nil"/>
              <w:bottom w:val="nil"/>
              <w:right w:val="nil"/>
            </w:tcBorders>
            <w:shd w:val="clear" w:color="auto" w:fill="auto"/>
            <w:noWrap/>
            <w:vAlign w:val="bottom"/>
            <w:hideMark/>
          </w:tcPr>
          <w:p w14:paraId="6AC55B75" w14:textId="77777777" w:rsidR="001E04A1" w:rsidRPr="00E14060" w:rsidRDefault="001E04A1" w:rsidP="00106D7E">
            <w:pPr>
              <w:jc w:val="center"/>
              <w:rPr>
                <w:sz w:val="22"/>
                <w:szCs w:val="22"/>
                <w:lang w:val="en-GB"/>
              </w:rPr>
            </w:pPr>
            <w:r w:rsidRPr="00E14060">
              <w:rPr>
                <w:sz w:val="22"/>
                <w:szCs w:val="22"/>
                <w:lang w:val="en-GB"/>
              </w:rPr>
              <w:t>2.23</w:t>
            </w:r>
          </w:p>
        </w:tc>
        <w:tc>
          <w:tcPr>
            <w:tcW w:w="5214" w:type="dxa"/>
            <w:tcBorders>
              <w:top w:val="nil"/>
              <w:left w:val="nil"/>
              <w:bottom w:val="nil"/>
              <w:right w:val="nil"/>
            </w:tcBorders>
            <w:shd w:val="clear" w:color="auto" w:fill="auto"/>
            <w:noWrap/>
            <w:vAlign w:val="bottom"/>
            <w:hideMark/>
          </w:tcPr>
          <w:p w14:paraId="305299BB" w14:textId="77777777" w:rsidR="001E04A1" w:rsidRPr="00E14060" w:rsidRDefault="001E04A1" w:rsidP="00106D7E">
            <w:pPr>
              <w:jc w:val="center"/>
              <w:rPr>
                <w:sz w:val="22"/>
                <w:szCs w:val="22"/>
                <w:lang w:val="en-GB"/>
              </w:rPr>
            </w:pPr>
            <w:r w:rsidRPr="00E14060">
              <w:rPr>
                <w:sz w:val="22"/>
                <w:szCs w:val="22"/>
                <w:lang w:val="en-GB"/>
              </w:rPr>
              <w:t>(1.69, 2.95)</w:t>
            </w:r>
          </w:p>
        </w:tc>
      </w:tr>
      <w:tr w:rsidR="00F334F9" w:rsidRPr="00E14060" w14:paraId="1319E63A" w14:textId="77777777" w:rsidTr="001E04A1">
        <w:trPr>
          <w:trHeight w:val="300"/>
        </w:trPr>
        <w:tc>
          <w:tcPr>
            <w:tcW w:w="222" w:type="dxa"/>
            <w:tcBorders>
              <w:top w:val="nil"/>
              <w:left w:val="nil"/>
              <w:bottom w:val="nil"/>
              <w:right w:val="nil"/>
            </w:tcBorders>
            <w:shd w:val="clear" w:color="auto" w:fill="auto"/>
            <w:noWrap/>
            <w:vAlign w:val="bottom"/>
            <w:hideMark/>
          </w:tcPr>
          <w:p w14:paraId="1B2C35C7" w14:textId="77777777" w:rsidR="001E04A1" w:rsidRPr="00E14060" w:rsidRDefault="001E04A1" w:rsidP="00106D7E">
            <w:pPr>
              <w:rPr>
                <w:sz w:val="22"/>
                <w:szCs w:val="22"/>
                <w:lang w:val="en-GB"/>
              </w:rPr>
            </w:pPr>
          </w:p>
        </w:tc>
        <w:tc>
          <w:tcPr>
            <w:tcW w:w="1466" w:type="dxa"/>
            <w:tcBorders>
              <w:top w:val="nil"/>
              <w:left w:val="nil"/>
              <w:bottom w:val="nil"/>
              <w:right w:val="nil"/>
            </w:tcBorders>
            <w:shd w:val="clear" w:color="auto" w:fill="auto"/>
            <w:noWrap/>
            <w:vAlign w:val="bottom"/>
            <w:hideMark/>
          </w:tcPr>
          <w:p w14:paraId="0A17E38B" w14:textId="77777777" w:rsidR="001E04A1" w:rsidRPr="00E14060" w:rsidRDefault="001E04A1" w:rsidP="00106D7E">
            <w:pPr>
              <w:rPr>
                <w:b/>
                <w:bCs/>
                <w:sz w:val="22"/>
                <w:szCs w:val="22"/>
                <w:lang w:val="en-GB"/>
              </w:rPr>
            </w:pPr>
            <w:r w:rsidRPr="00E14060">
              <w:rPr>
                <w:b/>
                <w:bCs/>
                <w:sz w:val="22"/>
                <w:szCs w:val="22"/>
                <w:lang w:val="en-GB"/>
              </w:rPr>
              <w:t>ATX</w:t>
            </w:r>
          </w:p>
        </w:tc>
        <w:tc>
          <w:tcPr>
            <w:tcW w:w="271" w:type="dxa"/>
            <w:tcBorders>
              <w:top w:val="nil"/>
              <w:left w:val="nil"/>
              <w:bottom w:val="nil"/>
              <w:right w:val="nil"/>
            </w:tcBorders>
            <w:shd w:val="clear" w:color="auto" w:fill="auto"/>
            <w:noWrap/>
            <w:vAlign w:val="bottom"/>
            <w:hideMark/>
          </w:tcPr>
          <w:p w14:paraId="51811394" w14:textId="77777777" w:rsidR="001E04A1" w:rsidRPr="00E14060" w:rsidRDefault="001E04A1" w:rsidP="00106D7E">
            <w:pPr>
              <w:rPr>
                <w:b/>
                <w:bCs/>
                <w:sz w:val="22"/>
                <w:szCs w:val="22"/>
                <w:lang w:val="en-GB"/>
              </w:rPr>
            </w:pPr>
          </w:p>
        </w:tc>
        <w:tc>
          <w:tcPr>
            <w:tcW w:w="3735" w:type="dxa"/>
            <w:tcBorders>
              <w:top w:val="nil"/>
              <w:left w:val="nil"/>
              <w:bottom w:val="nil"/>
              <w:right w:val="nil"/>
            </w:tcBorders>
            <w:shd w:val="clear" w:color="auto" w:fill="auto"/>
            <w:noWrap/>
            <w:vAlign w:val="bottom"/>
            <w:hideMark/>
          </w:tcPr>
          <w:p w14:paraId="5FD8E490" w14:textId="77777777" w:rsidR="001E04A1" w:rsidRPr="00E14060" w:rsidRDefault="001E04A1" w:rsidP="00106D7E">
            <w:pPr>
              <w:jc w:val="center"/>
              <w:rPr>
                <w:sz w:val="22"/>
                <w:szCs w:val="22"/>
                <w:lang w:val="en-GB"/>
              </w:rPr>
            </w:pPr>
            <w:r w:rsidRPr="00E14060">
              <w:rPr>
                <w:sz w:val="22"/>
                <w:szCs w:val="22"/>
                <w:lang w:val="en-GB"/>
              </w:rPr>
              <w:t>1.39</w:t>
            </w:r>
          </w:p>
        </w:tc>
        <w:tc>
          <w:tcPr>
            <w:tcW w:w="5214" w:type="dxa"/>
            <w:tcBorders>
              <w:top w:val="nil"/>
              <w:left w:val="nil"/>
              <w:bottom w:val="nil"/>
              <w:right w:val="nil"/>
            </w:tcBorders>
            <w:shd w:val="clear" w:color="auto" w:fill="auto"/>
            <w:noWrap/>
            <w:vAlign w:val="bottom"/>
            <w:hideMark/>
          </w:tcPr>
          <w:p w14:paraId="1EC55350" w14:textId="77777777" w:rsidR="001E04A1" w:rsidRPr="00E14060" w:rsidRDefault="001E04A1" w:rsidP="00106D7E">
            <w:pPr>
              <w:jc w:val="center"/>
              <w:rPr>
                <w:sz w:val="22"/>
                <w:szCs w:val="22"/>
                <w:lang w:val="en-GB"/>
              </w:rPr>
            </w:pPr>
            <w:r w:rsidRPr="00E14060">
              <w:rPr>
                <w:sz w:val="22"/>
                <w:szCs w:val="22"/>
                <w:lang w:val="en-GB"/>
              </w:rPr>
              <w:t>(1.23, 1.58)</w:t>
            </w:r>
          </w:p>
        </w:tc>
      </w:tr>
      <w:tr w:rsidR="00F334F9" w:rsidRPr="00E14060" w14:paraId="370E52FF" w14:textId="77777777" w:rsidTr="001E04A1">
        <w:trPr>
          <w:trHeight w:val="300"/>
        </w:trPr>
        <w:tc>
          <w:tcPr>
            <w:tcW w:w="222" w:type="dxa"/>
            <w:tcBorders>
              <w:top w:val="nil"/>
              <w:left w:val="nil"/>
              <w:bottom w:val="nil"/>
              <w:right w:val="nil"/>
            </w:tcBorders>
            <w:shd w:val="clear" w:color="auto" w:fill="auto"/>
            <w:noWrap/>
            <w:vAlign w:val="bottom"/>
            <w:hideMark/>
          </w:tcPr>
          <w:p w14:paraId="63A20174" w14:textId="77777777" w:rsidR="001E04A1" w:rsidRPr="00E14060" w:rsidRDefault="001E04A1" w:rsidP="00106D7E">
            <w:pPr>
              <w:rPr>
                <w:sz w:val="22"/>
                <w:szCs w:val="22"/>
                <w:lang w:val="en-GB"/>
              </w:rPr>
            </w:pPr>
          </w:p>
        </w:tc>
        <w:tc>
          <w:tcPr>
            <w:tcW w:w="1466" w:type="dxa"/>
            <w:tcBorders>
              <w:top w:val="nil"/>
              <w:left w:val="nil"/>
              <w:bottom w:val="single" w:sz="4" w:space="0" w:color="auto"/>
              <w:right w:val="nil"/>
            </w:tcBorders>
            <w:shd w:val="clear" w:color="auto" w:fill="auto"/>
            <w:noWrap/>
            <w:vAlign w:val="bottom"/>
            <w:hideMark/>
          </w:tcPr>
          <w:p w14:paraId="591EBCCB" w14:textId="77777777" w:rsidR="001E04A1" w:rsidRPr="00E14060" w:rsidRDefault="001E04A1" w:rsidP="00106D7E">
            <w:pPr>
              <w:rPr>
                <w:b/>
                <w:bCs/>
                <w:sz w:val="22"/>
                <w:szCs w:val="22"/>
                <w:lang w:val="en-GB"/>
              </w:rPr>
            </w:pPr>
            <w:r w:rsidRPr="00E14060">
              <w:rPr>
                <w:b/>
                <w:bCs/>
                <w:sz w:val="22"/>
                <w:szCs w:val="22"/>
                <w:lang w:val="en-GB"/>
              </w:rPr>
              <w:t>MPH-ER</w:t>
            </w:r>
          </w:p>
        </w:tc>
        <w:tc>
          <w:tcPr>
            <w:tcW w:w="271" w:type="dxa"/>
            <w:tcBorders>
              <w:top w:val="nil"/>
              <w:left w:val="nil"/>
              <w:bottom w:val="single" w:sz="4" w:space="0" w:color="auto"/>
              <w:right w:val="nil"/>
            </w:tcBorders>
            <w:shd w:val="clear" w:color="auto" w:fill="auto"/>
            <w:noWrap/>
            <w:vAlign w:val="bottom"/>
            <w:hideMark/>
          </w:tcPr>
          <w:p w14:paraId="0B3DA90B" w14:textId="77777777" w:rsidR="001E04A1" w:rsidRPr="00E14060" w:rsidRDefault="001E04A1" w:rsidP="00106D7E">
            <w:pPr>
              <w:rPr>
                <w:b/>
                <w:bCs/>
                <w:sz w:val="22"/>
                <w:szCs w:val="22"/>
                <w:lang w:val="en-GB"/>
              </w:rPr>
            </w:pPr>
            <w:r w:rsidRPr="00E14060">
              <w:rPr>
                <w:b/>
                <w:bCs/>
                <w:sz w:val="22"/>
                <w:szCs w:val="22"/>
                <w:lang w:val="en-GB"/>
              </w:rPr>
              <w:t> </w:t>
            </w:r>
          </w:p>
        </w:tc>
        <w:tc>
          <w:tcPr>
            <w:tcW w:w="3735" w:type="dxa"/>
            <w:tcBorders>
              <w:top w:val="nil"/>
              <w:left w:val="nil"/>
              <w:bottom w:val="single" w:sz="4" w:space="0" w:color="auto"/>
              <w:right w:val="nil"/>
            </w:tcBorders>
            <w:shd w:val="clear" w:color="auto" w:fill="auto"/>
            <w:noWrap/>
            <w:vAlign w:val="bottom"/>
            <w:hideMark/>
          </w:tcPr>
          <w:p w14:paraId="578AB0AF" w14:textId="77777777" w:rsidR="001E04A1" w:rsidRPr="00E14060" w:rsidRDefault="001E04A1" w:rsidP="00106D7E">
            <w:pPr>
              <w:jc w:val="center"/>
              <w:rPr>
                <w:sz w:val="22"/>
                <w:szCs w:val="22"/>
                <w:lang w:val="en-GB"/>
              </w:rPr>
            </w:pPr>
            <w:r w:rsidRPr="00E14060">
              <w:rPr>
                <w:sz w:val="22"/>
                <w:szCs w:val="22"/>
                <w:lang w:val="en-GB"/>
              </w:rPr>
              <w:t>1.80</w:t>
            </w:r>
          </w:p>
        </w:tc>
        <w:tc>
          <w:tcPr>
            <w:tcW w:w="5214" w:type="dxa"/>
            <w:tcBorders>
              <w:top w:val="nil"/>
              <w:left w:val="nil"/>
              <w:bottom w:val="single" w:sz="4" w:space="0" w:color="auto"/>
              <w:right w:val="nil"/>
            </w:tcBorders>
            <w:shd w:val="clear" w:color="auto" w:fill="auto"/>
            <w:noWrap/>
            <w:vAlign w:val="bottom"/>
            <w:hideMark/>
          </w:tcPr>
          <w:p w14:paraId="7EA9116C" w14:textId="77777777" w:rsidR="001E04A1" w:rsidRPr="00E14060" w:rsidRDefault="001E04A1" w:rsidP="00106D7E">
            <w:pPr>
              <w:jc w:val="center"/>
              <w:rPr>
                <w:sz w:val="22"/>
                <w:szCs w:val="22"/>
                <w:lang w:val="en-GB"/>
              </w:rPr>
            </w:pPr>
            <w:r w:rsidRPr="00E14060">
              <w:rPr>
                <w:sz w:val="22"/>
                <w:szCs w:val="22"/>
                <w:lang w:val="en-GB"/>
              </w:rPr>
              <w:t>(1.43, 2.27)</w:t>
            </w:r>
          </w:p>
        </w:tc>
      </w:tr>
    </w:tbl>
    <w:p w14:paraId="3B92D6BB" w14:textId="77777777" w:rsidR="000332DE" w:rsidRPr="00E14060" w:rsidRDefault="000332DE">
      <w:pPr>
        <w:rPr>
          <w:lang w:val="en-GB"/>
        </w:rPr>
      </w:pPr>
    </w:p>
    <w:p w14:paraId="0B449276" w14:textId="77777777" w:rsidR="000332DE" w:rsidRPr="00E14060" w:rsidRDefault="000332DE">
      <w:pPr>
        <w:rPr>
          <w:lang w:val="en-GB"/>
        </w:rPr>
      </w:pPr>
    </w:p>
    <w:tbl>
      <w:tblPr>
        <w:tblW w:w="10908" w:type="dxa"/>
        <w:tblInd w:w="108" w:type="dxa"/>
        <w:tblLook w:val="04A0" w:firstRow="1" w:lastRow="0" w:firstColumn="1" w:lastColumn="0" w:noHBand="0" w:noVBand="1"/>
      </w:tblPr>
      <w:tblGrid>
        <w:gridCol w:w="222"/>
        <w:gridCol w:w="1466"/>
        <w:gridCol w:w="271"/>
        <w:gridCol w:w="3735"/>
        <w:gridCol w:w="5214"/>
      </w:tblGrid>
      <w:tr w:rsidR="00F334F9" w:rsidRPr="00E14060" w14:paraId="606125D8" w14:textId="77777777" w:rsidTr="001E04A1">
        <w:trPr>
          <w:trHeight w:val="555"/>
        </w:trPr>
        <w:tc>
          <w:tcPr>
            <w:tcW w:w="10908" w:type="dxa"/>
            <w:gridSpan w:val="5"/>
            <w:tcBorders>
              <w:top w:val="nil"/>
              <w:left w:val="nil"/>
              <w:bottom w:val="nil"/>
              <w:right w:val="nil"/>
            </w:tcBorders>
            <w:shd w:val="clear" w:color="auto" w:fill="auto"/>
            <w:noWrap/>
            <w:vAlign w:val="bottom"/>
            <w:hideMark/>
          </w:tcPr>
          <w:p w14:paraId="60B37A21" w14:textId="77777777" w:rsidR="001E04A1" w:rsidRPr="00E14060" w:rsidRDefault="001E04A1" w:rsidP="008F071D">
            <w:pPr>
              <w:jc w:val="center"/>
              <w:rPr>
                <w:b/>
                <w:bCs/>
                <w:sz w:val="22"/>
                <w:szCs w:val="22"/>
                <w:lang w:val="en-GB"/>
              </w:rPr>
            </w:pPr>
            <w:r w:rsidRPr="00E14060">
              <w:rPr>
                <w:b/>
                <w:bCs/>
                <w:sz w:val="22"/>
                <w:szCs w:val="22"/>
                <w:lang w:val="en-GB"/>
              </w:rPr>
              <w:t xml:space="preserve">Table </w:t>
            </w:r>
            <w:r w:rsidR="008F071D" w:rsidRPr="00E14060">
              <w:rPr>
                <w:b/>
                <w:bCs/>
                <w:sz w:val="22"/>
                <w:szCs w:val="22"/>
                <w:lang w:val="en-GB"/>
              </w:rPr>
              <w:t>19</w:t>
            </w:r>
            <w:r w:rsidRPr="00E14060">
              <w:rPr>
                <w:b/>
                <w:bCs/>
                <w:sz w:val="22"/>
                <w:szCs w:val="22"/>
                <w:lang w:val="en-GB"/>
              </w:rPr>
              <w:t>. Relative risks for treatment response, as defined by a rating of 1 or 2 in CGI-I score (drug vs. placebo)</w:t>
            </w:r>
          </w:p>
        </w:tc>
      </w:tr>
      <w:tr w:rsidR="00F334F9" w:rsidRPr="00E14060" w14:paraId="31B4BEA1" w14:textId="77777777" w:rsidTr="001E04A1">
        <w:trPr>
          <w:trHeight w:val="300"/>
        </w:trPr>
        <w:tc>
          <w:tcPr>
            <w:tcW w:w="10908" w:type="dxa"/>
            <w:gridSpan w:val="5"/>
            <w:tcBorders>
              <w:top w:val="nil"/>
              <w:left w:val="nil"/>
              <w:bottom w:val="nil"/>
              <w:right w:val="nil"/>
            </w:tcBorders>
            <w:shd w:val="clear" w:color="auto" w:fill="auto"/>
            <w:noWrap/>
            <w:vAlign w:val="bottom"/>
            <w:hideMark/>
          </w:tcPr>
          <w:p w14:paraId="09F5B1DA" w14:textId="77777777" w:rsidR="001E04A1" w:rsidRPr="00E14060" w:rsidRDefault="001E04A1" w:rsidP="008F071D">
            <w:pPr>
              <w:jc w:val="center"/>
              <w:rPr>
                <w:b/>
                <w:bCs/>
                <w:sz w:val="22"/>
                <w:szCs w:val="22"/>
                <w:lang w:val="en-GB"/>
              </w:rPr>
            </w:pPr>
            <w:r w:rsidRPr="00E14060">
              <w:rPr>
                <w:b/>
                <w:bCs/>
                <w:sz w:val="22"/>
                <w:szCs w:val="22"/>
                <w:lang w:val="en-GB"/>
              </w:rPr>
              <w:t>Quadratic regression (Goodman) extrapolation method for ATX arm (fixed effects model, combined doses)</w:t>
            </w:r>
          </w:p>
        </w:tc>
      </w:tr>
      <w:tr w:rsidR="00F334F9" w:rsidRPr="00E14060" w14:paraId="3C6A1387" w14:textId="77777777" w:rsidTr="008F071D">
        <w:trPr>
          <w:trHeight w:val="300"/>
        </w:trPr>
        <w:tc>
          <w:tcPr>
            <w:tcW w:w="222" w:type="dxa"/>
            <w:tcBorders>
              <w:top w:val="nil"/>
              <w:left w:val="nil"/>
              <w:bottom w:val="nil"/>
              <w:right w:val="nil"/>
            </w:tcBorders>
            <w:shd w:val="clear" w:color="auto" w:fill="auto"/>
            <w:noWrap/>
            <w:vAlign w:val="bottom"/>
            <w:hideMark/>
          </w:tcPr>
          <w:p w14:paraId="7E01F66F" w14:textId="77777777" w:rsidR="000332DE" w:rsidRPr="00E14060" w:rsidRDefault="000332DE" w:rsidP="00106D7E">
            <w:pPr>
              <w:rPr>
                <w:sz w:val="22"/>
                <w:szCs w:val="22"/>
                <w:lang w:val="en-GB"/>
              </w:rPr>
            </w:pPr>
          </w:p>
        </w:tc>
        <w:tc>
          <w:tcPr>
            <w:tcW w:w="1466" w:type="dxa"/>
            <w:tcBorders>
              <w:top w:val="nil"/>
              <w:left w:val="nil"/>
              <w:bottom w:val="nil"/>
              <w:right w:val="nil"/>
            </w:tcBorders>
            <w:shd w:val="clear" w:color="auto" w:fill="auto"/>
            <w:noWrap/>
            <w:vAlign w:val="bottom"/>
            <w:hideMark/>
          </w:tcPr>
          <w:p w14:paraId="2C57F943" w14:textId="77777777" w:rsidR="000332DE" w:rsidRPr="00E14060" w:rsidRDefault="000332DE" w:rsidP="00106D7E">
            <w:pPr>
              <w:rPr>
                <w:sz w:val="22"/>
                <w:szCs w:val="22"/>
                <w:lang w:val="en-GB"/>
              </w:rPr>
            </w:pPr>
          </w:p>
        </w:tc>
        <w:tc>
          <w:tcPr>
            <w:tcW w:w="271" w:type="dxa"/>
            <w:tcBorders>
              <w:top w:val="nil"/>
              <w:left w:val="nil"/>
              <w:bottom w:val="nil"/>
              <w:right w:val="nil"/>
            </w:tcBorders>
            <w:shd w:val="clear" w:color="auto" w:fill="auto"/>
            <w:noWrap/>
            <w:vAlign w:val="bottom"/>
            <w:hideMark/>
          </w:tcPr>
          <w:p w14:paraId="46023969" w14:textId="77777777" w:rsidR="000332DE" w:rsidRPr="00E14060" w:rsidRDefault="000332DE" w:rsidP="00106D7E">
            <w:pPr>
              <w:rPr>
                <w:sz w:val="22"/>
                <w:szCs w:val="22"/>
                <w:lang w:val="en-GB"/>
              </w:rPr>
            </w:pPr>
          </w:p>
        </w:tc>
        <w:tc>
          <w:tcPr>
            <w:tcW w:w="3735" w:type="dxa"/>
            <w:tcBorders>
              <w:top w:val="nil"/>
              <w:left w:val="nil"/>
              <w:bottom w:val="nil"/>
              <w:right w:val="nil"/>
            </w:tcBorders>
            <w:shd w:val="clear" w:color="auto" w:fill="auto"/>
            <w:noWrap/>
            <w:vAlign w:val="bottom"/>
            <w:hideMark/>
          </w:tcPr>
          <w:p w14:paraId="5E614237" w14:textId="77777777" w:rsidR="000332DE" w:rsidRPr="00E14060" w:rsidRDefault="000332DE" w:rsidP="00106D7E">
            <w:pPr>
              <w:rPr>
                <w:sz w:val="22"/>
                <w:szCs w:val="22"/>
                <w:lang w:val="en-GB"/>
              </w:rPr>
            </w:pPr>
          </w:p>
        </w:tc>
        <w:tc>
          <w:tcPr>
            <w:tcW w:w="5214" w:type="dxa"/>
            <w:tcBorders>
              <w:top w:val="nil"/>
              <w:left w:val="nil"/>
              <w:bottom w:val="nil"/>
              <w:right w:val="nil"/>
            </w:tcBorders>
            <w:shd w:val="clear" w:color="auto" w:fill="auto"/>
            <w:noWrap/>
            <w:vAlign w:val="bottom"/>
            <w:hideMark/>
          </w:tcPr>
          <w:p w14:paraId="54362659" w14:textId="77777777" w:rsidR="000332DE" w:rsidRPr="00E14060" w:rsidRDefault="000332DE" w:rsidP="00106D7E">
            <w:pPr>
              <w:rPr>
                <w:sz w:val="22"/>
                <w:szCs w:val="22"/>
                <w:lang w:val="en-GB"/>
              </w:rPr>
            </w:pPr>
          </w:p>
        </w:tc>
      </w:tr>
      <w:tr w:rsidR="00F334F9" w:rsidRPr="00E14060" w14:paraId="53A686A3" w14:textId="77777777" w:rsidTr="008F071D">
        <w:trPr>
          <w:trHeight w:val="645"/>
        </w:trPr>
        <w:tc>
          <w:tcPr>
            <w:tcW w:w="222" w:type="dxa"/>
            <w:tcBorders>
              <w:top w:val="nil"/>
              <w:left w:val="nil"/>
              <w:bottom w:val="nil"/>
              <w:right w:val="nil"/>
            </w:tcBorders>
            <w:shd w:val="clear" w:color="auto" w:fill="auto"/>
            <w:noWrap/>
            <w:vAlign w:val="bottom"/>
            <w:hideMark/>
          </w:tcPr>
          <w:p w14:paraId="4C7BEACC" w14:textId="77777777" w:rsidR="000332DE" w:rsidRPr="00E14060" w:rsidRDefault="000332DE" w:rsidP="00106D7E">
            <w:pPr>
              <w:rPr>
                <w:sz w:val="22"/>
                <w:szCs w:val="22"/>
                <w:lang w:val="en-GB"/>
              </w:rPr>
            </w:pPr>
          </w:p>
        </w:tc>
        <w:tc>
          <w:tcPr>
            <w:tcW w:w="1466" w:type="dxa"/>
            <w:tcBorders>
              <w:top w:val="single" w:sz="4" w:space="0" w:color="auto"/>
              <w:left w:val="nil"/>
              <w:bottom w:val="nil"/>
              <w:right w:val="nil"/>
            </w:tcBorders>
            <w:shd w:val="clear" w:color="auto" w:fill="auto"/>
            <w:noWrap/>
            <w:vAlign w:val="bottom"/>
            <w:hideMark/>
          </w:tcPr>
          <w:p w14:paraId="48EB7C42" w14:textId="77777777" w:rsidR="000332DE" w:rsidRPr="00E14060" w:rsidRDefault="000332DE" w:rsidP="00106D7E">
            <w:pPr>
              <w:rPr>
                <w:sz w:val="22"/>
                <w:szCs w:val="22"/>
                <w:lang w:val="en-GB"/>
              </w:rPr>
            </w:pPr>
            <w:r w:rsidRPr="00E14060">
              <w:rPr>
                <w:sz w:val="22"/>
                <w:szCs w:val="22"/>
                <w:lang w:val="en-GB"/>
              </w:rPr>
              <w:t> </w:t>
            </w:r>
          </w:p>
        </w:tc>
        <w:tc>
          <w:tcPr>
            <w:tcW w:w="271" w:type="dxa"/>
            <w:tcBorders>
              <w:top w:val="single" w:sz="4" w:space="0" w:color="auto"/>
              <w:left w:val="nil"/>
              <w:bottom w:val="nil"/>
              <w:right w:val="nil"/>
            </w:tcBorders>
            <w:shd w:val="clear" w:color="auto" w:fill="auto"/>
            <w:noWrap/>
            <w:vAlign w:val="bottom"/>
            <w:hideMark/>
          </w:tcPr>
          <w:p w14:paraId="0D0ADC40" w14:textId="77777777" w:rsidR="000332DE" w:rsidRPr="00E14060" w:rsidRDefault="000332DE" w:rsidP="00106D7E">
            <w:pPr>
              <w:rPr>
                <w:sz w:val="22"/>
                <w:szCs w:val="22"/>
                <w:lang w:val="en-GB"/>
              </w:rPr>
            </w:pPr>
            <w:r w:rsidRPr="00E14060">
              <w:rPr>
                <w:sz w:val="22"/>
                <w:szCs w:val="22"/>
                <w:lang w:val="en-GB"/>
              </w:rPr>
              <w:t> </w:t>
            </w:r>
          </w:p>
        </w:tc>
        <w:tc>
          <w:tcPr>
            <w:tcW w:w="3735" w:type="dxa"/>
            <w:tcBorders>
              <w:top w:val="single" w:sz="4" w:space="0" w:color="auto"/>
              <w:left w:val="nil"/>
              <w:bottom w:val="single" w:sz="4" w:space="0" w:color="auto"/>
              <w:right w:val="nil"/>
            </w:tcBorders>
            <w:shd w:val="clear" w:color="auto" w:fill="auto"/>
            <w:vAlign w:val="bottom"/>
            <w:hideMark/>
          </w:tcPr>
          <w:p w14:paraId="74B048C8" w14:textId="77777777" w:rsidR="000332DE" w:rsidRPr="00E14060" w:rsidRDefault="000332DE" w:rsidP="00106D7E">
            <w:pPr>
              <w:jc w:val="center"/>
              <w:rPr>
                <w:b/>
                <w:bCs/>
                <w:sz w:val="22"/>
                <w:szCs w:val="22"/>
                <w:lang w:val="en-GB"/>
              </w:rPr>
            </w:pPr>
            <w:r w:rsidRPr="00E14060">
              <w:rPr>
                <w:b/>
                <w:bCs/>
                <w:sz w:val="22"/>
                <w:szCs w:val="22"/>
                <w:lang w:val="en-GB"/>
              </w:rPr>
              <w:t>Relative Risk</w:t>
            </w:r>
            <w:r w:rsidRPr="00E14060">
              <w:rPr>
                <w:rStyle w:val="FootnoteReference"/>
                <w:b/>
                <w:bCs/>
                <w:sz w:val="22"/>
                <w:szCs w:val="22"/>
                <w:lang w:val="en-GB"/>
              </w:rPr>
              <w:footnoteReference w:id="16"/>
            </w:r>
          </w:p>
        </w:tc>
        <w:tc>
          <w:tcPr>
            <w:tcW w:w="5214" w:type="dxa"/>
            <w:tcBorders>
              <w:top w:val="single" w:sz="4" w:space="0" w:color="auto"/>
              <w:left w:val="nil"/>
              <w:bottom w:val="single" w:sz="4" w:space="0" w:color="auto"/>
              <w:right w:val="nil"/>
            </w:tcBorders>
            <w:shd w:val="clear" w:color="auto" w:fill="auto"/>
            <w:vAlign w:val="bottom"/>
            <w:hideMark/>
          </w:tcPr>
          <w:p w14:paraId="29E51014" w14:textId="77777777" w:rsidR="000332DE" w:rsidRPr="00E14060" w:rsidRDefault="000332DE" w:rsidP="00106D7E">
            <w:pPr>
              <w:jc w:val="center"/>
              <w:rPr>
                <w:b/>
                <w:bCs/>
                <w:sz w:val="22"/>
                <w:szCs w:val="22"/>
                <w:lang w:val="en-GB"/>
              </w:rPr>
            </w:pPr>
            <w:r w:rsidRPr="00E14060">
              <w:rPr>
                <w:b/>
                <w:bCs/>
                <w:sz w:val="22"/>
                <w:szCs w:val="22"/>
                <w:lang w:val="en-GB"/>
              </w:rPr>
              <w:t>95% Confidence Interval</w:t>
            </w:r>
          </w:p>
        </w:tc>
      </w:tr>
      <w:tr w:rsidR="00F334F9" w:rsidRPr="00E14060" w14:paraId="763D34D4" w14:textId="77777777" w:rsidTr="008F071D">
        <w:trPr>
          <w:trHeight w:val="300"/>
        </w:trPr>
        <w:tc>
          <w:tcPr>
            <w:tcW w:w="222" w:type="dxa"/>
            <w:tcBorders>
              <w:top w:val="nil"/>
              <w:left w:val="nil"/>
              <w:bottom w:val="nil"/>
              <w:right w:val="nil"/>
            </w:tcBorders>
            <w:shd w:val="clear" w:color="auto" w:fill="auto"/>
            <w:noWrap/>
            <w:vAlign w:val="bottom"/>
            <w:hideMark/>
          </w:tcPr>
          <w:p w14:paraId="3687FDF9" w14:textId="77777777" w:rsidR="008F071D" w:rsidRPr="00E14060" w:rsidRDefault="008F071D" w:rsidP="00106D7E">
            <w:pPr>
              <w:rPr>
                <w:sz w:val="22"/>
                <w:szCs w:val="22"/>
                <w:lang w:val="en-GB"/>
              </w:rPr>
            </w:pPr>
          </w:p>
        </w:tc>
        <w:tc>
          <w:tcPr>
            <w:tcW w:w="1466" w:type="dxa"/>
            <w:tcBorders>
              <w:top w:val="nil"/>
              <w:left w:val="nil"/>
              <w:bottom w:val="nil"/>
              <w:right w:val="nil"/>
            </w:tcBorders>
            <w:shd w:val="clear" w:color="auto" w:fill="auto"/>
            <w:noWrap/>
            <w:vAlign w:val="bottom"/>
            <w:hideMark/>
          </w:tcPr>
          <w:p w14:paraId="1A26FC5F" w14:textId="77777777" w:rsidR="008F071D" w:rsidRPr="00E14060" w:rsidRDefault="008F071D" w:rsidP="00106D7E">
            <w:pPr>
              <w:rPr>
                <w:b/>
                <w:bCs/>
                <w:sz w:val="22"/>
                <w:szCs w:val="22"/>
                <w:lang w:val="en-GB"/>
              </w:rPr>
            </w:pPr>
            <w:r w:rsidRPr="00E14060">
              <w:rPr>
                <w:b/>
                <w:bCs/>
                <w:sz w:val="22"/>
                <w:szCs w:val="22"/>
                <w:lang w:val="en-GB"/>
              </w:rPr>
              <w:t>LDX</w:t>
            </w:r>
          </w:p>
        </w:tc>
        <w:tc>
          <w:tcPr>
            <w:tcW w:w="271" w:type="dxa"/>
            <w:tcBorders>
              <w:top w:val="nil"/>
              <w:left w:val="nil"/>
              <w:bottom w:val="nil"/>
              <w:right w:val="nil"/>
            </w:tcBorders>
            <w:shd w:val="clear" w:color="auto" w:fill="auto"/>
            <w:noWrap/>
            <w:vAlign w:val="bottom"/>
            <w:hideMark/>
          </w:tcPr>
          <w:p w14:paraId="64AC83DA" w14:textId="77777777" w:rsidR="008F071D" w:rsidRPr="00E14060" w:rsidRDefault="008F071D" w:rsidP="00106D7E">
            <w:pPr>
              <w:rPr>
                <w:b/>
                <w:bCs/>
                <w:sz w:val="22"/>
                <w:szCs w:val="22"/>
                <w:lang w:val="en-GB"/>
              </w:rPr>
            </w:pPr>
          </w:p>
        </w:tc>
        <w:tc>
          <w:tcPr>
            <w:tcW w:w="3735" w:type="dxa"/>
            <w:tcBorders>
              <w:top w:val="nil"/>
              <w:left w:val="nil"/>
              <w:bottom w:val="nil"/>
              <w:right w:val="nil"/>
            </w:tcBorders>
            <w:shd w:val="clear" w:color="auto" w:fill="auto"/>
            <w:noWrap/>
            <w:vAlign w:val="bottom"/>
            <w:hideMark/>
          </w:tcPr>
          <w:p w14:paraId="494B3D01" w14:textId="77777777" w:rsidR="008F071D" w:rsidRPr="00E14060" w:rsidRDefault="008F071D" w:rsidP="00106D7E">
            <w:pPr>
              <w:jc w:val="center"/>
              <w:rPr>
                <w:sz w:val="22"/>
                <w:szCs w:val="22"/>
                <w:lang w:val="en-GB"/>
              </w:rPr>
            </w:pPr>
            <w:r w:rsidRPr="00E14060">
              <w:rPr>
                <w:sz w:val="22"/>
                <w:szCs w:val="22"/>
                <w:lang w:val="en-GB"/>
              </w:rPr>
              <w:t>2.23</w:t>
            </w:r>
          </w:p>
        </w:tc>
        <w:tc>
          <w:tcPr>
            <w:tcW w:w="5214" w:type="dxa"/>
            <w:tcBorders>
              <w:top w:val="nil"/>
              <w:left w:val="nil"/>
              <w:bottom w:val="nil"/>
              <w:right w:val="nil"/>
            </w:tcBorders>
            <w:shd w:val="clear" w:color="auto" w:fill="auto"/>
            <w:noWrap/>
            <w:vAlign w:val="bottom"/>
            <w:hideMark/>
          </w:tcPr>
          <w:p w14:paraId="66701E09" w14:textId="77777777" w:rsidR="008F071D" w:rsidRPr="00E14060" w:rsidRDefault="008F071D" w:rsidP="00106D7E">
            <w:pPr>
              <w:jc w:val="center"/>
              <w:rPr>
                <w:sz w:val="22"/>
                <w:szCs w:val="22"/>
                <w:lang w:val="en-GB"/>
              </w:rPr>
            </w:pPr>
            <w:r w:rsidRPr="00E14060">
              <w:rPr>
                <w:sz w:val="22"/>
                <w:szCs w:val="22"/>
                <w:lang w:val="en-GB"/>
              </w:rPr>
              <w:t>(1.69, 2.95)</w:t>
            </w:r>
          </w:p>
        </w:tc>
      </w:tr>
      <w:tr w:rsidR="00F334F9" w:rsidRPr="00E14060" w14:paraId="7847C8E8" w14:textId="77777777" w:rsidTr="008F071D">
        <w:trPr>
          <w:trHeight w:val="300"/>
        </w:trPr>
        <w:tc>
          <w:tcPr>
            <w:tcW w:w="222" w:type="dxa"/>
            <w:tcBorders>
              <w:top w:val="nil"/>
              <w:left w:val="nil"/>
              <w:bottom w:val="nil"/>
              <w:right w:val="nil"/>
            </w:tcBorders>
            <w:shd w:val="clear" w:color="auto" w:fill="auto"/>
            <w:noWrap/>
            <w:vAlign w:val="bottom"/>
            <w:hideMark/>
          </w:tcPr>
          <w:p w14:paraId="2520A8FF" w14:textId="77777777" w:rsidR="008F071D" w:rsidRPr="00E14060" w:rsidRDefault="008F071D" w:rsidP="00106D7E">
            <w:pPr>
              <w:rPr>
                <w:sz w:val="22"/>
                <w:szCs w:val="22"/>
                <w:lang w:val="en-GB"/>
              </w:rPr>
            </w:pPr>
          </w:p>
        </w:tc>
        <w:tc>
          <w:tcPr>
            <w:tcW w:w="1466" w:type="dxa"/>
            <w:tcBorders>
              <w:top w:val="nil"/>
              <w:left w:val="nil"/>
              <w:bottom w:val="nil"/>
              <w:right w:val="nil"/>
            </w:tcBorders>
            <w:shd w:val="clear" w:color="auto" w:fill="auto"/>
            <w:noWrap/>
            <w:vAlign w:val="bottom"/>
            <w:hideMark/>
          </w:tcPr>
          <w:p w14:paraId="70FFFB67" w14:textId="77777777" w:rsidR="008F071D" w:rsidRPr="00E14060" w:rsidRDefault="008F071D" w:rsidP="00106D7E">
            <w:pPr>
              <w:rPr>
                <w:b/>
                <w:bCs/>
                <w:sz w:val="22"/>
                <w:szCs w:val="22"/>
                <w:lang w:val="en-GB"/>
              </w:rPr>
            </w:pPr>
            <w:r w:rsidRPr="00E14060">
              <w:rPr>
                <w:b/>
                <w:bCs/>
                <w:sz w:val="22"/>
                <w:szCs w:val="22"/>
                <w:lang w:val="en-GB"/>
              </w:rPr>
              <w:t>ATX</w:t>
            </w:r>
          </w:p>
        </w:tc>
        <w:tc>
          <w:tcPr>
            <w:tcW w:w="271" w:type="dxa"/>
            <w:tcBorders>
              <w:top w:val="nil"/>
              <w:left w:val="nil"/>
              <w:bottom w:val="nil"/>
              <w:right w:val="nil"/>
            </w:tcBorders>
            <w:shd w:val="clear" w:color="auto" w:fill="auto"/>
            <w:noWrap/>
            <w:vAlign w:val="bottom"/>
            <w:hideMark/>
          </w:tcPr>
          <w:p w14:paraId="275C842C" w14:textId="77777777" w:rsidR="008F071D" w:rsidRPr="00E14060" w:rsidRDefault="008F071D" w:rsidP="00106D7E">
            <w:pPr>
              <w:rPr>
                <w:b/>
                <w:bCs/>
                <w:sz w:val="22"/>
                <w:szCs w:val="22"/>
                <w:lang w:val="en-GB"/>
              </w:rPr>
            </w:pPr>
          </w:p>
        </w:tc>
        <w:tc>
          <w:tcPr>
            <w:tcW w:w="3735" w:type="dxa"/>
            <w:tcBorders>
              <w:top w:val="nil"/>
              <w:left w:val="nil"/>
              <w:bottom w:val="nil"/>
              <w:right w:val="nil"/>
            </w:tcBorders>
            <w:shd w:val="clear" w:color="auto" w:fill="auto"/>
            <w:noWrap/>
            <w:vAlign w:val="bottom"/>
            <w:hideMark/>
          </w:tcPr>
          <w:p w14:paraId="2347593D" w14:textId="77777777" w:rsidR="008F071D" w:rsidRPr="00E14060" w:rsidRDefault="008F071D" w:rsidP="00106D7E">
            <w:pPr>
              <w:jc w:val="center"/>
              <w:rPr>
                <w:sz w:val="22"/>
                <w:szCs w:val="22"/>
                <w:lang w:val="en-GB"/>
              </w:rPr>
            </w:pPr>
            <w:r w:rsidRPr="00E14060">
              <w:rPr>
                <w:sz w:val="22"/>
                <w:szCs w:val="22"/>
                <w:lang w:val="en-GB"/>
              </w:rPr>
              <w:t>1.39</w:t>
            </w:r>
          </w:p>
        </w:tc>
        <w:tc>
          <w:tcPr>
            <w:tcW w:w="5214" w:type="dxa"/>
            <w:tcBorders>
              <w:top w:val="nil"/>
              <w:left w:val="nil"/>
              <w:bottom w:val="nil"/>
              <w:right w:val="nil"/>
            </w:tcBorders>
            <w:shd w:val="clear" w:color="auto" w:fill="auto"/>
            <w:noWrap/>
            <w:vAlign w:val="bottom"/>
            <w:hideMark/>
          </w:tcPr>
          <w:p w14:paraId="0337370E" w14:textId="77777777" w:rsidR="008F071D" w:rsidRPr="00E14060" w:rsidRDefault="008F071D" w:rsidP="00106D7E">
            <w:pPr>
              <w:jc w:val="center"/>
              <w:rPr>
                <w:sz w:val="22"/>
                <w:szCs w:val="22"/>
                <w:lang w:val="en-GB"/>
              </w:rPr>
            </w:pPr>
            <w:r w:rsidRPr="00E14060">
              <w:rPr>
                <w:sz w:val="22"/>
                <w:szCs w:val="22"/>
                <w:lang w:val="en-GB"/>
              </w:rPr>
              <w:t>(1.23, 1.58)</w:t>
            </w:r>
          </w:p>
        </w:tc>
      </w:tr>
      <w:tr w:rsidR="00F334F9" w:rsidRPr="00E14060" w14:paraId="4F0F75F1" w14:textId="77777777" w:rsidTr="008F071D">
        <w:trPr>
          <w:trHeight w:val="300"/>
        </w:trPr>
        <w:tc>
          <w:tcPr>
            <w:tcW w:w="222" w:type="dxa"/>
            <w:tcBorders>
              <w:top w:val="nil"/>
              <w:left w:val="nil"/>
              <w:bottom w:val="nil"/>
              <w:right w:val="nil"/>
            </w:tcBorders>
            <w:shd w:val="clear" w:color="auto" w:fill="auto"/>
            <w:noWrap/>
            <w:vAlign w:val="bottom"/>
            <w:hideMark/>
          </w:tcPr>
          <w:p w14:paraId="74F36EA8" w14:textId="77777777" w:rsidR="008F071D" w:rsidRPr="00E14060" w:rsidRDefault="008F071D" w:rsidP="00106D7E">
            <w:pPr>
              <w:rPr>
                <w:sz w:val="22"/>
                <w:szCs w:val="22"/>
                <w:lang w:val="en-GB"/>
              </w:rPr>
            </w:pPr>
          </w:p>
        </w:tc>
        <w:tc>
          <w:tcPr>
            <w:tcW w:w="1466" w:type="dxa"/>
            <w:tcBorders>
              <w:top w:val="nil"/>
              <w:left w:val="nil"/>
              <w:bottom w:val="single" w:sz="4" w:space="0" w:color="auto"/>
              <w:right w:val="nil"/>
            </w:tcBorders>
            <w:shd w:val="clear" w:color="auto" w:fill="auto"/>
            <w:noWrap/>
            <w:vAlign w:val="bottom"/>
            <w:hideMark/>
          </w:tcPr>
          <w:p w14:paraId="39E9160C" w14:textId="77777777" w:rsidR="008F071D" w:rsidRPr="00E14060" w:rsidRDefault="008F071D" w:rsidP="00106D7E">
            <w:pPr>
              <w:rPr>
                <w:b/>
                <w:bCs/>
                <w:sz w:val="22"/>
                <w:szCs w:val="22"/>
                <w:lang w:val="en-GB"/>
              </w:rPr>
            </w:pPr>
            <w:r w:rsidRPr="00E14060">
              <w:rPr>
                <w:b/>
                <w:bCs/>
                <w:sz w:val="22"/>
                <w:szCs w:val="22"/>
                <w:lang w:val="en-GB"/>
              </w:rPr>
              <w:t>MPH-ER</w:t>
            </w:r>
          </w:p>
        </w:tc>
        <w:tc>
          <w:tcPr>
            <w:tcW w:w="271" w:type="dxa"/>
            <w:tcBorders>
              <w:top w:val="nil"/>
              <w:left w:val="nil"/>
              <w:bottom w:val="single" w:sz="4" w:space="0" w:color="auto"/>
              <w:right w:val="nil"/>
            </w:tcBorders>
            <w:shd w:val="clear" w:color="auto" w:fill="auto"/>
            <w:noWrap/>
            <w:vAlign w:val="bottom"/>
            <w:hideMark/>
          </w:tcPr>
          <w:p w14:paraId="3DFF9D4E" w14:textId="77777777" w:rsidR="008F071D" w:rsidRPr="00E14060" w:rsidRDefault="008F071D" w:rsidP="00106D7E">
            <w:pPr>
              <w:rPr>
                <w:b/>
                <w:bCs/>
                <w:sz w:val="22"/>
                <w:szCs w:val="22"/>
                <w:lang w:val="en-GB"/>
              </w:rPr>
            </w:pPr>
            <w:r w:rsidRPr="00E14060">
              <w:rPr>
                <w:b/>
                <w:bCs/>
                <w:sz w:val="22"/>
                <w:szCs w:val="22"/>
                <w:lang w:val="en-GB"/>
              </w:rPr>
              <w:t> </w:t>
            </w:r>
          </w:p>
        </w:tc>
        <w:tc>
          <w:tcPr>
            <w:tcW w:w="3735" w:type="dxa"/>
            <w:tcBorders>
              <w:top w:val="nil"/>
              <w:left w:val="nil"/>
              <w:bottom w:val="single" w:sz="4" w:space="0" w:color="auto"/>
              <w:right w:val="nil"/>
            </w:tcBorders>
            <w:shd w:val="clear" w:color="auto" w:fill="auto"/>
            <w:noWrap/>
            <w:vAlign w:val="bottom"/>
            <w:hideMark/>
          </w:tcPr>
          <w:p w14:paraId="1242961A" w14:textId="77777777" w:rsidR="008F071D" w:rsidRPr="00E14060" w:rsidRDefault="008F071D" w:rsidP="00106D7E">
            <w:pPr>
              <w:jc w:val="center"/>
              <w:rPr>
                <w:sz w:val="22"/>
                <w:szCs w:val="22"/>
                <w:lang w:val="en-GB"/>
              </w:rPr>
            </w:pPr>
            <w:r w:rsidRPr="00E14060">
              <w:rPr>
                <w:sz w:val="22"/>
                <w:szCs w:val="22"/>
                <w:lang w:val="en-GB"/>
              </w:rPr>
              <w:t>1.80</w:t>
            </w:r>
          </w:p>
        </w:tc>
        <w:tc>
          <w:tcPr>
            <w:tcW w:w="5214" w:type="dxa"/>
            <w:tcBorders>
              <w:top w:val="nil"/>
              <w:left w:val="nil"/>
              <w:bottom w:val="single" w:sz="4" w:space="0" w:color="auto"/>
              <w:right w:val="nil"/>
            </w:tcBorders>
            <w:shd w:val="clear" w:color="auto" w:fill="auto"/>
            <w:noWrap/>
            <w:vAlign w:val="bottom"/>
            <w:hideMark/>
          </w:tcPr>
          <w:p w14:paraId="1F8511FA" w14:textId="77777777" w:rsidR="008F071D" w:rsidRPr="00E14060" w:rsidRDefault="008F071D" w:rsidP="00106D7E">
            <w:pPr>
              <w:jc w:val="center"/>
              <w:rPr>
                <w:sz w:val="22"/>
                <w:szCs w:val="22"/>
                <w:lang w:val="en-GB"/>
              </w:rPr>
            </w:pPr>
            <w:r w:rsidRPr="00E14060">
              <w:rPr>
                <w:sz w:val="22"/>
                <w:szCs w:val="22"/>
                <w:lang w:val="en-GB"/>
              </w:rPr>
              <w:t>(1.43, 2.27)</w:t>
            </w:r>
          </w:p>
        </w:tc>
      </w:tr>
    </w:tbl>
    <w:p w14:paraId="1F2C7B64" w14:textId="77777777" w:rsidR="000332DE" w:rsidRPr="00E14060" w:rsidRDefault="000332DE">
      <w:pPr>
        <w:rPr>
          <w:lang w:val="en-GB"/>
        </w:rPr>
      </w:pPr>
    </w:p>
    <w:p w14:paraId="088660D5" w14:textId="77777777" w:rsidR="000332DE" w:rsidRPr="00E14060" w:rsidRDefault="000332DE">
      <w:pPr>
        <w:rPr>
          <w:lang w:val="en-GB"/>
        </w:rPr>
      </w:pPr>
      <w:r w:rsidRPr="00E14060">
        <w:rPr>
          <w:lang w:val="en-GB"/>
        </w:rPr>
        <w:br w:type="page"/>
      </w:r>
    </w:p>
    <w:p w14:paraId="263D7305" w14:textId="77777777" w:rsidR="000332DE" w:rsidRPr="00E14060" w:rsidRDefault="000332DE">
      <w:pPr>
        <w:rPr>
          <w:lang w:val="en-GB"/>
        </w:rPr>
      </w:pPr>
    </w:p>
    <w:tbl>
      <w:tblPr>
        <w:tblW w:w="10908" w:type="dxa"/>
        <w:tblInd w:w="108" w:type="dxa"/>
        <w:tblLook w:val="04A0" w:firstRow="1" w:lastRow="0" w:firstColumn="1" w:lastColumn="0" w:noHBand="0" w:noVBand="1"/>
      </w:tblPr>
      <w:tblGrid>
        <w:gridCol w:w="222"/>
        <w:gridCol w:w="1466"/>
        <w:gridCol w:w="271"/>
        <w:gridCol w:w="3735"/>
        <w:gridCol w:w="5214"/>
      </w:tblGrid>
      <w:tr w:rsidR="00F334F9" w:rsidRPr="00E14060" w14:paraId="1FB47B1A" w14:textId="77777777" w:rsidTr="008F071D">
        <w:trPr>
          <w:trHeight w:val="555"/>
        </w:trPr>
        <w:tc>
          <w:tcPr>
            <w:tcW w:w="10908" w:type="dxa"/>
            <w:gridSpan w:val="5"/>
            <w:tcBorders>
              <w:top w:val="nil"/>
              <w:left w:val="nil"/>
              <w:bottom w:val="nil"/>
              <w:right w:val="nil"/>
            </w:tcBorders>
            <w:shd w:val="clear" w:color="auto" w:fill="auto"/>
            <w:noWrap/>
            <w:vAlign w:val="bottom"/>
            <w:hideMark/>
          </w:tcPr>
          <w:p w14:paraId="1E723DAB" w14:textId="77777777" w:rsidR="008F071D" w:rsidRPr="00E14060" w:rsidRDefault="008F071D" w:rsidP="008F071D">
            <w:pPr>
              <w:jc w:val="center"/>
              <w:rPr>
                <w:b/>
                <w:bCs/>
                <w:sz w:val="22"/>
                <w:szCs w:val="22"/>
                <w:lang w:val="en-GB"/>
              </w:rPr>
            </w:pPr>
            <w:r w:rsidRPr="00E14060">
              <w:rPr>
                <w:b/>
                <w:bCs/>
                <w:sz w:val="22"/>
                <w:szCs w:val="22"/>
                <w:lang w:val="en-GB"/>
              </w:rPr>
              <w:t>Table 20. Relative risks for treatment response, as defined by a rating of 1 or 2 in CGI-I score (drug vs. placebo)</w:t>
            </w:r>
          </w:p>
        </w:tc>
      </w:tr>
      <w:tr w:rsidR="00F334F9" w:rsidRPr="00E14060" w14:paraId="502E1030" w14:textId="77777777" w:rsidTr="008F071D">
        <w:trPr>
          <w:trHeight w:val="300"/>
        </w:trPr>
        <w:tc>
          <w:tcPr>
            <w:tcW w:w="10908" w:type="dxa"/>
            <w:gridSpan w:val="5"/>
            <w:tcBorders>
              <w:top w:val="nil"/>
              <w:left w:val="nil"/>
              <w:bottom w:val="nil"/>
              <w:right w:val="nil"/>
            </w:tcBorders>
            <w:shd w:val="clear" w:color="auto" w:fill="auto"/>
            <w:noWrap/>
            <w:vAlign w:val="bottom"/>
            <w:hideMark/>
          </w:tcPr>
          <w:p w14:paraId="69E34DD7" w14:textId="77777777" w:rsidR="008F071D" w:rsidRPr="00E14060" w:rsidRDefault="008F071D" w:rsidP="00106D7E">
            <w:pPr>
              <w:jc w:val="center"/>
              <w:rPr>
                <w:b/>
                <w:bCs/>
                <w:sz w:val="22"/>
                <w:szCs w:val="22"/>
                <w:lang w:val="en-GB"/>
              </w:rPr>
            </w:pPr>
            <w:r w:rsidRPr="00E14060">
              <w:rPr>
                <w:b/>
                <w:bCs/>
                <w:sz w:val="22"/>
                <w:szCs w:val="22"/>
                <w:lang w:val="en-GB"/>
              </w:rPr>
              <w:t>Direct extrapolation method for ATX arm (random effects model, combined doses)</w:t>
            </w:r>
          </w:p>
        </w:tc>
      </w:tr>
      <w:tr w:rsidR="00F334F9" w:rsidRPr="00E14060" w14:paraId="189D44B1" w14:textId="77777777" w:rsidTr="008F071D">
        <w:trPr>
          <w:trHeight w:val="300"/>
        </w:trPr>
        <w:tc>
          <w:tcPr>
            <w:tcW w:w="222" w:type="dxa"/>
            <w:tcBorders>
              <w:top w:val="nil"/>
              <w:left w:val="nil"/>
              <w:bottom w:val="nil"/>
              <w:right w:val="nil"/>
            </w:tcBorders>
            <w:shd w:val="clear" w:color="auto" w:fill="auto"/>
            <w:noWrap/>
            <w:vAlign w:val="bottom"/>
            <w:hideMark/>
          </w:tcPr>
          <w:p w14:paraId="122FEE89" w14:textId="77777777" w:rsidR="000332DE" w:rsidRPr="00E14060" w:rsidRDefault="000332DE" w:rsidP="00106D7E">
            <w:pPr>
              <w:rPr>
                <w:sz w:val="22"/>
                <w:szCs w:val="22"/>
                <w:lang w:val="en-GB"/>
              </w:rPr>
            </w:pPr>
          </w:p>
        </w:tc>
        <w:tc>
          <w:tcPr>
            <w:tcW w:w="1466" w:type="dxa"/>
            <w:tcBorders>
              <w:top w:val="nil"/>
              <w:left w:val="nil"/>
              <w:bottom w:val="nil"/>
              <w:right w:val="nil"/>
            </w:tcBorders>
            <w:shd w:val="clear" w:color="auto" w:fill="auto"/>
            <w:noWrap/>
            <w:vAlign w:val="bottom"/>
            <w:hideMark/>
          </w:tcPr>
          <w:p w14:paraId="53DEC33A" w14:textId="77777777" w:rsidR="000332DE" w:rsidRPr="00E14060" w:rsidRDefault="000332DE" w:rsidP="00106D7E">
            <w:pPr>
              <w:rPr>
                <w:sz w:val="22"/>
                <w:szCs w:val="22"/>
                <w:lang w:val="en-GB"/>
              </w:rPr>
            </w:pPr>
          </w:p>
        </w:tc>
        <w:tc>
          <w:tcPr>
            <w:tcW w:w="271" w:type="dxa"/>
            <w:tcBorders>
              <w:top w:val="nil"/>
              <w:left w:val="nil"/>
              <w:bottom w:val="nil"/>
              <w:right w:val="nil"/>
            </w:tcBorders>
            <w:shd w:val="clear" w:color="auto" w:fill="auto"/>
            <w:noWrap/>
            <w:vAlign w:val="bottom"/>
            <w:hideMark/>
          </w:tcPr>
          <w:p w14:paraId="23F47086" w14:textId="77777777" w:rsidR="000332DE" w:rsidRPr="00E14060" w:rsidRDefault="000332DE" w:rsidP="00106D7E">
            <w:pPr>
              <w:rPr>
                <w:sz w:val="22"/>
                <w:szCs w:val="22"/>
                <w:lang w:val="en-GB"/>
              </w:rPr>
            </w:pPr>
          </w:p>
        </w:tc>
        <w:tc>
          <w:tcPr>
            <w:tcW w:w="3735" w:type="dxa"/>
            <w:tcBorders>
              <w:top w:val="nil"/>
              <w:left w:val="nil"/>
              <w:bottom w:val="nil"/>
              <w:right w:val="nil"/>
            </w:tcBorders>
            <w:shd w:val="clear" w:color="auto" w:fill="auto"/>
            <w:noWrap/>
            <w:vAlign w:val="bottom"/>
            <w:hideMark/>
          </w:tcPr>
          <w:p w14:paraId="738D8018" w14:textId="77777777" w:rsidR="000332DE" w:rsidRPr="00E14060" w:rsidRDefault="000332DE" w:rsidP="00106D7E">
            <w:pPr>
              <w:rPr>
                <w:sz w:val="22"/>
                <w:szCs w:val="22"/>
                <w:lang w:val="en-GB"/>
              </w:rPr>
            </w:pPr>
          </w:p>
        </w:tc>
        <w:tc>
          <w:tcPr>
            <w:tcW w:w="5214" w:type="dxa"/>
            <w:tcBorders>
              <w:top w:val="nil"/>
              <w:left w:val="nil"/>
              <w:bottom w:val="nil"/>
              <w:right w:val="nil"/>
            </w:tcBorders>
            <w:shd w:val="clear" w:color="auto" w:fill="auto"/>
            <w:noWrap/>
            <w:vAlign w:val="bottom"/>
            <w:hideMark/>
          </w:tcPr>
          <w:p w14:paraId="16781A7F" w14:textId="77777777" w:rsidR="000332DE" w:rsidRPr="00E14060" w:rsidRDefault="000332DE" w:rsidP="00106D7E">
            <w:pPr>
              <w:rPr>
                <w:sz w:val="22"/>
                <w:szCs w:val="22"/>
                <w:lang w:val="en-GB"/>
              </w:rPr>
            </w:pPr>
          </w:p>
        </w:tc>
      </w:tr>
      <w:tr w:rsidR="00F334F9" w:rsidRPr="00E14060" w14:paraId="2BC43C27" w14:textId="77777777" w:rsidTr="008F071D">
        <w:trPr>
          <w:trHeight w:val="645"/>
        </w:trPr>
        <w:tc>
          <w:tcPr>
            <w:tcW w:w="222" w:type="dxa"/>
            <w:tcBorders>
              <w:top w:val="nil"/>
              <w:left w:val="nil"/>
              <w:bottom w:val="nil"/>
              <w:right w:val="nil"/>
            </w:tcBorders>
            <w:shd w:val="clear" w:color="auto" w:fill="auto"/>
            <w:noWrap/>
            <w:vAlign w:val="bottom"/>
            <w:hideMark/>
          </w:tcPr>
          <w:p w14:paraId="646109DF" w14:textId="77777777" w:rsidR="000332DE" w:rsidRPr="00E14060" w:rsidRDefault="000332DE" w:rsidP="00106D7E">
            <w:pPr>
              <w:rPr>
                <w:sz w:val="22"/>
                <w:szCs w:val="22"/>
                <w:lang w:val="en-GB"/>
              </w:rPr>
            </w:pPr>
          </w:p>
        </w:tc>
        <w:tc>
          <w:tcPr>
            <w:tcW w:w="1466" w:type="dxa"/>
            <w:tcBorders>
              <w:top w:val="single" w:sz="4" w:space="0" w:color="auto"/>
              <w:left w:val="nil"/>
              <w:bottom w:val="nil"/>
              <w:right w:val="nil"/>
            </w:tcBorders>
            <w:shd w:val="clear" w:color="auto" w:fill="auto"/>
            <w:noWrap/>
            <w:vAlign w:val="bottom"/>
            <w:hideMark/>
          </w:tcPr>
          <w:p w14:paraId="79C4AC77" w14:textId="77777777" w:rsidR="000332DE" w:rsidRPr="00E14060" w:rsidRDefault="000332DE" w:rsidP="00106D7E">
            <w:pPr>
              <w:rPr>
                <w:sz w:val="22"/>
                <w:szCs w:val="22"/>
                <w:lang w:val="en-GB"/>
              </w:rPr>
            </w:pPr>
            <w:r w:rsidRPr="00E14060">
              <w:rPr>
                <w:sz w:val="22"/>
                <w:szCs w:val="22"/>
                <w:lang w:val="en-GB"/>
              </w:rPr>
              <w:t> </w:t>
            </w:r>
          </w:p>
        </w:tc>
        <w:tc>
          <w:tcPr>
            <w:tcW w:w="271" w:type="dxa"/>
            <w:tcBorders>
              <w:top w:val="single" w:sz="4" w:space="0" w:color="auto"/>
              <w:left w:val="nil"/>
              <w:bottom w:val="nil"/>
              <w:right w:val="nil"/>
            </w:tcBorders>
            <w:shd w:val="clear" w:color="auto" w:fill="auto"/>
            <w:noWrap/>
            <w:vAlign w:val="bottom"/>
            <w:hideMark/>
          </w:tcPr>
          <w:p w14:paraId="0919461F" w14:textId="77777777" w:rsidR="000332DE" w:rsidRPr="00E14060" w:rsidRDefault="000332DE" w:rsidP="00106D7E">
            <w:pPr>
              <w:rPr>
                <w:sz w:val="22"/>
                <w:szCs w:val="22"/>
                <w:lang w:val="en-GB"/>
              </w:rPr>
            </w:pPr>
            <w:r w:rsidRPr="00E14060">
              <w:rPr>
                <w:sz w:val="22"/>
                <w:szCs w:val="22"/>
                <w:lang w:val="en-GB"/>
              </w:rPr>
              <w:t> </w:t>
            </w:r>
          </w:p>
        </w:tc>
        <w:tc>
          <w:tcPr>
            <w:tcW w:w="3735" w:type="dxa"/>
            <w:tcBorders>
              <w:top w:val="single" w:sz="4" w:space="0" w:color="auto"/>
              <w:left w:val="nil"/>
              <w:bottom w:val="single" w:sz="4" w:space="0" w:color="auto"/>
              <w:right w:val="nil"/>
            </w:tcBorders>
            <w:shd w:val="clear" w:color="auto" w:fill="auto"/>
            <w:vAlign w:val="bottom"/>
            <w:hideMark/>
          </w:tcPr>
          <w:p w14:paraId="29A3D487" w14:textId="77777777" w:rsidR="000332DE" w:rsidRPr="00E14060" w:rsidRDefault="000332DE" w:rsidP="00106D7E">
            <w:pPr>
              <w:jc w:val="center"/>
              <w:rPr>
                <w:b/>
                <w:bCs/>
                <w:sz w:val="22"/>
                <w:szCs w:val="22"/>
                <w:lang w:val="en-GB"/>
              </w:rPr>
            </w:pPr>
            <w:r w:rsidRPr="00E14060">
              <w:rPr>
                <w:b/>
                <w:bCs/>
                <w:sz w:val="22"/>
                <w:szCs w:val="22"/>
                <w:lang w:val="en-GB"/>
              </w:rPr>
              <w:t>Relative Risk</w:t>
            </w:r>
            <w:r w:rsidRPr="00E14060">
              <w:rPr>
                <w:rStyle w:val="FootnoteReference"/>
                <w:b/>
                <w:bCs/>
                <w:sz w:val="22"/>
                <w:szCs w:val="22"/>
                <w:lang w:val="en-GB"/>
              </w:rPr>
              <w:footnoteReference w:id="17"/>
            </w:r>
          </w:p>
        </w:tc>
        <w:tc>
          <w:tcPr>
            <w:tcW w:w="5214" w:type="dxa"/>
            <w:tcBorders>
              <w:top w:val="single" w:sz="4" w:space="0" w:color="auto"/>
              <w:left w:val="nil"/>
              <w:bottom w:val="single" w:sz="4" w:space="0" w:color="auto"/>
              <w:right w:val="nil"/>
            </w:tcBorders>
            <w:shd w:val="clear" w:color="auto" w:fill="auto"/>
            <w:vAlign w:val="bottom"/>
            <w:hideMark/>
          </w:tcPr>
          <w:p w14:paraId="0D1CFA8A" w14:textId="77777777" w:rsidR="000332DE" w:rsidRPr="00E14060" w:rsidRDefault="000332DE" w:rsidP="00106D7E">
            <w:pPr>
              <w:jc w:val="center"/>
              <w:rPr>
                <w:b/>
                <w:bCs/>
                <w:sz w:val="22"/>
                <w:szCs w:val="22"/>
                <w:lang w:val="en-GB"/>
              </w:rPr>
            </w:pPr>
            <w:r w:rsidRPr="00E14060">
              <w:rPr>
                <w:b/>
                <w:bCs/>
                <w:sz w:val="22"/>
                <w:szCs w:val="22"/>
                <w:lang w:val="en-GB"/>
              </w:rPr>
              <w:t>95% Confidence Interval</w:t>
            </w:r>
          </w:p>
        </w:tc>
      </w:tr>
      <w:tr w:rsidR="00F334F9" w:rsidRPr="00E14060" w14:paraId="4B346416" w14:textId="77777777" w:rsidTr="008F071D">
        <w:trPr>
          <w:trHeight w:val="300"/>
        </w:trPr>
        <w:tc>
          <w:tcPr>
            <w:tcW w:w="222" w:type="dxa"/>
            <w:tcBorders>
              <w:top w:val="nil"/>
              <w:left w:val="nil"/>
              <w:bottom w:val="nil"/>
              <w:right w:val="nil"/>
            </w:tcBorders>
            <w:shd w:val="clear" w:color="auto" w:fill="auto"/>
            <w:noWrap/>
            <w:vAlign w:val="bottom"/>
            <w:hideMark/>
          </w:tcPr>
          <w:p w14:paraId="22446A9A" w14:textId="77777777" w:rsidR="008F071D" w:rsidRPr="00E14060" w:rsidRDefault="008F071D" w:rsidP="00106D7E">
            <w:pPr>
              <w:rPr>
                <w:sz w:val="22"/>
                <w:szCs w:val="22"/>
                <w:lang w:val="en-GB"/>
              </w:rPr>
            </w:pPr>
          </w:p>
        </w:tc>
        <w:tc>
          <w:tcPr>
            <w:tcW w:w="1466" w:type="dxa"/>
            <w:tcBorders>
              <w:top w:val="nil"/>
              <w:left w:val="nil"/>
              <w:bottom w:val="nil"/>
              <w:right w:val="nil"/>
            </w:tcBorders>
            <w:shd w:val="clear" w:color="auto" w:fill="auto"/>
            <w:noWrap/>
            <w:vAlign w:val="bottom"/>
            <w:hideMark/>
          </w:tcPr>
          <w:p w14:paraId="35BA65E5" w14:textId="77777777" w:rsidR="008F071D" w:rsidRPr="00E14060" w:rsidRDefault="008F071D" w:rsidP="00106D7E">
            <w:pPr>
              <w:rPr>
                <w:b/>
                <w:bCs/>
                <w:sz w:val="22"/>
                <w:szCs w:val="22"/>
                <w:lang w:val="en-GB"/>
              </w:rPr>
            </w:pPr>
            <w:r w:rsidRPr="00E14060">
              <w:rPr>
                <w:b/>
                <w:bCs/>
                <w:sz w:val="22"/>
                <w:szCs w:val="22"/>
                <w:lang w:val="en-GB"/>
              </w:rPr>
              <w:t>LDX</w:t>
            </w:r>
          </w:p>
        </w:tc>
        <w:tc>
          <w:tcPr>
            <w:tcW w:w="271" w:type="dxa"/>
            <w:tcBorders>
              <w:top w:val="nil"/>
              <w:left w:val="nil"/>
              <w:bottom w:val="nil"/>
              <w:right w:val="nil"/>
            </w:tcBorders>
            <w:shd w:val="clear" w:color="auto" w:fill="auto"/>
            <w:noWrap/>
            <w:vAlign w:val="bottom"/>
            <w:hideMark/>
          </w:tcPr>
          <w:p w14:paraId="4AE3D4C3" w14:textId="77777777" w:rsidR="008F071D" w:rsidRPr="00E14060" w:rsidRDefault="008F071D" w:rsidP="00106D7E">
            <w:pPr>
              <w:rPr>
                <w:b/>
                <w:bCs/>
                <w:sz w:val="22"/>
                <w:szCs w:val="22"/>
                <w:lang w:val="en-GB"/>
              </w:rPr>
            </w:pPr>
          </w:p>
        </w:tc>
        <w:tc>
          <w:tcPr>
            <w:tcW w:w="3735" w:type="dxa"/>
            <w:tcBorders>
              <w:top w:val="nil"/>
              <w:left w:val="nil"/>
              <w:bottom w:val="nil"/>
              <w:right w:val="nil"/>
            </w:tcBorders>
            <w:shd w:val="clear" w:color="auto" w:fill="auto"/>
            <w:noWrap/>
            <w:vAlign w:val="bottom"/>
            <w:hideMark/>
          </w:tcPr>
          <w:p w14:paraId="21661D20" w14:textId="77777777" w:rsidR="008F071D" w:rsidRPr="00E14060" w:rsidRDefault="008F071D" w:rsidP="00106D7E">
            <w:pPr>
              <w:jc w:val="center"/>
              <w:rPr>
                <w:sz w:val="22"/>
                <w:szCs w:val="22"/>
                <w:lang w:val="en-GB"/>
              </w:rPr>
            </w:pPr>
            <w:r w:rsidRPr="00E14060">
              <w:rPr>
                <w:sz w:val="22"/>
                <w:szCs w:val="22"/>
                <w:lang w:val="en-GB"/>
              </w:rPr>
              <w:t>2.23</w:t>
            </w:r>
          </w:p>
        </w:tc>
        <w:tc>
          <w:tcPr>
            <w:tcW w:w="5214" w:type="dxa"/>
            <w:tcBorders>
              <w:top w:val="nil"/>
              <w:left w:val="nil"/>
              <w:bottom w:val="nil"/>
              <w:right w:val="nil"/>
            </w:tcBorders>
            <w:shd w:val="clear" w:color="auto" w:fill="auto"/>
            <w:noWrap/>
            <w:vAlign w:val="bottom"/>
            <w:hideMark/>
          </w:tcPr>
          <w:p w14:paraId="657817C2" w14:textId="77777777" w:rsidR="008F071D" w:rsidRPr="00E14060" w:rsidRDefault="008F071D" w:rsidP="00106D7E">
            <w:pPr>
              <w:jc w:val="center"/>
              <w:rPr>
                <w:sz w:val="22"/>
                <w:szCs w:val="22"/>
                <w:lang w:val="en-GB"/>
              </w:rPr>
            </w:pPr>
            <w:r w:rsidRPr="00E14060">
              <w:rPr>
                <w:sz w:val="22"/>
                <w:szCs w:val="22"/>
                <w:lang w:val="en-GB"/>
              </w:rPr>
              <w:t>(1.69, 2.95)</w:t>
            </w:r>
          </w:p>
        </w:tc>
      </w:tr>
      <w:tr w:rsidR="00F334F9" w:rsidRPr="00E14060" w14:paraId="36150A78" w14:textId="77777777" w:rsidTr="008F071D">
        <w:trPr>
          <w:trHeight w:val="300"/>
        </w:trPr>
        <w:tc>
          <w:tcPr>
            <w:tcW w:w="222" w:type="dxa"/>
            <w:tcBorders>
              <w:top w:val="nil"/>
              <w:left w:val="nil"/>
              <w:bottom w:val="nil"/>
              <w:right w:val="nil"/>
            </w:tcBorders>
            <w:shd w:val="clear" w:color="auto" w:fill="auto"/>
            <w:noWrap/>
            <w:vAlign w:val="bottom"/>
            <w:hideMark/>
          </w:tcPr>
          <w:p w14:paraId="33F08E70" w14:textId="77777777" w:rsidR="008F071D" w:rsidRPr="00E14060" w:rsidRDefault="008F071D" w:rsidP="00106D7E">
            <w:pPr>
              <w:rPr>
                <w:sz w:val="22"/>
                <w:szCs w:val="22"/>
                <w:lang w:val="en-GB"/>
              </w:rPr>
            </w:pPr>
          </w:p>
        </w:tc>
        <w:tc>
          <w:tcPr>
            <w:tcW w:w="1466" w:type="dxa"/>
            <w:tcBorders>
              <w:top w:val="nil"/>
              <w:left w:val="nil"/>
              <w:bottom w:val="nil"/>
              <w:right w:val="nil"/>
            </w:tcBorders>
            <w:shd w:val="clear" w:color="auto" w:fill="auto"/>
            <w:noWrap/>
            <w:vAlign w:val="bottom"/>
            <w:hideMark/>
          </w:tcPr>
          <w:p w14:paraId="2E952E7D" w14:textId="77777777" w:rsidR="008F071D" w:rsidRPr="00E14060" w:rsidRDefault="008F071D" w:rsidP="00106D7E">
            <w:pPr>
              <w:rPr>
                <w:b/>
                <w:bCs/>
                <w:sz w:val="22"/>
                <w:szCs w:val="22"/>
                <w:lang w:val="en-GB"/>
              </w:rPr>
            </w:pPr>
            <w:r w:rsidRPr="00E14060">
              <w:rPr>
                <w:b/>
                <w:bCs/>
                <w:sz w:val="22"/>
                <w:szCs w:val="22"/>
                <w:lang w:val="en-GB"/>
              </w:rPr>
              <w:t>ATX</w:t>
            </w:r>
          </w:p>
        </w:tc>
        <w:tc>
          <w:tcPr>
            <w:tcW w:w="271" w:type="dxa"/>
            <w:tcBorders>
              <w:top w:val="nil"/>
              <w:left w:val="nil"/>
              <w:bottom w:val="nil"/>
              <w:right w:val="nil"/>
            </w:tcBorders>
            <w:shd w:val="clear" w:color="auto" w:fill="auto"/>
            <w:noWrap/>
            <w:vAlign w:val="bottom"/>
            <w:hideMark/>
          </w:tcPr>
          <w:p w14:paraId="2C25360C" w14:textId="77777777" w:rsidR="008F071D" w:rsidRPr="00E14060" w:rsidRDefault="008F071D" w:rsidP="00106D7E">
            <w:pPr>
              <w:rPr>
                <w:b/>
                <w:bCs/>
                <w:sz w:val="22"/>
                <w:szCs w:val="22"/>
                <w:lang w:val="en-GB"/>
              </w:rPr>
            </w:pPr>
          </w:p>
        </w:tc>
        <w:tc>
          <w:tcPr>
            <w:tcW w:w="3735" w:type="dxa"/>
            <w:tcBorders>
              <w:top w:val="nil"/>
              <w:left w:val="nil"/>
              <w:bottom w:val="nil"/>
              <w:right w:val="nil"/>
            </w:tcBorders>
            <w:shd w:val="clear" w:color="auto" w:fill="auto"/>
            <w:noWrap/>
            <w:vAlign w:val="bottom"/>
            <w:hideMark/>
          </w:tcPr>
          <w:p w14:paraId="2A972C86" w14:textId="77777777" w:rsidR="008F071D" w:rsidRPr="00E14060" w:rsidRDefault="008F071D" w:rsidP="00106D7E">
            <w:pPr>
              <w:jc w:val="center"/>
              <w:rPr>
                <w:sz w:val="22"/>
                <w:szCs w:val="22"/>
                <w:lang w:val="en-GB"/>
              </w:rPr>
            </w:pPr>
            <w:r w:rsidRPr="00E14060">
              <w:rPr>
                <w:sz w:val="22"/>
                <w:szCs w:val="22"/>
                <w:lang w:val="en-GB"/>
              </w:rPr>
              <w:t>1.41</w:t>
            </w:r>
          </w:p>
        </w:tc>
        <w:tc>
          <w:tcPr>
            <w:tcW w:w="5214" w:type="dxa"/>
            <w:tcBorders>
              <w:top w:val="nil"/>
              <w:left w:val="nil"/>
              <w:bottom w:val="nil"/>
              <w:right w:val="nil"/>
            </w:tcBorders>
            <w:shd w:val="clear" w:color="auto" w:fill="auto"/>
            <w:noWrap/>
            <w:vAlign w:val="bottom"/>
            <w:hideMark/>
          </w:tcPr>
          <w:p w14:paraId="0493D312" w14:textId="77777777" w:rsidR="008F071D" w:rsidRPr="00E14060" w:rsidRDefault="008F071D" w:rsidP="00106D7E">
            <w:pPr>
              <w:jc w:val="center"/>
              <w:rPr>
                <w:sz w:val="22"/>
                <w:szCs w:val="22"/>
                <w:lang w:val="en-GB"/>
              </w:rPr>
            </w:pPr>
            <w:r w:rsidRPr="00E14060">
              <w:rPr>
                <w:sz w:val="22"/>
                <w:szCs w:val="22"/>
                <w:lang w:val="en-GB"/>
              </w:rPr>
              <w:t>(1.24, 1.60)</w:t>
            </w:r>
          </w:p>
        </w:tc>
      </w:tr>
      <w:tr w:rsidR="00F334F9" w:rsidRPr="00E14060" w14:paraId="0553DC2B" w14:textId="77777777" w:rsidTr="008F071D">
        <w:trPr>
          <w:trHeight w:val="300"/>
        </w:trPr>
        <w:tc>
          <w:tcPr>
            <w:tcW w:w="222" w:type="dxa"/>
            <w:tcBorders>
              <w:top w:val="nil"/>
              <w:left w:val="nil"/>
              <w:bottom w:val="nil"/>
              <w:right w:val="nil"/>
            </w:tcBorders>
            <w:shd w:val="clear" w:color="auto" w:fill="auto"/>
            <w:noWrap/>
            <w:vAlign w:val="bottom"/>
            <w:hideMark/>
          </w:tcPr>
          <w:p w14:paraId="603F6885" w14:textId="77777777" w:rsidR="008F071D" w:rsidRPr="00E14060" w:rsidRDefault="008F071D" w:rsidP="00106D7E">
            <w:pPr>
              <w:rPr>
                <w:sz w:val="22"/>
                <w:szCs w:val="22"/>
                <w:lang w:val="en-GB"/>
              </w:rPr>
            </w:pPr>
          </w:p>
        </w:tc>
        <w:tc>
          <w:tcPr>
            <w:tcW w:w="1466" w:type="dxa"/>
            <w:tcBorders>
              <w:top w:val="nil"/>
              <w:left w:val="nil"/>
              <w:bottom w:val="single" w:sz="4" w:space="0" w:color="auto"/>
              <w:right w:val="nil"/>
            </w:tcBorders>
            <w:shd w:val="clear" w:color="auto" w:fill="auto"/>
            <w:noWrap/>
            <w:vAlign w:val="bottom"/>
            <w:hideMark/>
          </w:tcPr>
          <w:p w14:paraId="7B99A8BB" w14:textId="77777777" w:rsidR="008F071D" w:rsidRPr="00E14060" w:rsidRDefault="008F071D" w:rsidP="00106D7E">
            <w:pPr>
              <w:rPr>
                <w:b/>
                <w:bCs/>
                <w:sz w:val="22"/>
                <w:szCs w:val="22"/>
                <w:lang w:val="en-GB"/>
              </w:rPr>
            </w:pPr>
            <w:r w:rsidRPr="00E14060">
              <w:rPr>
                <w:b/>
                <w:bCs/>
                <w:sz w:val="22"/>
                <w:szCs w:val="22"/>
                <w:lang w:val="en-GB"/>
              </w:rPr>
              <w:t>MPH-ER</w:t>
            </w:r>
          </w:p>
        </w:tc>
        <w:tc>
          <w:tcPr>
            <w:tcW w:w="271" w:type="dxa"/>
            <w:tcBorders>
              <w:top w:val="nil"/>
              <w:left w:val="nil"/>
              <w:bottom w:val="single" w:sz="4" w:space="0" w:color="auto"/>
              <w:right w:val="nil"/>
            </w:tcBorders>
            <w:shd w:val="clear" w:color="auto" w:fill="auto"/>
            <w:noWrap/>
            <w:vAlign w:val="bottom"/>
            <w:hideMark/>
          </w:tcPr>
          <w:p w14:paraId="50EAF5C9" w14:textId="77777777" w:rsidR="008F071D" w:rsidRPr="00E14060" w:rsidRDefault="008F071D" w:rsidP="00106D7E">
            <w:pPr>
              <w:rPr>
                <w:b/>
                <w:bCs/>
                <w:sz w:val="22"/>
                <w:szCs w:val="22"/>
                <w:lang w:val="en-GB"/>
              </w:rPr>
            </w:pPr>
            <w:r w:rsidRPr="00E14060">
              <w:rPr>
                <w:b/>
                <w:bCs/>
                <w:sz w:val="22"/>
                <w:szCs w:val="22"/>
                <w:lang w:val="en-GB"/>
              </w:rPr>
              <w:t> </w:t>
            </w:r>
          </w:p>
        </w:tc>
        <w:tc>
          <w:tcPr>
            <w:tcW w:w="3735" w:type="dxa"/>
            <w:tcBorders>
              <w:top w:val="nil"/>
              <w:left w:val="nil"/>
              <w:bottom w:val="single" w:sz="4" w:space="0" w:color="auto"/>
              <w:right w:val="nil"/>
            </w:tcBorders>
            <w:shd w:val="clear" w:color="auto" w:fill="auto"/>
            <w:noWrap/>
            <w:vAlign w:val="bottom"/>
            <w:hideMark/>
          </w:tcPr>
          <w:p w14:paraId="60E3F091" w14:textId="77777777" w:rsidR="008F071D" w:rsidRPr="00E14060" w:rsidRDefault="008F071D" w:rsidP="00106D7E">
            <w:pPr>
              <w:jc w:val="center"/>
              <w:rPr>
                <w:sz w:val="22"/>
                <w:szCs w:val="22"/>
                <w:lang w:val="en-GB"/>
              </w:rPr>
            </w:pPr>
            <w:r w:rsidRPr="00E14060">
              <w:rPr>
                <w:sz w:val="22"/>
                <w:szCs w:val="22"/>
                <w:lang w:val="en-GB"/>
              </w:rPr>
              <w:t>1.80</w:t>
            </w:r>
          </w:p>
        </w:tc>
        <w:tc>
          <w:tcPr>
            <w:tcW w:w="5214" w:type="dxa"/>
            <w:tcBorders>
              <w:top w:val="nil"/>
              <w:left w:val="nil"/>
              <w:bottom w:val="single" w:sz="4" w:space="0" w:color="auto"/>
              <w:right w:val="nil"/>
            </w:tcBorders>
            <w:shd w:val="clear" w:color="auto" w:fill="auto"/>
            <w:noWrap/>
            <w:vAlign w:val="bottom"/>
            <w:hideMark/>
          </w:tcPr>
          <w:p w14:paraId="2390CEA2" w14:textId="77777777" w:rsidR="008F071D" w:rsidRPr="00E14060" w:rsidRDefault="008F071D" w:rsidP="00106D7E">
            <w:pPr>
              <w:jc w:val="center"/>
              <w:rPr>
                <w:sz w:val="22"/>
                <w:szCs w:val="22"/>
                <w:lang w:val="en-GB"/>
              </w:rPr>
            </w:pPr>
            <w:r w:rsidRPr="00E14060">
              <w:rPr>
                <w:sz w:val="22"/>
                <w:szCs w:val="22"/>
                <w:lang w:val="en-GB"/>
              </w:rPr>
              <w:t>(1.43, 2.27)</w:t>
            </w:r>
          </w:p>
        </w:tc>
      </w:tr>
    </w:tbl>
    <w:p w14:paraId="7D3223C0" w14:textId="77777777" w:rsidR="000332DE" w:rsidRPr="00E14060" w:rsidRDefault="000332DE">
      <w:pPr>
        <w:rPr>
          <w:lang w:val="en-GB"/>
        </w:rPr>
      </w:pPr>
    </w:p>
    <w:p w14:paraId="07927D8E" w14:textId="77777777" w:rsidR="000332DE" w:rsidRPr="00E14060" w:rsidRDefault="000332DE">
      <w:pPr>
        <w:rPr>
          <w:lang w:val="en-GB"/>
        </w:rPr>
      </w:pPr>
    </w:p>
    <w:tbl>
      <w:tblPr>
        <w:tblW w:w="10908" w:type="dxa"/>
        <w:tblInd w:w="108" w:type="dxa"/>
        <w:tblLook w:val="04A0" w:firstRow="1" w:lastRow="0" w:firstColumn="1" w:lastColumn="0" w:noHBand="0" w:noVBand="1"/>
      </w:tblPr>
      <w:tblGrid>
        <w:gridCol w:w="222"/>
        <w:gridCol w:w="1466"/>
        <w:gridCol w:w="271"/>
        <w:gridCol w:w="3735"/>
        <w:gridCol w:w="5214"/>
      </w:tblGrid>
      <w:tr w:rsidR="00F334F9" w:rsidRPr="00E14060" w14:paraId="5E5AFB72" w14:textId="77777777" w:rsidTr="008F071D">
        <w:trPr>
          <w:trHeight w:val="555"/>
        </w:trPr>
        <w:tc>
          <w:tcPr>
            <w:tcW w:w="10908" w:type="dxa"/>
            <w:gridSpan w:val="5"/>
            <w:tcBorders>
              <w:top w:val="nil"/>
              <w:left w:val="nil"/>
              <w:bottom w:val="nil"/>
              <w:right w:val="nil"/>
            </w:tcBorders>
            <w:shd w:val="clear" w:color="auto" w:fill="auto"/>
            <w:noWrap/>
            <w:vAlign w:val="bottom"/>
            <w:hideMark/>
          </w:tcPr>
          <w:p w14:paraId="19E76D5B" w14:textId="77777777" w:rsidR="008F071D" w:rsidRPr="00E14060" w:rsidRDefault="008F071D" w:rsidP="008F071D">
            <w:pPr>
              <w:jc w:val="center"/>
              <w:rPr>
                <w:b/>
                <w:bCs/>
                <w:sz w:val="22"/>
                <w:szCs w:val="22"/>
                <w:lang w:val="en-GB"/>
              </w:rPr>
            </w:pPr>
            <w:r w:rsidRPr="00E14060">
              <w:rPr>
                <w:b/>
                <w:bCs/>
                <w:sz w:val="22"/>
                <w:szCs w:val="22"/>
                <w:lang w:val="en-GB"/>
              </w:rPr>
              <w:t>Table 21. Relative risks for treatment response, as defined by a rating of 1 or 2 in CGI-I score (drug vs. placebo)</w:t>
            </w:r>
          </w:p>
        </w:tc>
      </w:tr>
      <w:tr w:rsidR="00F334F9" w:rsidRPr="00E14060" w14:paraId="7005890E" w14:textId="77777777" w:rsidTr="008F071D">
        <w:trPr>
          <w:trHeight w:val="300"/>
        </w:trPr>
        <w:tc>
          <w:tcPr>
            <w:tcW w:w="10908" w:type="dxa"/>
            <w:gridSpan w:val="5"/>
            <w:tcBorders>
              <w:top w:val="nil"/>
              <w:left w:val="nil"/>
              <w:bottom w:val="nil"/>
              <w:right w:val="nil"/>
            </w:tcBorders>
            <w:shd w:val="clear" w:color="auto" w:fill="auto"/>
            <w:noWrap/>
            <w:vAlign w:val="bottom"/>
            <w:hideMark/>
          </w:tcPr>
          <w:p w14:paraId="636D37E0" w14:textId="77777777" w:rsidR="008F071D" w:rsidRPr="00E14060" w:rsidRDefault="008F071D" w:rsidP="00106D7E">
            <w:pPr>
              <w:jc w:val="center"/>
              <w:rPr>
                <w:b/>
                <w:bCs/>
                <w:sz w:val="22"/>
                <w:szCs w:val="22"/>
                <w:lang w:val="en-GB"/>
              </w:rPr>
            </w:pPr>
            <w:r w:rsidRPr="00E14060">
              <w:rPr>
                <w:b/>
                <w:bCs/>
                <w:sz w:val="22"/>
                <w:szCs w:val="22"/>
                <w:lang w:val="en-GB"/>
              </w:rPr>
              <w:t>Direct extrapolation method for ATX arm (fixed effects model, combined doses)</w:t>
            </w:r>
          </w:p>
        </w:tc>
      </w:tr>
      <w:tr w:rsidR="00F334F9" w:rsidRPr="00E14060" w14:paraId="054B92D0" w14:textId="77777777" w:rsidTr="008F071D">
        <w:trPr>
          <w:trHeight w:val="300"/>
        </w:trPr>
        <w:tc>
          <w:tcPr>
            <w:tcW w:w="222" w:type="dxa"/>
            <w:tcBorders>
              <w:top w:val="nil"/>
              <w:left w:val="nil"/>
              <w:bottom w:val="nil"/>
              <w:right w:val="nil"/>
            </w:tcBorders>
            <w:shd w:val="clear" w:color="auto" w:fill="auto"/>
            <w:noWrap/>
            <w:vAlign w:val="bottom"/>
            <w:hideMark/>
          </w:tcPr>
          <w:p w14:paraId="1F67C185" w14:textId="77777777" w:rsidR="000332DE" w:rsidRPr="00E14060" w:rsidRDefault="000332DE" w:rsidP="00106D7E">
            <w:pPr>
              <w:rPr>
                <w:sz w:val="22"/>
                <w:szCs w:val="22"/>
                <w:lang w:val="en-GB"/>
              </w:rPr>
            </w:pPr>
          </w:p>
        </w:tc>
        <w:tc>
          <w:tcPr>
            <w:tcW w:w="1466" w:type="dxa"/>
            <w:tcBorders>
              <w:top w:val="nil"/>
              <w:left w:val="nil"/>
              <w:bottom w:val="nil"/>
              <w:right w:val="nil"/>
            </w:tcBorders>
            <w:shd w:val="clear" w:color="auto" w:fill="auto"/>
            <w:noWrap/>
            <w:vAlign w:val="bottom"/>
            <w:hideMark/>
          </w:tcPr>
          <w:p w14:paraId="6A77C04A" w14:textId="77777777" w:rsidR="000332DE" w:rsidRPr="00E14060" w:rsidRDefault="000332DE" w:rsidP="00106D7E">
            <w:pPr>
              <w:rPr>
                <w:sz w:val="22"/>
                <w:szCs w:val="22"/>
                <w:lang w:val="en-GB"/>
              </w:rPr>
            </w:pPr>
          </w:p>
        </w:tc>
        <w:tc>
          <w:tcPr>
            <w:tcW w:w="271" w:type="dxa"/>
            <w:tcBorders>
              <w:top w:val="nil"/>
              <w:left w:val="nil"/>
              <w:bottom w:val="nil"/>
              <w:right w:val="nil"/>
            </w:tcBorders>
            <w:shd w:val="clear" w:color="auto" w:fill="auto"/>
            <w:noWrap/>
            <w:vAlign w:val="bottom"/>
            <w:hideMark/>
          </w:tcPr>
          <w:p w14:paraId="0F18C0D6" w14:textId="77777777" w:rsidR="000332DE" w:rsidRPr="00E14060" w:rsidRDefault="000332DE" w:rsidP="00106D7E">
            <w:pPr>
              <w:rPr>
                <w:sz w:val="22"/>
                <w:szCs w:val="22"/>
                <w:lang w:val="en-GB"/>
              </w:rPr>
            </w:pPr>
          </w:p>
        </w:tc>
        <w:tc>
          <w:tcPr>
            <w:tcW w:w="3735" w:type="dxa"/>
            <w:tcBorders>
              <w:top w:val="nil"/>
              <w:left w:val="nil"/>
              <w:bottom w:val="nil"/>
              <w:right w:val="nil"/>
            </w:tcBorders>
            <w:shd w:val="clear" w:color="auto" w:fill="auto"/>
            <w:noWrap/>
            <w:vAlign w:val="bottom"/>
            <w:hideMark/>
          </w:tcPr>
          <w:p w14:paraId="43AA7F13" w14:textId="77777777" w:rsidR="000332DE" w:rsidRPr="00E14060" w:rsidRDefault="000332DE" w:rsidP="00106D7E">
            <w:pPr>
              <w:rPr>
                <w:sz w:val="22"/>
                <w:szCs w:val="22"/>
                <w:lang w:val="en-GB"/>
              </w:rPr>
            </w:pPr>
          </w:p>
        </w:tc>
        <w:tc>
          <w:tcPr>
            <w:tcW w:w="5214" w:type="dxa"/>
            <w:tcBorders>
              <w:top w:val="nil"/>
              <w:left w:val="nil"/>
              <w:bottom w:val="nil"/>
              <w:right w:val="nil"/>
            </w:tcBorders>
            <w:shd w:val="clear" w:color="auto" w:fill="auto"/>
            <w:noWrap/>
            <w:vAlign w:val="bottom"/>
            <w:hideMark/>
          </w:tcPr>
          <w:p w14:paraId="7ED9D19E" w14:textId="77777777" w:rsidR="000332DE" w:rsidRPr="00E14060" w:rsidRDefault="000332DE" w:rsidP="00106D7E">
            <w:pPr>
              <w:rPr>
                <w:sz w:val="22"/>
                <w:szCs w:val="22"/>
                <w:lang w:val="en-GB"/>
              </w:rPr>
            </w:pPr>
          </w:p>
        </w:tc>
      </w:tr>
      <w:tr w:rsidR="00F334F9" w:rsidRPr="00E14060" w14:paraId="6FCC7420" w14:textId="77777777" w:rsidTr="008F071D">
        <w:trPr>
          <w:trHeight w:val="645"/>
        </w:trPr>
        <w:tc>
          <w:tcPr>
            <w:tcW w:w="222" w:type="dxa"/>
            <w:tcBorders>
              <w:top w:val="nil"/>
              <w:left w:val="nil"/>
              <w:bottom w:val="nil"/>
              <w:right w:val="nil"/>
            </w:tcBorders>
            <w:shd w:val="clear" w:color="auto" w:fill="auto"/>
            <w:noWrap/>
            <w:vAlign w:val="bottom"/>
            <w:hideMark/>
          </w:tcPr>
          <w:p w14:paraId="3F4BE524" w14:textId="77777777" w:rsidR="000332DE" w:rsidRPr="00E14060" w:rsidRDefault="000332DE" w:rsidP="00106D7E">
            <w:pPr>
              <w:rPr>
                <w:sz w:val="22"/>
                <w:szCs w:val="22"/>
                <w:lang w:val="en-GB"/>
              </w:rPr>
            </w:pPr>
          </w:p>
        </w:tc>
        <w:tc>
          <w:tcPr>
            <w:tcW w:w="1466" w:type="dxa"/>
            <w:tcBorders>
              <w:top w:val="single" w:sz="4" w:space="0" w:color="auto"/>
              <w:left w:val="nil"/>
              <w:bottom w:val="nil"/>
              <w:right w:val="nil"/>
            </w:tcBorders>
            <w:shd w:val="clear" w:color="auto" w:fill="auto"/>
            <w:noWrap/>
            <w:vAlign w:val="bottom"/>
            <w:hideMark/>
          </w:tcPr>
          <w:p w14:paraId="5DA27D07" w14:textId="77777777" w:rsidR="000332DE" w:rsidRPr="00E14060" w:rsidRDefault="000332DE" w:rsidP="00106D7E">
            <w:pPr>
              <w:rPr>
                <w:sz w:val="22"/>
                <w:szCs w:val="22"/>
                <w:lang w:val="en-GB"/>
              </w:rPr>
            </w:pPr>
            <w:r w:rsidRPr="00E14060">
              <w:rPr>
                <w:sz w:val="22"/>
                <w:szCs w:val="22"/>
                <w:lang w:val="en-GB"/>
              </w:rPr>
              <w:t> </w:t>
            </w:r>
          </w:p>
        </w:tc>
        <w:tc>
          <w:tcPr>
            <w:tcW w:w="271" w:type="dxa"/>
            <w:tcBorders>
              <w:top w:val="single" w:sz="4" w:space="0" w:color="auto"/>
              <w:left w:val="nil"/>
              <w:bottom w:val="nil"/>
              <w:right w:val="nil"/>
            </w:tcBorders>
            <w:shd w:val="clear" w:color="auto" w:fill="auto"/>
            <w:noWrap/>
            <w:vAlign w:val="bottom"/>
            <w:hideMark/>
          </w:tcPr>
          <w:p w14:paraId="3DA36569" w14:textId="77777777" w:rsidR="000332DE" w:rsidRPr="00E14060" w:rsidRDefault="000332DE" w:rsidP="00106D7E">
            <w:pPr>
              <w:rPr>
                <w:sz w:val="22"/>
                <w:szCs w:val="22"/>
                <w:lang w:val="en-GB"/>
              </w:rPr>
            </w:pPr>
            <w:r w:rsidRPr="00E14060">
              <w:rPr>
                <w:sz w:val="22"/>
                <w:szCs w:val="22"/>
                <w:lang w:val="en-GB"/>
              </w:rPr>
              <w:t> </w:t>
            </w:r>
          </w:p>
        </w:tc>
        <w:tc>
          <w:tcPr>
            <w:tcW w:w="3735" w:type="dxa"/>
            <w:tcBorders>
              <w:top w:val="single" w:sz="4" w:space="0" w:color="auto"/>
              <w:left w:val="nil"/>
              <w:bottom w:val="single" w:sz="4" w:space="0" w:color="auto"/>
              <w:right w:val="nil"/>
            </w:tcBorders>
            <w:shd w:val="clear" w:color="auto" w:fill="auto"/>
            <w:vAlign w:val="bottom"/>
            <w:hideMark/>
          </w:tcPr>
          <w:p w14:paraId="40764E40" w14:textId="77777777" w:rsidR="000332DE" w:rsidRPr="00E14060" w:rsidRDefault="000332DE" w:rsidP="00106D7E">
            <w:pPr>
              <w:jc w:val="center"/>
              <w:rPr>
                <w:b/>
                <w:bCs/>
                <w:sz w:val="22"/>
                <w:szCs w:val="22"/>
                <w:lang w:val="en-GB"/>
              </w:rPr>
            </w:pPr>
            <w:r w:rsidRPr="00E14060">
              <w:rPr>
                <w:b/>
                <w:bCs/>
                <w:sz w:val="22"/>
                <w:szCs w:val="22"/>
                <w:lang w:val="en-GB"/>
              </w:rPr>
              <w:t>Relative Risk</w:t>
            </w:r>
            <w:r w:rsidRPr="00E14060">
              <w:rPr>
                <w:rStyle w:val="FootnoteReference"/>
                <w:b/>
                <w:bCs/>
                <w:sz w:val="22"/>
                <w:szCs w:val="22"/>
                <w:lang w:val="en-GB"/>
              </w:rPr>
              <w:footnoteReference w:id="18"/>
            </w:r>
          </w:p>
        </w:tc>
        <w:tc>
          <w:tcPr>
            <w:tcW w:w="5214" w:type="dxa"/>
            <w:tcBorders>
              <w:top w:val="single" w:sz="4" w:space="0" w:color="auto"/>
              <w:left w:val="nil"/>
              <w:bottom w:val="single" w:sz="4" w:space="0" w:color="auto"/>
              <w:right w:val="nil"/>
            </w:tcBorders>
            <w:shd w:val="clear" w:color="auto" w:fill="auto"/>
            <w:vAlign w:val="bottom"/>
            <w:hideMark/>
          </w:tcPr>
          <w:p w14:paraId="15A4D6AD" w14:textId="77777777" w:rsidR="000332DE" w:rsidRPr="00E14060" w:rsidRDefault="000332DE" w:rsidP="00106D7E">
            <w:pPr>
              <w:jc w:val="center"/>
              <w:rPr>
                <w:b/>
                <w:bCs/>
                <w:sz w:val="22"/>
                <w:szCs w:val="22"/>
                <w:lang w:val="en-GB"/>
              </w:rPr>
            </w:pPr>
            <w:r w:rsidRPr="00E14060">
              <w:rPr>
                <w:b/>
                <w:bCs/>
                <w:sz w:val="22"/>
                <w:szCs w:val="22"/>
                <w:lang w:val="en-GB"/>
              </w:rPr>
              <w:t>95% Confidence Interval</w:t>
            </w:r>
          </w:p>
        </w:tc>
      </w:tr>
      <w:tr w:rsidR="00F334F9" w:rsidRPr="00E14060" w14:paraId="37C1F2AB" w14:textId="77777777" w:rsidTr="008F071D">
        <w:trPr>
          <w:trHeight w:val="300"/>
        </w:trPr>
        <w:tc>
          <w:tcPr>
            <w:tcW w:w="222" w:type="dxa"/>
            <w:tcBorders>
              <w:top w:val="nil"/>
              <w:left w:val="nil"/>
              <w:bottom w:val="nil"/>
              <w:right w:val="nil"/>
            </w:tcBorders>
            <w:shd w:val="clear" w:color="auto" w:fill="auto"/>
            <w:noWrap/>
            <w:vAlign w:val="bottom"/>
            <w:hideMark/>
          </w:tcPr>
          <w:p w14:paraId="118FE232" w14:textId="77777777" w:rsidR="008F071D" w:rsidRPr="00E14060" w:rsidRDefault="008F071D" w:rsidP="00106D7E">
            <w:pPr>
              <w:rPr>
                <w:sz w:val="22"/>
                <w:szCs w:val="22"/>
                <w:lang w:val="en-GB"/>
              </w:rPr>
            </w:pPr>
          </w:p>
        </w:tc>
        <w:tc>
          <w:tcPr>
            <w:tcW w:w="1466" w:type="dxa"/>
            <w:tcBorders>
              <w:top w:val="nil"/>
              <w:left w:val="nil"/>
              <w:bottom w:val="nil"/>
              <w:right w:val="nil"/>
            </w:tcBorders>
            <w:shd w:val="clear" w:color="auto" w:fill="auto"/>
            <w:noWrap/>
            <w:vAlign w:val="bottom"/>
            <w:hideMark/>
          </w:tcPr>
          <w:p w14:paraId="57E5414C" w14:textId="77777777" w:rsidR="008F071D" w:rsidRPr="00E14060" w:rsidRDefault="008F071D" w:rsidP="00106D7E">
            <w:pPr>
              <w:rPr>
                <w:b/>
                <w:bCs/>
                <w:sz w:val="22"/>
                <w:szCs w:val="22"/>
                <w:lang w:val="en-GB"/>
              </w:rPr>
            </w:pPr>
            <w:r w:rsidRPr="00E14060">
              <w:rPr>
                <w:b/>
                <w:bCs/>
                <w:sz w:val="22"/>
                <w:szCs w:val="22"/>
                <w:lang w:val="en-GB"/>
              </w:rPr>
              <w:t>LDX</w:t>
            </w:r>
          </w:p>
        </w:tc>
        <w:tc>
          <w:tcPr>
            <w:tcW w:w="271" w:type="dxa"/>
            <w:tcBorders>
              <w:top w:val="nil"/>
              <w:left w:val="nil"/>
              <w:bottom w:val="nil"/>
              <w:right w:val="nil"/>
            </w:tcBorders>
            <w:shd w:val="clear" w:color="auto" w:fill="auto"/>
            <w:noWrap/>
            <w:vAlign w:val="bottom"/>
            <w:hideMark/>
          </w:tcPr>
          <w:p w14:paraId="1106F61A" w14:textId="77777777" w:rsidR="008F071D" w:rsidRPr="00E14060" w:rsidRDefault="008F071D" w:rsidP="00106D7E">
            <w:pPr>
              <w:rPr>
                <w:b/>
                <w:bCs/>
                <w:sz w:val="22"/>
                <w:szCs w:val="22"/>
                <w:lang w:val="en-GB"/>
              </w:rPr>
            </w:pPr>
          </w:p>
        </w:tc>
        <w:tc>
          <w:tcPr>
            <w:tcW w:w="3735" w:type="dxa"/>
            <w:tcBorders>
              <w:top w:val="nil"/>
              <w:left w:val="nil"/>
              <w:bottom w:val="nil"/>
              <w:right w:val="nil"/>
            </w:tcBorders>
            <w:shd w:val="clear" w:color="auto" w:fill="auto"/>
            <w:noWrap/>
            <w:vAlign w:val="bottom"/>
            <w:hideMark/>
          </w:tcPr>
          <w:p w14:paraId="531BEFBA" w14:textId="77777777" w:rsidR="008F071D" w:rsidRPr="00E14060" w:rsidRDefault="008F071D" w:rsidP="00106D7E">
            <w:pPr>
              <w:jc w:val="center"/>
              <w:rPr>
                <w:sz w:val="22"/>
                <w:szCs w:val="22"/>
                <w:lang w:val="en-GB"/>
              </w:rPr>
            </w:pPr>
            <w:r w:rsidRPr="00E14060">
              <w:rPr>
                <w:sz w:val="22"/>
                <w:szCs w:val="22"/>
                <w:lang w:val="en-GB"/>
              </w:rPr>
              <w:t>2.23</w:t>
            </w:r>
          </w:p>
        </w:tc>
        <w:tc>
          <w:tcPr>
            <w:tcW w:w="5214" w:type="dxa"/>
            <w:tcBorders>
              <w:top w:val="nil"/>
              <w:left w:val="nil"/>
              <w:bottom w:val="nil"/>
              <w:right w:val="nil"/>
            </w:tcBorders>
            <w:shd w:val="clear" w:color="auto" w:fill="auto"/>
            <w:noWrap/>
            <w:vAlign w:val="bottom"/>
            <w:hideMark/>
          </w:tcPr>
          <w:p w14:paraId="71C899D2" w14:textId="77777777" w:rsidR="008F071D" w:rsidRPr="00E14060" w:rsidRDefault="008F071D" w:rsidP="00106D7E">
            <w:pPr>
              <w:jc w:val="center"/>
              <w:rPr>
                <w:sz w:val="22"/>
                <w:szCs w:val="22"/>
                <w:lang w:val="en-GB"/>
              </w:rPr>
            </w:pPr>
            <w:r w:rsidRPr="00E14060">
              <w:rPr>
                <w:sz w:val="22"/>
                <w:szCs w:val="22"/>
                <w:lang w:val="en-GB"/>
              </w:rPr>
              <w:t>(1.69, 2.95)</w:t>
            </w:r>
          </w:p>
        </w:tc>
      </w:tr>
      <w:tr w:rsidR="00F334F9" w:rsidRPr="00E14060" w14:paraId="5C944529" w14:textId="77777777" w:rsidTr="008F071D">
        <w:trPr>
          <w:trHeight w:val="300"/>
        </w:trPr>
        <w:tc>
          <w:tcPr>
            <w:tcW w:w="222" w:type="dxa"/>
            <w:tcBorders>
              <w:top w:val="nil"/>
              <w:left w:val="nil"/>
              <w:bottom w:val="nil"/>
              <w:right w:val="nil"/>
            </w:tcBorders>
            <w:shd w:val="clear" w:color="auto" w:fill="auto"/>
            <w:noWrap/>
            <w:vAlign w:val="bottom"/>
            <w:hideMark/>
          </w:tcPr>
          <w:p w14:paraId="26875AD2" w14:textId="77777777" w:rsidR="008F071D" w:rsidRPr="00E14060" w:rsidRDefault="008F071D" w:rsidP="00106D7E">
            <w:pPr>
              <w:rPr>
                <w:sz w:val="22"/>
                <w:szCs w:val="22"/>
                <w:lang w:val="en-GB"/>
              </w:rPr>
            </w:pPr>
          </w:p>
        </w:tc>
        <w:tc>
          <w:tcPr>
            <w:tcW w:w="1466" w:type="dxa"/>
            <w:tcBorders>
              <w:top w:val="nil"/>
              <w:left w:val="nil"/>
              <w:bottom w:val="nil"/>
              <w:right w:val="nil"/>
            </w:tcBorders>
            <w:shd w:val="clear" w:color="auto" w:fill="auto"/>
            <w:noWrap/>
            <w:vAlign w:val="bottom"/>
            <w:hideMark/>
          </w:tcPr>
          <w:p w14:paraId="31B3F5D1" w14:textId="77777777" w:rsidR="008F071D" w:rsidRPr="00E14060" w:rsidRDefault="008F071D" w:rsidP="00106D7E">
            <w:pPr>
              <w:rPr>
                <w:b/>
                <w:bCs/>
                <w:sz w:val="22"/>
                <w:szCs w:val="22"/>
                <w:lang w:val="en-GB"/>
              </w:rPr>
            </w:pPr>
            <w:r w:rsidRPr="00E14060">
              <w:rPr>
                <w:b/>
                <w:bCs/>
                <w:sz w:val="22"/>
                <w:szCs w:val="22"/>
                <w:lang w:val="en-GB"/>
              </w:rPr>
              <w:t>ATX</w:t>
            </w:r>
          </w:p>
        </w:tc>
        <w:tc>
          <w:tcPr>
            <w:tcW w:w="271" w:type="dxa"/>
            <w:tcBorders>
              <w:top w:val="nil"/>
              <w:left w:val="nil"/>
              <w:bottom w:val="nil"/>
              <w:right w:val="nil"/>
            </w:tcBorders>
            <w:shd w:val="clear" w:color="auto" w:fill="auto"/>
            <w:noWrap/>
            <w:vAlign w:val="bottom"/>
            <w:hideMark/>
          </w:tcPr>
          <w:p w14:paraId="5FEA305C" w14:textId="77777777" w:rsidR="008F071D" w:rsidRPr="00E14060" w:rsidRDefault="008F071D" w:rsidP="00106D7E">
            <w:pPr>
              <w:rPr>
                <w:b/>
                <w:bCs/>
                <w:sz w:val="22"/>
                <w:szCs w:val="22"/>
                <w:lang w:val="en-GB"/>
              </w:rPr>
            </w:pPr>
          </w:p>
        </w:tc>
        <w:tc>
          <w:tcPr>
            <w:tcW w:w="3735" w:type="dxa"/>
            <w:tcBorders>
              <w:top w:val="nil"/>
              <w:left w:val="nil"/>
              <w:bottom w:val="nil"/>
              <w:right w:val="nil"/>
            </w:tcBorders>
            <w:shd w:val="clear" w:color="auto" w:fill="auto"/>
            <w:noWrap/>
            <w:vAlign w:val="bottom"/>
            <w:hideMark/>
          </w:tcPr>
          <w:p w14:paraId="364E26AB" w14:textId="77777777" w:rsidR="008F071D" w:rsidRPr="00E14060" w:rsidRDefault="008F071D" w:rsidP="00106D7E">
            <w:pPr>
              <w:jc w:val="center"/>
              <w:rPr>
                <w:sz w:val="22"/>
                <w:szCs w:val="22"/>
                <w:lang w:val="en-GB"/>
              </w:rPr>
            </w:pPr>
            <w:r w:rsidRPr="00E14060">
              <w:rPr>
                <w:sz w:val="22"/>
                <w:szCs w:val="22"/>
                <w:lang w:val="en-GB"/>
              </w:rPr>
              <w:t>1.41</w:t>
            </w:r>
          </w:p>
        </w:tc>
        <w:tc>
          <w:tcPr>
            <w:tcW w:w="5214" w:type="dxa"/>
            <w:tcBorders>
              <w:top w:val="nil"/>
              <w:left w:val="nil"/>
              <w:bottom w:val="nil"/>
              <w:right w:val="nil"/>
            </w:tcBorders>
            <w:shd w:val="clear" w:color="auto" w:fill="auto"/>
            <w:noWrap/>
            <w:vAlign w:val="bottom"/>
            <w:hideMark/>
          </w:tcPr>
          <w:p w14:paraId="6F2E4184" w14:textId="77777777" w:rsidR="008F071D" w:rsidRPr="00E14060" w:rsidRDefault="008F071D" w:rsidP="00106D7E">
            <w:pPr>
              <w:jc w:val="center"/>
              <w:rPr>
                <w:sz w:val="22"/>
                <w:szCs w:val="22"/>
                <w:lang w:val="en-GB"/>
              </w:rPr>
            </w:pPr>
            <w:r w:rsidRPr="00E14060">
              <w:rPr>
                <w:sz w:val="22"/>
                <w:szCs w:val="22"/>
                <w:lang w:val="en-GB"/>
              </w:rPr>
              <w:t>(1.24, 1.60)</w:t>
            </w:r>
          </w:p>
        </w:tc>
      </w:tr>
      <w:tr w:rsidR="00F334F9" w:rsidRPr="00E14060" w14:paraId="6AACE732" w14:textId="77777777" w:rsidTr="008F071D">
        <w:trPr>
          <w:trHeight w:val="300"/>
        </w:trPr>
        <w:tc>
          <w:tcPr>
            <w:tcW w:w="222" w:type="dxa"/>
            <w:tcBorders>
              <w:top w:val="nil"/>
              <w:left w:val="nil"/>
              <w:bottom w:val="nil"/>
              <w:right w:val="nil"/>
            </w:tcBorders>
            <w:shd w:val="clear" w:color="auto" w:fill="auto"/>
            <w:noWrap/>
            <w:vAlign w:val="bottom"/>
            <w:hideMark/>
          </w:tcPr>
          <w:p w14:paraId="3F2E186D" w14:textId="77777777" w:rsidR="008F071D" w:rsidRPr="00E14060" w:rsidRDefault="008F071D" w:rsidP="00106D7E">
            <w:pPr>
              <w:rPr>
                <w:sz w:val="22"/>
                <w:szCs w:val="22"/>
                <w:lang w:val="en-GB"/>
              </w:rPr>
            </w:pPr>
          </w:p>
        </w:tc>
        <w:tc>
          <w:tcPr>
            <w:tcW w:w="1466" w:type="dxa"/>
            <w:tcBorders>
              <w:top w:val="nil"/>
              <w:left w:val="nil"/>
              <w:bottom w:val="single" w:sz="4" w:space="0" w:color="auto"/>
              <w:right w:val="nil"/>
            </w:tcBorders>
            <w:shd w:val="clear" w:color="auto" w:fill="auto"/>
            <w:noWrap/>
            <w:vAlign w:val="bottom"/>
            <w:hideMark/>
          </w:tcPr>
          <w:p w14:paraId="666BE1F7" w14:textId="77777777" w:rsidR="008F071D" w:rsidRPr="00E14060" w:rsidRDefault="008F071D" w:rsidP="00106D7E">
            <w:pPr>
              <w:rPr>
                <w:b/>
                <w:bCs/>
                <w:sz w:val="22"/>
                <w:szCs w:val="22"/>
                <w:lang w:val="en-GB"/>
              </w:rPr>
            </w:pPr>
            <w:r w:rsidRPr="00E14060">
              <w:rPr>
                <w:b/>
                <w:bCs/>
                <w:sz w:val="22"/>
                <w:szCs w:val="22"/>
                <w:lang w:val="en-GB"/>
              </w:rPr>
              <w:t>MPH-ER</w:t>
            </w:r>
          </w:p>
        </w:tc>
        <w:tc>
          <w:tcPr>
            <w:tcW w:w="271" w:type="dxa"/>
            <w:tcBorders>
              <w:top w:val="nil"/>
              <w:left w:val="nil"/>
              <w:bottom w:val="single" w:sz="4" w:space="0" w:color="auto"/>
              <w:right w:val="nil"/>
            </w:tcBorders>
            <w:shd w:val="clear" w:color="auto" w:fill="auto"/>
            <w:noWrap/>
            <w:vAlign w:val="bottom"/>
            <w:hideMark/>
          </w:tcPr>
          <w:p w14:paraId="53C8AECD" w14:textId="77777777" w:rsidR="008F071D" w:rsidRPr="00E14060" w:rsidRDefault="008F071D" w:rsidP="00106D7E">
            <w:pPr>
              <w:rPr>
                <w:b/>
                <w:bCs/>
                <w:sz w:val="22"/>
                <w:szCs w:val="22"/>
                <w:lang w:val="en-GB"/>
              </w:rPr>
            </w:pPr>
            <w:r w:rsidRPr="00E14060">
              <w:rPr>
                <w:b/>
                <w:bCs/>
                <w:sz w:val="22"/>
                <w:szCs w:val="22"/>
                <w:lang w:val="en-GB"/>
              </w:rPr>
              <w:t> </w:t>
            </w:r>
          </w:p>
        </w:tc>
        <w:tc>
          <w:tcPr>
            <w:tcW w:w="3735" w:type="dxa"/>
            <w:tcBorders>
              <w:top w:val="nil"/>
              <w:left w:val="nil"/>
              <w:bottom w:val="single" w:sz="4" w:space="0" w:color="auto"/>
              <w:right w:val="nil"/>
            </w:tcBorders>
            <w:shd w:val="clear" w:color="auto" w:fill="auto"/>
            <w:noWrap/>
            <w:vAlign w:val="bottom"/>
            <w:hideMark/>
          </w:tcPr>
          <w:p w14:paraId="54E6C1CB" w14:textId="77777777" w:rsidR="008F071D" w:rsidRPr="00E14060" w:rsidRDefault="008F071D" w:rsidP="00106D7E">
            <w:pPr>
              <w:jc w:val="center"/>
              <w:rPr>
                <w:sz w:val="22"/>
                <w:szCs w:val="22"/>
                <w:lang w:val="en-GB"/>
              </w:rPr>
            </w:pPr>
            <w:r w:rsidRPr="00E14060">
              <w:rPr>
                <w:sz w:val="22"/>
                <w:szCs w:val="22"/>
                <w:lang w:val="en-GB"/>
              </w:rPr>
              <w:t>1.80</w:t>
            </w:r>
          </w:p>
        </w:tc>
        <w:tc>
          <w:tcPr>
            <w:tcW w:w="5214" w:type="dxa"/>
            <w:tcBorders>
              <w:top w:val="nil"/>
              <w:left w:val="nil"/>
              <w:bottom w:val="single" w:sz="4" w:space="0" w:color="auto"/>
              <w:right w:val="nil"/>
            </w:tcBorders>
            <w:shd w:val="clear" w:color="auto" w:fill="auto"/>
            <w:noWrap/>
            <w:vAlign w:val="bottom"/>
            <w:hideMark/>
          </w:tcPr>
          <w:p w14:paraId="33A561FD" w14:textId="77777777" w:rsidR="008F071D" w:rsidRPr="00E14060" w:rsidRDefault="008F071D" w:rsidP="00106D7E">
            <w:pPr>
              <w:jc w:val="center"/>
              <w:rPr>
                <w:sz w:val="22"/>
                <w:szCs w:val="22"/>
                <w:lang w:val="en-GB"/>
              </w:rPr>
            </w:pPr>
            <w:r w:rsidRPr="00E14060">
              <w:rPr>
                <w:sz w:val="22"/>
                <w:szCs w:val="22"/>
                <w:lang w:val="en-GB"/>
              </w:rPr>
              <w:t>(1.43, 2.27)</w:t>
            </w:r>
          </w:p>
        </w:tc>
      </w:tr>
    </w:tbl>
    <w:p w14:paraId="062E6387" w14:textId="77777777" w:rsidR="003D1022" w:rsidRPr="00E14060" w:rsidRDefault="003D1022">
      <w:pPr>
        <w:rPr>
          <w:b/>
          <w:caps/>
          <w:sz w:val="28"/>
          <w:lang w:val="en-GB"/>
        </w:rPr>
      </w:pPr>
      <w:r w:rsidRPr="00E14060">
        <w:rPr>
          <w:lang w:val="en-GB"/>
        </w:rPr>
        <w:br w:type="page"/>
      </w:r>
    </w:p>
    <w:p w14:paraId="3CACD6E9" w14:textId="77777777" w:rsidR="001E0D86" w:rsidRPr="00E14060" w:rsidRDefault="00993CA5" w:rsidP="001E0D86">
      <w:pPr>
        <w:pStyle w:val="Heading1"/>
        <w:rPr>
          <w:color w:val="auto"/>
          <w:lang w:val="en-GB"/>
        </w:rPr>
      </w:pPr>
      <w:bookmarkStart w:id="322" w:name="_Toc402543858"/>
      <w:r w:rsidRPr="00E14060">
        <w:rPr>
          <w:color w:val="auto"/>
          <w:lang w:val="en-GB"/>
        </w:rPr>
        <w:lastRenderedPageBreak/>
        <w:t>Discussion</w:t>
      </w:r>
      <w:bookmarkEnd w:id="318"/>
      <w:bookmarkEnd w:id="319"/>
      <w:bookmarkEnd w:id="322"/>
    </w:p>
    <w:p w14:paraId="4DBD6A35" w14:textId="77777777" w:rsidR="001E0D86" w:rsidRPr="00E14060" w:rsidRDefault="001E0D86" w:rsidP="009375DF">
      <w:pPr>
        <w:pStyle w:val="Heading2"/>
        <w:tabs>
          <w:tab w:val="clear" w:pos="936"/>
          <w:tab w:val="clear" w:pos="1152"/>
          <w:tab w:val="left" w:pos="-90"/>
          <w:tab w:val="num" w:pos="0"/>
        </w:tabs>
        <w:ind w:left="0" w:firstLine="0"/>
        <w:rPr>
          <w:color w:val="auto"/>
          <w:lang w:val="en-GB"/>
        </w:rPr>
      </w:pPr>
      <w:bookmarkStart w:id="323" w:name="_Toc384683033"/>
      <w:bookmarkStart w:id="324" w:name="_Toc391913787"/>
      <w:bookmarkStart w:id="325" w:name="_Toc402543859"/>
      <w:r w:rsidRPr="00E14060">
        <w:rPr>
          <w:color w:val="auto"/>
          <w:lang w:val="en-GB"/>
        </w:rPr>
        <w:t>Summary of Results</w:t>
      </w:r>
      <w:bookmarkEnd w:id="323"/>
      <w:bookmarkEnd w:id="324"/>
      <w:bookmarkEnd w:id="325"/>
    </w:p>
    <w:p w14:paraId="76A04A9E" w14:textId="77777777" w:rsidR="001E0D86" w:rsidRPr="00E14060" w:rsidRDefault="001E0D86" w:rsidP="009375DF">
      <w:pPr>
        <w:spacing w:before="240" w:after="240" w:line="360" w:lineRule="auto"/>
        <w:rPr>
          <w:sz w:val="24"/>
          <w:szCs w:val="24"/>
          <w:lang w:val="en-GB"/>
        </w:rPr>
      </w:pPr>
      <w:r w:rsidRPr="00E14060">
        <w:rPr>
          <w:sz w:val="24"/>
          <w:szCs w:val="24"/>
          <w:lang w:val="en-GB"/>
        </w:rPr>
        <w:t xml:space="preserve">Overall, the Bayesian analysis found that LDX had numerically better efficacy outcomes compared to other available pharmacologic treatments ATX and MPH. </w:t>
      </w:r>
      <w:r w:rsidR="000D66B7" w:rsidRPr="00E14060">
        <w:rPr>
          <w:sz w:val="24"/>
          <w:szCs w:val="24"/>
          <w:lang w:val="en-GB" w:eastAsia="zh-CN"/>
        </w:rPr>
        <w:t>In one set of analyses –</w:t>
      </w:r>
      <w:r w:rsidR="009B3B2E" w:rsidRPr="00E14060">
        <w:rPr>
          <w:sz w:val="24"/>
          <w:szCs w:val="24"/>
          <w:lang w:val="en-GB" w:eastAsia="zh-CN"/>
        </w:rPr>
        <w:t xml:space="preserve"> </w:t>
      </w:r>
      <w:r w:rsidR="000D66B7" w:rsidRPr="00E14060">
        <w:rPr>
          <w:sz w:val="24"/>
          <w:szCs w:val="24"/>
          <w:lang w:val="en-GB" w:eastAsia="zh-CN"/>
        </w:rPr>
        <w:t>ADHD-RS-IV</w:t>
      </w:r>
      <w:r w:rsidR="009B3B2E" w:rsidRPr="00E14060">
        <w:rPr>
          <w:sz w:val="24"/>
          <w:szCs w:val="24"/>
          <w:lang w:val="en-GB" w:eastAsia="zh-CN"/>
        </w:rPr>
        <w:t>/</w:t>
      </w:r>
      <w:r w:rsidR="000D66B7" w:rsidRPr="00E14060">
        <w:rPr>
          <w:sz w:val="24"/>
          <w:szCs w:val="24"/>
          <w:lang w:val="en-GB" w:eastAsia="zh-CN"/>
        </w:rPr>
        <w:t xml:space="preserve">AISRS </w:t>
      </w:r>
      <w:r w:rsidR="009B3B2E" w:rsidRPr="00E14060">
        <w:rPr>
          <w:sz w:val="24"/>
          <w:szCs w:val="24"/>
          <w:lang w:val="en-GB" w:eastAsia="zh-CN"/>
        </w:rPr>
        <w:t>change</w:t>
      </w:r>
      <w:r w:rsidR="000D66B7" w:rsidRPr="00E14060">
        <w:rPr>
          <w:sz w:val="24"/>
          <w:szCs w:val="24"/>
          <w:lang w:val="en-GB" w:eastAsia="zh-CN"/>
        </w:rPr>
        <w:t xml:space="preserve"> – the results were statistically significant. However, in all other efficacy analyses, </w:t>
      </w:r>
      <w:r w:rsidRPr="00E14060">
        <w:rPr>
          <w:sz w:val="24"/>
          <w:szCs w:val="24"/>
          <w:lang w:val="en-GB"/>
        </w:rPr>
        <w:t xml:space="preserve">there was overlap in the </w:t>
      </w:r>
      <w:r w:rsidR="00F71D5A" w:rsidRPr="00E14060">
        <w:rPr>
          <w:sz w:val="24"/>
          <w:szCs w:val="24"/>
          <w:lang w:val="en-GB"/>
        </w:rPr>
        <w:t xml:space="preserve">95% posterior </w:t>
      </w:r>
      <w:r w:rsidRPr="00E14060">
        <w:rPr>
          <w:sz w:val="24"/>
          <w:szCs w:val="24"/>
          <w:lang w:val="en-GB"/>
        </w:rPr>
        <w:t xml:space="preserve">credible intervals </w:t>
      </w:r>
      <w:r w:rsidR="00F71D5A" w:rsidRPr="00E14060">
        <w:rPr>
          <w:sz w:val="24"/>
          <w:szCs w:val="24"/>
          <w:lang w:val="en-GB"/>
        </w:rPr>
        <w:t>of</w:t>
      </w:r>
      <w:r w:rsidRPr="00E14060">
        <w:rPr>
          <w:sz w:val="24"/>
          <w:szCs w:val="24"/>
          <w:lang w:val="en-GB"/>
        </w:rPr>
        <w:t xml:space="preserve"> LDX and ATX or MPH. The Bayesian nature of our analysis allowed us to calculate an additional measure – the probability of being the most efficacious treatment – to provide additional information when no </w:t>
      </w:r>
      <w:r w:rsidR="00F71D5A" w:rsidRPr="00E14060">
        <w:rPr>
          <w:sz w:val="24"/>
          <w:szCs w:val="24"/>
          <w:lang w:val="en-GB"/>
        </w:rPr>
        <w:t>separation in credible intervals</w:t>
      </w:r>
      <w:r w:rsidRPr="00E14060">
        <w:rPr>
          <w:sz w:val="24"/>
          <w:szCs w:val="24"/>
          <w:lang w:val="en-GB"/>
        </w:rPr>
        <w:t xml:space="preserve"> </w:t>
      </w:r>
      <w:r w:rsidR="00F71D5A" w:rsidRPr="00E14060">
        <w:rPr>
          <w:sz w:val="24"/>
          <w:szCs w:val="24"/>
          <w:lang w:val="en-GB"/>
        </w:rPr>
        <w:t xml:space="preserve">was </w:t>
      </w:r>
      <w:r w:rsidRPr="00E14060">
        <w:rPr>
          <w:sz w:val="24"/>
          <w:szCs w:val="24"/>
          <w:lang w:val="en-GB"/>
        </w:rPr>
        <w:t>observed. LDX was shown to have greater than 85% probability of being the most efficacious treatment for all combined dose analyses of both ADHD-RS-IV change and CGI-I response. To provide further confidence in these results, a frequentist analysis was also conducted, and the results were consistent with the Bayesian analysis. The clinical advantage of LDX</w:t>
      </w:r>
      <w:r w:rsidR="00212F97" w:rsidRPr="00E14060">
        <w:rPr>
          <w:lang w:val="en-GB"/>
        </w:rPr>
        <w:t xml:space="preserve"> </w:t>
      </w:r>
      <w:r w:rsidR="00212F97" w:rsidRPr="00E14060">
        <w:rPr>
          <w:sz w:val="24"/>
          <w:szCs w:val="24"/>
          <w:lang w:val="en-GB"/>
        </w:rPr>
        <w:t>in efficacy analyses was consistent across Bayesian and frequentist sensitivity analyses, in terms of both the treatment effect and the posterior probability of treatment superiority estimated from Bayesian analysis.</w:t>
      </w:r>
    </w:p>
    <w:p w14:paraId="7E5B87A8" w14:textId="2B2C0F6E" w:rsidR="001E0D86" w:rsidRPr="00E14060" w:rsidRDefault="001E0D86" w:rsidP="009375DF">
      <w:pPr>
        <w:spacing w:before="240" w:after="240" w:line="360" w:lineRule="auto"/>
        <w:rPr>
          <w:sz w:val="24"/>
          <w:szCs w:val="24"/>
          <w:lang w:val="en-GB"/>
        </w:rPr>
      </w:pPr>
      <w:r w:rsidRPr="00E14060">
        <w:rPr>
          <w:sz w:val="24"/>
          <w:szCs w:val="24"/>
          <w:lang w:val="en-GB"/>
        </w:rPr>
        <w:t xml:space="preserve">LDX had </w:t>
      </w:r>
      <w:r w:rsidR="00A976CB" w:rsidRPr="00E14060">
        <w:rPr>
          <w:sz w:val="24"/>
          <w:szCs w:val="24"/>
          <w:lang w:val="en-GB"/>
        </w:rPr>
        <w:t xml:space="preserve">a </w:t>
      </w:r>
      <w:r w:rsidRPr="00E14060">
        <w:rPr>
          <w:sz w:val="24"/>
          <w:szCs w:val="24"/>
          <w:lang w:val="en-GB"/>
        </w:rPr>
        <w:t xml:space="preserve">lower relative risk for all-cause discontinuation compared to ATX and MPH. No </w:t>
      </w:r>
      <w:r w:rsidR="00B61DA6" w:rsidRPr="00E14060">
        <w:rPr>
          <w:sz w:val="24"/>
          <w:szCs w:val="24"/>
          <w:lang w:val="en-GB"/>
        </w:rPr>
        <w:t>separation in credible intervals was observed</w:t>
      </w:r>
      <w:r w:rsidRPr="00E14060">
        <w:rPr>
          <w:sz w:val="24"/>
          <w:szCs w:val="24"/>
          <w:lang w:val="en-GB"/>
        </w:rPr>
        <w:t xml:space="preserve"> between LDX and ATX or MPH</w:t>
      </w:r>
      <w:r w:rsidR="00B61DA6" w:rsidRPr="00E14060">
        <w:rPr>
          <w:sz w:val="24"/>
          <w:szCs w:val="24"/>
          <w:lang w:val="en-GB"/>
        </w:rPr>
        <w:t xml:space="preserve"> in the Bayesian analyses, and the difference was not statistically significant in frequentist analyses</w:t>
      </w:r>
      <w:r w:rsidRPr="00E14060">
        <w:rPr>
          <w:sz w:val="24"/>
          <w:szCs w:val="24"/>
          <w:lang w:val="en-GB"/>
        </w:rPr>
        <w:t>. ATX and MPH-ER had a lower relative risk for discontinuation due to adverse events than LDX</w:t>
      </w:r>
      <w:r w:rsidR="00DD31FC" w:rsidRPr="00E14060">
        <w:rPr>
          <w:sz w:val="24"/>
          <w:szCs w:val="24"/>
          <w:lang w:val="en-GB"/>
        </w:rPr>
        <w:t xml:space="preserve">, but </w:t>
      </w:r>
      <w:r w:rsidR="00B61DA6" w:rsidRPr="00E14060">
        <w:rPr>
          <w:sz w:val="24"/>
          <w:szCs w:val="24"/>
          <w:lang w:val="en-GB"/>
        </w:rPr>
        <w:t xml:space="preserve">there </w:t>
      </w:r>
      <w:r w:rsidR="00EC4FF8" w:rsidRPr="00E14060">
        <w:rPr>
          <w:sz w:val="24"/>
          <w:szCs w:val="24"/>
          <w:lang w:val="en-GB"/>
        </w:rPr>
        <w:t>was considerable</w:t>
      </w:r>
      <w:r w:rsidR="00B61DA6" w:rsidRPr="00E14060">
        <w:rPr>
          <w:sz w:val="24"/>
          <w:szCs w:val="24"/>
          <w:lang w:val="en-GB"/>
        </w:rPr>
        <w:t xml:space="preserve"> overlap in the </w:t>
      </w:r>
      <w:r w:rsidR="00272B6B" w:rsidRPr="00E14060">
        <w:rPr>
          <w:sz w:val="24"/>
          <w:szCs w:val="24"/>
          <w:lang w:val="en-GB"/>
        </w:rPr>
        <w:t>posterior credible intervals</w:t>
      </w:r>
      <w:r w:rsidRPr="00E14060">
        <w:rPr>
          <w:sz w:val="24"/>
          <w:szCs w:val="24"/>
          <w:lang w:val="en-GB"/>
        </w:rPr>
        <w:t xml:space="preserve">. </w:t>
      </w:r>
      <w:r w:rsidR="00DD31FC" w:rsidRPr="00E14060">
        <w:rPr>
          <w:sz w:val="24"/>
          <w:szCs w:val="24"/>
          <w:lang w:val="en-GB"/>
        </w:rPr>
        <w:t>D</w:t>
      </w:r>
      <w:r w:rsidRPr="00E14060">
        <w:rPr>
          <w:sz w:val="24"/>
          <w:szCs w:val="24"/>
          <w:lang w:val="en-GB"/>
        </w:rPr>
        <w:t>ue to the shapes of the posterior distributions, LDX had the highest probability of being the most tolerable treatment, followed closely by the other treatments.</w:t>
      </w:r>
      <w:r w:rsidR="00241DBD" w:rsidRPr="00E14060">
        <w:rPr>
          <w:sz w:val="24"/>
          <w:szCs w:val="24"/>
          <w:lang w:val="en-GB"/>
        </w:rPr>
        <w:t xml:space="preserve"> </w:t>
      </w:r>
      <w:r w:rsidRPr="00E14060">
        <w:rPr>
          <w:sz w:val="24"/>
          <w:szCs w:val="24"/>
          <w:lang w:val="en-GB"/>
        </w:rPr>
        <w:t xml:space="preserve">Furthermore, the relative risk of adverse events discontinuation for LDX was still lower than that for MPH-IR, which is currently recommended as a first-line treatment for ADHD </w:t>
      </w:r>
      <w:r w:rsidR="005E6832" w:rsidRPr="00E14060">
        <w:rPr>
          <w:sz w:val="24"/>
          <w:szCs w:val="24"/>
          <w:lang w:val="en-GB"/>
        </w:rPr>
        <w:t xml:space="preserve">in </w:t>
      </w:r>
      <w:r w:rsidRPr="00E14060">
        <w:rPr>
          <w:sz w:val="24"/>
          <w:szCs w:val="24"/>
          <w:lang w:val="en-GB"/>
        </w:rPr>
        <w:t xml:space="preserve">adults. </w:t>
      </w:r>
    </w:p>
    <w:p w14:paraId="18702667" w14:textId="77777777" w:rsidR="001E0D86" w:rsidRPr="00E14060" w:rsidRDefault="001E0D86" w:rsidP="009375DF">
      <w:pPr>
        <w:spacing w:before="240" w:after="240" w:line="360" w:lineRule="auto"/>
        <w:rPr>
          <w:sz w:val="24"/>
          <w:szCs w:val="24"/>
          <w:lang w:val="en-GB"/>
        </w:rPr>
      </w:pPr>
      <w:r w:rsidRPr="00E14060">
        <w:rPr>
          <w:sz w:val="24"/>
          <w:szCs w:val="24"/>
          <w:lang w:val="en-GB"/>
        </w:rPr>
        <w:lastRenderedPageBreak/>
        <w:t xml:space="preserve">In conclusion, </w:t>
      </w:r>
      <w:r w:rsidR="00F351BC" w:rsidRPr="00E14060">
        <w:rPr>
          <w:sz w:val="24"/>
          <w:szCs w:val="24"/>
          <w:lang w:val="en-GB"/>
        </w:rPr>
        <w:t xml:space="preserve">among the ADHD treatments approved for adults, </w:t>
      </w:r>
      <w:r w:rsidRPr="00E14060">
        <w:rPr>
          <w:sz w:val="24"/>
          <w:szCs w:val="24"/>
          <w:lang w:val="en-GB"/>
        </w:rPr>
        <w:t xml:space="preserve">LDX </w:t>
      </w:r>
      <w:r w:rsidR="00F351BC" w:rsidRPr="00E14060">
        <w:rPr>
          <w:sz w:val="24"/>
          <w:szCs w:val="24"/>
          <w:lang w:val="en-GB"/>
        </w:rPr>
        <w:t xml:space="preserve">was observed to be consistently </w:t>
      </w:r>
      <w:r w:rsidRPr="00E14060">
        <w:rPr>
          <w:sz w:val="24"/>
          <w:szCs w:val="24"/>
          <w:lang w:val="en-GB"/>
        </w:rPr>
        <w:t xml:space="preserve">advantageous </w:t>
      </w:r>
      <w:r w:rsidR="00F351BC" w:rsidRPr="00E14060">
        <w:rPr>
          <w:sz w:val="24"/>
          <w:szCs w:val="24"/>
          <w:lang w:val="en-GB"/>
        </w:rPr>
        <w:t>due to its</w:t>
      </w:r>
      <w:r w:rsidRPr="00E14060">
        <w:rPr>
          <w:sz w:val="24"/>
          <w:szCs w:val="24"/>
          <w:lang w:val="en-GB"/>
        </w:rPr>
        <w:t xml:space="preserve"> numerically </w:t>
      </w:r>
      <w:r w:rsidR="00B61DA6" w:rsidRPr="00E14060">
        <w:rPr>
          <w:sz w:val="24"/>
          <w:szCs w:val="24"/>
          <w:lang w:val="en-GB"/>
        </w:rPr>
        <w:t>greater</w:t>
      </w:r>
      <w:r w:rsidR="00F351BC" w:rsidRPr="00E14060">
        <w:rPr>
          <w:sz w:val="24"/>
          <w:szCs w:val="24"/>
          <w:lang w:val="en-GB"/>
        </w:rPr>
        <w:t xml:space="preserve"> </w:t>
      </w:r>
      <w:r w:rsidRPr="00E14060">
        <w:rPr>
          <w:sz w:val="24"/>
          <w:szCs w:val="24"/>
          <w:lang w:val="en-GB"/>
        </w:rPr>
        <w:t xml:space="preserve">efficacy results and </w:t>
      </w:r>
      <w:r w:rsidR="00F351BC" w:rsidRPr="00E14060">
        <w:rPr>
          <w:sz w:val="24"/>
          <w:szCs w:val="24"/>
          <w:lang w:val="en-GB"/>
        </w:rPr>
        <w:t>safety profile comparable to other treatments.</w:t>
      </w:r>
    </w:p>
    <w:p w14:paraId="217E0653" w14:textId="77777777" w:rsidR="001E0D86" w:rsidRPr="00E14060" w:rsidRDefault="001E0D86" w:rsidP="009375DF">
      <w:pPr>
        <w:spacing w:before="240" w:after="240" w:line="360" w:lineRule="auto"/>
        <w:rPr>
          <w:sz w:val="24"/>
          <w:szCs w:val="24"/>
          <w:lang w:val="en-GB"/>
        </w:rPr>
      </w:pPr>
    </w:p>
    <w:p w14:paraId="7AC56DDF" w14:textId="77777777" w:rsidR="00262ED7" w:rsidRPr="00E14060" w:rsidRDefault="00262ED7" w:rsidP="009375DF">
      <w:pPr>
        <w:spacing w:before="240" w:after="240" w:line="360" w:lineRule="auto"/>
        <w:rPr>
          <w:sz w:val="24"/>
          <w:szCs w:val="24"/>
          <w:lang w:val="en-GB"/>
        </w:rPr>
      </w:pPr>
      <w:r w:rsidRPr="00E14060">
        <w:rPr>
          <w:sz w:val="24"/>
          <w:szCs w:val="24"/>
          <w:lang w:val="en-GB"/>
        </w:rPr>
        <w:br w:type="page"/>
      </w:r>
    </w:p>
    <w:p w14:paraId="03150E69" w14:textId="77777777" w:rsidR="00F1511E" w:rsidRPr="00E14060" w:rsidRDefault="001E0D86" w:rsidP="009375DF">
      <w:pPr>
        <w:pStyle w:val="Heading2"/>
        <w:tabs>
          <w:tab w:val="clear" w:pos="936"/>
          <w:tab w:val="clear" w:pos="1152"/>
          <w:tab w:val="left" w:pos="-90"/>
          <w:tab w:val="num" w:pos="0"/>
        </w:tabs>
        <w:ind w:left="0" w:firstLine="0"/>
        <w:rPr>
          <w:color w:val="auto"/>
          <w:lang w:val="en-GB"/>
        </w:rPr>
      </w:pPr>
      <w:bookmarkStart w:id="326" w:name="_Toc384683034"/>
      <w:bookmarkStart w:id="327" w:name="_Toc391913788"/>
      <w:bookmarkStart w:id="328" w:name="_Toc402543860"/>
      <w:r w:rsidRPr="00E14060">
        <w:rPr>
          <w:color w:val="auto"/>
          <w:lang w:val="en-GB"/>
        </w:rPr>
        <w:lastRenderedPageBreak/>
        <w:t>Study Limitation</w:t>
      </w:r>
      <w:r w:rsidR="00A37DD6" w:rsidRPr="00E14060">
        <w:rPr>
          <w:color w:val="auto"/>
          <w:lang w:val="en-GB"/>
        </w:rPr>
        <w:t>s</w:t>
      </w:r>
      <w:bookmarkEnd w:id="326"/>
      <w:bookmarkEnd w:id="327"/>
      <w:bookmarkEnd w:id="328"/>
    </w:p>
    <w:p w14:paraId="59D67223" w14:textId="034B7B9F" w:rsidR="00F1511E" w:rsidRPr="00E14060" w:rsidRDefault="00F1511E" w:rsidP="009375DF">
      <w:pPr>
        <w:spacing w:before="240" w:after="240" w:line="360" w:lineRule="auto"/>
        <w:rPr>
          <w:szCs w:val="24"/>
          <w:lang w:val="en-GB"/>
        </w:rPr>
      </w:pPr>
      <w:r w:rsidRPr="00E14060">
        <w:rPr>
          <w:sz w:val="24"/>
          <w:szCs w:val="24"/>
          <w:lang w:val="en-GB"/>
        </w:rPr>
        <w:t xml:space="preserve">There are several limitations in </w:t>
      </w:r>
      <w:r w:rsidR="000E1697" w:rsidRPr="00E14060">
        <w:rPr>
          <w:sz w:val="24"/>
          <w:szCs w:val="24"/>
          <w:lang w:val="en-GB"/>
        </w:rPr>
        <w:t xml:space="preserve">mixed treatment comparisons via </w:t>
      </w:r>
      <w:r w:rsidRPr="00E14060">
        <w:rPr>
          <w:sz w:val="24"/>
          <w:szCs w:val="24"/>
          <w:lang w:val="en-GB"/>
        </w:rPr>
        <w:t>network meta-analys</w:t>
      </w:r>
      <w:r w:rsidR="000E1697" w:rsidRPr="00E14060">
        <w:rPr>
          <w:sz w:val="24"/>
          <w:szCs w:val="24"/>
          <w:lang w:val="en-GB"/>
        </w:rPr>
        <w:t>i</w:t>
      </w:r>
      <w:r w:rsidRPr="00E14060">
        <w:rPr>
          <w:sz w:val="24"/>
          <w:szCs w:val="24"/>
          <w:lang w:val="en-GB"/>
        </w:rPr>
        <w:t xml:space="preserve">s. </w:t>
      </w:r>
      <w:r w:rsidR="009653BE" w:rsidRPr="00E14060">
        <w:rPr>
          <w:sz w:val="24"/>
          <w:szCs w:val="24"/>
          <w:lang w:val="en-GB"/>
        </w:rPr>
        <w:t xml:space="preserve">First, the review is necessarily limited by the </w:t>
      </w:r>
      <w:r w:rsidR="007340B7" w:rsidRPr="00E14060">
        <w:rPr>
          <w:sz w:val="24"/>
          <w:szCs w:val="24"/>
          <w:lang w:val="en-GB"/>
        </w:rPr>
        <w:t xml:space="preserve">number of prior studies available and the total </w:t>
      </w:r>
      <w:r w:rsidR="009653BE" w:rsidRPr="00E14060">
        <w:rPr>
          <w:sz w:val="24"/>
          <w:szCs w:val="24"/>
          <w:lang w:val="en-GB"/>
        </w:rPr>
        <w:t xml:space="preserve">sample sizes </w:t>
      </w:r>
      <w:r w:rsidR="007340B7" w:rsidRPr="00E14060">
        <w:rPr>
          <w:sz w:val="24"/>
          <w:szCs w:val="24"/>
          <w:lang w:val="en-GB"/>
        </w:rPr>
        <w:t>available from the p</w:t>
      </w:r>
      <w:r w:rsidR="009653BE" w:rsidRPr="00E14060">
        <w:rPr>
          <w:sz w:val="24"/>
          <w:szCs w:val="24"/>
          <w:lang w:val="en-GB"/>
        </w:rPr>
        <w:t>rior studies.</w:t>
      </w:r>
      <w:r w:rsidR="00241DBD" w:rsidRPr="00E14060">
        <w:rPr>
          <w:sz w:val="24"/>
          <w:szCs w:val="24"/>
          <w:lang w:val="en-GB"/>
        </w:rPr>
        <w:t xml:space="preserve"> </w:t>
      </w:r>
      <w:r w:rsidR="007340B7" w:rsidRPr="00E14060">
        <w:rPr>
          <w:sz w:val="24"/>
          <w:szCs w:val="24"/>
          <w:lang w:val="en-GB"/>
        </w:rPr>
        <w:t>This led to the need for a</w:t>
      </w:r>
      <w:r w:rsidR="00FF5B74" w:rsidRPr="00E14060">
        <w:rPr>
          <w:sz w:val="24"/>
          <w:szCs w:val="24"/>
          <w:lang w:val="en-GB"/>
        </w:rPr>
        <w:t>n</w:t>
      </w:r>
      <w:r w:rsidR="007340B7" w:rsidRPr="00E14060">
        <w:rPr>
          <w:sz w:val="24"/>
          <w:szCs w:val="24"/>
          <w:lang w:val="en-GB"/>
        </w:rPr>
        <w:t xml:space="preserve"> </w:t>
      </w:r>
      <w:r w:rsidR="00C923B0" w:rsidRPr="00E14060">
        <w:rPr>
          <w:sz w:val="24"/>
          <w:szCs w:val="24"/>
          <w:lang w:val="en-GB"/>
        </w:rPr>
        <w:t>imputation</w:t>
      </w:r>
      <w:r w:rsidR="007340B7" w:rsidRPr="00E14060">
        <w:rPr>
          <w:sz w:val="24"/>
          <w:szCs w:val="24"/>
          <w:lang w:val="en-GB"/>
        </w:rPr>
        <w:t xml:space="preserve"> analysis and limited the precision of the estimates (as measured by the 95% credible intervals).</w:t>
      </w:r>
      <w:r w:rsidR="00241DBD" w:rsidRPr="00E14060">
        <w:rPr>
          <w:sz w:val="24"/>
          <w:szCs w:val="24"/>
          <w:lang w:val="en-GB"/>
        </w:rPr>
        <w:t xml:space="preserve"> </w:t>
      </w:r>
      <w:r w:rsidR="007340B7" w:rsidRPr="00E14060">
        <w:rPr>
          <w:sz w:val="24"/>
          <w:szCs w:val="24"/>
          <w:lang w:val="en-GB"/>
        </w:rPr>
        <w:t>Second</w:t>
      </w:r>
      <w:r w:rsidRPr="00E14060">
        <w:rPr>
          <w:sz w:val="24"/>
          <w:szCs w:val="24"/>
          <w:lang w:val="en-GB"/>
        </w:rPr>
        <w:t xml:space="preserve">, the systematic literature review is based on pre-specified criteria, but excluded trials could contain important information. </w:t>
      </w:r>
      <w:r w:rsidR="007340B7" w:rsidRPr="00E14060">
        <w:rPr>
          <w:sz w:val="24"/>
          <w:szCs w:val="24"/>
          <w:lang w:val="en-GB"/>
        </w:rPr>
        <w:t>Third</w:t>
      </w:r>
      <w:r w:rsidRPr="00E14060">
        <w:rPr>
          <w:sz w:val="24"/>
          <w:szCs w:val="24"/>
          <w:lang w:val="en-GB"/>
        </w:rPr>
        <w:t>, while</w:t>
      </w:r>
      <w:r w:rsidR="00DF4964" w:rsidRPr="00E14060">
        <w:rPr>
          <w:sz w:val="24"/>
          <w:szCs w:val="24"/>
          <w:lang w:val="en-GB"/>
        </w:rPr>
        <w:t xml:space="preserve"> the</w:t>
      </w:r>
      <w:r w:rsidRPr="00E14060">
        <w:rPr>
          <w:sz w:val="24"/>
          <w:szCs w:val="24"/>
          <w:lang w:val="en-GB"/>
        </w:rPr>
        <w:t xml:space="preserve"> best effort was made to include comparable trials, the trials may have had different ways of applying inclusion/exclusion criteria; hence the trial populations may differ. </w:t>
      </w:r>
      <w:r w:rsidR="007340B7" w:rsidRPr="00E14060">
        <w:rPr>
          <w:sz w:val="24"/>
          <w:szCs w:val="24"/>
          <w:lang w:val="en-GB"/>
        </w:rPr>
        <w:t>Fourth</w:t>
      </w:r>
      <w:r w:rsidRPr="00E14060">
        <w:rPr>
          <w:sz w:val="24"/>
          <w:szCs w:val="24"/>
          <w:lang w:val="en-GB"/>
        </w:rPr>
        <w:t xml:space="preserve">, observable differences that were not incorporated into the analysis included differences in trial length and prior treatment. </w:t>
      </w:r>
      <w:r w:rsidR="00D7255E" w:rsidRPr="00E14060">
        <w:rPr>
          <w:sz w:val="24"/>
          <w:szCs w:val="24"/>
          <w:lang w:val="en-GB"/>
        </w:rPr>
        <w:t xml:space="preserve">Longer duration trials may have larger treatment effects, but duration was not adjusted for in this analysis under the assumption that trial duration is chosen according to the drug’s duration of action by trial investigators, as different medications take different amounts of time to </w:t>
      </w:r>
      <w:r w:rsidR="00533118" w:rsidRPr="00E14060">
        <w:rPr>
          <w:sz w:val="24"/>
          <w:szCs w:val="24"/>
          <w:lang w:val="en-GB"/>
        </w:rPr>
        <w:t>take effect.</w:t>
      </w:r>
      <w:r w:rsidR="00241DBD" w:rsidRPr="00E14060">
        <w:rPr>
          <w:sz w:val="24"/>
          <w:szCs w:val="24"/>
          <w:lang w:val="en-GB"/>
        </w:rPr>
        <w:t xml:space="preserve"> </w:t>
      </w:r>
      <w:r w:rsidR="00533118" w:rsidRPr="00E14060">
        <w:rPr>
          <w:sz w:val="24"/>
          <w:szCs w:val="24"/>
          <w:lang w:val="en-GB"/>
        </w:rPr>
        <w:t>Prior treatment may indicate refractory patients in whom a reduced treatment effect</w:t>
      </w:r>
      <w:r w:rsidR="00D7255E" w:rsidRPr="00E14060">
        <w:rPr>
          <w:sz w:val="24"/>
          <w:szCs w:val="24"/>
          <w:lang w:val="en-GB"/>
        </w:rPr>
        <w:t xml:space="preserve"> </w:t>
      </w:r>
      <w:r w:rsidR="00533118" w:rsidRPr="00E14060">
        <w:rPr>
          <w:sz w:val="24"/>
          <w:szCs w:val="24"/>
          <w:lang w:val="en-GB"/>
        </w:rPr>
        <w:t>is likely. The limited number of trials available in adults did not permit an adjustment for prior treatments.</w:t>
      </w:r>
      <w:r w:rsidR="00241DBD" w:rsidRPr="00E14060">
        <w:rPr>
          <w:sz w:val="24"/>
          <w:szCs w:val="24"/>
          <w:lang w:val="en-GB"/>
        </w:rPr>
        <w:t xml:space="preserve"> </w:t>
      </w:r>
      <w:r w:rsidRPr="00E14060">
        <w:rPr>
          <w:sz w:val="24"/>
          <w:szCs w:val="24"/>
          <w:lang w:val="en-GB"/>
        </w:rPr>
        <w:t xml:space="preserve">In addition, </w:t>
      </w:r>
      <w:r w:rsidR="007340B7" w:rsidRPr="00E14060">
        <w:rPr>
          <w:sz w:val="24"/>
          <w:szCs w:val="24"/>
          <w:lang w:val="en-GB"/>
        </w:rPr>
        <w:t xml:space="preserve">differences between the trials in patient characteristics </w:t>
      </w:r>
      <w:r w:rsidRPr="00E14060">
        <w:rPr>
          <w:sz w:val="24"/>
          <w:szCs w:val="24"/>
          <w:lang w:val="en-GB"/>
        </w:rPr>
        <w:t>including age, gender</w:t>
      </w:r>
      <w:r w:rsidR="00DF4964" w:rsidRPr="00E14060">
        <w:rPr>
          <w:sz w:val="24"/>
          <w:szCs w:val="24"/>
          <w:lang w:val="en-GB"/>
        </w:rPr>
        <w:t>,</w:t>
      </w:r>
      <w:r w:rsidRPr="00E14060">
        <w:rPr>
          <w:sz w:val="24"/>
          <w:szCs w:val="24"/>
          <w:lang w:val="en-GB"/>
        </w:rPr>
        <w:t xml:space="preserve"> baseline disease severity, unobserved baseline characteristics</w:t>
      </w:r>
      <w:r w:rsidR="007340B7" w:rsidRPr="00E14060">
        <w:rPr>
          <w:sz w:val="24"/>
          <w:szCs w:val="24"/>
          <w:lang w:val="en-GB"/>
        </w:rPr>
        <w:t>, and other trial level differences</w:t>
      </w:r>
      <w:r w:rsidRPr="00E14060">
        <w:rPr>
          <w:sz w:val="24"/>
          <w:szCs w:val="24"/>
          <w:lang w:val="en-GB"/>
        </w:rPr>
        <w:t xml:space="preserve"> will not be captured in this indirect comparison</w:t>
      </w:r>
      <w:r w:rsidR="007340B7" w:rsidRPr="00E14060">
        <w:rPr>
          <w:sz w:val="24"/>
          <w:szCs w:val="24"/>
          <w:lang w:val="en-GB"/>
        </w:rPr>
        <w:t xml:space="preserve"> due to a lack of information available to adjust for such factors</w:t>
      </w:r>
      <w:r w:rsidRPr="00E14060">
        <w:rPr>
          <w:sz w:val="24"/>
          <w:szCs w:val="24"/>
          <w:lang w:val="en-GB"/>
        </w:rPr>
        <w:t xml:space="preserve">. For example, cross-trial differences in length of treatment duration might limit the precision of comparison. </w:t>
      </w:r>
      <w:r w:rsidR="007340B7" w:rsidRPr="00E14060">
        <w:rPr>
          <w:sz w:val="24"/>
          <w:szCs w:val="24"/>
          <w:lang w:val="en-GB"/>
        </w:rPr>
        <w:t xml:space="preserve">Further research is needed to identify subgroups of patients who might benefit more from specific treatments. </w:t>
      </w:r>
      <w:r w:rsidR="003370A4" w:rsidRPr="00E14060">
        <w:rPr>
          <w:sz w:val="24"/>
          <w:szCs w:val="24"/>
          <w:lang w:val="en-GB"/>
        </w:rPr>
        <w:t>However, an assessment using I</w:t>
      </w:r>
      <w:r w:rsidR="003370A4" w:rsidRPr="00E14060">
        <w:rPr>
          <w:sz w:val="24"/>
          <w:szCs w:val="24"/>
          <w:vertAlign w:val="superscript"/>
          <w:lang w:val="en-GB"/>
        </w:rPr>
        <w:t>2</w:t>
      </w:r>
      <w:r w:rsidR="003370A4" w:rsidRPr="00E14060">
        <w:rPr>
          <w:sz w:val="24"/>
          <w:szCs w:val="24"/>
          <w:lang w:val="en-GB"/>
        </w:rPr>
        <w:t>, Cochran’s Q, and DIC indicated that heterogeneity was not present in the evidence networks for the efficacy outcomes.</w:t>
      </w:r>
      <w:r w:rsidR="009155D8" w:rsidRPr="00E14060">
        <w:rPr>
          <w:sz w:val="24"/>
          <w:szCs w:val="24"/>
          <w:lang w:val="en-GB"/>
        </w:rPr>
        <w:t xml:space="preserve"> In addition, </w:t>
      </w:r>
      <w:r w:rsidR="00CA15E9" w:rsidRPr="00E14060">
        <w:rPr>
          <w:sz w:val="24"/>
          <w:szCs w:val="24"/>
          <w:lang w:val="en-GB"/>
        </w:rPr>
        <w:t xml:space="preserve">a </w:t>
      </w:r>
      <w:r w:rsidR="00CA15E9" w:rsidRPr="00E14060">
        <w:rPr>
          <w:sz w:val="22"/>
          <w:szCs w:val="22"/>
          <w:lang w:val="en-GB"/>
        </w:rPr>
        <w:t xml:space="preserve">comparison of the direct ATX vs. MPH treatment effect estimate with an indirect estimate formed from the ATX vs. placebo and MPH vs. placebo treatment effect estimates did not reveal the presence of inconsistency in the </w:t>
      </w:r>
      <w:r w:rsidR="00D56D0F" w:rsidRPr="00E14060">
        <w:rPr>
          <w:sz w:val="22"/>
          <w:szCs w:val="22"/>
          <w:lang w:val="en-GB"/>
        </w:rPr>
        <w:t xml:space="preserve">MPH-ATX-placebo loop in the </w:t>
      </w:r>
      <w:r w:rsidR="00CA15E9" w:rsidRPr="00E14060">
        <w:rPr>
          <w:sz w:val="22"/>
          <w:szCs w:val="22"/>
          <w:lang w:val="en-GB"/>
        </w:rPr>
        <w:t>core ADHD-RS-IV analysis</w:t>
      </w:r>
      <w:r w:rsidR="002A2322" w:rsidRPr="00E14060">
        <w:rPr>
          <w:sz w:val="22"/>
          <w:szCs w:val="22"/>
          <w:lang w:val="en-GB"/>
        </w:rPr>
        <w:t>.</w:t>
      </w:r>
      <w:r w:rsidR="003370A4" w:rsidRPr="00E14060">
        <w:rPr>
          <w:sz w:val="24"/>
          <w:szCs w:val="24"/>
          <w:lang w:val="en-GB"/>
        </w:rPr>
        <w:t xml:space="preserve"> </w:t>
      </w:r>
      <w:r w:rsidRPr="00E14060">
        <w:rPr>
          <w:sz w:val="24"/>
          <w:szCs w:val="24"/>
          <w:lang w:val="en-GB"/>
        </w:rPr>
        <w:t>F</w:t>
      </w:r>
      <w:r w:rsidR="007340B7" w:rsidRPr="00E14060">
        <w:rPr>
          <w:sz w:val="24"/>
          <w:szCs w:val="24"/>
          <w:lang w:val="en-GB"/>
        </w:rPr>
        <w:t>ifth</w:t>
      </w:r>
      <w:r w:rsidRPr="00E14060">
        <w:rPr>
          <w:sz w:val="24"/>
          <w:szCs w:val="24"/>
          <w:lang w:val="en-GB"/>
        </w:rPr>
        <w:t xml:space="preserve">, the Bayesian method was used according to the NICE Decision Support Unit Technical Support Documents; however, the method is dependent on </w:t>
      </w:r>
      <w:r w:rsidRPr="00E14060">
        <w:rPr>
          <w:sz w:val="24"/>
          <w:szCs w:val="24"/>
          <w:lang w:val="en-GB"/>
        </w:rPr>
        <w:lastRenderedPageBreak/>
        <w:t xml:space="preserve">the choice of prior. Non-informative priors </w:t>
      </w:r>
      <w:r w:rsidR="00D7255E" w:rsidRPr="00E14060">
        <w:rPr>
          <w:sz w:val="24"/>
          <w:szCs w:val="24"/>
          <w:lang w:val="en-GB"/>
        </w:rPr>
        <w:t>(priors</w:t>
      </w:r>
      <w:r w:rsidR="00CC39A7" w:rsidRPr="00E14060">
        <w:rPr>
          <w:sz w:val="24"/>
          <w:szCs w:val="24"/>
          <w:lang w:val="en-GB"/>
        </w:rPr>
        <w:t xml:space="preserve"> that</w:t>
      </w:r>
      <w:r w:rsidR="00D7255E" w:rsidRPr="00E14060">
        <w:rPr>
          <w:sz w:val="24"/>
          <w:szCs w:val="24"/>
          <w:lang w:val="en-GB"/>
        </w:rPr>
        <w:t xml:space="preserve"> place approximately equal weight on a wide range of parameter values) </w:t>
      </w:r>
      <w:r w:rsidRPr="00E14060">
        <w:rPr>
          <w:sz w:val="24"/>
          <w:szCs w:val="24"/>
          <w:lang w:val="en-GB"/>
        </w:rPr>
        <w:t xml:space="preserve">were chosen so that this limitation would not influence the results. </w:t>
      </w:r>
      <w:r w:rsidR="00C120E6" w:rsidRPr="00E14060">
        <w:rPr>
          <w:sz w:val="24"/>
          <w:szCs w:val="24"/>
          <w:lang w:val="en-GB"/>
        </w:rPr>
        <w:t>Sixth, while the imputation analysis was used to produce conservative point estimates of the relative risk of CGI-I response, the estimates of variability from that analysis do not account for the additional variability due to the imputation.</w:t>
      </w:r>
      <w:r w:rsidR="00241DBD" w:rsidRPr="00E14060">
        <w:rPr>
          <w:sz w:val="24"/>
          <w:szCs w:val="24"/>
          <w:lang w:val="en-GB"/>
        </w:rPr>
        <w:t xml:space="preserve"> </w:t>
      </w:r>
      <w:r w:rsidR="00C120E6" w:rsidRPr="00E14060">
        <w:rPr>
          <w:sz w:val="24"/>
          <w:szCs w:val="24"/>
          <w:lang w:val="en-GB"/>
        </w:rPr>
        <w:t xml:space="preserve">Hence, while the point estimates are likely to be conservative, the corresponding credible intervals and confidence intervals should be interpreted with caution. </w:t>
      </w:r>
      <w:r w:rsidR="00C37A06" w:rsidRPr="00E14060">
        <w:rPr>
          <w:sz w:val="24"/>
          <w:szCs w:val="24"/>
          <w:lang w:val="en-GB"/>
        </w:rPr>
        <w:t xml:space="preserve">Finally, the combined use of ADHD-RS-IV and AISRS scores </w:t>
      </w:r>
      <w:r w:rsidR="0092702A" w:rsidRPr="00E14060">
        <w:rPr>
          <w:sz w:val="24"/>
          <w:szCs w:val="24"/>
          <w:lang w:val="en-GB"/>
        </w:rPr>
        <w:t>should be treated with caution as the two rating scales, while comparable, are not identical</w:t>
      </w:r>
      <w:r w:rsidR="00830BBE" w:rsidRPr="00E14060">
        <w:rPr>
          <w:sz w:val="24"/>
          <w:szCs w:val="24"/>
          <w:lang w:val="en-GB"/>
        </w:rPr>
        <w:t xml:space="preserve"> (Goodman 2009)</w:t>
      </w:r>
      <w:r w:rsidR="0092702A" w:rsidRPr="00E14060">
        <w:rPr>
          <w:sz w:val="24"/>
          <w:szCs w:val="24"/>
          <w:lang w:val="en-GB"/>
        </w:rPr>
        <w:t>.</w:t>
      </w:r>
    </w:p>
    <w:p w14:paraId="12E59810" w14:textId="77777777" w:rsidR="00F1511E" w:rsidRPr="00E14060" w:rsidRDefault="00F1511E" w:rsidP="009375DF">
      <w:pPr>
        <w:rPr>
          <w:b/>
          <w:caps/>
          <w:lang w:val="en-GB"/>
        </w:rPr>
      </w:pPr>
    </w:p>
    <w:p w14:paraId="0D076526" w14:textId="77777777" w:rsidR="0006210A" w:rsidRPr="00E14060" w:rsidRDefault="0006210A" w:rsidP="009375DF">
      <w:pPr>
        <w:rPr>
          <w:b/>
          <w:caps/>
          <w:lang w:val="en-GB"/>
        </w:rPr>
      </w:pPr>
    </w:p>
    <w:p w14:paraId="6FC01348" w14:textId="77777777" w:rsidR="00533118" w:rsidRPr="00E14060" w:rsidRDefault="00533118" w:rsidP="00AE3D2D">
      <w:pPr>
        <w:pStyle w:val="Heading2"/>
        <w:tabs>
          <w:tab w:val="clear" w:pos="936"/>
          <w:tab w:val="clear" w:pos="1152"/>
          <w:tab w:val="left" w:pos="-90"/>
          <w:tab w:val="num" w:pos="0"/>
        </w:tabs>
        <w:ind w:left="0" w:firstLine="0"/>
        <w:rPr>
          <w:color w:val="auto"/>
          <w:lang w:val="en-GB"/>
        </w:rPr>
      </w:pPr>
      <w:bookmarkStart w:id="329" w:name="_Toc391913789"/>
      <w:bookmarkStart w:id="330" w:name="_Toc402543861"/>
      <w:r w:rsidRPr="00E14060">
        <w:rPr>
          <w:color w:val="auto"/>
          <w:lang w:val="en-GB"/>
        </w:rPr>
        <w:t>Conclusions</w:t>
      </w:r>
      <w:bookmarkEnd w:id="329"/>
      <w:bookmarkEnd w:id="330"/>
    </w:p>
    <w:p w14:paraId="36B09F01" w14:textId="77777777" w:rsidR="00533118" w:rsidRPr="00E14060" w:rsidRDefault="00533118" w:rsidP="00A73A4C">
      <w:pPr>
        <w:pStyle w:val="AGbodytext0"/>
        <w:rPr>
          <w:lang w:eastAsia="zh-CN"/>
        </w:rPr>
      </w:pPr>
      <w:r w:rsidRPr="00E14060">
        <w:rPr>
          <w:sz w:val="24"/>
          <w:szCs w:val="24"/>
        </w:rPr>
        <w:t xml:space="preserve">In conclusion, this </w:t>
      </w:r>
      <w:r w:rsidR="00C47460" w:rsidRPr="00E14060">
        <w:rPr>
          <w:sz w:val="24"/>
          <w:szCs w:val="24"/>
        </w:rPr>
        <w:t xml:space="preserve">systematic literature review and mixed treatment comparison </w:t>
      </w:r>
      <w:r w:rsidRPr="00E14060">
        <w:rPr>
          <w:sz w:val="24"/>
          <w:szCs w:val="24"/>
        </w:rPr>
        <w:t>provide</w:t>
      </w:r>
      <w:r w:rsidR="00C47460" w:rsidRPr="00E14060">
        <w:rPr>
          <w:sz w:val="24"/>
          <w:szCs w:val="24"/>
        </w:rPr>
        <w:t>d a comparison of LDX with ATX and MPH as treatments for ADHD in adult</w:t>
      </w:r>
      <w:r w:rsidRPr="00E14060">
        <w:rPr>
          <w:sz w:val="24"/>
          <w:szCs w:val="24"/>
        </w:rPr>
        <w:t>s</w:t>
      </w:r>
      <w:r w:rsidR="00C47460" w:rsidRPr="00E14060">
        <w:rPr>
          <w:sz w:val="24"/>
          <w:szCs w:val="24"/>
        </w:rPr>
        <w:t>.</w:t>
      </w:r>
      <w:r w:rsidRPr="00E14060">
        <w:rPr>
          <w:sz w:val="24"/>
          <w:szCs w:val="24"/>
        </w:rPr>
        <w:t xml:space="preserve"> </w:t>
      </w:r>
      <w:r w:rsidR="00C47460" w:rsidRPr="00E14060">
        <w:rPr>
          <w:sz w:val="24"/>
          <w:szCs w:val="24"/>
        </w:rPr>
        <w:t xml:space="preserve">The findings provide </w:t>
      </w:r>
      <w:r w:rsidRPr="00E14060">
        <w:rPr>
          <w:sz w:val="24"/>
          <w:szCs w:val="24"/>
        </w:rPr>
        <w:t xml:space="preserve">evidence that LDX is an advantageous treatment for adult ADHD compared to the other treatments considered due to its numerically </w:t>
      </w:r>
      <w:r w:rsidR="00B61DA6" w:rsidRPr="00E14060">
        <w:rPr>
          <w:sz w:val="24"/>
          <w:szCs w:val="24"/>
        </w:rPr>
        <w:t xml:space="preserve">greater </w:t>
      </w:r>
      <w:r w:rsidRPr="00E14060">
        <w:rPr>
          <w:sz w:val="24"/>
          <w:szCs w:val="24"/>
        </w:rPr>
        <w:t xml:space="preserve">efficacy results and comparable safety results relative to other treatments. </w:t>
      </w:r>
      <w:r w:rsidR="00C47460" w:rsidRPr="00E14060">
        <w:rPr>
          <w:sz w:val="24"/>
          <w:szCs w:val="24"/>
        </w:rPr>
        <w:t>Further studies are required to strengthen the confidence in the results and compare treatments among specific subgroups of patients.</w:t>
      </w:r>
    </w:p>
    <w:p w14:paraId="30D0A7EE" w14:textId="77777777" w:rsidR="0006210A" w:rsidRPr="00E14060" w:rsidRDefault="0006210A">
      <w:pPr>
        <w:rPr>
          <w:b/>
          <w:caps/>
          <w:sz w:val="28"/>
          <w:lang w:val="en-GB"/>
        </w:rPr>
      </w:pPr>
      <w:r w:rsidRPr="00E14060">
        <w:rPr>
          <w:lang w:val="en-GB"/>
        </w:rPr>
        <w:br w:type="page"/>
      </w:r>
    </w:p>
    <w:p w14:paraId="4FC722A3" w14:textId="77777777" w:rsidR="0006210A" w:rsidRPr="00E14060" w:rsidRDefault="0006210A" w:rsidP="0006210A">
      <w:pPr>
        <w:pStyle w:val="Heading1"/>
        <w:rPr>
          <w:color w:val="auto"/>
          <w:lang w:val="en-GB"/>
        </w:rPr>
      </w:pPr>
      <w:bookmarkStart w:id="331" w:name="_Toc391913790"/>
      <w:bookmarkStart w:id="332" w:name="_Toc402543862"/>
      <w:r w:rsidRPr="00E14060">
        <w:rPr>
          <w:color w:val="auto"/>
          <w:lang w:val="en-GB"/>
        </w:rPr>
        <w:lastRenderedPageBreak/>
        <w:t>References</w:t>
      </w:r>
      <w:bookmarkEnd w:id="331"/>
      <w:bookmarkEnd w:id="332"/>
    </w:p>
    <w:p w14:paraId="2588A481" w14:textId="77777777" w:rsidR="003264DA" w:rsidRPr="00E14060" w:rsidRDefault="003264DA" w:rsidP="00C97173">
      <w:pPr>
        <w:pStyle w:val="ListParagraph"/>
        <w:numPr>
          <w:ilvl w:val="0"/>
          <w:numId w:val="73"/>
        </w:numPr>
        <w:spacing w:after="120" w:line="300" w:lineRule="auto"/>
        <w:rPr>
          <w:rFonts w:ascii="Times New Roman" w:hAnsi="Times New Roman"/>
          <w:i w:val="0"/>
          <w:sz w:val="24"/>
          <w:szCs w:val="24"/>
          <w:lang w:val="en-GB"/>
        </w:rPr>
      </w:pPr>
      <w:r w:rsidRPr="00E14060">
        <w:rPr>
          <w:rFonts w:ascii="Times New Roman" w:hAnsi="Times New Roman"/>
          <w:i w:val="0"/>
          <w:sz w:val="24"/>
          <w:szCs w:val="24"/>
          <w:lang w:val="en-GB"/>
        </w:rPr>
        <w:t>Adler LA, Goodman DW, Kollins SH, et al. Double-blind, placebo-controlled study of the efficacy and safety of lisdexamfetamine dimesylate in adults with attention-deficit/hyperactivity disorder. J Clin Psychiatry. 2008;69(9):1364–1373.</w:t>
      </w:r>
    </w:p>
    <w:p w14:paraId="061BA1D0" w14:textId="604598AD" w:rsidR="00083CB9" w:rsidRPr="00E14060" w:rsidRDefault="00083CB9" w:rsidP="00C97173">
      <w:pPr>
        <w:pStyle w:val="CommentText"/>
        <w:numPr>
          <w:ilvl w:val="0"/>
          <w:numId w:val="73"/>
        </w:numPr>
        <w:spacing w:after="120" w:line="300" w:lineRule="auto"/>
        <w:contextualSpacing/>
        <w:rPr>
          <w:sz w:val="24"/>
          <w:szCs w:val="24"/>
          <w:lang w:val="en-GB"/>
        </w:rPr>
      </w:pPr>
      <w:r w:rsidRPr="00E14060">
        <w:rPr>
          <w:sz w:val="24"/>
          <w:szCs w:val="24"/>
          <w:lang w:val="en-GB"/>
        </w:rPr>
        <w:t>Brent R Collett, Jeneval L Ohan</w:t>
      </w:r>
      <w:r w:rsidR="0041784C" w:rsidRPr="00E14060">
        <w:rPr>
          <w:sz w:val="24"/>
          <w:szCs w:val="24"/>
          <w:lang w:val="en-GB"/>
        </w:rPr>
        <w:t>,</w:t>
      </w:r>
      <w:r w:rsidRPr="00E14060">
        <w:rPr>
          <w:sz w:val="24"/>
          <w:szCs w:val="24"/>
          <w:lang w:val="en-GB"/>
        </w:rPr>
        <w:t xml:space="preserve"> and Kathleen M Myers</w:t>
      </w:r>
      <w:r w:rsidR="003D0514" w:rsidRPr="00E14060">
        <w:rPr>
          <w:sz w:val="24"/>
          <w:szCs w:val="24"/>
          <w:lang w:val="en-GB"/>
        </w:rPr>
        <w:t xml:space="preserve">. </w:t>
      </w:r>
      <w:r w:rsidRPr="00E14060">
        <w:rPr>
          <w:sz w:val="24"/>
          <w:szCs w:val="24"/>
          <w:lang w:val="en-GB"/>
        </w:rPr>
        <w:t>Ten years review of rating scales. V: Scales assessing attention-deficit/</w:t>
      </w:r>
      <w:r w:rsidR="0065493F" w:rsidRPr="00E14060">
        <w:rPr>
          <w:sz w:val="24"/>
          <w:szCs w:val="24"/>
          <w:lang w:val="en-GB"/>
        </w:rPr>
        <w:t>h</w:t>
      </w:r>
      <w:r w:rsidRPr="00E14060">
        <w:rPr>
          <w:sz w:val="24"/>
          <w:szCs w:val="24"/>
          <w:lang w:val="en-GB"/>
        </w:rPr>
        <w:t>yperactivity disorder.</w:t>
      </w:r>
      <w:r w:rsidR="00241DBD" w:rsidRPr="00E14060">
        <w:rPr>
          <w:sz w:val="24"/>
          <w:szCs w:val="24"/>
          <w:lang w:val="en-GB"/>
        </w:rPr>
        <w:t xml:space="preserve"> </w:t>
      </w:r>
      <w:r w:rsidRPr="00E14060">
        <w:rPr>
          <w:sz w:val="24"/>
          <w:szCs w:val="24"/>
          <w:lang w:val="en-GB"/>
        </w:rPr>
        <w:t>J am Acad</w:t>
      </w:r>
      <w:r w:rsidR="00241DBD" w:rsidRPr="00E14060">
        <w:rPr>
          <w:sz w:val="24"/>
          <w:szCs w:val="24"/>
          <w:lang w:val="en-GB"/>
        </w:rPr>
        <w:t xml:space="preserve"> </w:t>
      </w:r>
      <w:r w:rsidRPr="00E14060">
        <w:rPr>
          <w:sz w:val="24"/>
          <w:szCs w:val="24"/>
          <w:lang w:val="en-GB"/>
        </w:rPr>
        <w:t>child adolescent 2003,42(9):1015-1037</w:t>
      </w:r>
      <w:r w:rsidR="00054101" w:rsidRPr="00E14060">
        <w:rPr>
          <w:sz w:val="24"/>
          <w:szCs w:val="24"/>
          <w:lang w:val="en-GB"/>
        </w:rPr>
        <w:t>.</w:t>
      </w:r>
    </w:p>
    <w:p w14:paraId="6D1B5DD6" w14:textId="77777777" w:rsidR="009B3D7F" w:rsidRPr="00E14060" w:rsidRDefault="009B3D7F" w:rsidP="00C97173">
      <w:pPr>
        <w:pStyle w:val="ListParagraph"/>
        <w:numPr>
          <w:ilvl w:val="0"/>
          <w:numId w:val="73"/>
        </w:numPr>
        <w:spacing w:after="120" w:line="300" w:lineRule="auto"/>
        <w:rPr>
          <w:rFonts w:ascii="Times New Roman" w:hAnsi="Times New Roman"/>
          <w:i w:val="0"/>
          <w:sz w:val="24"/>
          <w:szCs w:val="24"/>
          <w:lang w:val="en-GB"/>
        </w:rPr>
      </w:pPr>
      <w:r w:rsidRPr="00E14060">
        <w:rPr>
          <w:rFonts w:ascii="Times New Roman" w:hAnsi="Times New Roman"/>
          <w:i w:val="0"/>
          <w:sz w:val="24"/>
          <w:szCs w:val="24"/>
          <w:lang w:val="en-GB"/>
        </w:rPr>
        <w:t>De Graaf R, Kessler RC, Fayyad J, et al. The prevalence and effects of adult attention-deficit/hyperactivity disorder (ADHD) on the performance of workers: results from the WHO World Mental Health Survey Initiative. Occup Environ Med. 2008;65(12):835–842. doi:10.1136/oem.2007.038448.</w:t>
      </w:r>
    </w:p>
    <w:p w14:paraId="4DEBBA33" w14:textId="77777777" w:rsidR="008C39C4" w:rsidRPr="00E14060" w:rsidRDefault="008C39C4" w:rsidP="0068524F">
      <w:pPr>
        <w:pStyle w:val="ListParagraph"/>
        <w:numPr>
          <w:ilvl w:val="0"/>
          <w:numId w:val="73"/>
        </w:numPr>
        <w:spacing w:after="120" w:line="300" w:lineRule="auto"/>
        <w:rPr>
          <w:rFonts w:ascii="Times New Roman" w:hAnsi="Times New Roman"/>
          <w:i w:val="0"/>
          <w:sz w:val="24"/>
          <w:szCs w:val="24"/>
          <w:lang w:val="en-GB"/>
        </w:rPr>
      </w:pPr>
      <w:r w:rsidRPr="00E14060">
        <w:rPr>
          <w:rFonts w:ascii="Times New Roman" w:hAnsi="Times New Roman"/>
          <w:i w:val="0"/>
          <w:sz w:val="24"/>
          <w:szCs w:val="24"/>
          <w:lang w:val="en-GB"/>
        </w:rPr>
        <w:t>Dias, S., Welton, N. J., Sutton, A. J., et al. "NICE DSU Technical Support Document 4: Inconsistency in networks of evidence based on randomised controlled trials." NICE DSU Technical Support Document in Evidence Synthesis; No. TSD4). National Institute for Health and Clinical Excellence.</w:t>
      </w:r>
      <w:r w:rsidR="00B20F36" w:rsidRPr="00E14060">
        <w:rPr>
          <w:rFonts w:ascii="Times New Roman" w:hAnsi="Times New Roman"/>
          <w:i w:val="0"/>
          <w:sz w:val="24"/>
          <w:szCs w:val="24"/>
          <w:lang w:val="en-GB"/>
        </w:rPr>
        <w:t xml:space="preserve"> 2011.</w:t>
      </w:r>
      <w:r w:rsidR="00482C94" w:rsidRPr="00E14060">
        <w:rPr>
          <w:rFonts w:ascii="Times New Roman" w:hAnsi="Times New Roman"/>
          <w:i w:val="0"/>
          <w:sz w:val="24"/>
          <w:szCs w:val="24"/>
          <w:lang w:val="en-GB"/>
        </w:rPr>
        <w:t xml:space="preserve"> http://research-information.bristol.ac.uk/files/7215354/TSD4_Inconsistency.final.08.05.12.pdf</w:t>
      </w:r>
    </w:p>
    <w:p w14:paraId="67532040" w14:textId="77777777" w:rsidR="00922C74" w:rsidRPr="00E14060" w:rsidRDefault="00922C74" w:rsidP="00C97173">
      <w:pPr>
        <w:pStyle w:val="ListParagraph"/>
        <w:numPr>
          <w:ilvl w:val="0"/>
          <w:numId w:val="73"/>
        </w:numPr>
        <w:spacing w:after="120" w:line="300" w:lineRule="auto"/>
        <w:rPr>
          <w:rFonts w:ascii="Times New Roman" w:hAnsi="Times New Roman"/>
          <w:i w:val="0"/>
          <w:sz w:val="24"/>
          <w:szCs w:val="24"/>
          <w:lang w:val="en-GB"/>
        </w:rPr>
      </w:pPr>
      <w:r w:rsidRPr="00E14060">
        <w:rPr>
          <w:rFonts w:ascii="Times New Roman" w:hAnsi="Times New Roman"/>
          <w:i w:val="0"/>
          <w:sz w:val="24"/>
          <w:szCs w:val="24"/>
          <w:lang w:val="en-GB"/>
        </w:rPr>
        <w:t>Faraone SV, Biederman J, Mick E. The age-dependent decline of attention deficit hyperactivity disorder: a meta-analysis of follow-up studies. Psychol Med. 2006;36(2):159–165. doi:10.1017/S003329170500471X.</w:t>
      </w:r>
    </w:p>
    <w:p w14:paraId="7B091C66" w14:textId="77777777" w:rsidR="0006210A" w:rsidRPr="00E14060" w:rsidRDefault="0006210A" w:rsidP="00C97173">
      <w:pPr>
        <w:pStyle w:val="ListParagraph"/>
        <w:numPr>
          <w:ilvl w:val="0"/>
          <w:numId w:val="73"/>
        </w:numPr>
        <w:spacing w:after="120" w:line="300" w:lineRule="auto"/>
        <w:rPr>
          <w:rFonts w:ascii="Times New Roman" w:hAnsi="Times New Roman"/>
          <w:i w:val="0"/>
          <w:sz w:val="24"/>
          <w:szCs w:val="24"/>
          <w:lang w:val="en-GB"/>
        </w:rPr>
      </w:pPr>
      <w:r w:rsidRPr="00E14060">
        <w:rPr>
          <w:rFonts w:ascii="Times New Roman" w:hAnsi="Times New Roman"/>
          <w:i w:val="0"/>
          <w:sz w:val="24"/>
          <w:szCs w:val="24"/>
          <w:lang w:val="en-GB"/>
        </w:rPr>
        <w:t>Fayyad J, De Graaf R, Kessler R, et al. Cross-national prevalence and correlates of adult attention-deficit hyperactivity disorder. Br J Psychiatry J Ment Sci. 2007;190:402–409. doi:10.1192/bjp.bp.106.034389.</w:t>
      </w:r>
    </w:p>
    <w:p w14:paraId="27937D80" w14:textId="77777777" w:rsidR="003C3F8E" w:rsidRPr="00E14060" w:rsidRDefault="003C3F8E" w:rsidP="00C97173">
      <w:pPr>
        <w:pStyle w:val="ListParagraph"/>
        <w:numPr>
          <w:ilvl w:val="0"/>
          <w:numId w:val="73"/>
        </w:numPr>
        <w:spacing w:after="120" w:line="300" w:lineRule="auto"/>
        <w:rPr>
          <w:rFonts w:ascii="Times New Roman" w:hAnsi="Times New Roman"/>
          <w:i w:val="0"/>
          <w:sz w:val="24"/>
          <w:szCs w:val="24"/>
          <w:lang w:val="en-GB"/>
        </w:rPr>
      </w:pPr>
      <w:r w:rsidRPr="00E14060">
        <w:rPr>
          <w:rFonts w:ascii="Times New Roman" w:hAnsi="Times New Roman"/>
          <w:i w:val="0"/>
          <w:sz w:val="24"/>
          <w:szCs w:val="24"/>
          <w:lang w:val="en-GB"/>
        </w:rPr>
        <w:t>Feifel D, MacDonald K. Attention-deficit/hyperactivity disorder in adults: recognition and diagnosis of this often-overlooked condition. Postgrad Med. 2008;120(3):39–47. doi:10.3810/pgm.2008.09.1906.</w:t>
      </w:r>
    </w:p>
    <w:p w14:paraId="6042687F" w14:textId="77777777" w:rsidR="00117286" w:rsidRPr="00E14060" w:rsidRDefault="00117286" w:rsidP="00D7662B">
      <w:pPr>
        <w:pStyle w:val="ListParagraph"/>
        <w:numPr>
          <w:ilvl w:val="0"/>
          <w:numId w:val="73"/>
        </w:numPr>
        <w:spacing w:after="120" w:line="300" w:lineRule="auto"/>
        <w:rPr>
          <w:rFonts w:ascii="Times New Roman" w:hAnsi="Times New Roman"/>
          <w:i w:val="0"/>
          <w:sz w:val="24"/>
          <w:szCs w:val="24"/>
          <w:lang w:val="en-GB"/>
        </w:rPr>
      </w:pPr>
      <w:r w:rsidRPr="00E14060">
        <w:rPr>
          <w:rFonts w:ascii="Times New Roman" w:hAnsi="Times New Roman"/>
          <w:i w:val="0"/>
          <w:sz w:val="24"/>
          <w:szCs w:val="24"/>
          <w:lang w:val="en-GB"/>
        </w:rPr>
        <w:t>David Goodman, MD, Stephen V. Faraone, PhD, Lenard A. Adler, MD, Bryan Dirks, MD, Mohamed Hamdani, MS, and Richard Weisler, MD. Interpreting ADHD Rating Scale Scores: Linking ADHD Rating Scale Scores and CGI Levels in Two Randomized Controlled Trials of Lisdexamfetamine Dimesylate in ADHD</w:t>
      </w:r>
      <w:r w:rsidR="00D7662B" w:rsidRPr="00E14060">
        <w:rPr>
          <w:rFonts w:ascii="Times New Roman" w:hAnsi="Times New Roman"/>
          <w:i w:val="0"/>
          <w:sz w:val="24"/>
          <w:szCs w:val="24"/>
          <w:lang w:val="en-GB"/>
        </w:rPr>
        <w:t>. Primary Psychiatry. 2010;17(3):44-52.</w:t>
      </w:r>
    </w:p>
    <w:p w14:paraId="6EAFB789" w14:textId="77777777" w:rsidR="007B337E" w:rsidRPr="00E14060" w:rsidRDefault="007B337E" w:rsidP="00C97173">
      <w:pPr>
        <w:pStyle w:val="ListParagraph"/>
        <w:numPr>
          <w:ilvl w:val="0"/>
          <w:numId w:val="73"/>
        </w:numPr>
        <w:spacing w:after="120" w:line="300" w:lineRule="auto"/>
        <w:rPr>
          <w:rFonts w:ascii="Times New Roman" w:hAnsi="Times New Roman"/>
          <w:i w:val="0"/>
          <w:sz w:val="24"/>
          <w:szCs w:val="24"/>
          <w:lang w:val="en-GB"/>
        </w:rPr>
      </w:pPr>
      <w:r w:rsidRPr="00E14060">
        <w:rPr>
          <w:rFonts w:ascii="Times New Roman" w:hAnsi="Times New Roman"/>
          <w:i w:val="0"/>
          <w:sz w:val="24"/>
          <w:szCs w:val="24"/>
          <w:lang w:val="en-GB"/>
        </w:rPr>
        <w:t>Goodman DW. ADHD in Adults: Update for Clinicians on Diagnosis and Assessment. Primary Psychiatry. 2009; 16 (11): 21-30.</w:t>
      </w:r>
    </w:p>
    <w:p w14:paraId="6620F615" w14:textId="77777777" w:rsidR="00965AD0" w:rsidRPr="00E14060" w:rsidRDefault="00965AD0" w:rsidP="00965AD0">
      <w:pPr>
        <w:pStyle w:val="ListParagraph"/>
        <w:numPr>
          <w:ilvl w:val="0"/>
          <w:numId w:val="73"/>
        </w:numPr>
        <w:rPr>
          <w:rFonts w:ascii="Times New Roman" w:hAnsi="Times New Roman"/>
          <w:i w:val="0"/>
          <w:sz w:val="24"/>
          <w:szCs w:val="24"/>
          <w:lang w:val="en-GB"/>
        </w:rPr>
      </w:pPr>
      <w:r w:rsidRPr="00E14060">
        <w:rPr>
          <w:rFonts w:ascii="Times New Roman" w:hAnsi="Times New Roman"/>
          <w:i w:val="0"/>
          <w:sz w:val="24"/>
          <w:szCs w:val="24"/>
          <w:lang w:val="en-GB"/>
        </w:rPr>
        <w:lastRenderedPageBreak/>
        <w:t>Huedo-Medina, Tania, Julio Sanchez-Meca, Fulgencio Marin-Martinez, and Juan Botella. “Assessing heterogeneity in meta-analysis:Q statistic or I2 index?” (2006). CHIP Documents. Paper 19.</w:t>
      </w:r>
    </w:p>
    <w:p w14:paraId="198D7273" w14:textId="77777777" w:rsidR="00965AD0" w:rsidRPr="00E14060" w:rsidRDefault="00821FA0" w:rsidP="003F0CD0">
      <w:pPr>
        <w:pStyle w:val="ListParagraph"/>
        <w:rPr>
          <w:rFonts w:ascii="Times New Roman" w:hAnsi="Times New Roman"/>
          <w:i w:val="0"/>
          <w:sz w:val="24"/>
          <w:szCs w:val="24"/>
          <w:lang w:val="en-GB"/>
        </w:rPr>
      </w:pPr>
      <w:hyperlink r:id="rId16" w:history="1">
        <w:r w:rsidR="00965AD0" w:rsidRPr="00E14060">
          <w:rPr>
            <w:rStyle w:val="Hyperlink"/>
            <w:rFonts w:ascii="Times New Roman" w:hAnsi="Times New Roman"/>
            <w:i w:val="0"/>
            <w:color w:val="auto"/>
            <w:sz w:val="24"/>
            <w:szCs w:val="24"/>
            <w:lang w:val="en-GB"/>
          </w:rPr>
          <w:t>http://digitalcommons.uconn.edu/chip_docs/19</w:t>
        </w:r>
      </w:hyperlink>
    </w:p>
    <w:p w14:paraId="626C720D" w14:textId="1CD33134" w:rsidR="00FA44AE" w:rsidRPr="00E14060" w:rsidRDefault="00FA44AE" w:rsidP="00C97173">
      <w:pPr>
        <w:pStyle w:val="ListParagraph"/>
        <w:numPr>
          <w:ilvl w:val="0"/>
          <w:numId w:val="73"/>
        </w:numPr>
        <w:spacing w:after="120" w:line="300" w:lineRule="auto"/>
        <w:rPr>
          <w:rFonts w:ascii="Times New Roman" w:hAnsi="Times New Roman"/>
          <w:i w:val="0"/>
          <w:sz w:val="24"/>
          <w:szCs w:val="24"/>
          <w:lang w:val="en-GB"/>
        </w:rPr>
      </w:pPr>
      <w:r w:rsidRPr="00E14060">
        <w:rPr>
          <w:rFonts w:ascii="Times New Roman" w:hAnsi="Times New Roman"/>
          <w:i w:val="0"/>
          <w:sz w:val="24"/>
          <w:szCs w:val="24"/>
          <w:lang w:val="en-GB"/>
        </w:rPr>
        <w:t>Jansen JP, Fleurence R, Devine B, et al.</w:t>
      </w:r>
      <w:r w:rsidR="00241DBD" w:rsidRPr="00E14060">
        <w:rPr>
          <w:rFonts w:ascii="Times New Roman" w:hAnsi="Times New Roman"/>
          <w:i w:val="0"/>
          <w:sz w:val="24"/>
          <w:szCs w:val="24"/>
          <w:lang w:val="en-GB"/>
        </w:rPr>
        <w:t xml:space="preserve"> </w:t>
      </w:r>
      <w:r w:rsidRPr="00E14060">
        <w:rPr>
          <w:rFonts w:ascii="Times New Roman" w:hAnsi="Times New Roman"/>
          <w:i w:val="0"/>
          <w:sz w:val="24"/>
          <w:szCs w:val="24"/>
          <w:lang w:val="en-GB"/>
        </w:rPr>
        <w:t>Interpreting Indirect Treatment Comparisons and Network Meta-Analysis for Health-Care Decision Making: Report of the ISPOR Task Force on Indirect Treatment Comparisons Good Research Practices: Part 1. Value Health 2011;14:417-28.</w:t>
      </w:r>
    </w:p>
    <w:p w14:paraId="7560597A" w14:textId="77777777" w:rsidR="0060558A" w:rsidRPr="00E14060" w:rsidRDefault="0060558A" w:rsidP="00C97173">
      <w:pPr>
        <w:pStyle w:val="ListParagraph"/>
        <w:numPr>
          <w:ilvl w:val="0"/>
          <w:numId w:val="73"/>
        </w:numPr>
        <w:spacing w:after="120" w:line="300" w:lineRule="auto"/>
        <w:rPr>
          <w:rFonts w:ascii="Times New Roman" w:hAnsi="Times New Roman"/>
          <w:i w:val="0"/>
          <w:sz w:val="24"/>
          <w:szCs w:val="24"/>
          <w:lang w:val="en-GB"/>
        </w:rPr>
      </w:pPr>
      <w:r w:rsidRPr="00E14060">
        <w:rPr>
          <w:rFonts w:ascii="Times New Roman" w:hAnsi="Times New Roman"/>
          <w:i w:val="0"/>
          <w:sz w:val="24"/>
          <w:szCs w:val="24"/>
          <w:lang w:val="en-GB"/>
        </w:rPr>
        <w:t>Klein RG, Mannuzza S, Olazagasti MAR, et al. Clinical and functional outcome of childhood attention-deficit/hyperactivity disorder 33 years later. Arch Gen Psychiatry. 2012;69(12):1295–1303. doi:</w:t>
      </w:r>
      <w:r w:rsidRPr="00E14060">
        <w:rPr>
          <w:rFonts w:ascii="Times New Roman" w:hAnsi="Times New Roman"/>
          <w:i w:val="0"/>
          <w:sz w:val="24"/>
          <w:szCs w:val="24"/>
          <w:shd w:val="clear" w:color="auto" w:fill="FFFFFF"/>
          <w:lang w:val="en-GB"/>
        </w:rPr>
        <w:t>10.1001/archgenpsychiatry.2012.271.</w:t>
      </w:r>
    </w:p>
    <w:p w14:paraId="0C5587B9" w14:textId="77777777" w:rsidR="000D0DD1" w:rsidRPr="00E14060" w:rsidRDefault="000D0DD1" w:rsidP="00C97173">
      <w:pPr>
        <w:pStyle w:val="ListParagraph"/>
        <w:numPr>
          <w:ilvl w:val="0"/>
          <w:numId w:val="73"/>
        </w:numPr>
        <w:spacing w:after="120" w:line="300" w:lineRule="auto"/>
        <w:rPr>
          <w:rFonts w:ascii="Times New Roman" w:hAnsi="Times New Roman"/>
          <w:i w:val="0"/>
          <w:sz w:val="24"/>
          <w:szCs w:val="24"/>
          <w:lang w:val="en-GB"/>
        </w:rPr>
      </w:pPr>
      <w:r w:rsidRPr="00E14060">
        <w:rPr>
          <w:rFonts w:ascii="Times New Roman" w:hAnsi="Times New Roman"/>
          <w:i w:val="0"/>
          <w:sz w:val="24"/>
          <w:szCs w:val="24"/>
          <w:lang w:val="en-GB"/>
        </w:rPr>
        <w:t>Kooij SJJ, Bejerot S, Blackwell A, et al. European consensus statement on diagnosis and treatment of adult ADHD: The European Network Adult ADHD. BMC Psychiatry. 2010 Sep 3;10:67. doi:10.1186/1471-244X-10-67.</w:t>
      </w:r>
    </w:p>
    <w:p w14:paraId="484474FC" w14:textId="77777777" w:rsidR="00EE1B5A" w:rsidRPr="00E14060" w:rsidRDefault="00EE1B5A" w:rsidP="00C97173">
      <w:pPr>
        <w:pStyle w:val="ListParagraph"/>
        <w:numPr>
          <w:ilvl w:val="0"/>
          <w:numId w:val="73"/>
        </w:numPr>
        <w:spacing w:after="120" w:line="300" w:lineRule="auto"/>
        <w:rPr>
          <w:rFonts w:ascii="Times New Roman" w:hAnsi="Times New Roman"/>
          <w:i w:val="0"/>
          <w:sz w:val="24"/>
          <w:szCs w:val="24"/>
          <w:lang w:val="en-GB"/>
        </w:rPr>
      </w:pPr>
      <w:r w:rsidRPr="00E14060">
        <w:rPr>
          <w:rFonts w:ascii="Times New Roman" w:hAnsi="Times New Roman"/>
          <w:i w:val="0"/>
          <w:sz w:val="24"/>
          <w:szCs w:val="24"/>
          <w:lang w:val="en-GB"/>
        </w:rPr>
        <w:t>Matza LS, Paramore C, Prasad M. A review of the economic burden of ADHD. Cost Eff Resour Alloc CE. 2005;3:5. doi:10.1186/1478-7547-3-5.</w:t>
      </w:r>
    </w:p>
    <w:p w14:paraId="0548CAE8" w14:textId="77777777" w:rsidR="007B6730" w:rsidRPr="00E14060" w:rsidRDefault="007B6730" w:rsidP="00C97173">
      <w:pPr>
        <w:pStyle w:val="ListParagraph"/>
        <w:numPr>
          <w:ilvl w:val="0"/>
          <w:numId w:val="73"/>
        </w:numPr>
        <w:spacing w:after="120" w:line="300" w:lineRule="auto"/>
        <w:rPr>
          <w:rFonts w:ascii="Times New Roman" w:hAnsi="Times New Roman"/>
          <w:i w:val="0"/>
          <w:sz w:val="24"/>
          <w:szCs w:val="24"/>
          <w:lang w:val="en-GB"/>
        </w:rPr>
      </w:pPr>
      <w:r w:rsidRPr="00E14060">
        <w:rPr>
          <w:rFonts w:ascii="Times New Roman" w:hAnsi="Times New Roman"/>
          <w:i w:val="0"/>
          <w:sz w:val="24"/>
          <w:szCs w:val="24"/>
          <w:lang w:val="en-GB"/>
        </w:rPr>
        <w:t>McKee S. UK licenses first therapy for adults diagnosed with ADHD. PharmaTimes. http://www.pharmatimes.com/article/13-06-03/UK_licenses_first_therapy_for_adults_diagnosed_with_ADHD.aspx. Published June 3, 2013.</w:t>
      </w:r>
    </w:p>
    <w:p w14:paraId="549CD436" w14:textId="77777777" w:rsidR="000E43A5" w:rsidRPr="00E14060" w:rsidRDefault="00CE39B7" w:rsidP="00C97173">
      <w:pPr>
        <w:pStyle w:val="ListParagraph"/>
        <w:numPr>
          <w:ilvl w:val="0"/>
          <w:numId w:val="73"/>
        </w:numPr>
        <w:spacing w:after="120" w:line="300" w:lineRule="auto"/>
        <w:rPr>
          <w:rFonts w:ascii="Times New Roman" w:hAnsi="Times New Roman"/>
          <w:i w:val="0"/>
          <w:sz w:val="24"/>
          <w:szCs w:val="24"/>
          <w:lang w:val="en-GB"/>
        </w:rPr>
      </w:pPr>
      <w:r w:rsidRPr="00E14060">
        <w:rPr>
          <w:rFonts w:ascii="Times New Roman" w:hAnsi="Times New Roman"/>
          <w:i w:val="0"/>
          <w:sz w:val="24"/>
          <w:szCs w:val="24"/>
          <w:lang w:val="en-GB"/>
        </w:rPr>
        <w:t xml:space="preserve">Medice. </w:t>
      </w:r>
      <w:r w:rsidR="000E43A5" w:rsidRPr="00E14060">
        <w:rPr>
          <w:rFonts w:ascii="Times New Roman" w:hAnsi="Times New Roman"/>
          <w:i w:val="0"/>
          <w:sz w:val="24"/>
          <w:szCs w:val="24"/>
          <w:lang w:val="en-GB"/>
        </w:rPr>
        <w:t>Medice receives first German authorisation for treatment of adult ADHD. 2011. Available at: http://www.medice.de/service-en/news/medice-receives-first-german-authorisation-for-treatment-of-adult-adhd.</w:t>
      </w:r>
    </w:p>
    <w:p w14:paraId="1F8602B9" w14:textId="77777777" w:rsidR="00D70EB4" w:rsidRPr="00E14060" w:rsidRDefault="00D70EB4" w:rsidP="00C97173">
      <w:pPr>
        <w:pStyle w:val="ListParagraph"/>
        <w:numPr>
          <w:ilvl w:val="0"/>
          <w:numId w:val="73"/>
        </w:numPr>
        <w:spacing w:after="120" w:line="300" w:lineRule="auto"/>
        <w:rPr>
          <w:rFonts w:ascii="Times New Roman" w:hAnsi="Times New Roman"/>
          <w:i w:val="0"/>
          <w:sz w:val="24"/>
          <w:szCs w:val="24"/>
          <w:lang w:val="en-GB"/>
        </w:rPr>
      </w:pPr>
      <w:r w:rsidRPr="00E14060">
        <w:rPr>
          <w:rFonts w:ascii="Times New Roman" w:hAnsi="Times New Roman"/>
          <w:i w:val="0"/>
          <w:sz w:val="24"/>
          <w:szCs w:val="24"/>
          <w:lang w:val="en-GB"/>
        </w:rPr>
        <w:t xml:space="preserve">National Institute for Health and Clinical Excellence. The NICE guideline on diagnosis and management of ADHD in children, young people and adults. 2009. Available at: </w:t>
      </w:r>
      <w:hyperlink r:id="rId17" w:history="1">
        <w:r w:rsidRPr="00E14060">
          <w:rPr>
            <w:rStyle w:val="Hyperlink"/>
            <w:rFonts w:ascii="Times New Roman" w:hAnsi="Times New Roman"/>
            <w:i w:val="0"/>
            <w:color w:val="auto"/>
            <w:sz w:val="24"/>
            <w:szCs w:val="24"/>
            <w:lang w:val="en-GB"/>
          </w:rPr>
          <w:t>http://www.nice.org.uk/nicemedia/pdf/ADHDFullGuideline.pdf</w:t>
        </w:r>
      </w:hyperlink>
      <w:r w:rsidRPr="00E14060">
        <w:rPr>
          <w:rFonts w:ascii="Times New Roman" w:hAnsi="Times New Roman"/>
          <w:i w:val="0"/>
          <w:sz w:val="24"/>
          <w:szCs w:val="24"/>
          <w:lang w:val="en-GB"/>
        </w:rPr>
        <w:t>.</w:t>
      </w:r>
    </w:p>
    <w:p w14:paraId="73232448" w14:textId="77777777" w:rsidR="00E02B29" w:rsidRPr="00E14060" w:rsidRDefault="00E02B29" w:rsidP="00C97173">
      <w:pPr>
        <w:pStyle w:val="ListParagraph"/>
        <w:numPr>
          <w:ilvl w:val="0"/>
          <w:numId w:val="73"/>
        </w:numPr>
        <w:spacing w:after="120" w:line="300" w:lineRule="auto"/>
        <w:rPr>
          <w:rFonts w:ascii="Times New Roman" w:hAnsi="Times New Roman"/>
          <w:i w:val="0"/>
          <w:sz w:val="24"/>
          <w:szCs w:val="24"/>
          <w:lang w:val="en-GB"/>
        </w:rPr>
      </w:pPr>
      <w:r w:rsidRPr="00E14060">
        <w:rPr>
          <w:rFonts w:ascii="Times New Roman" w:hAnsi="Times New Roman"/>
          <w:i w:val="0"/>
          <w:sz w:val="24"/>
          <w:szCs w:val="24"/>
          <w:lang w:val="en-GB"/>
        </w:rPr>
        <w:t>National Institute for Clinical Excellence. Identifying the evidence: literature searching and evidence submission. November 30, 2012. Available at: http://publications.nice.org.uk/PMG6. Accessed on: August 8, 2013.</w:t>
      </w:r>
    </w:p>
    <w:p w14:paraId="2633DD63" w14:textId="77777777" w:rsidR="0020276F" w:rsidRPr="00E14060" w:rsidRDefault="0020276F" w:rsidP="00C97173">
      <w:pPr>
        <w:pStyle w:val="ListParagraph"/>
        <w:numPr>
          <w:ilvl w:val="0"/>
          <w:numId w:val="73"/>
        </w:numPr>
        <w:spacing w:after="120" w:line="300" w:lineRule="auto"/>
        <w:rPr>
          <w:rFonts w:ascii="Times New Roman" w:hAnsi="Times New Roman"/>
          <w:i w:val="0"/>
          <w:sz w:val="24"/>
          <w:szCs w:val="24"/>
          <w:lang w:val="en-GB"/>
        </w:rPr>
      </w:pPr>
      <w:r w:rsidRPr="00E14060">
        <w:rPr>
          <w:rFonts w:ascii="Times New Roman" w:hAnsi="Times New Roman"/>
          <w:i w:val="0"/>
          <w:sz w:val="24"/>
          <w:szCs w:val="24"/>
          <w:lang w:val="en-GB"/>
        </w:rPr>
        <w:t>National Institute for Clinical Excellence. A general linear modelling framework for pair-wise and network meta-analysis of randomised controlled trials. NICE Decision Support Unit Technica</w:t>
      </w:r>
      <w:r w:rsidR="00D75D2A" w:rsidRPr="00E14060">
        <w:rPr>
          <w:rFonts w:ascii="Times New Roman" w:hAnsi="Times New Roman"/>
          <w:i w:val="0"/>
          <w:sz w:val="24"/>
          <w:szCs w:val="24"/>
          <w:lang w:val="en-GB"/>
        </w:rPr>
        <w:t xml:space="preserve">l Support Document, April 2014: </w:t>
      </w:r>
      <w:r w:rsidRPr="00E14060">
        <w:rPr>
          <w:rFonts w:ascii="Times New Roman" w:hAnsi="Times New Roman"/>
          <w:i w:val="0"/>
          <w:sz w:val="24"/>
          <w:szCs w:val="24"/>
          <w:lang w:val="en-GB"/>
        </w:rPr>
        <w:t>http://www.nicedsu.org.uk/TSD2%20General%20meta%20analysis%20corrected%2015April2014.pdf</w:t>
      </w:r>
    </w:p>
    <w:p w14:paraId="2EC0E2ED" w14:textId="77777777" w:rsidR="009B3D7F" w:rsidRPr="00E14060" w:rsidRDefault="00BC3EE5" w:rsidP="00C97173">
      <w:pPr>
        <w:pStyle w:val="ListParagraph"/>
        <w:numPr>
          <w:ilvl w:val="0"/>
          <w:numId w:val="73"/>
        </w:numPr>
        <w:spacing w:after="120" w:line="300" w:lineRule="auto"/>
        <w:rPr>
          <w:rFonts w:ascii="Times New Roman" w:hAnsi="Times New Roman"/>
          <w:i w:val="0"/>
          <w:sz w:val="24"/>
          <w:szCs w:val="24"/>
          <w:lang w:val="en-GB"/>
        </w:rPr>
      </w:pPr>
      <w:r w:rsidRPr="00E14060">
        <w:rPr>
          <w:rFonts w:ascii="Times New Roman" w:hAnsi="Times New Roman"/>
          <w:i w:val="0"/>
          <w:sz w:val="24"/>
          <w:szCs w:val="24"/>
          <w:lang w:val="en-GB"/>
        </w:rPr>
        <w:lastRenderedPageBreak/>
        <w:t>Olfson M. New options in the pharmacological management of attention-deficit/hyperactivity disorder. Am J Manag Care. 2004;10(4 Suppl):S117–124.</w:t>
      </w:r>
    </w:p>
    <w:p w14:paraId="38CE6E46" w14:textId="77777777" w:rsidR="00182257" w:rsidRPr="00E14060" w:rsidRDefault="00182257" w:rsidP="00C97173">
      <w:pPr>
        <w:pStyle w:val="ListParagraph"/>
        <w:numPr>
          <w:ilvl w:val="0"/>
          <w:numId w:val="73"/>
        </w:numPr>
        <w:spacing w:after="120" w:line="300" w:lineRule="auto"/>
        <w:rPr>
          <w:rFonts w:ascii="Times New Roman" w:hAnsi="Times New Roman"/>
          <w:i w:val="0"/>
          <w:sz w:val="24"/>
          <w:szCs w:val="24"/>
          <w:lang w:val="en-GB"/>
        </w:rPr>
      </w:pPr>
      <w:r w:rsidRPr="00E14060">
        <w:rPr>
          <w:rFonts w:ascii="Times New Roman" w:hAnsi="Times New Roman"/>
          <w:i w:val="0"/>
          <w:sz w:val="24"/>
          <w:szCs w:val="24"/>
          <w:lang w:val="en-GB"/>
        </w:rPr>
        <w:t>Retz W, Retz-Junginger P, Thome J, Rösler M. Pharmacological treatment of adult ADHD in Europe. World J Biol Psychiatry Off J World Fed Soc Biol Psychiatry. 2011;12 Suppl 1:89–94. doi:10.3109/15622975.2011.603229.</w:t>
      </w:r>
    </w:p>
    <w:p w14:paraId="6269348A" w14:textId="77777777" w:rsidR="0006210A" w:rsidRPr="00E14060" w:rsidRDefault="0006210A" w:rsidP="00C97173">
      <w:pPr>
        <w:pStyle w:val="ListParagraph"/>
        <w:numPr>
          <w:ilvl w:val="0"/>
          <w:numId w:val="73"/>
        </w:numPr>
        <w:spacing w:after="120" w:line="300" w:lineRule="auto"/>
        <w:rPr>
          <w:rFonts w:ascii="Times New Roman" w:hAnsi="Times New Roman"/>
          <w:i w:val="0"/>
          <w:sz w:val="24"/>
          <w:szCs w:val="24"/>
          <w:lang w:val="en-GB"/>
        </w:rPr>
      </w:pPr>
      <w:r w:rsidRPr="00E14060">
        <w:rPr>
          <w:rFonts w:ascii="Times New Roman" w:hAnsi="Times New Roman"/>
          <w:i w:val="0"/>
          <w:sz w:val="24"/>
          <w:szCs w:val="24"/>
          <w:lang w:val="en-GB"/>
        </w:rPr>
        <w:t>Simon V, Czobor P, Bálint S, Mészáros A, Bitter I. Prevalence and correlates of adult attention-deficit hyperactivity disorder: meta-analysis. Br J Psychiatry J Ment Sci. 2009;194(3):204–211. doi:10.1192/bjp.bp.107.048827.</w:t>
      </w:r>
    </w:p>
    <w:p w14:paraId="79118C6A" w14:textId="77777777" w:rsidR="005D1A94" w:rsidRPr="00E14060" w:rsidRDefault="005D1A94" w:rsidP="00C97173">
      <w:pPr>
        <w:pStyle w:val="ListParagraph"/>
        <w:numPr>
          <w:ilvl w:val="0"/>
          <w:numId w:val="73"/>
        </w:numPr>
        <w:spacing w:after="120" w:line="300" w:lineRule="auto"/>
        <w:rPr>
          <w:rFonts w:ascii="Times New Roman" w:hAnsi="Times New Roman"/>
          <w:i w:val="0"/>
          <w:sz w:val="24"/>
          <w:szCs w:val="24"/>
          <w:lang w:val="en-GB"/>
        </w:rPr>
      </w:pPr>
      <w:r w:rsidRPr="00E14060">
        <w:rPr>
          <w:rFonts w:ascii="Times New Roman" w:hAnsi="Times New Roman"/>
          <w:i w:val="0"/>
          <w:sz w:val="24"/>
          <w:szCs w:val="24"/>
          <w:lang w:val="en-GB"/>
        </w:rPr>
        <w:t>Spencer TJ, Adler LA, Qiao M, et al. Validation of the Adult ADHD Investigator Symptom Rating Scale (AISRS). Journal of Attention Disorders. 2010;</w:t>
      </w:r>
      <w:r w:rsidR="007B337E" w:rsidRPr="00E14060">
        <w:rPr>
          <w:rFonts w:ascii="Times New Roman" w:hAnsi="Times New Roman"/>
          <w:i w:val="0"/>
          <w:sz w:val="24"/>
          <w:szCs w:val="24"/>
          <w:lang w:val="en-GB"/>
        </w:rPr>
        <w:t xml:space="preserve"> </w:t>
      </w:r>
      <w:r w:rsidRPr="00E14060">
        <w:rPr>
          <w:rFonts w:ascii="Times New Roman" w:hAnsi="Times New Roman"/>
          <w:i w:val="0"/>
          <w:sz w:val="24"/>
          <w:szCs w:val="24"/>
          <w:lang w:val="en-GB"/>
        </w:rPr>
        <w:t>14</w:t>
      </w:r>
      <w:r w:rsidR="007B337E" w:rsidRPr="00E14060">
        <w:rPr>
          <w:rFonts w:ascii="Times New Roman" w:hAnsi="Times New Roman"/>
          <w:i w:val="0"/>
          <w:sz w:val="24"/>
          <w:szCs w:val="24"/>
          <w:lang w:val="en-GB"/>
        </w:rPr>
        <w:t xml:space="preserve"> </w:t>
      </w:r>
      <w:r w:rsidRPr="00E14060">
        <w:rPr>
          <w:rFonts w:ascii="Times New Roman" w:hAnsi="Times New Roman"/>
          <w:i w:val="0"/>
          <w:sz w:val="24"/>
          <w:szCs w:val="24"/>
          <w:lang w:val="en-GB"/>
        </w:rPr>
        <w:t>(1):</w:t>
      </w:r>
      <w:r w:rsidR="007B337E" w:rsidRPr="00E14060">
        <w:rPr>
          <w:rFonts w:ascii="Times New Roman" w:hAnsi="Times New Roman"/>
          <w:i w:val="0"/>
          <w:sz w:val="24"/>
          <w:szCs w:val="24"/>
          <w:lang w:val="en-GB"/>
        </w:rPr>
        <w:t xml:space="preserve"> </w:t>
      </w:r>
      <w:r w:rsidRPr="00E14060">
        <w:rPr>
          <w:rFonts w:ascii="Times New Roman" w:hAnsi="Times New Roman"/>
          <w:i w:val="0"/>
          <w:sz w:val="24"/>
          <w:szCs w:val="24"/>
          <w:lang w:val="en-GB"/>
        </w:rPr>
        <w:t>57-68.</w:t>
      </w:r>
    </w:p>
    <w:p w14:paraId="3144A922" w14:textId="77777777" w:rsidR="00CE0E13" w:rsidRPr="00E14060" w:rsidRDefault="0006210A" w:rsidP="00C97173">
      <w:pPr>
        <w:pStyle w:val="ListParagraph"/>
        <w:numPr>
          <w:ilvl w:val="0"/>
          <w:numId w:val="73"/>
        </w:numPr>
        <w:spacing w:after="120" w:line="300" w:lineRule="auto"/>
        <w:rPr>
          <w:rFonts w:ascii="Times New Roman" w:hAnsi="Times New Roman"/>
          <w:i w:val="0"/>
          <w:sz w:val="24"/>
          <w:szCs w:val="24"/>
          <w:lang w:val="en-GB"/>
        </w:rPr>
      </w:pPr>
      <w:r w:rsidRPr="00E14060">
        <w:rPr>
          <w:rFonts w:ascii="Times New Roman" w:hAnsi="Times New Roman"/>
          <w:i w:val="0"/>
          <w:sz w:val="24"/>
          <w:szCs w:val="24"/>
          <w:lang w:val="en-GB"/>
        </w:rPr>
        <w:t>Weisler RH, Pandina GJ, Daly EJ, Cooper K, Gassmann-Mayer C. Randomized Clinical Study of a Histamine H3 Receptor Antagonist for the Treatment of Adults with Attention-Deficit Hyperactivity Disorder: CNS Drugs. 2012;26(5):421–434. doi:10.2165/11631990-000000000-00000.</w:t>
      </w:r>
    </w:p>
    <w:p w14:paraId="3219431C" w14:textId="77777777" w:rsidR="003E6082" w:rsidRPr="00E14060" w:rsidRDefault="003E6082" w:rsidP="00C97173">
      <w:pPr>
        <w:pStyle w:val="ListParagraph"/>
        <w:numPr>
          <w:ilvl w:val="0"/>
          <w:numId w:val="73"/>
        </w:numPr>
        <w:spacing w:after="120" w:line="300" w:lineRule="auto"/>
        <w:rPr>
          <w:rFonts w:ascii="Times New Roman" w:hAnsi="Times New Roman"/>
          <w:i w:val="0"/>
          <w:sz w:val="24"/>
          <w:szCs w:val="24"/>
          <w:lang w:val="en-GB"/>
        </w:rPr>
      </w:pPr>
      <w:r w:rsidRPr="00E14060">
        <w:rPr>
          <w:rFonts w:ascii="Times New Roman" w:hAnsi="Times New Roman"/>
          <w:i w:val="0"/>
          <w:sz w:val="24"/>
          <w:szCs w:val="24"/>
          <w:lang w:val="en-GB"/>
        </w:rPr>
        <w:t>Wigal T, Brams M, Gasior M, et al. Randomized, double-blind, placebo-controlled, crossover study of the efficacy and safety of lisdexamfetamine dimesylate in adults with attention-deficit/hyperactivity disorder: novel findings using a simulated adult workplace environment design. Behav Brain Funct. 2010;6(1):34. doi:10.1186/1744-9081-6-34.</w:t>
      </w:r>
    </w:p>
    <w:p w14:paraId="0E306723" w14:textId="77777777" w:rsidR="009756B8" w:rsidRPr="00E14060" w:rsidRDefault="009756B8" w:rsidP="009F72F0">
      <w:pPr>
        <w:spacing w:after="240" w:line="300" w:lineRule="auto"/>
        <w:rPr>
          <w:sz w:val="24"/>
          <w:szCs w:val="24"/>
          <w:lang w:val="en-GB"/>
        </w:rPr>
        <w:sectPr w:rsidR="009756B8" w:rsidRPr="00E14060" w:rsidSect="003E0AD7">
          <w:headerReference w:type="even" r:id="rId18"/>
          <w:headerReference w:type="default" r:id="rId19"/>
          <w:footerReference w:type="even" r:id="rId20"/>
          <w:footerReference w:type="default" r:id="rId21"/>
          <w:headerReference w:type="first" r:id="rId22"/>
          <w:footerReference w:type="first" r:id="rId23"/>
          <w:endnotePr>
            <w:numFmt w:val="decimal"/>
          </w:endnotePr>
          <w:pgSz w:w="12240" w:h="15840" w:code="9"/>
          <w:pgMar w:top="720" w:right="720" w:bottom="720" w:left="720" w:header="1440" w:footer="432" w:gutter="0"/>
          <w:paperSrc w:first="7" w:other="7"/>
          <w:cols w:space="720"/>
          <w:formProt w:val="0"/>
          <w:docGrid w:linePitch="272"/>
        </w:sectPr>
      </w:pPr>
    </w:p>
    <w:p w14:paraId="3362E2B1" w14:textId="77777777" w:rsidR="00F553CC" w:rsidRPr="00F334F9" w:rsidRDefault="00F553CC" w:rsidP="00821FA0">
      <w:pPr>
        <w:pStyle w:val="Heading3"/>
        <w:numPr>
          <w:ilvl w:val="0"/>
          <w:numId w:val="0"/>
        </w:numPr>
        <w:ind w:left="720"/>
        <w:rPr>
          <w:color w:val="auto"/>
        </w:rPr>
      </w:pPr>
      <w:bookmarkStart w:id="333" w:name="_Toc391913795"/>
      <w:bookmarkStart w:id="334" w:name="_Toc402543866"/>
      <w:bookmarkStart w:id="335" w:name="_Toc384683067"/>
      <w:bookmarkStart w:id="336" w:name="_Toc391914189"/>
      <w:bookmarkStart w:id="337" w:name="_Toc402543885"/>
      <w:r w:rsidRPr="00F334F9">
        <w:rPr>
          <w:color w:val="auto"/>
        </w:rPr>
        <w:lastRenderedPageBreak/>
        <w:t>Table A-1: List of studies included in network meta-analysis</w:t>
      </w:r>
      <w:bookmarkEnd w:id="333"/>
      <w:bookmarkEnd w:id="334"/>
    </w:p>
    <w:tbl>
      <w:tblPr>
        <w:tblW w:w="0" w:type="auto"/>
        <w:tblInd w:w="108" w:type="dxa"/>
        <w:tblLook w:val="04A0" w:firstRow="1" w:lastRow="0" w:firstColumn="1" w:lastColumn="0" w:noHBand="0" w:noVBand="1"/>
      </w:tblPr>
      <w:tblGrid>
        <w:gridCol w:w="1677"/>
        <w:gridCol w:w="5132"/>
        <w:gridCol w:w="7483"/>
      </w:tblGrid>
      <w:tr w:rsidR="00F553CC" w:rsidRPr="00F334F9" w14:paraId="7BDBD685" w14:textId="77777777" w:rsidTr="002712D5">
        <w:trPr>
          <w:trHeight w:val="630"/>
          <w:tblHeader/>
        </w:trPr>
        <w:tc>
          <w:tcPr>
            <w:tcW w:w="0" w:type="auto"/>
            <w:tcBorders>
              <w:top w:val="single" w:sz="4" w:space="0" w:color="auto"/>
              <w:left w:val="nil"/>
              <w:bottom w:val="single" w:sz="4" w:space="0" w:color="auto"/>
              <w:right w:val="nil"/>
            </w:tcBorders>
            <w:shd w:val="clear" w:color="000000" w:fill="FFFFFF"/>
            <w:noWrap/>
            <w:vAlign w:val="center"/>
            <w:hideMark/>
          </w:tcPr>
          <w:p w14:paraId="739F5F9D" w14:textId="77777777" w:rsidR="00F553CC" w:rsidRPr="003D7166" w:rsidRDefault="00F553CC" w:rsidP="002712D5">
            <w:pPr>
              <w:rPr>
                <w:b/>
                <w:bCs/>
                <w:sz w:val="22"/>
                <w:szCs w:val="22"/>
              </w:rPr>
            </w:pPr>
            <w:r w:rsidRPr="003D7166">
              <w:rPr>
                <w:b/>
                <w:bCs/>
                <w:sz w:val="22"/>
                <w:szCs w:val="22"/>
              </w:rPr>
              <w:t>Author (Year)</w:t>
            </w:r>
          </w:p>
        </w:tc>
        <w:tc>
          <w:tcPr>
            <w:tcW w:w="0" w:type="auto"/>
            <w:tcBorders>
              <w:top w:val="single" w:sz="4" w:space="0" w:color="auto"/>
              <w:left w:val="nil"/>
              <w:bottom w:val="single" w:sz="4" w:space="0" w:color="auto"/>
              <w:right w:val="nil"/>
            </w:tcBorders>
            <w:shd w:val="clear" w:color="000000" w:fill="FFFFFF"/>
            <w:vAlign w:val="center"/>
            <w:hideMark/>
          </w:tcPr>
          <w:p w14:paraId="4423F688" w14:textId="77777777" w:rsidR="00F553CC" w:rsidRPr="003D7166" w:rsidRDefault="00F553CC" w:rsidP="002712D5">
            <w:pPr>
              <w:jc w:val="center"/>
              <w:rPr>
                <w:b/>
                <w:bCs/>
                <w:sz w:val="22"/>
                <w:szCs w:val="22"/>
              </w:rPr>
            </w:pPr>
            <w:r w:rsidRPr="003D7166">
              <w:rPr>
                <w:b/>
                <w:bCs/>
                <w:sz w:val="22"/>
                <w:szCs w:val="22"/>
              </w:rPr>
              <w:t>Population</w:t>
            </w:r>
          </w:p>
        </w:tc>
        <w:tc>
          <w:tcPr>
            <w:tcW w:w="0" w:type="auto"/>
            <w:tcBorders>
              <w:top w:val="single" w:sz="4" w:space="0" w:color="auto"/>
              <w:left w:val="nil"/>
              <w:bottom w:val="single" w:sz="4" w:space="0" w:color="auto"/>
              <w:right w:val="nil"/>
            </w:tcBorders>
            <w:shd w:val="clear" w:color="000000" w:fill="FFFFFF"/>
            <w:vAlign w:val="center"/>
            <w:hideMark/>
          </w:tcPr>
          <w:p w14:paraId="32B599D9" w14:textId="77777777" w:rsidR="00F553CC" w:rsidRPr="003D7166" w:rsidRDefault="00F553CC" w:rsidP="002712D5">
            <w:pPr>
              <w:jc w:val="center"/>
              <w:rPr>
                <w:b/>
                <w:bCs/>
                <w:sz w:val="22"/>
                <w:szCs w:val="22"/>
              </w:rPr>
            </w:pPr>
            <w:r w:rsidRPr="003D7166">
              <w:rPr>
                <w:b/>
                <w:bCs/>
                <w:sz w:val="22"/>
                <w:szCs w:val="22"/>
              </w:rPr>
              <w:t>Primary Study Reference</w:t>
            </w:r>
          </w:p>
        </w:tc>
      </w:tr>
      <w:tr w:rsidR="00F553CC" w:rsidRPr="00F334F9" w14:paraId="054F997A" w14:textId="77777777" w:rsidTr="002712D5">
        <w:trPr>
          <w:trHeight w:val="765"/>
        </w:trPr>
        <w:tc>
          <w:tcPr>
            <w:tcW w:w="0" w:type="auto"/>
            <w:tcBorders>
              <w:top w:val="nil"/>
              <w:left w:val="nil"/>
              <w:bottom w:val="nil"/>
              <w:right w:val="nil"/>
            </w:tcBorders>
            <w:shd w:val="clear" w:color="000000" w:fill="D9D9D9"/>
            <w:noWrap/>
            <w:hideMark/>
          </w:tcPr>
          <w:p w14:paraId="3BC1B177" w14:textId="77777777" w:rsidR="00F553CC" w:rsidRPr="003D7166" w:rsidRDefault="00F553CC" w:rsidP="002712D5">
            <w:r w:rsidRPr="003D7166">
              <w:t>Adler (2008)</w:t>
            </w:r>
          </w:p>
        </w:tc>
        <w:tc>
          <w:tcPr>
            <w:tcW w:w="0" w:type="auto"/>
            <w:tcBorders>
              <w:top w:val="nil"/>
              <w:left w:val="nil"/>
              <w:bottom w:val="nil"/>
              <w:right w:val="nil"/>
            </w:tcBorders>
            <w:shd w:val="clear" w:color="000000" w:fill="D9D9D9"/>
            <w:hideMark/>
          </w:tcPr>
          <w:p w14:paraId="10C1F388" w14:textId="77777777" w:rsidR="00F553CC" w:rsidRPr="003D7166" w:rsidRDefault="00F553CC" w:rsidP="002712D5">
            <w:r w:rsidRPr="003D7166">
              <w:t>420 adults aged 18-55 years with moderate to severe ADHD</w:t>
            </w:r>
          </w:p>
        </w:tc>
        <w:tc>
          <w:tcPr>
            <w:tcW w:w="0" w:type="auto"/>
            <w:tcBorders>
              <w:top w:val="nil"/>
              <w:left w:val="nil"/>
              <w:bottom w:val="nil"/>
              <w:right w:val="nil"/>
            </w:tcBorders>
            <w:shd w:val="clear" w:color="000000" w:fill="D9D9D9"/>
            <w:hideMark/>
          </w:tcPr>
          <w:p w14:paraId="7BA85EF3" w14:textId="77777777" w:rsidR="00F553CC" w:rsidRPr="003D7166" w:rsidRDefault="00F553CC" w:rsidP="002712D5">
            <w:r w:rsidRPr="003D7166">
              <w:t>Adler LA, Goodman DW, Kollins SH, et al. Double-blind, placebo-controlled study of the efficacy and safety of lisdexamfetamine dimesylate in adults with attention-deficit/hyperactivity disorder. The Journal of clinical psychiatry. Sep 2008;69(9):1364-1373.</w:t>
            </w:r>
          </w:p>
        </w:tc>
      </w:tr>
      <w:tr w:rsidR="00F553CC" w:rsidRPr="00F334F9" w14:paraId="6CFC0498" w14:textId="77777777" w:rsidTr="002712D5">
        <w:trPr>
          <w:trHeight w:val="765"/>
        </w:trPr>
        <w:tc>
          <w:tcPr>
            <w:tcW w:w="0" w:type="auto"/>
            <w:tcBorders>
              <w:top w:val="nil"/>
              <w:left w:val="nil"/>
              <w:bottom w:val="nil"/>
              <w:right w:val="nil"/>
            </w:tcBorders>
            <w:shd w:val="clear" w:color="000000" w:fill="FFFFFF"/>
            <w:noWrap/>
            <w:hideMark/>
          </w:tcPr>
          <w:p w14:paraId="59BF80E9" w14:textId="77777777" w:rsidR="00F553CC" w:rsidRPr="00F334F9" w:rsidRDefault="00F553CC" w:rsidP="002712D5">
            <w:r w:rsidRPr="00F334F9">
              <w:t>Adler (2009a)</w:t>
            </w:r>
          </w:p>
        </w:tc>
        <w:tc>
          <w:tcPr>
            <w:tcW w:w="0" w:type="auto"/>
            <w:tcBorders>
              <w:top w:val="nil"/>
              <w:left w:val="nil"/>
              <w:bottom w:val="nil"/>
              <w:right w:val="nil"/>
            </w:tcBorders>
            <w:shd w:val="clear" w:color="000000" w:fill="FFFFFF"/>
            <w:hideMark/>
          </w:tcPr>
          <w:p w14:paraId="22C14F33" w14:textId="77777777" w:rsidR="00F553CC" w:rsidRPr="003D7166" w:rsidRDefault="00F553CC" w:rsidP="002712D5">
            <w:r w:rsidRPr="003D7166">
              <w:t>501 adults aged 18-54 years with ADHD</w:t>
            </w:r>
          </w:p>
        </w:tc>
        <w:tc>
          <w:tcPr>
            <w:tcW w:w="0" w:type="auto"/>
            <w:tcBorders>
              <w:top w:val="nil"/>
              <w:left w:val="nil"/>
              <w:bottom w:val="nil"/>
              <w:right w:val="nil"/>
            </w:tcBorders>
            <w:shd w:val="clear" w:color="000000" w:fill="FFFFFF"/>
            <w:hideMark/>
          </w:tcPr>
          <w:p w14:paraId="6D082839" w14:textId="77777777" w:rsidR="00F553CC" w:rsidRPr="003D7166" w:rsidRDefault="00F553CC" w:rsidP="002712D5">
            <w:r w:rsidRPr="003D7166">
              <w:rPr>
                <w:lang w:val="fr-FR"/>
              </w:rPr>
              <w:t xml:space="preserve">Adler LA, Spencer T, Brown TE, et al. </w:t>
            </w:r>
            <w:r w:rsidRPr="003D7166">
              <w:t>Once-Daily Atomoxetine for Adult Attention-Deficit/Hyperactivity Disorder: A 6-Month, Double-Blind Trial. Journal of clinical psychopharmacology. February 2009; 29(1): 44-50.</w:t>
            </w:r>
          </w:p>
        </w:tc>
      </w:tr>
      <w:tr w:rsidR="00F553CC" w:rsidRPr="00F334F9" w14:paraId="2BA13856" w14:textId="77777777" w:rsidTr="002712D5">
        <w:trPr>
          <w:trHeight w:val="765"/>
        </w:trPr>
        <w:tc>
          <w:tcPr>
            <w:tcW w:w="0" w:type="auto"/>
            <w:tcBorders>
              <w:top w:val="nil"/>
              <w:left w:val="nil"/>
              <w:bottom w:val="nil"/>
              <w:right w:val="nil"/>
            </w:tcBorders>
            <w:shd w:val="clear" w:color="000000" w:fill="D9D9D9"/>
            <w:noWrap/>
            <w:hideMark/>
          </w:tcPr>
          <w:p w14:paraId="1B493F05" w14:textId="77777777" w:rsidR="00F553CC" w:rsidRPr="00F334F9" w:rsidRDefault="00F553CC" w:rsidP="002712D5">
            <w:r w:rsidRPr="00F334F9">
              <w:t>Adler (2009b)</w:t>
            </w:r>
          </w:p>
        </w:tc>
        <w:tc>
          <w:tcPr>
            <w:tcW w:w="0" w:type="auto"/>
            <w:tcBorders>
              <w:top w:val="nil"/>
              <w:left w:val="nil"/>
              <w:bottom w:val="nil"/>
              <w:right w:val="nil"/>
            </w:tcBorders>
            <w:shd w:val="clear" w:color="000000" w:fill="D9D9D9"/>
            <w:hideMark/>
          </w:tcPr>
          <w:p w14:paraId="640369C6" w14:textId="77777777" w:rsidR="00F553CC" w:rsidRPr="003D7166" w:rsidRDefault="00F553CC" w:rsidP="002712D5">
            <w:r w:rsidRPr="003D7166">
              <w:t>226 adults aged 18-65 years with ADHD</w:t>
            </w:r>
          </w:p>
        </w:tc>
        <w:tc>
          <w:tcPr>
            <w:tcW w:w="0" w:type="auto"/>
            <w:tcBorders>
              <w:top w:val="nil"/>
              <w:left w:val="nil"/>
              <w:bottom w:val="nil"/>
              <w:right w:val="nil"/>
            </w:tcBorders>
            <w:shd w:val="clear" w:color="000000" w:fill="D9D9D9"/>
            <w:hideMark/>
          </w:tcPr>
          <w:p w14:paraId="71FDAB4A" w14:textId="77777777" w:rsidR="00F553CC" w:rsidRPr="003D7166" w:rsidRDefault="00F553CC" w:rsidP="002712D5">
            <w:r w:rsidRPr="003D7166">
              <w:rPr>
                <w:lang w:val="fr-FR"/>
              </w:rPr>
              <w:t xml:space="preserve">Adler LA, Zimmerman B, Starr HL, et al. </w:t>
            </w:r>
            <w:r w:rsidRPr="003D7166">
              <w:t>Efficacy and safety of OROS methylphenidate in adults with attention-deficit/hyperactivity disorder: a randomized, placebo-controlled, double-blind, parallel group, dose-escalation study. Journal of clinical psychopharmacology. Jun 2009;29(3):239-247.</w:t>
            </w:r>
          </w:p>
        </w:tc>
      </w:tr>
      <w:tr w:rsidR="00F553CC" w:rsidRPr="00F334F9" w14:paraId="4399DDEE" w14:textId="77777777" w:rsidTr="002712D5">
        <w:trPr>
          <w:trHeight w:val="1020"/>
        </w:trPr>
        <w:tc>
          <w:tcPr>
            <w:tcW w:w="0" w:type="auto"/>
            <w:tcBorders>
              <w:top w:val="nil"/>
              <w:left w:val="nil"/>
              <w:bottom w:val="nil"/>
              <w:right w:val="nil"/>
            </w:tcBorders>
            <w:shd w:val="clear" w:color="000000" w:fill="FFFFFF"/>
            <w:noWrap/>
            <w:hideMark/>
          </w:tcPr>
          <w:p w14:paraId="62FAF7DB" w14:textId="77777777" w:rsidR="00F553CC" w:rsidRPr="003D7166" w:rsidRDefault="00F553CC" w:rsidP="002712D5">
            <w:r w:rsidRPr="003D7166">
              <w:t>Adler (2013)</w:t>
            </w:r>
          </w:p>
        </w:tc>
        <w:tc>
          <w:tcPr>
            <w:tcW w:w="0" w:type="auto"/>
            <w:tcBorders>
              <w:top w:val="nil"/>
              <w:left w:val="nil"/>
              <w:bottom w:val="nil"/>
              <w:right w:val="nil"/>
            </w:tcBorders>
            <w:shd w:val="clear" w:color="000000" w:fill="FFFFFF"/>
            <w:hideMark/>
          </w:tcPr>
          <w:p w14:paraId="51038ABD" w14:textId="77777777" w:rsidR="00F553CC" w:rsidRPr="003D7166" w:rsidRDefault="00F553CC" w:rsidP="002712D5">
            <w:r w:rsidRPr="003D7166">
              <w:t>161 adults aged 18-55 years with ADHD and executive function deficits</w:t>
            </w:r>
          </w:p>
        </w:tc>
        <w:tc>
          <w:tcPr>
            <w:tcW w:w="0" w:type="auto"/>
            <w:tcBorders>
              <w:top w:val="nil"/>
              <w:left w:val="nil"/>
              <w:bottom w:val="nil"/>
              <w:right w:val="nil"/>
            </w:tcBorders>
            <w:shd w:val="clear" w:color="000000" w:fill="FFFFFF"/>
            <w:hideMark/>
          </w:tcPr>
          <w:p w14:paraId="0FEE4A02" w14:textId="77777777" w:rsidR="00F553CC" w:rsidRPr="003D7166" w:rsidRDefault="00F553CC" w:rsidP="002712D5">
            <w:r w:rsidRPr="003D7166">
              <w:t>Adler LA, Dirks B, Deas PF, et al. Lisdexamfetamine dimesylate in adults with attention-deficit/ hyperactivity disorder who report clinically significant impairment in executive function: results from a randomized, double-blind, placebo-controlled study. The Journal of clinical psychiatry. Jul 2013;74(7):694-702.</w:t>
            </w:r>
          </w:p>
        </w:tc>
      </w:tr>
      <w:tr w:rsidR="00F553CC" w:rsidRPr="00F334F9" w14:paraId="01A8FE96" w14:textId="77777777" w:rsidTr="002712D5">
        <w:trPr>
          <w:trHeight w:val="510"/>
        </w:trPr>
        <w:tc>
          <w:tcPr>
            <w:tcW w:w="0" w:type="auto"/>
            <w:tcBorders>
              <w:top w:val="nil"/>
              <w:left w:val="nil"/>
              <w:bottom w:val="nil"/>
              <w:right w:val="nil"/>
            </w:tcBorders>
            <w:shd w:val="clear" w:color="000000" w:fill="D9D9D9"/>
            <w:noWrap/>
            <w:hideMark/>
          </w:tcPr>
          <w:p w14:paraId="00E3DDF0" w14:textId="77777777" w:rsidR="00F553CC" w:rsidRPr="003D7166" w:rsidRDefault="00F553CC" w:rsidP="002712D5">
            <w:r w:rsidRPr="003D7166">
              <w:t>Biederman (2006)</w:t>
            </w:r>
          </w:p>
        </w:tc>
        <w:tc>
          <w:tcPr>
            <w:tcW w:w="0" w:type="auto"/>
            <w:tcBorders>
              <w:top w:val="nil"/>
              <w:left w:val="nil"/>
              <w:bottom w:val="nil"/>
              <w:right w:val="nil"/>
            </w:tcBorders>
            <w:shd w:val="clear" w:color="000000" w:fill="D9D9D9"/>
            <w:hideMark/>
          </w:tcPr>
          <w:p w14:paraId="40C5F7EF" w14:textId="77777777" w:rsidR="00F553CC" w:rsidRPr="003D7166" w:rsidRDefault="00F553CC" w:rsidP="002712D5">
            <w:r w:rsidRPr="003D7166">
              <w:t>141 adults aged 19-60 years with ADHD</w:t>
            </w:r>
          </w:p>
        </w:tc>
        <w:tc>
          <w:tcPr>
            <w:tcW w:w="0" w:type="auto"/>
            <w:tcBorders>
              <w:top w:val="nil"/>
              <w:left w:val="nil"/>
              <w:bottom w:val="nil"/>
              <w:right w:val="nil"/>
            </w:tcBorders>
            <w:shd w:val="clear" w:color="000000" w:fill="D9D9D9"/>
            <w:hideMark/>
          </w:tcPr>
          <w:p w14:paraId="05C56B10" w14:textId="77777777" w:rsidR="00F553CC" w:rsidRPr="003D7166" w:rsidRDefault="00F553CC" w:rsidP="002712D5">
            <w:r w:rsidRPr="003D7166">
              <w:t>Biederman J, Mick E, Surman C, et al. A randomized, placebo-controlled trial of OROS methylphenidate in adults with attention-deficit/hyperactivity disorder. Biological psychiatry. May 1 2006;59(9):829-835.</w:t>
            </w:r>
          </w:p>
        </w:tc>
      </w:tr>
      <w:tr w:rsidR="00F553CC" w:rsidRPr="00F334F9" w14:paraId="43EB4052" w14:textId="77777777" w:rsidTr="002712D5">
        <w:trPr>
          <w:trHeight w:val="765"/>
        </w:trPr>
        <w:tc>
          <w:tcPr>
            <w:tcW w:w="0" w:type="auto"/>
            <w:tcBorders>
              <w:top w:val="nil"/>
              <w:left w:val="nil"/>
              <w:bottom w:val="nil"/>
              <w:right w:val="nil"/>
            </w:tcBorders>
            <w:shd w:val="clear" w:color="000000" w:fill="FFFFFF"/>
            <w:noWrap/>
            <w:hideMark/>
          </w:tcPr>
          <w:p w14:paraId="4B3B75B1" w14:textId="77777777" w:rsidR="00F553CC" w:rsidRPr="003D7166" w:rsidRDefault="00F553CC" w:rsidP="002712D5">
            <w:r w:rsidRPr="003D7166">
              <w:t>Biederman (2010)</w:t>
            </w:r>
          </w:p>
        </w:tc>
        <w:tc>
          <w:tcPr>
            <w:tcW w:w="0" w:type="auto"/>
            <w:tcBorders>
              <w:top w:val="nil"/>
              <w:left w:val="nil"/>
              <w:bottom w:val="nil"/>
              <w:right w:val="nil"/>
            </w:tcBorders>
            <w:shd w:val="clear" w:color="000000" w:fill="FFFFFF"/>
            <w:hideMark/>
          </w:tcPr>
          <w:p w14:paraId="431EDFCB" w14:textId="77777777" w:rsidR="00F553CC" w:rsidRPr="003D7166" w:rsidRDefault="00F553CC" w:rsidP="002712D5">
            <w:r w:rsidRPr="003D7166">
              <w:t>223 adults in phase 1, 96 adults in phase 2, and 23 adults in phase 3 aged 19-60 years with ADHD</w:t>
            </w:r>
          </w:p>
        </w:tc>
        <w:tc>
          <w:tcPr>
            <w:tcW w:w="0" w:type="auto"/>
            <w:tcBorders>
              <w:top w:val="nil"/>
              <w:left w:val="nil"/>
              <w:bottom w:val="nil"/>
              <w:right w:val="nil"/>
            </w:tcBorders>
            <w:shd w:val="clear" w:color="000000" w:fill="FFFFFF"/>
            <w:hideMark/>
          </w:tcPr>
          <w:p w14:paraId="127C418C" w14:textId="77777777" w:rsidR="00F553CC" w:rsidRPr="003D7166" w:rsidRDefault="00F553CC" w:rsidP="002712D5">
            <w:r w:rsidRPr="003D7166">
              <w:t>Biederman J, Mick E, Surman C, et al. A randomized, 3-phase, 34-week, double-blind, long-term efficacy study of osmotic-release oral system-methylphenidate in adults with attention-deficit/hyperactivity disorder. Journal of clinical psychopharmacology. Oct 2010;30(5):549-553.</w:t>
            </w:r>
          </w:p>
        </w:tc>
      </w:tr>
      <w:tr w:rsidR="00F553CC" w:rsidRPr="00F334F9" w14:paraId="1620BEBF" w14:textId="77777777" w:rsidTr="002712D5">
        <w:trPr>
          <w:trHeight w:val="765"/>
        </w:trPr>
        <w:tc>
          <w:tcPr>
            <w:tcW w:w="0" w:type="auto"/>
            <w:tcBorders>
              <w:top w:val="nil"/>
              <w:left w:val="nil"/>
              <w:bottom w:val="nil"/>
              <w:right w:val="nil"/>
            </w:tcBorders>
            <w:shd w:val="clear" w:color="000000" w:fill="D9D9D9"/>
            <w:noWrap/>
            <w:hideMark/>
          </w:tcPr>
          <w:p w14:paraId="330F66ED" w14:textId="77777777" w:rsidR="00F553CC" w:rsidRPr="003D7166" w:rsidRDefault="00F553CC" w:rsidP="002712D5">
            <w:r w:rsidRPr="003D7166">
              <w:t>Biederman (2012)</w:t>
            </w:r>
          </w:p>
        </w:tc>
        <w:tc>
          <w:tcPr>
            <w:tcW w:w="0" w:type="auto"/>
            <w:tcBorders>
              <w:top w:val="nil"/>
              <w:left w:val="nil"/>
              <w:bottom w:val="nil"/>
              <w:right w:val="nil"/>
            </w:tcBorders>
            <w:shd w:val="clear" w:color="000000" w:fill="D9D9D9"/>
            <w:hideMark/>
          </w:tcPr>
          <w:p w14:paraId="70EC6378" w14:textId="77777777" w:rsidR="00F553CC" w:rsidRPr="003D7166" w:rsidRDefault="00F553CC" w:rsidP="002712D5">
            <w:r w:rsidRPr="003D7166">
              <w:t>61 outpatients aged 18-26 years with ADHD</w:t>
            </w:r>
          </w:p>
        </w:tc>
        <w:tc>
          <w:tcPr>
            <w:tcW w:w="0" w:type="auto"/>
            <w:tcBorders>
              <w:top w:val="nil"/>
              <w:left w:val="nil"/>
              <w:bottom w:val="nil"/>
              <w:right w:val="nil"/>
            </w:tcBorders>
            <w:shd w:val="clear" w:color="000000" w:fill="D9D9D9"/>
            <w:hideMark/>
          </w:tcPr>
          <w:p w14:paraId="37B0D679" w14:textId="77777777" w:rsidR="00F553CC" w:rsidRPr="003D7166" w:rsidRDefault="00F553CC" w:rsidP="002712D5">
            <w:r w:rsidRPr="003D7166">
              <w:t>Biederman J, Fried R, Hammerness P, et al. The effects of lisdexamfetamine dimesylate on the driving performance of young adults with ADHD: a randomized, double-blind, placebo-controlled study using a validated driving simulator paradigm. Journal of psychiatric research. Apr 2012;46(4):484-491.</w:t>
            </w:r>
          </w:p>
        </w:tc>
      </w:tr>
      <w:tr w:rsidR="00F553CC" w:rsidRPr="00F334F9" w14:paraId="50C4A410" w14:textId="77777777" w:rsidTr="002712D5">
        <w:trPr>
          <w:trHeight w:val="1020"/>
        </w:trPr>
        <w:tc>
          <w:tcPr>
            <w:tcW w:w="0" w:type="auto"/>
            <w:tcBorders>
              <w:top w:val="nil"/>
              <w:left w:val="nil"/>
              <w:bottom w:val="nil"/>
              <w:right w:val="nil"/>
            </w:tcBorders>
            <w:shd w:val="clear" w:color="000000" w:fill="FFFFFF"/>
            <w:noWrap/>
            <w:hideMark/>
          </w:tcPr>
          <w:p w14:paraId="01425040" w14:textId="77777777" w:rsidR="00F553CC" w:rsidRPr="003D7166" w:rsidRDefault="00F553CC" w:rsidP="002712D5">
            <w:r w:rsidRPr="003D7166">
              <w:t>Casas (2013)</w:t>
            </w:r>
          </w:p>
        </w:tc>
        <w:tc>
          <w:tcPr>
            <w:tcW w:w="0" w:type="auto"/>
            <w:tcBorders>
              <w:top w:val="nil"/>
              <w:left w:val="nil"/>
              <w:bottom w:val="nil"/>
              <w:right w:val="nil"/>
            </w:tcBorders>
            <w:shd w:val="clear" w:color="000000" w:fill="FFFFFF"/>
            <w:hideMark/>
          </w:tcPr>
          <w:p w14:paraId="680D56D4" w14:textId="77777777" w:rsidR="00F553CC" w:rsidRPr="003D7166" w:rsidRDefault="00F553CC" w:rsidP="002712D5">
            <w:r w:rsidRPr="003D7166">
              <w:t>279 adults aged 18-65 years with ADHD</w:t>
            </w:r>
          </w:p>
        </w:tc>
        <w:tc>
          <w:tcPr>
            <w:tcW w:w="0" w:type="auto"/>
            <w:tcBorders>
              <w:top w:val="nil"/>
              <w:left w:val="nil"/>
              <w:bottom w:val="nil"/>
              <w:right w:val="nil"/>
            </w:tcBorders>
            <w:shd w:val="clear" w:color="000000" w:fill="FFFFFF"/>
            <w:hideMark/>
          </w:tcPr>
          <w:p w14:paraId="62C8E9F7" w14:textId="77777777" w:rsidR="00F553CC" w:rsidRPr="003D7166" w:rsidRDefault="00F553CC" w:rsidP="002712D5">
            <w:r w:rsidRPr="003D7166">
              <w:t>Casas M, Rosler M, Sandra Kooij JJ, et al. Efficacy and safety of prolonged-release OROS methylphenidate in adults with attention deficit/hyperactivity disorder: a 13-week, randomized, double-blind, placebo-controlled, fixed-dose study. The world journal of biological psychiatry : the official journal of the World Federation of Societies of Biological Psychiatry. May 2013;14(4):268-281.</w:t>
            </w:r>
          </w:p>
        </w:tc>
      </w:tr>
      <w:tr w:rsidR="00F553CC" w:rsidRPr="00F334F9" w14:paraId="7F63B3D5" w14:textId="77777777" w:rsidTr="002712D5">
        <w:trPr>
          <w:trHeight w:val="765"/>
        </w:trPr>
        <w:tc>
          <w:tcPr>
            <w:tcW w:w="0" w:type="auto"/>
            <w:tcBorders>
              <w:top w:val="nil"/>
              <w:left w:val="nil"/>
              <w:bottom w:val="nil"/>
              <w:right w:val="nil"/>
            </w:tcBorders>
            <w:shd w:val="clear" w:color="000000" w:fill="D9D9D9"/>
            <w:noWrap/>
            <w:hideMark/>
          </w:tcPr>
          <w:p w14:paraId="22D6D2E8" w14:textId="77777777" w:rsidR="00F553CC" w:rsidRPr="003D7166" w:rsidRDefault="00F553CC" w:rsidP="002712D5">
            <w:r w:rsidRPr="003D7166">
              <w:t>Durell (2013)</w:t>
            </w:r>
          </w:p>
        </w:tc>
        <w:tc>
          <w:tcPr>
            <w:tcW w:w="0" w:type="auto"/>
            <w:tcBorders>
              <w:top w:val="nil"/>
              <w:left w:val="nil"/>
              <w:bottom w:val="nil"/>
              <w:right w:val="nil"/>
            </w:tcBorders>
            <w:shd w:val="clear" w:color="000000" w:fill="D9D9D9"/>
            <w:hideMark/>
          </w:tcPr>
          <w:p w14:paraId="2665C0A3" w14:textId="77777777" w:rsidR="00F553CC" w:rsidRPr="003D7166" w:rsidRDefault="00F553CC" w:rsidP="002712D5">
            <w:r w:rsidRPr="003D7166">
              <w:t>445 adults aged 18-30 ears with ADHD</w:t>
            </w:r>
          </w:p>
        </w:tc>
        <w:tc>
          <w:tcPr>
            <w:tcW w:w="0" w:type="auto"/>
            <w:tcBorders>
              <w:top w:val="nil"/>
              <w:left w:val="nil"/>
              <w:bottom w:val="nil"/>
              <w:right w:val="nil"/>
            </w:tcBorders>
            <w:shd w:val="clear" w:color="000000" w:fill="D9D9D9"/>
            <w:hideMark/>
          </w:tcPr>
          <w:p w14:paraId="289BE317" w14:textId="77777777" w:rsidR="00F553CC" w:rsidRPr="003D7166" w:rsidRDefault="00F553CC" w:rsidP="002712D5">
            <w:r w:rsidRPr="003D7166">
              <w:t>Durell TM, Adler LA, Williams DW, et al. Atomoxetine treatment of attention-deficit/hyperactivity disorder in young adults with assessment of functional outcomes: a randomized, double-blind, placebo-controlled clinical trial. Journal of clinical psychopharmacology. Feb 2013;33(1):45-54.</w:t>
            </w:r>
          </w:p>
        </w:tc>
      </w:tr>
      <w:tr w:rsidR="00F553CC" w:rsidRPr="00F334F9" w14:paraId="1309BBC5" w14:textId="77777777" w:rsidTr="002712D5">
        <w:trPr>
          <w:trHeight w:val="765"/>
        </w:trPr>
        <w:tc>
          <w:tcPr>
            <w:tcW w:w="0" w:type="auto"/>
            <w:tcBorders>
              <w:top w:val="nil"/>
              <w:left w:val="nil"/>
              <w:bottom w:val="nil"/>
              <w:right w:val="nil"/>
            </w:tcBorders>
            <w:shd w:val="clear" w:color="000000" w:fill="FFFFFF"/>
            <w:noWrap/>
            <w:hideMark/>
          </w:tcPr>
          <w:p w14:paraId="2EF6E159" w14:textId="77777777" w:rsidR="00F553CC" w:rsidRPr="003D7166" w:rsidRDefault="00F553CC" w:rsidP="002712D5">
            <w:r w:rsidRPr="003D7166">
              <w:t>Medori (2008)</w:t>
            </w:r>
          </w:p>
        </w:tc>
        <w:tc>
          <w:tcPr>
            <w:tcW w:w="0" w:type="auto"/>
            <w:tcBorders>
              <w:top w:val="nil"/>
              <w:left w:val="nil"/>
              <w:bottom w:val="nil"/>
              <w:right w:val="nil"/>
            </w:tcBorders>
            <w:shd w:val="clear" w:color="000000" w:fill="FFFFFF"/>
            <w:hideMark/>
          </w:tcPr>
          <w:p w14:paraId="502FED9F" w14:textId="77777777" w:rsidR="00F553CC" w:rsidRPr="003D7166" w:rsidRDefault="00F553CC" w:rsidP="002712D5">
            <w:r w:rsidRPr="003D7166">
              <w:t>401 adults aged 18-63 years with ADHD</w:t>
            </w:r>
          </w:p>
        </w:tc>
        <w:tc>
          <w:tcPr>
            <w:tcW w:w="0" w:type="auto"/>
            <w:tcBorders>
              <w:top w:val="nil"/>
              <w:left w:val="nil"/>
              <w:bottom w:val="nil"/>
              <w:right w:val="nil"/>
            </w:tcBorders>
            <w:shd w:val="clear" w:color="000000" w:fill="FFFFFF"/>
            <w:hideMark/>
          </w:tcPr>
          <w:p w14:paraId="59BBC1E1" w14:textId="77777777" w:rsidR="00F553CC" w:rsidRPr="003D7166" w:rsidRDefault="00F553CC" w:rsidP="002712D5">
            <w:r w:rsidRPr="003D7166">
              <w:rPr>
                <w:lang w:val="es-AR"/>
              </w:rPr>
              <w:t xml:space="preserve">Medori R, Ramos-Quiroga JA, Casas M, et al. </w:t>
            </w:r>
            <w:r w:rsidRPr="003D7166">
              <w:t>A randomized, placebo-controlled trial of three fixed dosages of prolonged-release OROS methylphenidate in adults with attention-deficit/hyperactivity disorder. Biological psychiatry. May 15 2008;63(10):981-989.</w:t>
            </w:r>
          </w:p>
        </w:tc>
      </w:tr>
      <w:tr w:rsidR="00F553CC" w:rsidRPr="00F334F9" w14:paraId="1B905258" w14:textId="77777777" w:rsidTr="002712D5">
        <w:trPr>
          <w:trHeight w:val="1020"/>
        </w:trPr>
        <w:tc>
          <w:tcPr>
            <w:tcW w:w="0" w:type="auto"/>
            <w:tcBorders>
              <w:top w:val="nil"/>
              <w:left w:val="nil"/>
              <w:bottom w:val="nil"/>
              <w:right w:val="nil"/>
            </w:tcBorders>
            <w:shd w:val="clear" w:color="000000" w:fill="D9D9D9"/>
            <w:noWrap/>
            <w:hideMark/>
          </w:tcPr>
          <w:p w14:paraId="77751EAC" w14:textId="77777777" w:rsidR="00F553CC" w:rsidRPr="003D7166" w:rsidRDefault="00F553CC" w:rsidP="002712D5">
            <w:r w:rsidRPr="003D7166">
              <w:t>Michelson (2003)</w:t>
            </w:r>
          </w:p>
        </w:tc>
        <w:tc>
          <w:tcPr>
            <w:tcW w:w="0" w:type="auto"/>
            <w:tcBorders>
              <w:top w:val="nil"/>
              <w:left w:val="nil"/>
              <w:bottom w:val="nil"/>
              <w:right w:val="nil"/>
            </w:tcBorders>
            <w:shd w:val="clear" w:color="000000" w:fill="D9D9D9"/>
            <w:hideMark/>
          </w:tcPr>
          <w:p w14:paraId="6326AFD5" w14:textId="77777777" w:rsidR="00F553CC" w:rsidRPr="003D7166" w:rsidRDefault="00F553CC" w:rsidP="002712D5">
            <w:r w:rsidRPr="003D7166">
              <w:t>139 ADHD patients with mean age 40.3 years in study I placebo arm, 141 ADHD patients with mean age 40.2 in study I atomoxetine arm, 127 ADHD patients with mean age 41.2 in study II placebo arm, 129 ADHD patients with mean age 43.0 in study II atomoxetine arm.</w:t>
            </w:r>
          </w:p>
        </w:tc>
        <w:tc>
          <w:tcPr>
            <w:tcW w:w="0" w:type="auto"/>
            <w:tcBorders>
              <w:top w:val="nil"/>
              <w:left w:val="nil"/>
              <w:bottom w:val="nil"/>
              <w:right w:val="nil"/>
            </w:tcBorders>
            <w:shd w:val="clear" w:color="000000" w:fill="D9D9D9"/>
            <w:hideMark/>
          </w:tcPr>
          <w:p w14:paraId="5E346840" w14:textId="77777777" w:rsidR="00F553CC" w:rsidRPr="003D7166" w:rsidRDefault="00F553CC" w:rsidP="002712D5">
            <w:r w:rsidRPr="003D7166">
              <w:rPr>
                <w:lang w:val="fr-FR"/>
              </w:rPr>
              <w:t xml:space="preserve">Michelson D, Adler L, Spencer T, et al. </w:t>
            </w:r>
            <w:r w:rsidRPr="003D7166">
              <w:t>Atomoxetine in adults with ADHD: two randomized, placebo-controlled studies. Biological psychiatry. Jan 15 2003;53(2):112-120.</w:t>
            </w:r>
          </w:p>
        </w:tc>
      </w:tr>
      <w:tr w:rsidR="00F553CC" w:rsidRPr="00F334F9" w14:paraId="3826AED4" w14:textId="77777777" w:rsidTr="002712D5">
        <w:trPr>
          <w:trHeight w:val="510"/>
        </w:trPr>
        <w:tc>
          <w:tcPr>
            <w:tcW w:w="0" w:type="auto"/>
            <w:tcBorders>
              <w:top w:val="nil"/>
              <w:left w:val="nil"/>
              <w:bottom w:val="nil"/>
              <w:right w:val="nil"/>
            </w:tcBorders>
            <w:shd w:val="clear" w:color="000000" w:fill="FFFFFF"/>
            <w:noWrap/>
            <w:hideMark/>
          </w:tcPr>
          <w:p w14:paraId="0AB3AD73" w14:textId="77777777" w:rsidR="00F553CC" w:rsidRPr="003D7166" w:rsidRDefault="00F553CC" w:rsidP="002712D5">
            <w:r w:rsidRPr="003D7166">
              <w:t>NCT00937040</w:t>
            </w:r>
          </w:p>
        </w:tc>
        <w:tc>
          <w:tcPr>
            <w:tcW w:w="0" w:type="auto"/>
            <w:tcBorders>
              <w:top w:val="nil"/>
              <w:left w:val="nil"/>
              <w:bottom w:val="nil"/>
              <w:right w:val="nil"/>
            </w:tcBorders>
            <w:shd w:val="clear" w:color="000000" w:fill="FFFFFF"/>
            <w:hideMark/>
          </w:tcPr>
          <w:p w14:paraId="2A11C016" w14:textId="77777777" w:rsidR="00F553CC" w:rsidRPr="003D7166" w:rsidRDefault="00F553CC" w:rsidP="002712D5">
            <w:r w:rsidRPr="003D7166">
              <w:t>357 patients with mean age 35.7 years with ADHD</w:t>
            </w:r>
          </w:p>
        </w:tc>
        <w:tc>
          <w:tcPr>
            <w:tcW w:w="0" w:type="auto"/>
            <w:tcBorders>
              <w:top w:val="nil"/>
              <w:left w:val="nil"/>
              <w:bottom w:val="nil"/>
              <w:right w:val="nil"/>
            </w:tcBorders>
            <w:shd w:val="clear" w:color="000000" w:fill="FFFFFF"/>
            <w:hideMark/>
          </w:tcPr>
          <w:p w14:paraId="0602E563" w14:textId="77777777" w:rsidR="00F553CC" w:rsidRPr="003D7166" w:rsidRDefault="00F553CC" w:rsidP="002712D5">
            <w:r w:rsidRPr="003D7166">
              <w:t>Adult Study / OROS Methylphenidate Hydrochloride (HCL) (OROS MPH) in Adults With Attention Deficit Hyperactivity Disorder (ADHD). NCT00937040. 2013.</w:t>
            </w:r>
          </w:p>
        </w:tc>
      </w:tr>
      <w:tr w:rsidR="00F553CC" w:rsidRPr="00F334F9" w14:paraId="283395C2" w14:textId="77777777" w:rsidTr="002712D5">
        <w:trPr>
          <w:trHeight w:val="1020"/>
        </w:trPr>
        <w:tc>
          <w:tcPr>
            <w:tcW w:w="0" w:type="auto"/>
            <w:tcBorders>
              <w:top w:val="nil"/>
              <w:left w:val="nil"/>
              <w:bottom w:val="nil"/>
              <w:right w:val="nil"/>
            </w:tcBorders>
            <w:shd w:val="clear" w:color="000000" w:fill="D9D9D9"/>
            <w:noWrap/>
            <w:hideMark/>
          </w:tcPr>
          <w:p w14:paraId="3F0DC6C5" w14:textId="77777777" w:rsidR="00F553CC" w:rsidRPr="003D7166" w:rsidRDefault="00F553CC" w:rsidP="002712D5">
            <w:r w:rsidRPr="003D7166">
              <w:t>Retz (2012)</w:t>
            </w:r>
          </w:p>
        </w:tc>
        <w:tc>
          <w:tcPr>
            <w:tcW w:w="0" w:type="auto"/>
            <w:tcBorders>
              <w:top w:val="nil"/>
              <w:left w:val="nil"/>
              <w:bottom w:val="nil"/>
              <w:right w:val="nil"/>
            </w:tcBorders>
            <w:shd w:val="clear" w:color="000000" w:fill="D9D9D9"/>
            <w:hideMark/>
          </w:tcPr>
          <w:p w14:paraId="0E8F3F8C" w14:textId="77777777" w:rsidR="00F553CC" w:rsidRPr="003D7166" w:rsidRDefault="00F553CC" w:rsidP="002712D5">
            <w:r w:rsidRPr="003D7166">
              <w:t>162 adults aged 18 years and above with ADHD</w:t>
            </w:r>
          </w:p>
        </w:tc>
        <w:tc>
          <w:tcPr>
            <w:tcW w:w="0" w:type="auto"/>
            <w:tcBorders>
              <w:top w:val="nil"/>
              <w:left w:val="nil"/>
              <w:bottom w:val="nil"/>
              <w:right w:val="nil"/>
            </w:tcBorders>
            <w:shd w:val="clear" w:color="000000" w:fill="D9D9D9"/>
            <w:hideMark/>
          </w:tcPr>
          <w:p w14:paraId="28859861" w14:textId="77777777" w:rsidR="00F553CC" w:rsidRPr="003D7166" w:rsidRDefault="00F553CC" w:rsidP="002712D5">
            <w:r w:rsidRPr="003D7166">
              <w:rPr>
                <w:lang w:val="fr-FR"/>
              </w:rPr>
              <w:t xml:space="preserve">Retz W, Rosler M, Ose C, et al. </w:t>
            </w:r>
            <w:r w:rsidRPr="003D7166">
              <w:t>Multiscale assessment of treatment efficacy in adults with ADHD: a randomized placebo-controlled, multi-centre study with extended-release methylphenidate. The world journal of biological psychiatry : the official journal of the World Federation of Societies of Biological Psychiatry. Jan 2012;13(1):48-59.</w:t>
            </w:r>
          </w:p>
        </w:tc>
      </w:tr>
      <w:tr w:rsidR="00F553CC" w:rsidRPr="00F334F9" w14:paraId="2BBF3AD5" w14:textId="77777777" w:rsidTr="002712D5">
        <w:trPr>
          <w:trHeight w:val="765"/>
        </w:trPr>
        <w:tc>
          <w:tcPr>
            <w:tcW w:w="0" w:type="auto"/>
            <w:tcBorders>
              <w:top w:val="nil"/>
              <w:left w:val="nil"/>
              <w:bottom w:val="nil"/>
              <w:right w:val="nil"/>
            </w:tcBorders>
            <w:shd w:val="clear" w:color="000000" w:fill="FFFFFF"/>
            <w:noWrap/>
            <w:hideMark/>
          </w:tcPr>
          <w:p w14:paraId="5E05091E" w14:textId="77777777" w:rsidR="00F553CC" w:rsidRPr="003D7166" w:rsidRDefault="00F553CC" w:rsidP="002712D5">
            <w:r w:rsidRPr="003D7166">
              <w:t>Rosler (2009)</w:t>
            </w:r>
          </w:p>
        </w:tc>
        <w:tc>
          <w:tcPr>
            <w:tcW w:w="0" w:type="auto"/>
            <w:tcBorders>
              <w:top w:val="nil"/>
              <w:left w:val="nil"/>
              <w:bottom w:val="nil"/>
              <w:right w:val="nil"/>
            </w:tcBorders>
            <w:shd w:val="clear" w:color="000000" w:fill="FFFFFF"/>
            <w:hideMark/>
          </w:tcPr>
          <w:p w14:paraId="023BB558" w14:textId="77777777" w:rsidR="00F553CC" w:rsidRPr="003D7166" w:rsidRDefault="00F553CC" w:rsidP="002712D5">
            <w:r w:rsidRPr="003D7166">
              <w:t>359 adults aged 18 years and above with ADHD</w:t>
            </w:r>
          </w:p>
        </w:tc>
        <w:tc>
          <w:tcPr>
            <w:tcW w:w="0" w:type="auto"/>
            <w:tcBorders>
              <w:top w:val="nil"/>
              <w:left w:val="nil"/>
              <w:bottom w:val="nil"/>
              <w:right w:val="nil"/>
            </w:tcBorders>
            <w:shd w:val="clear" w:color="000000" w:fill="FFFFFF"/>
            <w:hideMark/>
          </w:tcPr>
          <w:p w14:paraId="47A8A498" w14:textId="77777777" w:rsidR="00F553CC" w:rsidRPr="003D7166" w:rsidRDefault="00F553CC" w:rsidP="002712D5">
            <w:r w:rsidRPr="003D7166">
              <w:t>Rosler M, Fischer R, Ammer R, Ose C, Retz W. A randomised, placebo-controlled, 24-week, study of low-dose extended-release methylphenidate in adults with attention-deficit/hyperactivity disorder. European archives of psychiatry and clinical neuroscience. Mar 2009;259(2):120-129.</w:t>
            </w:r>
          </w:p>
        </w:tc>
      </w:tr>
      <w:tr w:rsidR="00F553CC" w:rsidRPr="00F334F9" w14:paraId="4A0C9E9B" w14:textId="77777777" w:rsidTr="002712D5">
        <w:trPr>
          <w:trHeight w:val="510"/>
        </w:trPr>
        <w:tc>
          <w:tcPr>
            <w:tcW w:w="0" w:type="auto"/>
            <w:tcBorders>
              <w:top w:val="nil"/>
              <w:left w:val="nil"/>
              <w:bottom w:val="nil"/>
              <w:right w:val="nil"/>
            </w:tcBorders>
            <w:shd w:val="clear" w:color="000000" w:fill="D9D9D9"/>
            <w:noWrap/>
            <w:hideMark/>
          </w:tcPr>
          <w:p w14:paraId="6240BF2A" w14:textId="77777777" w:rsidR="00F553CC" w:rsidRPr="003D7166" w:rsidRDefault="00F553CC" w:rsidP="002712D5">
            <w:r w:rsidRPr="003D7166">
              <w:t>Sobanski (2012)</w:t>
            </w:r>
          </w:p>
        </w:tc>
        <w:tc>
          <w:tcPr>
            <w:tcW w:w="0" w:type="auto"/>
            <w:tcBorders>
              <w:top w:val="nil"/>
              <w:left w:val="nil"/>
              <w:bottom w:val="nil"/>
              <w:right w:val="nil"/>
            </w:tcBorders>
            <w:shd w:val="clear" w:color="000000" w:fill="D9D9D9"/>
            <w:hideMark/>
          </w:tcPr>
          <w:p w14:paraId="68F29A87" w14:textId="77777777" w:rsidR="00F553CC" w:rsidRPr="003D7166" w:rsidRDefault="00F553CC" w:rsidP="002712D5">
            <w:r w:rsidRPr="003D7166">
              <w:t>64 patients with mean age 35.8 years with ADHD</w:t>
            </w:r>
          </w:p>
        </w:tc>
        <w:tc>
          <w:tcPr>
            <w:tcW w:w="0" w:type="auto"/>
            <w:tcBorders>
              <w:top w:val="nil"/>
              <w:left w:val="nil"/>
              <w:bottom w:val="nil"/>
              <w:right w:val="nil"/>
            </w:tcBorders>
            <w:shd w:val="clear" w:color="000000" w:fill="D9D9D9"/>
            <w:hideMark/>
          </w:tcPr>
          <w:p w14:paraId="3E1F18F1" w14:textId="77777777" w:rsidR="00F553CC" w:rsidRPr="003D7166" w:rsidRDefault="00F553CC" w:rsidP="002712D5">
            <w:r w:rsidRPr="003D7166">
              <w:rPr>
                <w:lang w:val="es-AR"/>
              </w:rPr>
              <w:t xml:space="preserve">Sobanski E, Sabljic D, Alm B, et al. </w:t>
            </w:r>
            <w:r w:rsidRPr="003D7166">
              <w:t>A randomized, waiting list-controlled 12-week trial of atomoxetine in adults with ADHD. Pharmacopsychiatry. May 2012;45(3):100-107.</w:t>
            </w:r>
          </w:p>
        </w:tc>
      </w:tr>
      <w:tr w:rsidR="00F553CC" w:rsidRPr="00F334F9" w14:paraId="610448AF" w14:textId="77777777" w:rsidTr="002712D5">
        <w:trPr>
          <w:trHeight w:val="510"/>
        </w:trPr>
        <w:tc>
          <w:tcPr>
            <w:tcW w:w="0" w:type="auto"/>
            <w:tcBorders>
              <w:top w:val="nil"/>
              <w:left w:val="nil"/>
              <w:bottom w:val="nil"/>
              <w:right w:val="nil"/>
            </w:tcBorders>
            <w:shd w:val="clear" w:color="000000" w:fill="FFFFFF"/>
            <w:noWrap/>
            <w:hideMark/>
          </w:tcPr>
          <w:p w14:paraId="612D7DF8" w14:textId="77777777" w:rsidR="00F553CC" w:rsidRPr="003D7166" w:rsidRDefault="00F553CC" w:rsidP="002712D5">
            <w:r w:rsidRPr="003D7166">
              <w:t>Spencer (1998)</w:t>
            </w:r>
          </w:p>
        </w:tc>
        <w:tc>
          <w:tcPr>
            <w:tcW w:w="0" w:type="auto"/>
            <w:tcBorders>
              <w:top w:val="nil"/>
              <w:left w:val="nil"/>
              <w:bottom w:val="nil"/>
              <w:right w:val="nil"/>
            </w:tcBorders>
            <w:shd w:val="clear" w:color="000000" w:fill="FFFFFF"/>
            <w:hideMark/>
          </w:tcPr>
          <w:p w14:paraId="29466EE2" w14:textId="77777777" w:rsidR="00F553CC" w:rsidRPr="003D7166" w:rsidRDefault="00F553CC" w:rsidP="002712D5">
            <w:r w:rsidRPr="003D7166">
              <w:t>22 outpatients aged 19-60 years with ADHD</w:t>
            </w:r>
          </w:p>
        </w:tc>
        <w:tc>
          <w:tcPr>
            <w:tcW w:w="0" w:type="auto"/>
            <w:tcBorders>
              <w:top w:val="nil"/>
              <w:left w:val="nil"/>
              <w:bottom w:val="nil"/>
              <w:right w:val="nil"/>
            </w:tcBorders>
            <w:shd w:val="clear" w:color="000000" w:fill="FFFFFF"/>
            <w:hideMark/>
          </w:tcPr>
          <w:p w14:paraId="0E189B23" w14:textId="77777777" w:rsidR="00F553CC" w:rsidRPr="003D7166" w:rsidRDefault="00F553CC" w:rsidP="002712D5">
            <w:r w:rsidRPr="003D7166">
              <w:rPr>
                <w:lang w:val="fr-FR"/>
              </w:rPr>
              <w:t xml:space="preserve">Spencer T, Biederman J, Wilens T, et al. </w:t>
            </w:r>
            <w:r w:rsidRPr="003D7166">
              <w:t>Effectiveness and tolerability of tomoxetine in adults with attention deficit hyperactivity disorder. The American journal of psychiatry. May 1998;155(5):693-695.</w:t>
            </w:r>
          </w:p>
        </w:tc>
      </w:tr>
      <w:tr w:rsidR="00F553CC" w:rsidRPr="00F334F9" w14:paraId="787F3F78" w14:textId="77777777" w:rsidTr="002712D5">
        <w:trPr>
          <w:trHeight w:val="765"/>
        </w:trPr>
        <w:tc>
          <w:tcPr>
            <w:tcW w:w="0" w:type="auto"/>
            <w:tcBorders>
              <w:top w:val="nil"/>
              <w:left w:val="nil"/>
              <w:bottom w:val="nil"/>
              <w:right w:val="nil"/>
            </w:tcBorders>
            <w:shd w:val="clear" w:color="000000" w:fill="D9D9D9"/>
            <w:noWrap/>
            <w:hideMark/>
          </w:tcPr>
          <w:p w14:paraId="7C653989" w14:textId="77777777" w:rsidR="00F553CC" w:rsidRPr="003D7166" w:rsidRDefault="00F553CC" w:rsidP="002712D5">
            <w:r w:rsidRPr="003D7166">
              <w:t>Spencer (2005)</w:t>
            </w:r>
          </w:p>
        </w:tc>
        <w:tc>
          <w:tcPr>
            <w:tcW w:w="0" w:type="auto"/>
            <w:tcBorders>
              <w:top w:val="nil"/>
              <w:left w:val="nil"/>
              <w:bottom w:val="nil"/>
              <w:right w:val="nil"/>
            </w:tcBorders>
            <w:shd w:val="clear" w:color="000000" w:fill="D9D9D9"/>
            <w:hideMark/>
          </w:tcPr>
          <w:p w14:paraId="525D4669" w14:textId="77777777" w:rsidR="00F553CC" w:rsidRPr="003D7166" w:rsidRDefault="00F553CC" w:rsidP="002712D5">
            <w:r w:rsidRPr="003D7166">
              <w:t>146 adults aged 19-60 years with ADHD</w:t>
            </w:r>
          </w:p>
        </w:tc>
        <w:tc>
          <w:tcPr>
            <w:tcW w:w="0" w:type="auto"/>
            <w:tcBorders>
              <w:top w:val="nil"/>
              <w:left w:val="nil"/>
              <w:bottom w:val="nil"/>
              <w:right w:val="nil"/>
            </w:tcBorders>
            <w:shd w:val="clear" w:color="000000" w:fill="D9D9D9"/>
            <w:hideMark/>
          </w:tcPr>
          <w:p w14:paraId="5F631DE8" w14:textId="77777777" w:rsidR="00F553CC" w:rsidRPr="003D7166" w:rsidRDefault="00F553CC" w:rsidP="002712D5">
            <w:r w:rsidRPr="003D7166">
              <w:rPr>
                <w:lang w:val="fr-FR"/>
              </w:rPr>
              <w:t xml:space="preserve">Spencer T, Biederman J, Wilens T, et al. </w:t>
            </w:r>
            <w:r w:rsidRPr="003D7166">
              <w:t>A large, double-blind, randomized clinical trial of methylphenidate in the treatment of adults with attention-deficit/hyperactivity disorder. Biological psychiatry. Mar 1 2005;57(5):456-463.</w:t>
            </w:r>
          </w:p>
        </w:tc>
      </w:tr>
      <w:tr w:rsidR="00F553CC" w:rsidRPr="00F334F9" w14:paraId="5CB88CD2" w14:textId="77777777" w:rsidTr="002712D5">
        <w:trPr>
          <w:trHeight w:val="765"/>
        </w:trPr>
        <w:tc>
          <w:tcPr>
            <w:tcW w:w="0" w:type="auto"/>
            <w:tcBorders>
              <w:top w:val="nil"/>
              <w:left w:val="nil"/>
              <w:bottom w:val="nil"/>
              <w:right w:val="nil"/>
            </w:tcBorders>
            <w:shd w:val="clear" w:color="000000" w:fill="FFFFFF"/>
            <w:noWrap/>
            <w:hideMark/>
          </w:tcPr>
          <w:p w14:paraId="44B2D7E7" w14:textId="77777777" w:rsidR="00F553CC" w:rsidRPr="003D7166" w:rsidRDefault="00F553CC" w:rsidP="002712D5">
            <w:r w:rsidRPr="003D7166">
              <w:t>Spencer (2007)</w:t>
            </w:r>
          </w:p>
        </w:tc>
        <w:tc>
          <w:tcPr>
            <w:tcW w:w="0" w:type="auto"/>
            <w:tcBorders>
              <w:top w:val="nil"/>
              <w:left w:val="nil"/>
              <w:bottom w:val="nil"/>
              <w:right w:val="nil"/>
            </w:tcBorders>
            <w:shd w:val="clear" w:color="000000" w:fill="FFFFFF"/>
            <w:hideMark/>
          </w:tcPr>
          <w:p w14:paraId="1C1195C2" w14:textId="77777777" w:rsidR="00F553CC" w:rsidRPr="003D7166" w:rsidRDefault="00F553CC" w:rsidP="002712D5">
            <w:r w:rsidRPr="003D7166">
              <w:t>221 adults aged 18-60 years with ADHD and functional impairment</w:t>
            </w:r>
          </w:p>
        </w:tc>
        <w:tc>
          <w:tcPr>
            <w:tcW w:w="0" w:type="auto"/>
            <w:tcBorders>
              <w:top w:val="nil"/>
              <w:left w:val="nil"/>
              <w:bottom w:val="nil"/>
              <w:right w:val="nil"/>
            </w:tcBorders>
            <w:shd w:val="clear" w:color="000000" w:fill="FFFFFF"/>
            <w:hideMark/>
          </w:tcPr>
          <w:p w14:paraId="69AAE8F9" w14:textId="77777777" w:rsidR="00F553CC" w:rsidRPr="003D7166" w:rsidRDefault="00F553CC" w:rsidP="002712D5">
            <w:r w:rsidRPr="003D7166">
              <w:rPr>
                <w:lang w:val="fr-FR"/>
              </w:rPr>
              <w:t xml:space="preserve">Spencer TJ, Adler LA, McGough JJ, et al. </w:t>
            </w:r>
            <w:r w:rsidRPr="003D7166">
              <w:t>Efficacy and safety of dexmethylphenidate extended-release capsules in adults with attention-deficit/hyperactivity disorder. Biological psychiatry. Jun 15 2007;61(12):1380-1387.</w:t>
            </w:r>
          </w:p>
        </w:tc>
      </w:tr>
      <w:tr w:rsidR="00F553CC" w:rsidRPr="00F334F9" w14:paraId="42D0035F" w14:textId="77777777" w:rsidTr="002712D5">
        <w:trPr>
          <w:trHeight w:val="765"/>
        </w:trPr>
        <w:tc>
          <w:tcPr>
            <w:tcW w:w="0" w:type="auto"/>
            <w:tcBorders>
              <w:top w:val="nil"/>
              <w:left w:val="nil"/>
              <w:bottom w:val="nil"/>
              <w:right w:val="nil"/>
            </w:tcBorders>
            <w:shd w:val="clear" w:color="000000" w:fill="D9D9D9"/>
            <w:noWrap/>
            <w:hideMark/>
          </w:tcPr>
          <w:p w14:paraId="2EFF3180" w14:textId="77777777" w:rsidR="00F553CC" w:rsidRPr="003D7166" w:rsidRDefault="00F553CC" w:rsidP="002712D5">
            <w:r w:rsidRPr="003D7166">
              <w:t>Sutherland (2012)</w:t>
            </w:r>
          </w:p>
        </w:tc>
        <w:tc>
          <w:tcPr>
            <w:tcW w:w="0" w:type="auto"/>
            <w:tcBorders>
              <w:top w:val="nil"/>
              <w:left w:val="nil"/>
              <w:bottom w:val="nil"/>
              <w:right w:val="nil"/>
            </w:tcBorders>
            <w:shd w:val="clear" w:color="000000" w:fill="D9D9D9"/>
            <w:hideMark/>
          </w:tcPr>
          <w:p w14:paraId="0F1AD3D8" w14:textId="77777777" w:rsidR="00F553CC" w:rsidRPr="003D7166" w:rsidRDefault="00F553CC" w:rsidP="002712D5">
            <w:r w:rsidRPr="003D7166">
              <w:t>241 adults aged 18-60 years with ADHD</w:t>
            </w:r>
          </w:p>
        </w:tc>
        <w:tc>
          <w:tcPr>
            <w:tcW w:w="0" w:type="auto"/>
            <w:tcBorders>
              <w:top w:val="nil"/>
              <w:left w:val="nil"/>
              <w:bottom w:val="nil"/>
              <w:right w:val="nil"/>
            </w:tcBorders>
            <w:shd w:val="clear" w:color="000000" w:fill="D9D9D9"/>
            <w:hideMark/>
          </w:tcPr>
          <w:p w14:paraId="133DBEDE" w14:textId="77777777" w:rsidR="00F553CC" w:rsidRPr="003D7166" w:rsidRDefault="00F553CC" w:rsidP="002712D5">
            <w:r w:rsidRPr="003D7166">
              <w:t>Sutherland SM, Adler LA, Chen C, Smith MD, Feltner DE. An 8-week, randomized controlled trial of atomoxetine, atomoxetine plus buspirone, or placebo in adults with ADHD. The Journal of clinical psychiatry. Apr 2012;73(4):445-450.</w:t>
            </w:r>
          </w:p>
        </w:tc>
      </w:tr>
      <w:tr w:rsidR="00F553CC" w:rsidRPr="00F334F9" w14:paraId="7F5C8AA6" w14:textId="77777777" w:rsidTr="002712D5">
        <w:trPr>
          <w:trHeight w:val="765"/>
        </w:trPr>
        <w:tc>
          <w:tcPr>
            <w:tcW w:w="0" w:type="auto"/>
            <w:tcBorders>
              <w:top w:val="nil"/>
              <w:left w:val="nil"/>
              <w:bottom w:val="nil"/>
              <w:right w:val="nil"/>
            </w:tcBorders>
            <w:shd w:val="clear" w:color="000000" w:fill="FFFFFF"/>
            <w:noWrap/>
            <w:hideMark/>
          </w:tcPr>
          <w:p w14:paraId="411E1A3F" w14:textId="77777777" w:rsidR="00F553CC" w:rsidRPr="003D7166" w:rsidRDefault="00F553CC" w:rsidP="002712D5">
            <w:r w:rsidRPr="003D7166">
              <w:t>Weisler (2012)</w:t>
            </w:r>
          </w:p>
        </w:tc>
        <w:tc>
          <w:tcPr>
            <w:tcW w:w="0" w:type="auto"/>
            <w:tcBorders>
              <w:top w:val="nil"/>
              <w:left w:val="nil"/>
              <w:bottom w:val="nil"/>
              <w:right w:val="nil"/>
            </w:tcBorders>
            <w:shd w:val="clear" w:color="000000" w:fill="FFFFFF"/>
            <w:hideMark/>
          </w:tcPr>
          <w:p w14:paraId="3AE1A859" w14:textId="77777777" w:rsidR="00F553CC" w:rsidRPr="003D7166" w:rsidRDefault="00F553CC" w:rsidP="002712D5">
            <w:r w:rsidRPr="003D7166">
              <w:t>430 adults aged 18-55 years with ADHD</w:t>
            </w:r>
          </w:p>
        </w:tc>
        <w:tc>
          <w:tcPr>
            <w:tcW w:w="0" w:type="auto"/>
            <w:tcBorders>
              <w:top w:val="nil"/>
              <w:left w:val="nil"/>
              <w:bottom w:val="nil"/>
              <w:right w:val="nil"/>
            </w:tcBorders>
            <w:shd w:val="clear" w:color="000000" w:fill="FFFFFF"/>
            <w:hideMark/>
          </w:tcPr>
          <w:p w14:paraId="7E04206A" w14:textId="77777777" w:rsidR="00F553CC" w:rsidRPr="003D7166" w:rsidRDefault="00F553CC" w:rsidP="002712D5">
            <w:r w:rsidRPr="003D7166">
              <w:t>Weisler RH, Pandina GJ, Daly EJ, Cooper K, Gassmann-Mayer C, Investigators ATTS. Randomized clinical study of a histamine H3 receptor antagonist for the treatment of adults with attention-deficit hyperactivity disorder. CNS drugs. May 1 2012;26(5):421-434.</w:t>
            </w:r>
          </w:p>
        </w:tc>
      </w:tr>
      <w:tr w:rsidR="00F553CC" w:rsidRPr="00F334F9" w14:paraId="455E267E" w14:textId="77777777" w:rsidTr="002712D5">
        <w:trPr>
          <w:trHeight w:val="765"/>
        </w:trPr>
        <w:tc>
          <w:tcPr>
            <w:tcW w:w="0" w:type="auto"/>
            <w:tcBorders>
              <w:top w:val="nil"/>
              <w:left w:val="nil"/>
              <w:bottom w:val="single" w:sz="4" w:space="0" w:color="auto"/>
              <w:right w:val="nil"/>
            </w:tcBorders>
            <w:shd w:val="clear" w:color="000000" w:fill="D9D9D9"/>
            <w:noWrap/>
            <w:hideMark/>
          </w:tcPr>
          <w:p w14:paraId="1C400428" w14:textId="77777777" w:rsidR="00F553CC" w:rsidRPr="003D7166" w:rsidRDefault="00F553CC" w:rsidP="002712D5">
            <w:r w:rsidRPr="003D7166">
              <w:t>Young (2011)</w:t>
            </w:r>
          </w:p>
        </w:tc>
        <w:tc>
          <w:tcPr>
            <w:tcW w:w="0" w:type="auto"/>
            <w:tcBorders>
              <w:top w:val="nil"/>
              <w:left w:val="nil"/>
              <w:bottom w:val="single" w:sz="4" w:space="0" w:color="auto"/>
              <w:right w:val="nil"/>
            </w:tcBorders>
            <w:shd w:val="clear" w:color="000000" w:fill="D9D9D9"/>
            <w:hideMark/>
          </w:tcPr>
          <w:p w14:paraId="5EEC4420" w14:textId="77777777" w:rsidR="00F553CC" w:rsidRPr="003D7166" w:rsidRDefault="00F553CC" w:rsidP="002712D5">
            <w:r w:rsidRPr="003D7166">
              <w:t>502 adults aged 18 years and above with ADHD</w:t>
            </w:r>
          </w:p>
        </w:tc>
        <w:tc>
          <w:tcPr>
            <w:tcW w:w="0" w:type="auto"/>
            <w:tcBorders>
              <w:top w:val="nil"/>
              <w:left w:val="nil"/>
              <w:bottom w:val="single" w:sz="4" w:space="0" w:color="auto"/>
              <w:right w:val="nil"/>
            </w:tcBorders>
            <w:shd w:val="clear" w:color="000000" w:fill="D9D9D9"/>
            <w:hideMark/>
          </w:tcPr>
          <w:p w14:paraId="28FE7869" w14:textId="77777777" w:rsidR="00F553CC" w:rsidRPr="003D7166" w:rsidRDefault="00F553CC" w:rsidP="002712D5">
            <w:r w:rsidRPr="003D7166">
              <w:t xml:space="preserve">Young JL, Sarkis E, Qiao M, Wietecha L. Once-daily treatment with atomoxetine in adults with attention-deficit/hyperactivity disorder: a 24-week, </w:t>
            </w:r>
            <w:r w:rsidRPr="003D7166">
              <w:lastRenderedPageBreak/>
              <w:t>randomized, double-blind, placebo-controlled trial. Clinical neuropharmacology. Mar-Apr 2011;34(2):51-60.</w:t>
            </w:r>
          </w:p>
        </w:tc>
      </w:tr>
    </w:tbl>
    <w:p w14:paraId="47F77B27" w14:textId="77777777" w:rsidR="00F553CC" w:rsidRPr="00F334F9" w:rsidRDefault="00F553CC" w:rsidP="00F553CC"/>
    <w:p w14:paraId="7C3C56AA" w14:textId="77777777" w:rsidR="00F553CC" w:rsidRPr="00F334F9" w:rsidRDefault="00F553CC" w:rsidP="00F553CC"/>
    <w:p w14:paraId="31D5AD3F" w14:textId="635445CD" w:rsidR="00F553CC" w:rsidRPr="00F334F9" w:rsidRDefault="00F553CC" w:rsidP="00F553CC">
      <w:pPr>
        <w:rPr>
          <w:b/>
          <w:sz w:val="24"/>
        </w:rPr>
      </w:pPr>
      <w:r w:rsidRPr="00F334F9">
        <w:br w:type="page"/>
      </w:r>
    </w:p>
    <w:p w14:paraId="6D641C88" w14:textId="569AE4A0" w:rsidR="00F553CC" w:rsidRPr="00F334F9" w:rsidRDefault="00F553CC" w:rsidP="00821FA0">
      <w:pPr>
        <w:pStyle w:val="Heading3"/>
        <w:numPr>
          <w:ilvl w:val="0"/>
          <w:numId w:val="0"/>
        </w:numPr>
        <w:rPr>
          <w:color w:val="auto"/>
        </w:rPr>
      </w:pPr>
      <w:bookmarkStart w:id="338" w:name="_Toc391913796"/>
      <w:bookmarkStart w:id="339" w:name="_Toc402543867"/>
      <w:r w:rsidRPr="00F334F9">
        <w:rPr>
          <w:color w:val="auto"/>
        </w:rPr>
        <w:lastRenderedPageBreak/>
        <w:t>Table A-2: Study Outcomes</w:t>
      </w:r>
      <w:bookmarkEnd w:id="338"/>
      <w:bookmarkEnd w:id="339"/>
    </w:p>
    <w:p w14:paraId="34A774A9" w14:textId="77777777" w:rsidR="00F553CC" w:rsidRPr="00AF5C92" w:rsidRDefault="00F553CC" w:rsidP="00F553CC">
      <w:r w:rsidRPr="00AF5C92">
        <w:rPr>
          <w:noProof/>
          <w:lang w:val="en-GB" w:eastAsia="en-GB"/>
        </w:rPr>
        <w:drawing>
          <wp:inline distT="0" distB="0" distL="0" distR="0" wp14:anchorId="22C0EA83" wp14:editId="18CEBF2C">
            <wp:extent cx="8402128" cy="510879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8444481" cy="5134546"/>
                    </a:xfrm>
                    <a:prstGeom prst="rect">
                      <a:avLst/>
                    </a:prstGeom>
                    <a:noFill/>
                    <a:ln>
                      <a:noFill/>
                    </a:ln>
                  </pic:spPr>
                </pic:pic>
              </a:graphicData>
            </a:graphic>
          </wp:inline>
        </w:drawing>
      </w:r>
    </w:p>
    <w:p w14:paraId="17333690" w14:textId="77777777" w:rsidR="00F553CC" w:rsidRPr="00F334F9" w:rsidRDefault="00F553CC" w:rsidP="00F553CC">
      <w:pPr>
        <w:sectPr w:rsidR="00F553CC" w:rsidRPr="00F334F9" w:rsidSect="00A73A4C">
          <w:endnotePr>
            <w:numFmt w:val="decimal"/>
          </w:endnotePr>
          <w:pgSz w:w="15840" w:h="12240" w:orient="landscape" w:code="9"/>
          <w:pgMar w:top="720" w:right="720" w:bottom="720" w:left="720" w:header="1440" w:footer="1440" w:gutter="0"/>
          <w:cols w:space="720"/>
          <w:formProt w:val="0"/>
          <w:docGrid w:linePitch="272"/>
        </w:sectPr>
      </w:pPr>
    </w:p>
    <w:p w14:paraId="4E709224" w14:textId="1BDB269C" w:rsidR="006C5478" w:rsidRPr="006C5478" w:rsidRDefault="006C5478" w:rsidP="006C5478">
      <w:pPr>
        <w:pStyle w:val="Heading3"/>
        <w:numPr>
          <w:ilvl w:val="0"/>
          <w:numId w:val="0"/>
        </w:numPr>
        <w:rPr>
          <w:color w:val="auto"/>
        </w:rPr>
      </w:pPr>
      <w:r w:rsidRPr="00F334F9">
        <w:rPr>
          <w:color w:val="auto"/>
        </w:rPr>
        <w:lastRenderedPageBreak/>
        <w:t>Table A-</w:t>
      </w:r>
      <w:r>
        <w:rPr>
          <w:color w:val="auto"/>
        </w:rPr>
        <w:t>3</w:t>
      </w:r>
      <w:r w:rsidRPr="00F334F9">
        <w:rPr>
          <w:color w:val="auto"/>
        </w:rPr>
        <w:t xml:space="preserve">: </w:t>
      </w:r>
      <w:r>
        <w:rPr>
          <w:color w:val="auto"/>
        </w:rPr>
        <w:t>Discontinuation Rates due to Adverse Events Reported in the Identified Trials</w:t>
      </w:r>
    </w:p>
    <w:tbl>
      <w:tblPr>
        <w:tblW w:w="5258" w:type="pct"/>
        <w:tblInd w:w="-426" w:type="dxa"/>
        <w:tblLook w:val="04A0" w:firstRow="1" w:lastRow="0" w:firstColumn="1" w:lastColumn="0" w:noHBand="0" w:noVBand="1"/>
      </w:tblPr>
      <w:tblGrid>
        <w:gridCol w:w="1544"/>
        <w:gridCol w:w="650"/>
        <w:gridCol w:w="1060"/>
        <w:gridCol w:w="1361"/>
        <w:gridCol w:w="816"/>
        <w:gridCol w:w="1060"/>
        <w:gridCol w:w="249"/>
        <w:gridCol w:w="1113"/>
        <w:gridCol w:w="816"/>
        <w:gridCol w:w="1060"/>
        <w:gridCol w:w="1361"/>
        <w:gridCol w:w="816"/>
        <w:gridCol w:w="1060"/>
        <w:gridCol w:w="1361"/>
        <w:gridCol w:w="816"/>
      </w:tblGrid>
      <w:tr w:rsidR="00821FA0" w:rsidRPr="00821FA0" w14:paraId="4EFF6A84" w14:textId="77777777" w:rsidTr="00821FA0">
        <w:trPr>
          <w:trHeight w:val="1140"/>
        </w:trPr>
        <w:tc>
          <w:tcPr>
            <w:tcW w:w="510" w:type="pct"/>
            <w:tcBorders>
              <w:top w:val="nil"/>
              <w:left w:val="nil"/>
              <w:bottom w:val="single" w:sz="4" w:space="0" w:color="auto"/>
              <w:right w:val="nil"/>
            </w:tcBorders>
            <w:shd w:val="clear" w:color="000000" w:fill="D9D9D9"/>
            <w:vAlign w:val="bottom"/>
            <w:hideMark/>
          </w:tcPr>
          <w:p w14:paraId="0AC85035" w14:textId="7F70EE00" w:rsidR="006C5478" w:rsidRPr="00821FA0" w:rsidRDefault="006C5478" w:rsidP="00821FA0">
            <w:pPr>
              <w:rPr>
                <w:b/>
                <w:bCs/>
                <w:color w:val="000000"/>
                <w:szCs w:val="22"/>
                <w:lang w:val="en-GB" w:eastAsia="en-GB"/>
              </w:rPr>
            </w:pPr>
            <w:r w:rsidRPr="00821FA0">
              <w:rPr>
                <w:b/>
                <w:bCs/>
                <w:color w:val="000000"/>
                <w:szCs w:val="22"/>
                <w:lang w:val="en-GB" w:eastAsia="en-GB"/>
              </w:rPr>
              <w:t>Author</w:t>
            </w:r>
            <w:r w:rsidR="00821FA0" w:rsidRPr="00821FA0">
              <w:rPr>
                <w:b/>
                <w:bCs/>
                <w:color w:val="000000"/>
                <w:szCs w:val="22"/>
                <w:lang w:val="en-GB" w:eastAsia="en-GB"/>
              </w:rPr>
              <w:t xml:space="preserve"> </w:t>
            </w:r>
            <w:r w:rsidRPr="00821FA0">
              <w:rPr>
                <w:b/>
                <w:bCs/>
                <w:color w:val="000000"/>
                <w:szCs w:val="22"/>
                <w:lang w:val="en-GB" w:eastAsia="en-GB"/>
              </w:rPr>
              <w:t>Year</w:t>
            </w:r>
          </w:p>
        </w:tc>
        <w:tc>
          <w:tcPr>
            <w:tcW w:w="215" w:type="pct"/>
            <w:tcBorders>
              <w:top w:val="nil"/>
              <w:left w:val="nil"/>
              <w:bottom w:val="single" w:sz="4" w:space="0" w:color="auto"/>
              <w:right w:val="nil"/>
            </w:tcBorders>
            <w:shd w:val="clear" w:color="000000" w:fill="D9D9D9"/>
            <w:vAlign w:val="bottom"/>
            <w:hideMark/>
          </w:tcPr>
          <w:p w14:paraId="41B9C657" w14:textId="2A67833E" w:rsidR="006C5478" w:rsidRPr="00821FA0" w:rsidRDefault="006C5478" w:rsidP="00821FA0">
            <w:pPr>
              <w:jc w:val="center"/>
              <w:rPr>
                <w:b/>
                <w:bCs/>
                <w:color w:val="000000"/>
                <w:szCs w:val="22"/>
                <w:lang w:val="en-GB" w:eastAsia="en-GB"/>
              </w:rPr>
            </w:pPr>
            <w:r w:rsidRPr="00821FA0">
              <w:rPr>
                <w:b/>
                <w:bCs/>
                <w:color w:val="000000"/>
                <w:szCs w:val="22"/>
                <w:lang w:val="en-GB" w:eastAsia="en-GB"/>
              </w:rPr>
              <w:t>N</w:t>
            </w:r>
            <w:r w:rsidR="00821FA0" w:rsidRPr="00821FA0">
              <w:rPr>
                <w:b/>
                <w:bCs/>
                <w:color w:val="000000"/>
                <w:szCs w:val="22"/>
                <w:lang w:val="en-GB" w:eastAsia="en-GB"/>
              </w:rPr>
              <w:t>o.</w:t>
            </w:r>
            <w:r w:rsidRPr="00821FA0">
              <w:rPr>
                <w:b/>
                <w:bCs/>
                <w:color w:val="000000"/>
                <w:szCs w:val="22"/>
                <w:lang w:val="en-GB" w:eastAsia="en-GB"/>
              </w:rPr>
              <w:t xml:space="preserve"> of arms</w:t>
            </w:r>
          </w:p>
        </w:tc>
        <w:tc>
          <w:tcPr>
            <w:tcW w:w="350" w:type="pct"/>
            <w:tcBorders>
              <w:top w:val="nil"/>
              <w:left w:val="nil"/>
              <w:bottom w:val="single" w:sz="4" w:space="0" w:color="auto"/>
              <w:right w:val="nil"/>
            </w:tcBorders>
            <w:shd w:val="clear" w:color="000000" w:fill="D9D9D9"/>
            <w:vAlign w:val="bottom"/>
            <w:hideMark/>
          </w:tcPr>
          <w:p w14:paraId="0EFABD38" w14:textId="77777777" w:rsidR="006C5478" w:rsidRPr="00821FA0" w:rsidRDefault="006C5478" w:rsidP="006C5478">
            <w:pPr>
              <w:rPr>
                <w:b/>
                <w:bCs/>
                <w:color w:val="000000"/>
                <w:szCs w:val="22"/>
                <w:lang w:val="en-GB" w:eastAsia="en-GB"/>
              </w:rPr>
            </w:pPr>
            <w:r w:rsidRPr="00821FA0">
              <w:rPr>
                <w:b/>
                <w:bCs/>
                <w:color w:val="000000"/>
                <w:szCs w:val="22"/>
                <w:lang w:val="en-GB" w:eastAsia="en-GB"/>
              </w:rPr>
              <w:t>Arm 1 treatment</w:t>
            </w:r>
          </w:p>
        </w:tc>
        <w:tc>
          <w:tcPr>
            <w:tcW w:w="449" w:type="pct"/>
            <w:tcBorders>
              <w:top w:val="nil"/>
              <w:left w:val="nil"/>
              <w:bottom w:val="single" w:sz="4" w:space="0" w:color="auto"/>
              <w:right w:val="nil"/>
            </w:tcBorders>
            <w:shd w:val="clear" w:color="000000" w:fill="D9D9D9"/>
            <w:vAlign w:val="bottom"/>
            <w:hideMark/>
          </w:tcPr>
          <w:p w14:paraId="4439B701" w14:textId="02DA1B26" w:rsidR="006C5478" w:rsidRPr="00821FA0" w:rsidRDefault="006C5478" w:rsidP="00821FA0">
            <w:pPr>
              <w:jc w:val="center"/>
              <w:rPr>
                <w:b/>
                <w:bCs/>
                <w:color w:val="000000"/>
                <w:szCs w:val="22"/>
                <w:lang w:val="en-GB" w:eastAsia="en-GB"/>
              </w:rPr>
            </w:pPr>
            <w:r w:rsidRPr="00821FA0">
              <w:rPr>
                <w:b/>
                <w:bCs/>
                <w:color w:val="000000"/>
                <w:szCs w:val="22"/>
                <w:lang w:val="en-GB" w:eastAsia="en-GB"/>
              </w:rPr>
              <w:t>Arm 1 discontinuers</w:t>
            </w:r>
          </w:p>
        </w:tc>
        <w:tc>
          <w:tcPr>
            <w:tcW w:w="269" w:type="pct"/>
            <w:tcBorders>
              <w:top w:val="nil"/>
              <w:left w:val="nil"/>
              <w:bottom w:val="single" w:sz="4" w:space="0" w:color="auto"/>
              <w:right w:val="nil"/>
            </w:tcBorders>
            <w:shd w:val="clear" w:color="000000" w:fill="D9D9D9"/>
            <w:vAlign w:val="bottom"/>
            <w:hideMark/>
          </w:tcPr>
          <w:p w14:paraId="752E7AE6" w14:textId="77777777" w:rsidR="006C5478" w:rsidRPr="00821FA0" w:rsidRDefault="006C5478" w:rsidP="00821FA0">
            <w:pPr>
              <w:jc w:val="center"/>
              <w:rPr>
                <w:b/>
                <w:bCs/>
                <w:color w:val="000000"/>
                <w:szCs w:val="22"/>
                <w:lang w:val="en-GB" w:eastAsia="en-GB"/>
              </w:rPr>
            </w:pPr>
            <w:r w:rsidRPr="00821FA0">
              <w:rPr>
                <w:b/>
                <w:bCs/>
                <w:color w:val="000000"/>
                <w:szCs w:val="22"/>
                <w:lang w:val="en-GB" w:eastAsia="en-GB"/>
              </w:rPr>
              <w:t>Arm 1 sample size</w:t>
            </w:r>
          </w:p>
        </w:tc>
        <w:tc>
          <w:tcPr>
            <w:tcW w:w="350" w:type="pct"/>
            <w:tcBorders>
              <w:top w:val="nil"/>
              <w:left w:val="nil"/>
              <w:bottom w:val="single" w:sz="4" w:space="0" w:color="auto"/>
              <w:right w:val="nil"/>
            </w:tcBorders>
            <w:shd w:val="clear" w:color="000000" w:fill="D9D9D9"/>
            <w:vAlign w:val="bottom"/>
            <w:hideMark/>
          </w:tcPr>
          <w:p w14:paraId="132DCC15" w14:textId="77777777" w:rsidR="006C5478" w:rsidRPr="00821FA0" w:rsidRDefault="006C5478" w:rsidP="006C5478">
            <w:pPr>
              <w:rPr>
                <w:b/>
                <w:bCs/>
                <w:color w:val="000000"/>
                <w:szCs w:val="22"/>
                <w:lang w:val="en-GB" w:eastAsia="en-GB"/>
              </w:rPr>
            </w:pPr>
            <w:r w:rsidRPr="00821FA0">
              <w:rPr>
                <w:b/>
                <w:bCs/>
                <w:color w:val="000000"/>
                <w:szCs w:val="22"/>
                <w:lang w:val="en-GB" w:eastAsia="en-GB"/>
              </w:rPr>
              <w:t>Arm 2 treatment</w:t>
            </w:r>
          </w:p>
        </w:tc>
        <w:tc>
          <w:tcPr>
            <w:tcW w:w="449" w:type="pct"/>
            <w:gridSpan w:val="2"/>
            <w:tcBorders>
              <w:top w:val="nil"/>
              <w:left w:val="nil"/>
              <w:bottom w:val="single" w:sz="4" w:space="0" w:color="auto"/>
              <w:right w:val="nil"/>
            </w:tcBorders>
            <w:shd w:val="clear" w:color="000000" w:fill="D9D9D9"/>
            <w:vAlign w:val="bottom"/>
            <w:hideMark/>
          </w:tcPr>
          <w:p w14:paraId="5EFB054A" w14:textId="11FA45C0" w:rsidR="006C5478" w:rsidRPr="00821FA0" w:rsidRDefault="006C5478" w:rsidP="00821FA0">
            <w:pPr>
              <w:jc w:val="center"/>
              <w:rPr>
                <w:b/>
                <w:bCs/>
                <w:color w:val="000000"/>
                <w:szCs w:val="22"/>
                <w:lang w:val="en-GB" w:eastAsia="en-GB"/>
              </w:rPr>
            </w:pPr>
            <w:r w:rsidRPr="00821FA0">
              <w:rPr>
                <w:b/>
                <w:bCs/>
                <w:color w:val="000000"/>
                <w:szCs w:val="22"/>
                <w:lang w:val="en-GB" w:eastAsia="en-GB"/>
              </w:rPr>
              <w:t>Arm 2 discontinuers</w:t>
            </w:r>
          </w:p>
        </w:tc>
        <w:tc>
          <w:tcPr>
            <w:tcW w:w="269" w:type="pct"/>
            <w:tcBorders>
              <w:top w:val="nil"/>
              <w:left w:val="nil"/>
              <w:bottom w:val="single" w:sz="4" w:space="0" w:color="auto"/>
              <w:right w:val="nil"/>
            </w:tcBorders>
            <w:shd w:val="clear" w:color="000000" w:fill="D9D9D9"/>
            <w:vAlign w:val="bottom"/>
            <w:hideMark/>
          </w:tcPr>
          <w:p w14:paraId="5F06C28B" w14:textId="77777777" w:rsidR="006C5478" w:rsidRPr="00821FA0" w:rsidRDefault="006C5478" w:rsidP="00821FA0">
            <w:pPr>
              <w:jc w:val="center"/>
              <w:rPr>
                <w:b/>
                <w:bCs/>
                <w:color w:val="000000"/>
                <w:szCs w:val="22"/>
                <w:lang w:val="en-GB" w:eastAsia="en-GB"/>
              </w:rPr>
            </w:pPr>
            <w:r w:rsidRPr="00821FA0">
              <w:rPr>
                <w:b/>
                <w:bCs/>
                <w:color w:val="000000"/>
                <w:szCs w:val="22"/>
                <w:lang w:val="en-GB" w:eastAsia="en-GB"/>
              </w:rPr>
              <w:t>Arm 2 sample size</w:t>
            </w:r>
          </w:p>
        </w:tc>
        <w:tc>
          <w:tcPr>
            <w:tcW w:w="350" w:type="pct"/>
            <w:tcBorders>
              <w:top w:val="nil"/>
              <w:left w:val="nil"/>
              <w:bottom w:val="single" w:sz="4" w:space="0" w:color="auto"/>
              <w:right w:val="nil"/>
            </w:tcBorders>
            <w:shd w:val="clear" w:color="000000" w:fill="D9D9D9"/>
            <w:vAlign w:val="bottom"/>
            <w:hideMark/>
          </w:tcPr>
          <w:p w14:paraId="21624675" w14:textId="77777777" w:rsidR="006C5478" w:rsidRPr="00821FA0" w:rsidRDefault="006C5478" w:rsidP="006C5478">
            <w:pPr>
              <w:rPr>
                <w:b/>
                <w:bCs/>
                <w:color w:val="000000"/>
                <w:szCs w:val="22"/>
                <w:lang w:val="en-GB" w:eastAsia="en-GB"/>
              </w:rPr>
            </w:pPr>
            <w:r w:rsidRPr="00821FA0">
              <w:rPr>
                <w:b/>
                <w:bCs/>
                <w:color w:val="000000"/>
                <w:szCs w:val="22"/>
                <w:lang w:val="en-GB" w:eastAsia="en-GB"/>
              </w:rPr>
              <w:t>Arm 3 treatment</w:t>
            </w:r>
          </w:p>
        </w:tc>
        <w:tc>
          <w:tcPr>
            <w:tcW w:w="449" w:type="pct"/>
            <w:tcBorders>
              <w:top w:val="nil"/>
              <w:left w:val="nil"/>
              <w:bottom w:val="single" w:sz="4" w:space="0" w:color="auto"/>
              <w:right w:val="nil"/>
            </w:tcBorders>
            <w:shd w:val="clear" w:color="000000" w:fill="D9D9D9"/>
            <w:vAlign w:val="bottom"/>
            <w:hideMark/>
          </w:tcPr>
          <w:p w14:paraId="5235C8ED" w14:textId="2A5BB2A0" w:rsidR="006C5478" w:rsidRPr="00821FA0" w:rsidRDefault="006C5478" w:rsidP="00821FA0">
            <w:pPr>
              <w:jc w:val="center"/>
              <w:rPr>
                <w:b/>
                <w:bCs/>
                <w:color w:val="000000"/>
                <w:szCs w:val="22"/>
                <w:lang w:val="en-GB" w:eastAsia="en-GB"/>
              </w:rPr>
            </w:pPr>
            <w:r w:rsidRPr="00821FA0">
              <w:rPr>
                <w:b/>
                <w:bCs/>
                <w:color w:val="000000"/>
                <w:szCs w:val="22"/>
                <w:lang w:val="en-GB" w:eastAsia="en-GB"/>
              </w:rPr>
              <w:t>Arm 3 discontinuers</w:t>
            </w:r>
          </w:p>
        </w:tc>
        <w:tc>
          <w:tcPr>
            <w:tcW w:w="269" w:type="pct"/>
            <w:tcBorders>
              <w:top w:val="nil"/>
              <w:left w:val="nil"/>
              <w:bottom w:val="single" w:sz="4" w:space="0" w:color="auto"/>
              <w:right w:val="nil"/>
            </w:tcBorders>
            <w:shd w:val="clear" w:color="000000" w:fill="D9D9D9"/>
            <w:vAlign w:val="bottom"/>
            <w:hideMark/>
          </w:tcPr>
          <w:p w14:paraId="7469FE71" w14:textId="77777777" w:rsidR="006C5478" w:rsidRPr="00821FA0" w:rsidRDefault="006C5478" w:rsidP="00821FA0">
            <w:pPr>
              <w:jc w:val="center"/>
              <w:rPr>
                <w:b/>
                <w:bCs/>
                <w:color w:val="000000"/>
                <w:szCs w:val="22"/>
                <w:lang w:val="en-GB" w:eastAsia="en-GB"/>
              </w:rPr>
            </w:pPr>
            <w:r w:rsidRPr="00821FA0">
              <w:rPr>
                <w:b/>
                <w:bCs/>
                <w:color w:val="000000"/>
                <w:szCs w:val="22"/>
                <w:lang w:val="en-GB" w:eastAsia="en-GB"/>
              </w:rPr>
              <w:t>Arm 3 sample size</w:t>
            </w:r>
          </w:p>
        </w:tc>
        <w:tc>
          <w:tcPr>
            <w:tcW w:w="350" w:type="pct"/>
            <w:tcBorders>
              <w:top w:val="nil"/>
              <w:left w:val="nil"/>
              <w:bottom w:val="single" w:sz="4" w:space="0" w:color="auto"/>
              <w:right w:val="nil"/>
            </w:tcBorders>
            <w:shd w:val="clear" w:color="000000" w:fill="D9D9D9"/>
            <w:vAlign w:val="bottom"/>
            <w:hideMark/>
          </w:tcPr>
          <w:p w14:paraId="215326CB" w14:textId="77777777" w:rsidR="006C5478" w:rsidRPr="00821FA0" w:rsidRDefault="006C5478" w:rsidP="006C5478">
            <w:pPr>
              <w:rPr>
                <w:b/>
                <w:bCs/>
                <w:color w:val="000000"/>
                <w:szCs w:val="22"/>
                <w:lang w:val="en-GB" w:eastAsia="en-GB"/>
              </w:rPr>
            </w:pPr>
            <w:r w:rsidRPr="00821FA0">
              <w:rPr>
                <w:b/>
                <w:bCs/>
                <w:color w:val="000000"/>
                <w:szCs w:val="22"/>
                <w:lang w:val="en-GB" w:eastAsia="en-GB"/>
              </w:rPr>
              <w:t>Arm 4 treatment</w:t>
            </w:r>
          </w:p>
        </w:tc>
        <w:tc>
          <w:tcPr>
            <w:tcW w:w="449" w:type="pct"/>
            <w:tcBorders>
              <w:top w:val="nil"/>
              <w:left w:val="nil"/>
              <w:bottom w:val="single" w:sz="4" w:space="0" w:color="auto"/>
              <w:right w:val="nil"/>
            </w:tcBorders>
            <w:shd w:val="clear" w:color="000000" w:fill="D9D9D9"/>
            <w:vAlign w:val="bottom"/>
            <w:hideMark/>
          </w:tcPr>
          <w:p w14:paraId="0E040966" w14:textId="2D2CB2A1" w:rsidR="006C5478" w:rsidRPr="00821FA0" w:rsidRDefault="006C5478" w:rsidP="00821FA0">
            <w:pPr>
              <w:jc w:val="center"/>
              <w:rPr>
                <w:b/>
                <w:bCs/>
                <w:color w:val="000000"/>
                <w:szCs w:val="22"/>
                <w:lang w:val="en-GB" w:eastAsia="en-GB"/>
              </w:rPr>
            </w:pPr>
            <w:r w:rsidRPr="00821FA0">
              <w:rPr>
                <w:b/>
                <w:bCs/>
                <w:color w:val="000000"/>
                <w:szCs w:val="22"/>
                <w:lang w:val="en-GB" w:eastAsia="en-GB"/>
              </w:rPr>
              <w:t>Arm 4 discontinuers</w:t>
            </w:r>
          </w:p>
        </w:tc>
        <w:tc>
          <w:tcPr>
            <w:tcW w:w="269" w:type="pct"/>
            <w:tcBorders>
              <w:top w:val="nil"/>
              <w:left w:val="nil"/>
              <w:bottom w:val="single" w:sz="4" w:space="0" w:color="auto"/>
              <w:right w:val="nil"/>
            </w:tcBorders>
            <w:shd w:val="clear" w:color="000000" w:fill="D9D9D9"/>
            <w:vAlign w:val="bottom"/>
            <w:hideMark/>
          </w:tcPr>
          <w:p w14:paraId="4BE944C0" w14:textId="77777777" w:rsidR="006C5478" w:rsidRPr="00821FA0" w:rsidRDefault="006C5478" w:rsidP="00821FA0">
            <w:pPr>
              <w:jc w:val="center"/>
              <w:rPr>
                <w:b/>
                <w:bCs/>
                <w:color w:val="000000"/>
                <w:szCs w:val="22"/>
                <w:lang w:val="en-GB" w:eastAsia="en-GB"/>
              </w:rPr>
            </w:pPr>
            <w:r w:rsidRPr="00821FA0">
              <w:rPr>
                <w:b/>
                <w:bCs/>
                <w:color w:val="000000"/>
                <w:szCs w:val="22"/>
                <w:lang w:val="en-GB" w:eastAsia="en-GB"/>
              </w:rPr>
              <w:t>Arm 4 sample size</w:t>
            </w:r>
          </w:p>
        </w:tc>
      </w:tr>
      <w:tr w:rsidR="00821FA0" w:rsidRPr="00821FA0" w14:paraId="63C2525B" w14:textId="77777777" w:rsidTr="00821FA0">
        <w:trPr>
          <w:trHeight w:val="300"/>
        </w:trPr>
        <w:tc>
          <w:tcPr>
            <w:tcW w:w="510" w:type="pct"/>
            <w:tcBorders>
              <w:top w:val="nil"/>
              <w:left w:val="nil"/>
              <w:bottom w:val="nil"/>
              <w:right w:val="nil"/>
            </w:tcBorders>
            <w:shd w:val="clear" w:color="auto" w:fill="auto"/>
            <w:noWrap/>
            <w:vAlign w:val="bottom"/>
            <w:hideMark/>
          </w:tcPr>
          <w:p w14:paraId="37A631F4" w14:textId="77777777" w:rsidR="006C5478" w:rsidRPr="00821FA0" w:rsidRDefault="006C5478" w:rsidP="006C5478">
            <w:pPr>
              <w:rPr>
                <w:color w:val="000000"/>
                <w:szCs w:val="22"/>
                <w:lang w:val="en-GB" w:eastAsia="en-GB"/>
              </w:rPr>
            </w:pPr>
            <w:r w:rsidRPr="00821FA0">
              <w:rPr>
                <w:color w:val="000000"/>
                <w:szCs w:val="22"/>
                <w:lang w:val="en-GB" w:eastAsia="en-GB"/>
              </w:rPr>
              <w:t>Adler 2008</w:t>
            </w:r>
          </w:p>
        </w:tc>
        <w:tc>
          <w:tcPr>
            <w:tcW w:w="215" w:type="pct"/>
            <w:tcBorders>
              <w:top w:val="nil"/>
              <w:left w:val="nil"/>
              <w:bottom w:val="nil"/>
              <w:right w:val="nil"/>
            </w:tcBorders>
            <w:shd w:val="clear" w:color="auto" w:fill="auto"/>
            <w:noWrap/>
            <w:vAlign w:val="bottom"/>
            <w:hideMark/>
          </w:tcPr>
          <w:p w14:paraId="7DD73BF9" w14:textId="77777777" w:rsidR="006C5478" w:rsidRPr="00821FA0" w:rsidRDefault="006C5478" w:rsidP="00821FA0">
            <w:pPr>
              <w:jc w:val="center"/>
              <w:rPr>
                <w:color w:val="000000"/>
                <w:szCs w:val="22"/>
                <w:lang w:val="en-GB" w:eastAsia="en-GB"/>
              </w:rPr>
            </w:pPr>
            <w:r w:rsidRPr="00821FA0">
              <w:rPr>
                <w:color w:val="000000"/>
                <w:szCs w:val="22"/>
                <w:lang w:val="en-GB" w:eastAsia="en-GB"/>
              </w:rPr>
              <w:t>4</w:t>
            </w:r>
          </w:p>
        </w:tc>
        <w:tc>
          <w:tcPr>
            <w:tcW w:w="350" w:type="pct"/>
            <w:tcBorders>
              <w:top w:val="nil"/>
              <w:left w:val="nil"/>
              <w:bottom w:val="nil"/>
              <w:right w:val="nil"/>
            </w:tcBorders>
            <w:shd w:val="clear" w:color="auto" w:fill="auto"/>
            <w:noWrap/>
            <w:vAlign w:val="bottom"/>
            <w:hideMark/>
          </w:tcPr>
          <w:p w14:paraId="4524B399" w14:textId="77777777" w:rsidR="006C5478" w:rsidRPr="00821FA0" w:rsidRDefault="006C5478" w:rsidP="006C5478">
            <w:pPr>
              <w:rPr>
                <w:color w:val="000000"/>
                <w:szCs w:val="22"/>
                <w:lang w:val="en-GB" w:eastAsia="en-GB"/>
              </w:rPr>
            </w:pPr>
            <w:r w:rsidRPr="00821FA0">
              <w:rPr>
                <w:color w:val="000000"/>
                <w:szCs w:val="22"/>
                <w:lang w:val="en-GB" w:eastAsia="en-GB"/>
              </w:rPr>
              <w:t>PL</w:t>
            </w:r>
          </w:p>
        </w:tc>
        <w:tc>
          <w:tcPr>
            <w:tcW w:w="449" w:type="pct"/>
            <w:tcBorders>
              <w:top w:val="nil"/>
              <w:left w:val="nil"/>
              <w:bottom w:val="nil"/>
              <w:right w:val="nil"/>
            </w:tcBorders>
            <w:shd w:val="clear" w:color="auto" w:fill="auto"/>
            <w:noWrap/>
            <w:vAlign w:val="bottom"/>
            <w:hideMark/>
          </w:tcPr>
          <w:p w14:paraId="2C0ABD0A" w14:textId="77777777" w:rsidR="006C5478" w:rsidRPr="00821FA0" w:rsidRDefault="006C5478" w:rsidP="00821FA0">
            <w:pPr>
              <w:jc w:val="center"/>
              <w:rPr>
                <w:color w:val="000000"/>
                <w:szCs w:val="22"/>
                <w:lang w:val="en-GB" w:eastAsia="en-GB"/>
              </w:rPr>
            </w:pPr>
            <w:r w:rsidRPr="00821FA0">
              <w:rPr>
                <w:color w:val="000000"/>
                <w:szCs w:val="22"/>
                <w:lang w:val="en-GB" w:eastAsia="en-GB"/>
              </w:rPr>
              <w:t>1</w:t>
            </w:r>
          </w:p>
        </w:tc>
        <w:tc>
          <w:tcPr>
            <w:tcW w:w="269" w:type="pct"/>
            <w:tcBorders>
              <w:top w:val="nil"/>
              <w:left w:val="nil"/>
              <w:bottom w:val="nil"/>
              <w:right w:val="nil"/>
            </w:tcBorders>
            <w:shd w:val="clear" w:color="auto" w:fill="auto"/>
            <w:noWrap/>
            <w:vAlign w:val="bottom"/>
            <w:hideMark/>
          </w:tcPr>
          <w:p w14:paraId="3302F4E9" w14:textId="77777777" w:rsidR="006C5478" w:rsidRPr="00821FA0" w:rsidRDefault="006C5478" w:rsidP="00821FA0">
            <w:pPr>
              <w:jc w:val="center"/>
              <w:rPr>
                <w:color w:val="000000"/>
                <w:szCs w:val="22"/>
                <w:lang w:val="en-GB" w:eastAsia="en-GB"/>
              </w:rPr>
            </w:pPr>
            <w:r w:rsidRPr="00821FA0">
              <w:rPr>
                <w:color w:val="000000"/>
                <w:szCs w:val="22"/>
                <w:lang w:val="en-GB" w:eastAsia="en-GB"/>
              </w:rPr>
              <w:t>62</w:t>
            </w:r>
          </w:p>
        </w:tc>
        <w:tc>
          <w:tcPr>
            <w:tcW w:w="432" w:type="pct"/>
            <w:gridSpan w:val="2"/>
            <w:tcBorders>
              <w:top w:val="nil"/>
              <w:left w:val="nil"/>
              <w:bottom w:val="nil"/>
              <w:right w:val="nil"/>
            </w:tcBorders>
            <w:shd w:val="clear" w:color="auto" w:fill="auto"/>
            <w:noWrap/>
            <w:vAlign w:val="bottom"/>
            <w:hideMark/>
          </w:tcPr>
          <w:p w14:paraId="137A650A" w14:textId="77777777" w:rsidR="006C5478" w:rsidRPr="00821FA0" w:rsidRDefault="006C5478" w:rsidP="006C5478">
            <w:pPr>
              <w:rPr>
                <w:color w:val="000000"/>
                <w:szCs w:val="22"/>
                <w:lang w:val="en-GB" w:eastAsia="en-GB"/>
              </w:rPr>
            </w:pPr>
            <w:r w:rsidRPr="00821FA0">
              <w:rPr>
                <w:color w:val="000000"/>
                <w:szCs w:val="22"/>
                <w:lang w:val="en-GB" w:eastAsia="en-GB"/>
              </w:rPr>
              <w:t>LDX</w:t>
            </w:r>
          </w:p>
        </w:tc>
        <w:tc>
          <w:tcPr>
            <w:tcW w:w="368" w:type="pct"/>
            <w:tcBorders>
              <w:top w:val="nil"/>
              <w:left w:val="nil"/>
              <w:bottom w:val="nil"/>
              <w:right w:val="nil"/>
            </w:tcBorders>
            <w:shd w:val="clear" w:color="auto" w:fill="auto"/>
            <w:noWrap/>
            <w:vAlign w:val="bottom"/>
            <w:hideMark/>
          </w:tcPr>
          <w:p w14:paraId="5982F4AB" w14:textId="77777777" w:rsidR="006C5478" w:rsidRPr="00821FA0" w:rsidRDefault="006C5478" w:rsidP="00821FA0">
            <w:pPr>
              <w:jc w:val="center"/>
              <w:rPr>
                <w:color w:val="000000"/>
                <w:szCs w:val="22"/>
                <w:lang w:val="en-GB" w:eastAsia="en-GB"/>
              </w:rPr>
            </w:pPr>
            <w:r w:rsidRPr="00821FA0">
              <w:rPr>
                <w:color w:val="000000"/>
                <w:szCs w:val="22"/>
                <w:lang w:val="en-GB" w:eastAsia="en-GB"/>
              </w:rPr>
              <w:t>4</w:t>
            </w:r>
          </w:p>
        </w:tc>
        <w:tc>
          <w:tcPr>
            <w:tcW w:w="269" w:type="pct"/>
            <w:tcBorders>
              <w:top w:val="nil"/>
              <w:left w:val="nil"/>
              <w:bottom w:val="nil"/>
              <w:right w:val="nil"/>
            </w:tcBorders>
            <w:shd w:val="clear" w:color="auto" w:fill="auto"/>
            <w:noWrap/>
            <w:vAlign w:val="bottom"/>
            <w:hideMark/>
          </w:tcPr>
          <w:p w14:paraId="0FF11B44" w14:textId="77777777" w:rsidR="006C5478" w:rsidRPr="00821FA0" w:rsidRDefault="006C5478" w:rsidP="00821FA0">
            <w:pPr>
              <w:jc w:val="center"/>
              <w:rPr>
                <w:color w:val="000000"/>
                <w:szCs w:val="22"/>
                <w:lang w:val="en-GB" w:eastAsia="en-GB"/>
              </w:rPr>
            </w:pPr>
            <w:r w:rsidRPr="00821FA0">
              <w:rPr>
                <w:color w:val="000000"/>
                <w:szCs w:val="22"/>
                <w:lang w:val="en-GB" w:eastAsia="en-GB"/>
              </w:rPr>
              <w:t>119</w:t>
            </w:r>
          </w:p>
        </w:tc>
        <w:tc>
          <w:tcPr>
            <w:tcW w:w="350" w:type="pct"/>
            <w:tcBorders>
              <w:top w:val="nil"/>
              <w:left w:val="nil"/>
              <w:bottom w:val="nil"/>
              <w:right w:val="nil"/>
            </w:tcBorders>
            <w:shd w:val="clear" w:color="auto" w:fill="auto"/>
            <w:noWrap/>
            <w:vAlign w:val="bottom"/>
            <w:hideMark/>
          </w:tcPr>
          <w:p w14:paraId="2FAFBCB2" w14:textId="77777777" w:rsidR="006C5478" w:rsidRPr="00821FA0" w:rsidRDefault="006C5478" w:rsidP="006C5478">
            <w:pPr>
              <w:rPr>
                <w:color w:val="000000"/>
                <w:szCs w:val="22"/>
                <w:lang w:val="en-GB" w:eastAsia="en-GB"/>
              </w:rPr>
            </w:pPr>
            <w:r w:rsidRPr="00821FA0">
              <w:rPr>
                <w:color w:val="000000"/>
                <w:szCs w:val="22"/>
                <w:lang w:val="en-GB" w:eastAsia="en-GB"/>
              </w:rPr>
              <w:t>LDX</w:t>
            </w:r>
          </w:p>
        </w:tc>
        <w:tc>
          <w:tcPr>
            <w:tcW w:w="449" w:type="pct"/>
            <w:tcBorders>
              <w:top w:val="nil"/>
              <w:left w:val="nil"/>
              <w:bottom w:val="nil"/>
              <w:right w:val="nil"/>
            </w:tcBorders>
            <w:shd w:val="clear" w:color="auto" w:fill="auto"/>
            <w:noWrap/>
            <w:vAlign w:val="bottom"/>
            <w:hideMark/>
          </w:tcPr>
          <w:p w14:paraId="03E6CCF6" w14:textId="77777777" w:rsidR="006C5478" w:rsidRPr="00821FA0" w:rsidRDefault="006C5478" w:rsidP="00821FA0">
            <w:pPr>
              <w:jc w:val="center"/>
              <w:rPr>
                <w:color w:val="000000"/>
                <w:szCs w:val="22"/>
                <w:lang w:val="en-GB" w:eastAsia="en-GB"/>
              </w:rPr>
            </w:pPr>
            <w:r w:rsidRPr="00821FA0">
              <w:rPr>
                <w:color w:val="000000"/>
                <w:szCs w:val="22"/>
                <w:lang w:val="en-GB" w:eastAsia="en-GB"/>
              </w:rPr>
              <w:t>8</w:t>
            </w:r>
          </w:p>
        </w:tc>
        <w:tc>
          <w:tcPr>
            <w:tcW w:w="269" w:type="pct"/>
            <w:tcBorders>
              <w:top w:val="nil"/>
              <w:left w:val="nil"/>
              <w:bottom w:val="nil"/>
              <w:right w:val="nil"/>
            </w:tcBorders>
            <w:shd w:val="clear" w:color="auto" w:fill="auto"/>
            <w:noWrap/>
            <w:vAlign w:val="bottom"/>
            <w:hideMark/>
          </w:tcPr>
          <w:p w14:paraId="4851BA1B" w14:textId="77777777" w:rsidR="006C5478" w:rsidRPr="00821FA0" w:rsidRDefault="006C5478" w:rsidP="00821FA0">
            <w:pPr>
              <w:jc w:val="center"/>
              <w:rPr>
                <w:color w:val="000000"/>
                <w:szCs w:val="22"/>
                <w:lang w:val="en-GB" w:eastAsia="en-GB"/>
              </w:rPr>
            </w:pPr>
            <w:r w:rsidRPr="00821FA0">
              <w:rPr>
                <w:color w:val="000000"/>
                <w:szCs w:val="22"/>
                <w:lang w:val="en-GB" w:eastAsia="en-GB"/>
              </w:rPr>
              <w:t>117</w:t>
            </w:r>
          </w:p>
        </w:tc>
        <w:tc>
          <w:tcPr>
            <w:tcW w:w="350" w:type="pct"/>
            <w:tcBorders>
              <w:top w:val="nil"/>
              <w:left w:val="nil"/>
              <w:bottom w:val="nil"/>
              <w:right w:val="nil"/>
            </w:tcBorders>
            <w:shd w:val="clear" w:color="auto" w:fill="auto"/>
            <w:noWrap/>
            <w:vAlign w:val="bottom"/>
            <w:hideMark/>
          </w:tcPr>
          <w:p w14:paraId="025D7541" w14:textId="77777777" w:rsidR="006C5478" w:rsidRPr="00821FA0" w:rsidRDefault="006C5478" w:rsidP="006C5478">
            <w:pPr>
              <w:rPr>
                <w:color w:val="000000"/>
                <w:szCs w:val="22"/>
                <w:lang w:val="en-GB" w:eastAsia="en-GB"/>
              </w:rPr>
            </w:pPr>
            <w:r w:rsidRPr="00821FA0">
              <w:rPr>
                <w:color w:val="000000"/>
                <w:szCs w:val="22"/>
                <w:lang w:val="en-GB" w:eastAsia="en-GB"/>
              </w:rPr>
              <w:t>LDX</w:t>
            </w:r>
          </w:p>
        </w:tc>
        <w:tc>
          <w:tcPr>
            <w:tcW w:w="449" w:type="pct"/>
            <w:tcBorders>
              <w:top w:val="nil"/>
              <w:left w:val="nil"/>
              <w:bottom w:val="nil"/>
              <w:right w:val="nil"/>
            </w:tcBorders>
            <w:shd w:val="clear" w:color="auto" w:fill="auto"/>
            <w:noWrap/>
            <w:vAlign w:val="bottom"/>
            <w:hideMark/>
          </w:tcPr>
          <w:p w14:paraId="5667F11D" w14:textId="77777777" w:rsidR="006C5478" w:rsidRPr="00821FA0" w:rsidRDefault="006C5478" w:rsidP="00821FA0">
            <w:pPr>
              <w:jc w:val="center"/>
              <w:rPr>
                <w:color w:val="000000"/>
                <w:szCs w:val="22"/>
                <w:lang w:val="en-GB" w:eastAsia="en-GB"/>
              </w:rPr>
            </w:pPr>
            <w:r w:rsidRPr="00821FA0">
              <w:rPr>
                <w:color w:val="000000"/>
                <w:szCs w:val="22"/>
                <w:lang w:val="en-GB" w:eastAsia="en-GB"/>
              </w:rPr>
              <w:t>9</w:t>
            </w:r>
          </w:p>
        </w:tc>
        <w:tc>
          <w:tcPr>
            <w:tcW w:w="269" w:type="pct"/>
            <w:tcBorders>
              <w:top w:val="nil"/>
              <w:left w:val="nil"/>
              <w:bottom w:val="nil"/>
              <w:right w:val="nil"/>
            </w:tcBorders>
            <w:shd w:val="clear" w:color="auto" w:fill="auto"/>
            <w:noWrap/>
            <w:vAlign w:val="bottom"/>
            <w:hideMark/>
          </w:tcPr>
          <w:p w14:paraId="6C99CFB5" w14:textId="77777777" w:rsidR="006C5478" w:rsidRPr="00821FA0" w:rsidRDefault="006C5478" w:rsidP="00821FA0">
            <w:pPr>
              <w:jc w:val="center"/>
              <w:rPr>
                <w:color w:val="000000"/>
                <w:szCs w:val="22"/>
                <w:lang w:val="en-GB" w:eastAsia="en-GB"/>
              </w:rPr>
            </w:pPr>
            <w:r w:rsidRPr="00821FA0">
              <w:rPr>
                <w:color w:val="000000"/>
                <w:szCs w:val="22"/>
                <w:lang w:val="en-GB" w:eastAsia="en-GB"/>
              </w:rPr>
              <w:t>122</w:t>
            </w:r>
          </w:p>
        </w:tc>
      </w:tr>
      <w:tr w:rsidR="00821FA0" w:rsidRPr="00821FA0" w14:paraId="0918C43F" w14:textId="77777777" w:rsidTr="00821FA0">
        <w:trPr>
          <w:trHeight w:val="300"/>
        </w:trPr>
        <w:tc>
          <w:tcPr>
            <w:tcW w:w="510" w:type="pct"/>
            <w:tcBorders>
              <w:top w:val="nil"/>
              <w:left w:val="nil"/>
              <w:bottom w:val="nil"/>
              <w:right w:val="nil"/>
            </w:tcBorders>
            <w:shd w:val="clear" w:color="auto" w:fill="auto"/>
            <w:noWrap/>
            <w:vAlign w:val="bottom"/>
            <w:hideMark/>
          </w:tcPr>
          <w:p w14:paraId="30DE53C9" w14:textId="77777777" w:rsidR="006C5478" w:rsidRPr="00821FA0" w:rsidRDefault="006C5478" w:rsidP="006C5478">
            <w:pPr>
              <w:rPr>
                <w:color w:val="000000"/>
                <w:szCs w:val="22"/>
                <w:lang w:val="en-GB" w:eastAsia="en-GB"/>
              </w:rPr>
            </w:pPr>
            <w:r w:rsidRPr="00821FA0">
              <w:rPr>
                <w:color w:val="000000"/>
                <w:szCs w:val="22"/>
                <w:lang w:val="en-GB" w:eastAsia="en-GB"/>
              </w:rPr>
              <w:t>Adler 2013</w:t>
            </w:r>
          </w:p>
        </w:tc>
        <w:tc>
          <w:tcPr>
            <w:tcW w:w="215" w:type="pct"/>
            <w:tcBorders>
              <w:top w:val="nil"/>
              <w:left w:val="nil"/>
              <w:bottom w:val="nil"/>
              <w:right w:val="nil"/>
            </w:tcBorders>
            <w:shd w:val="clear" w:color="auto" w:fill="auto"/>
            <w:noWrap/>
            <w:vAlign w:val="bottom"/>
            <w:hideMark/>
          </w:tcPr>
          <w:p w14:paraId="5C4120FB" w14:textId="77777777" w:rsidR="006C5478" w:rsidRPr="00821FA0" w:rsidRDefault="006C5478" w:rsidP="00821FA0">
            <w:pPr>
              <w:jc w:val="center"/>
              <w:rPr>
                <w:color w:val="000000"/>
                <w:szCs w:val="22"/>
                <w:lang w:val="en-GB" w:eastAsia="en-GB"/>
              </w:rPr>
            </w:pPr>
            <w:r w:rsidRPr="00821FA0">
              <w:rPr>
                <w:color w:val="000000"/>
                <w:szCs w:val="22"/>
                <w:lang w:val="en-GB" w:eastAsia="en-GB"/>
              </w:rPr>
              <w:t>2</w:t>
            </w:r>
          </w:p>
        </w:tc>
        <w:tc>
          <w:tcPr>
            <w:tcW w:w="350" w:type="pct"/>
            <w:tcBorders>
              <w:top w:val="nil"/>
              <w:left w:val="nil"/>
              <w:bottom w:val="nil"/>
              <w:right w:val="nil"/>
            </w:tcBorders>
            <w:shd w:val="clear" w:color="auto" w:fill="auto"/>
            <w:noWrap/>
            <w:vAlign w:val="bottom"/>
            <w:hideMark/>
          </w:tcPr>
          <w:p w14:paraId="499B2AA7" w14:textId="77777777" w:rsidR="006C5478" w:rsidRPr="00821FA0" w:rsidRDefault="006C5478" w:rsidP="006C5478">
            <w:pPr>
              <w:rPr>
                <w:color w:val="000000"/>
                <w:szCs w:val="22"/>
                <w:lang w:val="en-GB" w:eastAsia="en-GB"/>
              </w:rPr>
            </w:pPr>
            <w:r w:rsidRPr="00821FA0">
              <w:rPr>
                <w:color w:val="000000"/>
                <w:szCs w:val="22"/>
                <w:lang w:val="en-GB" w:eastAsia="en-GB"/>
              </w:rPr>
              <w:t>PL</w:t>
            </w:r>
          </w:p>
        </w:tc>
        <w:tc>
          <w:tcPr>
            <w:tcW w:w="449" w:type="pct"/>
            <w:tcBorders>
              <w:top w:val="nil"/>
              <w:left w:val="nil"/>
              <w:bottom w:val="nil"/>
              <w:right w:val="nil"/>
            </w:tcBorders>
            <w:shd w:val="clear" w:color="auto" w:fill="auto"/>
            <w:noWrap/>
            <w:vAlign w:val="bottom"/>
            <w:hideMark/>
          </w:tcPr>
          <w:p w14:paraId="60C030F7" w14:textId="77777777" w:rsidR="006C5478" w:rsidRPr="00821FA0" w:rsidRDefault="006C5478" w:rsidP="00821FA0">
            <w:pPr>
              <w:jc w:val="center"/>
              <w:rPr>
                <w:color w:val="000000"/>
                <w:szCs w:val="22"/>
                <w:lang w:val="en-GB" w:eastAsia="en-GB"/>
              </w:rPr>
            </w:pPr>
            <w:r w:rsidRPr="00821FA0">
              <w:rPr>
                <w:color w:val="000000"/>
                <w:szCs w:val="22"/>
                <w:lang w:val="en-GB" w:eastAsia="en-GB"/>
              </w:rPr>
              <w:t>2</w:t>
            </w:r>
          </w:p>
        </w:tc>
        <w:tc>
          <w:tcPr>
            <w:tcW w:w="269" w:type="pct"/>
            <w:tcBorders>
              <w:top w:val="nil"/>
              <w:left w:val="nil"/>
              <w:bottom w:val="nil"/>
              <w:right w:val="nil"/>
            </w:tcBorders>
            <w:shd w:val="clear" w:color="auto" w:fill="auto"/>
            <w:noWrap/>
            <w:vAlign w:val="bottom"/>
            <w:hideMark/>
          </w:tcPr>
          <w:p w14:paraId="48236DF0" w14:textId="77777777" w:rsidR="006C5478" w:rsidRPr="00821FA0" w:rsidRDefault="006C5478" w:rsidP="00821FA0">
            <w:pPr>
              <w:jc w:val="center"/>
              <w:rPr>
                <w:color w:val="000000"/>
                <w:szCs w:val="22"/>
                <w:lang w:val="en-GB" w:eastAsia="en-GB"/>
              </w:rPr>
            </w:pPr>
            <w:r w:rsidRPr="00821FA0">
              <w:rPr>
                <w:color w:val="000000"/>
                <w:szCs w:val="22"/>
                <w:lang w:val="en-GB" w:eastAsia="en-GB"/>
              </w:rPr>
              <w:t>80</w:t>
            </w:r>
          </w:p>
        </w:tc>
        <w:tc>
          <w:tcPr>
            <w:tcW w:w="432" w:type="pct"/>
            <w:gridSpan w:val="2"/>
            <w:tcBorders>
              <w:top w:val="nil"/>
              <w:left w:val="nil"/>
              <w:bottom w:val="nil"/>
              <w:right w:val="nil"/>
            </w:tcBorders>
            <w:shd w:val="clear" w:color="auto" w:fill="auto"/>
            <w:noWrap/>
            <w:vAlign w:val="bottom"/>
            <w:hideMark/>
          </w:tcPr>
          <w:p w14:paraId="123D73D8" w14:textId="77777777" w:rsidR="006C5478" w:rsidRPr="00821FA0" w:rsidRDefault="006C5478" w:rsidP="006C5478">
            <w:pPr>
              <w:rPr>
                <w:color w:val="000000"/>
                <w:szCs w:val="22"/>
                <w:lang w:val="en-GB" w:eastAsia="en-GB"/>
              </w:rPr>
            </w:pPr>
            <w:r w:rsidRPr="00821FA0">
              <w:rPr>
                <w:color w:val="000000"/>
                <w:szCs w:val="22"/>
                <w:lang w:val="en-GB" w:eastAsia="en-GB"/>
              </w:rPr>
              <w:t>LDX</w:t>
            </w:r>
          </w:p>
        </w:tc>
        <w:tc>
          <w:tcPr>
            <w:tcW w:w="368" w:type="pct"/>
            <w:tcBorders>
              <w:top w:val="nil"/>
              <w:left w:val="nil"/>
              <w:bottom w:val="nil"/>
              <w:right w:val="nil"/>
            </w:tcBorders>
            <w:shd w:val="clear" w:color="auto" w:fill="auto"/>
            <w:noWrap/>
            <w:vAlign w:val="bottom"/>
            <w:hideMark/>
          </w:tcPr>
          <w:p w14:paraId="5A91EF46" w14:textId="77777777" w:rsidR="006C5478" w:rsidRPr="00821FA0" w:rsidRDefault="006C5478" w:rsidP="00821FA0">
            <w:pPr>
              <w:jc w:val="center"/>
              <w:rPr>
                <w:color w:val="000000"/>
                <w:szCs w:val="22"/>
                <w:lang w:val="en-GB" w:eastAsia="en-GB"/>
              </w:rPr>
            </w:pPr>
            <w:r w:rsidRPr="00821FA0">
              <w:rPr>
                <w:color w:val="000000"/>
                <w:szCs w:val="22"/>
                <w:lang w:val="en-GB" w:eastAsia="en-GB"/>
              </w:rPr>
              <w:t>6</w:t>
            </w:r>
          </w:p>
        </w:tc>
        <w:tc>
          <w:tcPr>
            <w:tcW w:w="269" w:type="pct"/>
            <w:tcBorders>
              <w:top w:val="nil"/>
              <w:left w:val="nil"/>
              <w:bottom w:val="nil"/>
              <w:right w:val="nil"/>
            </w:tcBorders>
            <w:shd w:val="clear" w:color="auto" w:fill="auto"/>
            <w:noWrap/>
            <w:vAlign w:val="bottom"/>
            <w:hideMark/>
          </w:tcPr>
          <w:p w14:paraId="2B95270C" w14:textId="77777777" w:rsidR="006C5478" w:rsidRPr="00821FA0" w:rsidRDefault="006C5478" w:rsidP="00821FA0">
            <w:pPr>
              <w:jc w:val="center"/>
              <w:rPr>
                <w:color w:val="000000"/>
                <w:szCs w:val="22"/>
                <w:lang w:val="en-GB" w:eastAsia="en-GB"/>
              </w:rPr>
            </w:pPr>
            <w:r w:rsidRPr="00821FA0">
              <w:rPr>
                <w:color w:val="000000"/>
                <w:szCs w:val="22"/>
                <w:lang w:val="en-GB" w:eastAsia="en-GB"/>
              </w:rPr>
              <w:t>79</w:t>
            </w:r>
          </w:p>
        </w:tc>
        <w:tc>
          <w:tcPr>
            <w:tcW w:w="350" w:type="pct"/>
            <w:tcBorders>
              <w:top w:val="nil"/>
              <w:left w:val="nil"/>
              <w:bottom w:val="nil"/>
              <w:right w:val="nil"/>
            </w:tcBorders>
            <w:shd w:val="clear" w:color="auto" w:fill="auto"/>
            <w:noWrap/>
            <w:vAlign w:val="bottom"/>
            <w:hideMark/>
          </w:tcPr>
          <w:p w14:paraId="1407D04D" w14:textId="77777777" w:rsidR="006C5478" w:rsidRPr="00821FA0" w:rsidRDefault="006C5478" w:rsidP="006C5478">
            <w:pPr>
              <w:rPr>
                <w:color w:val="000000"/>
                <w:szCs w:val="22"/>
                <w:lang w:val="en-GB" w:eastAsia="en-GB"/>
              </w:rPr>
            </w:pPr>
            <w:r w:rsidRPr="00821FA0">
              <w:rPr>
                <w:color w:val="000000"/>
                <w:szCs w:val="22"/>
                <w:lang w:val="en-GB" w:eastAsia="en-GB"/>
              </w:rPr>
              <w:t>NA</w:t>
            </w:r>
          </w:p>
        </w:tc>
        <w:tc>
          <w:tcPr>
            <w:tcW w:w="449" w:type="pct"/>
            <w:tcBorders>
              <w:top w:val="nil"/>
              <w:left w:val="nil"/>
              <w:bottom w:val="nil"/>
              <w:right w:val="nil"/>
            </w:tcBorders>
            <w:shd w:val="clear" w:color="auto" w:fill="auto"/>
            <w:noWrap/>
            <w:vAlign w:val="bottom"/>
            <w:hideMark/>
          </w:tcPr>
          <w:p w14:paraId="0ACEE4C1" w14:textId="77777777" w:rsidR="006C5478" w:rsidRPr="00821FA0" w:rsidRDefault="006C5478" w:rsidP="00821FA0">
            <w:pPr>
              <w:jc w:val="center"/>
              <w:rPr>
                <w:color w:val="000000"/>
                <w:szCs w:val="22"/>
                <w:lang w:val="en-GB" w:eastAsia="en-GB"/>
              </w:rPr>
            </w:pPr>
            <w:r w:rsidRPr="00821FA0">
              <w:rPr>
                <w:color w:val="000000"/>
                <w:szCs w:val="22"/>
                <w:lang w:val="en-GB" w:eastAsia="en-GB"/>
              </w:rPr>
              <w:t>NA</w:t>
            </w:r>
          </w:p>
        </w:tc>
        <w:tc>
          <w:tcPr>
            <w:tcW w:w="269" w:type="pct"/>
            <w:tcBorders>
              <w:top w:val="nil"/>
              <w:left w:val="nil"/>
              <w:bottom w:val="nil"/>
              <w:right w:val="nil"/>
            </w:tcBorders>
            <w:shd w:val="clear" w:color="auto" w:fill="auto"/>
            <w:noWrap/>
            <w:vAlign w:val="bottom"/>
            <w:hideMark/>
          </w:tcPr>
          <w:p w14:paraId="3E2A7E3B" w14:textId="77777777" w:rsidR="006C5478" w:rsidRPr="00821FA0" w:rsidRDefault="006C5478" w:rsidP="00821FA0">
            <w:pPr>
              <w:jc w:val="center"/>
              <w:rPr>
                <w:color w:val="000000"/>
                <w:szCs w:val="22"/>
                <w:lang w:val="en-GB" w:eastAsia="en-GB"/>
              </w:rPr>
            </w:pPr>
            <w:r w:rsidRPr="00821FA0">
              <w:rPr>
                <w:color w:val="000000"/>
                <w:szCs w:val="22"/>
                <w:lang w:val="en-GB" w:eastAsia="en-GB"/>
              </w:rPr>
              <w:t>NA</w:t>
            </w:r>
          </w:p>
        </w:tc>
        <w:tc>
          <w:tcPr>
            <w:tcW w:w="350" w:type="pct"/>
            <w:tcBorders>
              <w:top w:val="nil"/>
              <w:left w:val="nil"/>
              <w:bottom w:val="nil"/>
              <w:right w:val="nil"/>
            </w:tcBorders>
            <w:shd w:val="clear" w:color="auto" w:fill="auto"/>
            <w:noWrap/>
            <w:vAlign w:val="bottom"/>
            <w:hideMark/>
          </w:tcPr>
          <w:p w14:paraId="7F396729" w14:textId="77777777" w:rsidR="006C5478" w:rsidRPr="00821FA0" w:rsidRDefault="006C5478" w:rsidP="006C5478">
            <w:pPr>
              <w:rPr>
                <w:color w:val="000000"/>
                <w:szCs w:val="22"/>
                <w:lang w:val="en-GB" w:eastAsia="en-GB"/>
              </w:rPr>
            </w:pPr>
            <w:r w:rsidRPr="00821FA0">
              <w:rPr>
                <w:color w:val="000000"/>
                <w:szCs w:val="22"/>
                <w:lang w:val="en-GB" w:eastAsia="en-GB"/>
              </w:rPr>
              <w:t>NA</w:t>
            </w:r>
          </w:p>
        </w:tc>
        <w:tc>
          <w:tcPr>
            <w:tcW w:w="449" w:type="pct"/>
            <w:tcBorders>
              <w:top w:val="nil"/>
              <w:left w:val="nil"/>
              <w:bottom w:val="nil"/>
              <w:right w:val="nil"/>
            </w:tcBorders>
            <w:shd w:val="clear" w:color="auto" w:fill="auto"/>
            <w:noWrap/>
            <w:vAlign w:val="bottom"/>
            <w:hideMark/>
          </w:tcPr>
          <w:p w14:paraId="583785E8" w14:textId="77777777" w:rsidR="006C5478" w:rsidRPr="00821FA0" w:rsidRDefault="006C5478" w:rsidP="00821FA0">
            <w:pPr>
              <w:jc w:val="center"/>
              <w:rPr>
                <w:color w:val="000000"/>
                <w:szCs w:val="22"/>
                <w:lang w:val="en-GB" w:eastAsia="en-GB"/>
              </w:rPr>
            </w:pPr>
            <w:r w:rsidRPr="00821FA0">
              <w:rPr>
                <w:color w:val="000000"/>
                <w:szCs w:val="22"/>
                <w:lang w:val="en-GB" w:eastAsia="en-GB"/>
              </w:rPr>
              <w:t>NA</w:t>
            </w:r>
          </w:p>
        </w:tc>
        <w:tc>
          <w:tcPr>
            <w:tcW w:w="269" w:type="pct"/>
            <w:tcBorders>
              <w:top w:val="nil"/>
              <w:left w:val="nil"/>
              <w:bottom w:val="nil"/>
              <w:right w:val="nil"/>
            </w:tcBorders>
            <w:shd w:val="clear" w:color="auto" w:fill="auto"/>
            <w:noWrap/>
            <w:vAlign w:val="bottom"/>
            <w:hideMark/>
          </w:tcPr>
          <w:p w14:paraId="6518F26A" w14:textId="77777777" w:rsidR="006C5478" w:rsidRPr="00821FA0" w:rsidRDefault="006C5478" w:rsidP="00821FA0">
            <w:pPr>
              <w:jc w:val="center"/>
              <w:rPr>
                <w:color w:val="000000"/>
                <w:szCs w:val="22"/>
                <w:lang w:val="en-GB" w:eastAsia="en-GB"/>
              </w:rPr>
            </w:pPr>
            <w:r w:rsidRPr="00821FA0">
              <w:rPr>
                <w:color w:val="000000"/>
                <w:szCs w:val="22"/>
                <w:lang w:val="en-GB" w:eastAsia="en-GB"/>
              </w:rPr>
              <w:t>NA</w:t>
            </w:r>
          </w:p>
        </w:tc>
      </w:tr>
      <w:tr w:rsidR="00821FA0" w:rsidRPr="00821FA0" w14:paraId="40C45DD6" w14:textId="77777777" w:rsidTr="00821FA0">
        <w:trPr>
          <w:trHeight w:val="300"/>
        </w:trPr>
        <w:tc>
          <w:tcPr>
            <w:tcW w:w="510" w:type="pct"/>
            <w:tcBorders>
              <w:top w:val="nil"/>
              <w:left w:val="nil"/>
              <w:bottom w:val="nil"/>
              <w:right w:val="nil"/>
            </w:tcBorders>
            <w:shd w:val="clear" w:color="auto" w:fill="auto"/>
            <w:noWrap/>
            <w:vAlign w:val="bottom"/>
            <w:hideMark/>
          </w:tcPr>
          <w:p w14:paraId="162D6268" w14:textId="77777777" w:rsidR="006C5478" w:rsidRPr="00821FA0" w:rsidRDefault="006C5478" w:rsidP="006C5478">
            <w:pPr>
              <w:rPr>
                <w:color w:val="000000"/>
                <w:szCs w:val="22"/>
                <w:lang w:val="en-GB" w:eastAsia="en-GB"/>
              </w:rPr>
            </w:pPr>
            <w:r w:rsidRPr="00821FA0">
              <w:rPr>
                <w:color w:val="000000"/>
                <w:szCs w:val="22"/>
                <w:lang w:val="en-GB" w:eastAsia="en-GB"/>
              </w:rPr>
              <w:t>Rosler 2009</w:t>
            </w:r>
          </w:p>
        </w:tc>
        <w:tc>
          <w:tcPr>
            <w:tcW w:w="215" w:type="pct"/>
            <w:tcBorders>
              <w:top w:val="nil"/>
              <w:left w:val="nil"/>
              <w:bottom w:val="nil"/>
              <w:right w:val="nil"/>
            </w:tcBorders>
            <w:shd w:val="clear" w:color="auto" w:fill="auto"/>
            <w:noWrap/>
            <w:vAlign w:val="bottom"/>
            <w:hideMark/>
          </w:tcPr>
          <w:p w14:paraId="6624E820" w14:textId="77777777" w:rsidR="006C5478" w:rsidRPr="00821FA0" w:rsidRDefault="006C5478" w:rsidP="00821FA0">
            <w:pPr>
              <w:jc w:val="center"/>
              <w:rPr>
                <w:color w:val="000000"/>
                <w:szCs w:val="22"/>
                <w:lang w:val="en-GB" w:eastAsia="en-GB"/>
              </w:rPr>
            </w:pPr>
            <w:r w:rsidRPr="00821FA0">
              <w:rPr>
                <w:color w:val="000000"/>
                <w:szCs w:val="22"/>
                <w:lang w:val="en-GB" w:eastAsia="en-GB"/>
              </w:rPr>
              <w:t>2</w:t>
            </w:r>
          </w:p>
        </w:tc>
        <w:tc>
          <w:tcPr>
            <w:tcW w:w="350" w:type="pct"/>
            <w:tcBorders>
              <w:top w:val="nil"/>
              <w:left w:val="nil"/>
              <w:bottom w:val="nil"/>
              <w:right w:val="nil"/>
            </w:tcBorders>
            <w:shd w:val="clear" w:color="auto" w:fill="auto"/>
            <w:noWrap/>
            <w:vAlign w:val="bottom"/>
            <w:hideMark/>
          </w:tcPr>
          <w:p w14:paraId="30EA043E" w14:textId="77777777" w:rsidR="006C5478" w:rsidRPr="00821FA0" w:rsidRDefault="006C5478" w:rsidP="006C5478">
            <w:pPr>
              <w:rPr>
                <w:color w:val="000000"/>
                <w:szCs w:val="22"/>
                <w:lang w:val="en-GB" w:eastAsia="en-GB"/>
              </w:rPr>
            </w:pPr>
            <w:r w:rsidRPr="00821FA0">
              <w:rPr>
                <w:color w:val="000000"/>
                <w:szCs w:val="22"/>
                <w:lang w:val="en-GB" w:eastAsia="en-GB"/>
              </w:rPr>
              <w:t>PL</w:t>
            </w:r>
          </w:p>
        </w:tc>
        <w:tc>
          <w:tcPr>
            <w:tcW w:w="449" w:type="pct"/>
            <w:tcBorders>
              <w:top w:val="nil"/>
              <w:left w:val="nil"/>
              <w:bottom w:val="nil"/>
              <w:right w:val="nil"/>
            </w:tcBorders>
            <w:shd w:val="clear" w:color="auto" w:fill="auto"/>
            <w:noWrap/>
            <w:vAlign w:val="bottom"/>
            <w:hideMark/>
          </w:tcPr>
          <w:p w14:paraId="1CB19897" w14:textId="77777777" w:rsidR="006C5478" w:rsidRPr="00821FA0" w:rsidRDefault="006C5478" w:rsidP="00821FA0">
            <w:pPr>
              <w:jc w:val="center"/>
              <w:rPr>
                <w:color w:val="000000"/>
                <w:szCs w:val="22"/>
                <w:lang w:val="en-GB" w:eastAsia="en-GB"/>
              </w:rPr>
            </w:pPr>
            <w:r w:rsidRPr="00821FA0">
              <w:rPr>
                <w:color w:val="000000"/>
                <w:szCs w:val="22"/>
                <w:lang w:val="en-GB" w:eastAsia="en-GB"/>
              </w:rPr>
              <w:t>10</w:t>
            </w:r>
          </w:p>
        </w:tc>
        <w:tc>
          <w:tcPr>
            <w:tcW w:w="269" w:type="pct"/>
            <w:tcBorders>
              <w:top w:val="nil"/>
              <w:left w:val="nil"/>
              <w:bottom w:val="nil"/>
              <w:right w:val="nil"/>
            </w:tcBorders>
            <w:shd w:val="clear" w:color="auto" w:fill="auto"/>
            <w:noWrap/>
            <w:vAlign w:val="bottom"/>
            <w:hideMark/>
          </w:tcPr>
          <w:p w14:paraId="64379911" w14:textId="77777777" w:rsidR="006C5478" w:rsidRPr="00821FA0" w:rsidRDefault="006C5478" w:rsidP="00821FA0">
            <w:pPr>
              <w:jc w:val="center"/>
              <w:rPr>
                <w:color w:val="000000"/>
                <w:szCs w:val="22"/>
                <w:lang w:val="en-GB" w:eastAsia="en-GB"/>
              </w:rPr>
            </w:pPr>
            <w:r w:rsidRPr="00821FA0">
              <w:rPr>
                <w:color w:val="000000"/>
                <w:szCs w:val="22"/>
                <w:lang w:val="en-GB" w:eastAsia="en-GB"/>
              </w:rPr>
              <w:t>118</w:t>
            </w:r>
          </w:p>
        </w:tc>
        <w:tc>
          <w:tcPr>
            <w:tcW w:w="432" w:type="pct"/>
            <w:gridSpan w:val="2"/>
            <w:tcBorders>
              <w:top w:val="nil"/>
              <w:left w:val="nil"/>
              <w:bottom w:val="nil"/>
              <w:right w:val="nil"/>
            </w:tcBorders>
            <w:shd w:val="clear" w:color="auto" w:fill="auto"/>
            <w:noWrap/>
            <w:vAlign w:val="bottom"/>
            <w:hideMark/>
          </w:tcPr>
          <w:p w14:paraId="43F81491" w14:textId="77777777" w:rsidR="006C5478" w:rsidRPr="00821FA0" w:rsidRDefault="006C5478" w:rsidP="006C5478">
            <w:pPr>
              <w:rPr>
                <w:color w:val="000000"/>
                <w:szCs w:val="22"/>
                <w:lang w:val="en-GB" w:eastAsia="en-GB"/>
              </w:rPr>
            </w:pPr>
            <w:r w:rsidRPr="00821FA0">
              <w:rPr>
                <w:color w:val="000000"/>
                <w:szCs w:val="22"/>
                <w:lang w:val="en-GB" w:eastAsia="en-GB"/>
              </w:rPr>
              <w:t>ERMPH</w:t>
            </w:r>
          </w:p>
        </w:tc>
        <w:tc>
          <w:tcPr>
            <w:tcW w:w="368" w:type="pct"/>
            <w:tcBorders>
              <w:top w:val="nil"/>
              <w:left w:val="nil"/>
              <w:bottom w:val="nil"/>
              <w:right w:val="nil"/>
            </w:tcBorders>
            <w:shd w:val="clear" w:color="auto" w:fill="auto"/>
            <w:noWrap/>
            <w:vAlign w:val="bottom"/>
            <w:hideMark/>
          </w:tcPr>
          <w:p w14:paraId="1F39CE07" w14:textId="77777777" w:rsidR="006C5478" w:rsidRPr="00821FA0" w:rsidRDefault="006C5478" w:rsidP="00821FA0">
            <w:pPr>
              <w:jc w:val="center"/>
              <w:rPr>
                <w:color w:val="000000"/>
                <w:szCs w:val="22"/>
                <w:lang w:val="en-GB" w:eastAsia="en-GB"/>
              </w:rPr>
            </w:pPr>
            <w:r w:rsidRPr="00821FA0">
              <w:rPr>
                <w:color w:val="000000"/>
                <w:szCs w:val="22"/>
                <w:lang w:val="en-GB" w:eastAsia="en-GB"/>
              </w:rPr>
              <w:t>31</w:t>
            </w:r>
          </w:p>
        </w:tc>
        <w:tc>
          <w:tcPr>
            <w:tcW w:w="269" w:type="pct"/>
            <w:tcBorders>
              <w:top w:val="nil"/>
              <w:left w:val="nil"/>
              <w:bottom w:val="nil"/>
              <w:right w:val="nil"/>
            </w:tcBorders>
            <w:shd w:val="clear" w:color="auto" w:fill="auto"/>
            <w:noWrap/>
            <w:vAlign w:val="bottom"/>
            <w:hideMark/>
          </w:tcPr>
          <w:p w14:paraId="07A1A3BC" w14:textId="77777777" w:rsidR="006C5478" w:rsidRPr="00821FA0" w:rsidRDefault="006C5478" w:rsidP="00821FA0">
            <w:pPr>
              <w:jc w:val="center"/>
              <w:rPr>
                <w:color w:val="000000"/>
                <w:szCs w:val="22"/>
                <w:lang w:val="en-GB" w:eastAsia="en-GB"/>
              </w:rPr>
            </w:pPr>
            <w:r w:rsidRPr="00821FA0">
              <w:rPr>
                <w:color w:val="000000"/>
                <w:szCs w:val="22"/>
                <w:lang w:val="en-GB" w:eastAsia="en-GB"/>
              </w:rPr>
              <w:t>241</w:t>
            </w:r>
          </w:p>
        </w:tc>
        <w:tc>
          <w:tcPr>
            <w:tcW w:w="350" w:type="pct"/>
            <w:tcBorders>
              <w:top w:val="nil"/>
              <w:left w:val="nil"/>
              <w:bottom w:val="nil"/>
              <w:right w:val="nil"/>
            </w:tcBorders>
            <w:shd w:val="clear" w:color="auto" w:fill="auto"/>
            <w:noWrap/>
            <w:vAlign w:val="bottom"/>
            <w:hideMark/>
          </w:tcPr>
          <w:p w14:paraId="5F1317D2" w14:textId="77777777" w:rsidR="006C5478" w:rsidRPr="00821FA0" w:rsidRDefault="006C5478" w:rsidP="006C5478">
            <w:pPr>
              <w:rPr>
                <w:color w:val="000000"/>
                <w:szCs w:val="22"/>
                <w:lang w:val="en-GB" w:eastAsia="en-GB"/>
              </w:rPr>
            </w:pPr>
            <w:r w:rsidRPr="00821FA0">
              <w:rPr>
                <w:color w:val="000000"/>
                <w:szCs w:val="22"/>
                <w:lang w:val="en-GB" w:eastAsia="en-GB"/>
              </w:rPr>
              <w:t>NA</w:t>
            </w:r>
          </w:p>
        </w:tc>
        <w:tc>
          <w:tcPr>
            <w:tcW w:w="449" w:type="pct"/>
            <w:tcBorders>
              <w:top w:val="nil"/>
              <w:left w:val="nil"/>
              <w:bottom w:val="nil"/>
              <w:right w:val="nil"/>
            </w:tcBorders>
            <w:shd w:val="clear" w:color="auto" w:fill="auto"/>
            <w:noWrap/>
            <w:vAlign w:val="bottom"/>
            <w:hideMark/>
          </w:tcPr>
          <w:p w14:paraId="7A85B9CA" w14:textId="77777777" w:rsidR="006C5478" w:rsidRPr="00821FA0" w:rsidRDefault="006C5478" w:rsidP="00821FA0">
            <w:pPr>
              <w:jc w:val="center"/>
              <w:rPr>
                <w:color w:val="000000"/>
                <w:szCs w:val="22"/>
                <w:lang w:val="en-GB" w:eastAsia="en-GB"/>
              </w:rPr>
            </w:pPr>
            <w:r w:rsidRPr="00821FA0">
              <w:rPr>
                <w:color w:val="000000"/>
                <w:szCs w:val="22"/>
                <w:lang w:val="en-GB" w:eastAsia="en-GB"/>
              </w:rPr>
              <w:t>NA</w:t>
            </w:r>
          </w:p>
        </w:tc>
        <w:tc>
          <w:tcPr>
            <w:tcW w:w="269" w:type="pct"/>
            <w:tcBorders>
              <w:top w:val="nil"/>
              <w:left w:val="nil"/>
              <w:bottom w:val="nil"/>
              <w:right w:val="nil"/>
            </w:tcBorders>
            <w:shd w:val="clear" w:color="auto" w:fill="auto"/>
            <w:noWrap/>
            <w:vAlign w:val="bottom"/>
            <w:hideMark/>
          </w:tcPr>
          <w:p w14:paraId="773566CD" w14:textId="77777777" w:rsidR="006C5478" w:rsidRPr="00821FA0" w:rsidRDefault="006C5478" w:rsidP="00821FA0">
            <w:pPr>
              <w:jc w:val="center"/>
              <w:rPr>
                <w:color w:val="000000"/>
                <w:szCs w:val="22"/>
                <w:lang w:val="en-GB" w:eastAsia="en-GB"/>
              </w:rPr>
            </w:pPr>
            <w:r w:rsidRPr="00821FA0">
              <w:rPr>
                <w:color w:val="000000"/>
                <w:szCs w:val="22"/>
                <w:lang w:val="en-GB" w:eastAsia="en-GB"/>
              </w:rPr>
              <w:t>NA</w:t>
            </w:r>
          </w:p>
        </w:tc>
        <w:tc>
          <w:tcPr>
            <w:tcW w:w="350" w:type="pct"/>
            <w:tcBorders>
              <w:top w:val="nil"/>
              <w:left w:val="nil"/>
              <w:bottom w:val="nil"/>
              <w:right w:val="nil"/>
            </w:tcBorders>
            <w:shd w:val="clear" w:color="auto" w:fill="auto"/>
            <w:noWrap/>
            <w:vAlign w:val="bottom"/>
            <w:hideMark/>
          </w:tcPr>
          <w:p w14:paraId="56B5C061" w14:textId="77777777" w:rsidR="006C5478" w:rsidRPr="00821FA0" w:rsidRDefault="006C5478" w:rsidP="006C5478">
            <w:pPr>
              <w:rPr>
                <w:color w:val="000000"/>
                <w:szCs w:val="22"/>
                <w:lang w:val="en-GB" w:eastAsia="en-GB"/>
              </w:rPr>
            </w:pPr>
            <w:r w:rsidRPr="00821FA0">
              <w:rPr>
                <w:color w:val="000000"/>
                <w:szCs w:val="22"/>
                <w:lang w:val="en-GB" w:eastAsia="en-GB"/>
              </w:rPr>
              <w:t>NA</w:t>
            </w:r>
          </w:p>
        </w:tc>
        <w:tc>
          <w:tcPr>
            <w:tcW w:w="449" w:type="pct"/>
            <w:tcBorders>
              <w:top w:val="nil"/>
              <w:left w:val="nil"/>
              <w:bottom w:val="nil"/>
              <w:right w:val="nil"/>
            </w:tcBorders>
            <w:shd w:val="clear" w:color="auto" w:fill="auto"/>
            <w:noWrap/>
            <w:vAlign w:val="bottom"/>
            <w:hideMark/>
          </w:tcPr>
          <w:p w14:paraId="15A23776" w14:textId="77777777" w:rsidR="006C5478" w:rsidRPr="00821FA0" w:rsidRDefault="006C5478" w:rsidP="00821FA0">
            <w:pPr>
              <w:jc w:val="center"/>
              <w:rPr>
                <w:color w:val="000000"/>
                <w:szCs w:val="22"/>
                <w:lang w:val="en-GB" w:eastAsia="en-GB"/>
              </w:rPr>
            </w:pPr>
            <w:r w:rsidRPr="00821FA0">
              <w:rPr>
                <w:color w:val="000000"/>
                <w:szCs w:val="22"/>
                <w:lang w:val="en-GB" w:eastAsia="en-GB"/>
              </w:rPr>
              <w:t>NA</w:t>
            </w:r>
          </w:p>
        </w:tc>
        <w:tc>
          <w:tcPr>
            <w:tcW w:w="269" w:type="pct"/>
            <w:tcBorders>
              <w:top w:val="nil"/>
              <w:left w:val="nil"/>
              <w:bottom w:val="nil"/>
              <w:right w:val="nil"/>
            </w:tcBorders>
            <w:shd w:val="clear" w:color="auto" w:fill="auto"/>
            <w:noWrap/>
            <w:vAlign w:val="bottom"/>
            <w:hideMark/>
          </w:tcPr>
          <w:p w14:paraId="0B3664C4" w14:textId="77777777" w:rsidR="006C5478" w:rsidRPr="00821FA0" w:rsidRDefault="006C5478" w:rsidP="00821FA0">
            <w:pPr>
              <w:jc w:val="center"/>
              <w:rPr>
                <w:color w:val="000000"/>
                <w:szCs w:val="22"/>
                <w:lang w:val="en-GB" w:eastAsia="en-GB"/>
              </w:rPr>
            </w:pPr>
            <w:r w:rsidRPr="00821FA0">
              <w:rPr>
                <w:color w:val="000000"/>
                <w:szCs w:val="22"/>
                <w:lang w:val="en-GB" w:eastAsia="en-GB"/>
              </w:rPr>
              <w:t>NA</w:t>
            </w:r>
          </w:p>
        </w:tc>
      </w:tr>
      <w:tr w:rsidR="00821FA0" w:rsidRPr="00821FA0" w14:paraId="6D67BEE1" w14:textId="77777777" w:rsidTr="00821FA0">
        <w:trPr>
          <w:trHeight w:val="300"/>
        </w:trPr>
        <w:tc>
          <w:tcPr>
            <w:tcW w:w="510" w:type="pct"/>
            <w:tcBorders>
              <w:top w:val="nil"/>
              <w:left w:val="nil"/>
              <w:bottom w:val="nil"/>
              <w:right w:val="nil"/>
            </w:tcBorders>
            <w:shd w:val="clear" w:color="auto" w:fill="auto"/>
            <w:noWrap/>
            <w:vAlign w:val="bottom"/>
            <w:hideMark/>
          </w:tcPr>
          <w:p w14:paraId="4850C225" w14:textId="77777777" w:rsidR="006C5478" w:rsidRPr="00821FA0" w:rsidRDefault="006C5478" w:rsidP="006C5478">
            <w:pPr>
              <w:rPr>
                <w:color w:val="000000"/>
                <w:szCs w:val="22"/>
                <w:lang w:val="en-GB" w:eastAsia="en-GB"/>
              </w:rPr>
            </w:pPr>
            <w:r w:rsidRPr="00821FA0">
              <w:rPr>
                <w:color w:val="000000"/>
                <w:szCs w:val="22"/>
                <w:lang w:val="en-GB" w:eastAsia="en-GB"/>
              </w:rPr>
              <w:t>Medori 2008</w:t>
            </w:r>
          </w:p>
        </w:tc>
        <w:tc>
          <w:tcPr>
            <w:tcW w:w="215" w:type="pct"/>
            <w:tcBorders>
              <w:top w:val="nil"/>
              <w:left w:val="nil"/>
              <w:bottom w:val="nil"/>
              <w:right w:val="nil"/>
            </w:tcBorders>
            <w:shd w:val="clear" w:color="auto" w:fill="auto"/>
            <w:noWrap/>
            <w:vAlign w:val="bottom"/>
            <w:hideMark/>
          </w:tcPr>
          <w:p w14:paraId="5D34D264" w14:textId="77777777" w:rsidR="006C5478" w:rsidRPr="00821FA0" w:rsidRDefault="006C5478" w:rsidP="00821FA0">
            <w:pPr>
              <w:jc w:val="center"/>
              <w:rPr>
                <w:color w:val="000000"/>
                <w:szCs w:val="22"/>
                <w:lang w:val="en-GB" w:eastAsia="en-GB"/>
              </w:rPr>
            </w:pPr>
            <w:r w:rsidRPr="00821FA0">
              <w:rPr>
                <w:color w:val="000000"/>
                <w:szCs w:val="22"/>
                <w:lang w:val="en-GB" w:eastAsia="en-GB"/>
              </w:rPr>
              <w:t>4</w:t>
            </w:r>
          </w:p>
        </w:tc>
        <w:tc>
          <w:tcPr>
            <w:tcW w:w="350" w:type="pct"/>
            <w:tcBorders>
              <w:top w:val="nil"/>
              <w:left w:val="nil"/>
              <w:bottom w:val="nil"/>
              <w:right w:val="nil"/>
            </w:tcBorders>
            <w:shd w:val="clear" w:color="auto" w:fill="auto"/>
            <w:noWrap/>
            <w:vAlign w:val="bottom"/>
            <w:hideMark/>
          </w:tcPr>
          <w:p w14:paraId="4E783512" w14:textId="77777777" w:rsidR="006C5478" w:rsidRPr="00821FA0" w:rsidRDefault="006C5478" w:rsidP="006C5478">
            <w:pPr>
              <w:rPr>
                <w:color w:val="000000"/>
                <w:szCs w:val="22"/>
                <w:lang w:val="en-GB" w:eastAsia="en-GB"/>
              </w:rPr>
            </w:pPr>
            <w:r w:rsidRPr="00821FA0">
              <w:rPr>
                <w:color w:val="000000"/>
                <w:szCs w:val="22"/>
                <w:lang w:val="en-GB" w:eastAsia="en-GB"/>
              </w:rPr>
              <w:t>PL</w:t>
            </w:r>
          </w:p>
        </w:tc>
        <w:tc>
          <w:tcPr>
            <w:tcW w:w="449" w:type="pct"/>
            <w:tcBorders>
              <w:top w:val="nil"/>
              <w:left w:val="nil"/>
              <w:bottom w:val="nil"/>
              <w:right w:val="nil"/>
            </w:tcBorders>
            <w:shd w:val="clear" w:color="auto" w:fill="auto"/>
            <w:noWrap/>
            <w:vAlign w:val="bottom"/>
            <w:hideMark/>
          </w:tcPr>
          <w:p w14:paraId="7498DF35" w14:textId="77777777" w:rsidR="006C5478" w:rsidRPr="00821FA0" w:rsidRDefault="006C5478" w:rsidP="00821FA0">
            <w:pPr>
              <w:jc w:val="center"/>
              <w:rPr>
                <w:color w:val="000000"/>
                <w:szCs w:val="22"/>
                <w:lang w:val="en-GB" w:eastAsia="en-GB"/>
              </w:rPr>
            </w:pPr>
            <w:r w:rsidRPr="00821FA0">
              <w:rPr>
                <w:color w:val="000000"/>
                <w:szCs w:val="22"/>
                <w:lang w:val="en-GB" w:eastAsia="en-GB"/>
              </w:rPr>
              <w:t>1</w:t>
            </w:r>
          </w:p>
        </w:tc>
        <w:tc>
          <w:tcPr>
            <w:tcW w:w="269" w:type="pct"/>
            <w:tcBorders>
              <w:top w:val="nil"/>
              <w:left w:val="nil"/>
              <w:bottom w:val="nil"/>
              <w:right w:val="nil"/>
            </w:tcBorders>
            <w:shd w:val="clear" w:color="auto" w:fill="auto"/>
            <w:noWrap/>
            <w:vAlign w:val="bottom"/>
            <w:hideMark/>
          </w:tcPr>
          <w:p w14:paraId="27B7F522" w14:textId="77777777" w:rsidR="006C5478" w:rsidRPr="00821FA0" w:rsidRDefault="006C5478" w:rsidP="00821FA0">
            <w:pPr>
              <w:jc w:val="center"/>
              <w:rPr>
                <w:color w:val="000000"/>
                <w:szCs w:val="22"/>
                <w:lang w:val="en-GB" w:eastAsia="en-GB"/>
              </w:rPr>
            </w:pPr>
            <w:r w:rsidRPr="00821FA0">
              <w:rPr>
                <w:color w:val="000000"/>
                <w:szCs w:val="22"/>
                <w:lang w:val="en-GB" w:eastAsia="en-GB"/>
              </w:rPr>
              <w:t>96</w:t>
            </w:r>
          </w:p>
        </w:tc>
        <w:tc>
          <w:tcPr>
            <w:tcW w:w="432" w:type="pct"/>
            <w:gridSpan w:val="2"/>
            <w:tcBorders>
              <w:top w:val="nil"/>
              <w:left w:val="nil"/>
              <w:bottom w:val="nil"/>
              <w:right w:val="nil"/>
            </w:tcBorders>
            <w:shd w:val="clear" w:color="auto" w:fill="auto"/>
            <w:noWrap/>
            <w:vAlign w:val="bottom"/>
            <w:hideMark/>
          </w:tcPr>
          <w:p w14:paraId="5743DD03" w14:textId="77777777" w:rsidR="006C5478" w:rsidRPr="00821FA0" w:rsidRDefault="006C5478" w:rsidP="006C5478">
            <w:pPr>
              <w:rPr>
                <w:color w:val="000000"/>
                <w:szCs w:val="22"/>
                <w:lang w:val="en-GB" w:eastAsia="en-GB"/>
              </w:rPr>
            </w:pPr>
            <w:r w:rsidRPr="00821FA0">
              <w:rPr>
                <w:color w:val="000000"/>
                <w:szCs w:val="22"/>
                <w:lang w:val="en-GB" w:eastAsia="en-GB"/>
              </w:rPr>
              <w:t>ERMPH</w:t>
            </w:r>
          </w:p>
        </w:tc>
        <w:tc>
          <w:tcPr>
            <w:tcW w:w="368" w:type="pct"/>
            <w:tcBorders>
              <w:top w:val="nil"/>
              <w:left w:val="nil"/>
              <w:bottom w:val="nil"/>
              <w:right w:val="nil"/>
            </w:tcBorders>
            <w:shd w:val="clear" w:color="auto" w:fill="auto"/>
            <w:noWrap/>
            <w:vAlign w:val="bottom"/>
            <w:hideMark/>
          </w:tcPr>
          <w:p w14:paraId="618296C0" w14:textId="77777777" w:rsidR="006C5478" w:rsidRPr="00821FA0" w:rsidRDefault="006C5478" w:rsidP="00821FA0">
            <w:pPr>
              <w:jc w:val="center"/>
              <w:rPr>
                <w:color w:val="000000"/>
                <w:szCs w:val="22"/>
                <w:lang w:val="en-GB" w:eastAsia="en-GB"/>
              </w:rPr>
            </w:pPr>
            <w:r w:rsidRPr="00821FA0">
              <w:rPr>
                <w:color w:val="000000"/>
                <w:szCs w:val="22"/>
                <w:lang w:val="en-GB" w:eastAsia="en-GB"/>
              </w:rPr>
              <w:t>1</w:t>
            </w:r>
          </w:p>
        </w:tc>
        <w:tc>
          <w:tcPr>
            <w:tcW w:w="269" w:type="pct"/>
            <w:tcBorders>
              <w:top w:val="nil"/>
              <w:left w:val="nil"/>
              <w:bottom w:val="nil"/>
              <w:right w:val="nil"/>
            </w:tcBorders>
            <w:shd w:val="clear" w:color="auto" w:fill="auto"/>
            <w:noWrap/>
            <w:vAlign w:val="bottom"/>
            <w:hideMark/>
          </w:tcPr>
          <w:p w14:paraId="69DE3BB5" w14:textId="77777777" w:rsidR="006C5478" w:rsidRPr="00821FA0" w:rsidRDefault="006C5478" w:rsidP="00821FA0">
            <w:pPr>
              <w:jc w:val="center"/>
              <w:rPr>
                <w:color w:val="000000"/>
                <w:szCs w:val="22"/>
                <w:lang w:val="en-GB" w:eastAsia="en-GB"/>
              </w:rPr>
            </w:pPr>
            <w:r w:rsidRPr="00821FA0">
              <w:rPr>
                <w:color w:val="000000"/>
                <w:szCs w:val="22"/>
                <w:lang w:val="en-GB" w:eastAsia="en-GB"/>
              </w:rPr>
              <w:t>101</w:t>
            </w:r>
          </w:p>
        </w:tc>
        <w:tc>
          <w:tcPr>
            <w:tcW w:w="350" w:type="pct"/>
            <w:tcBorders>
              <w:top w:val="nil"/>
              <w:left w:val="nil"/>
              <w:bottom w:val="nil"/>
              <w:right w:val="nil"/>
            </w:tcBorders>
            <w:shd w:val="clear" w:color="auto" w:fill="auto"/>
            <w:noWrap/>
            <w:vAlign w:val="bottom"/>
            <w:hideMark/>
          </w:tcPr>
          <w:p w14:paraId="0DA5878B" w14:textId="77777777" w:rsidR="006C5478" w:rsidRPr="00821FA0" w:rsidRDefault="006C5478" w:rsidP="006C5478">
            <w:pPr>
              <w:rPr>
                <w:color w:val="000000"/>
                <w:szCs w:val="22"/>
                <w:lang w:val="en-GB" w:eastAsia="en-GB"/>
              </w:rPr>
            </w:pPr>
            <w:r w:rsidRPr="00821FA0">
              <w:rPr>
                <w:color w:val="000000"/>
                <w:szCs w:val="22"/>
                <w:lang w:val="en-GB" w:eastAsia="en-GB"/>
              </w:rPr>
              <w:t>ERMPH</w:t>
            </w:r>
          </w:p>
        </w:tc>
        <w:tc>
          <w:tcPr>
            <w:tcW w:w="449" w:type="pct"/>
            <w:tcBorders>
              <w:top w:val="nil"/>
              <w:left w:val="nil"/>
              <w:bottom w:val="nil"/>
              <w:right w:val="nil"/>
            </w:tcBorders>
            <w:shd w:val="clear" w:color="auto" w:fill="auto"/>
            <w:noWrap/>
            <w:vAlign w:val="bottom"/>
            <w:hideMark/>
          </w:tcPr>
          <w:p w14:paraId="224D8B7B" w14:textId="77777777" w:rsidR="006C5478" w:rsidRPr="00821FA0" w:rsidRDefault="006C5478" w:rsidP="00821FA0">
            <w:pPr>
              <w:jc w:val="center"/>
              <w:rPr>
                <w:color w:val="000000"/>
                <w:szCs w:val="22"/>
                <w:lang w:val="en-GB" w:eastAsia="en-GB"/>
              </w:rPr>
            </w:pPr>
            <w:r w:rsidRPr="00821FA0">
              <w:rPr>
                <w:color w:val="000000"/>
                <w:szCs w:val="22"/>
                <w:lang w:val="en-GB" w:eastAsia="en-GB"/>
              </w:rPr>
              <w:t>4</w:t>
            </w:r>
          </w:p>
        </w:tc>
        <w:tc>
          <w:tcPr>
            <w:tcW w:w="269" w:type="pct"/>
            <w:tcBorders>
              <w:top w:val="nil"/>
              <w:left w:val="nil"/>
              <w:bottom w:val="nil"/>
              <w:right w:val="nil"/>
            </w:tcBorders>
            <w:shd w:val="clear" w:color="auto" w:fill="auto"/>
            <w:noWrap/>
            <w:vAlign w:val="bottom"/>
            <w:hideMark/>
          </w:tcPr>
          <w:p w14:paraId="13ECB911" w14:textId="77777777" w:rsidR="006C5478" w:rsidRPr="00821FA0" w:rsidRDefault="006C5478" w:rsidP="00821FA0">
            <w:pPr>
              <w:jc w:val="center"/>
              <w:rPr>
                <w:color w:val="000000"/>
                <w:szCs w:val="22"/>
                <w:lang w:val="en-GB" w:eastAsia="en-GB"/>
              </w:rPr>
            </w:pPr>
            <w:r w:rsidRPr="00821FA0">
              <w:rPr>
                <w:color w:val="000000"/>
                <w:szCs w:val="22"/>
                <w:lang w:val="en-GB" w:eastAsia="en-GB"/>
              </w:rPr>
              <w:t>102</w:t>
            </w:r>
          </w:p>
        </w:tc>
        <w:tc>
          <w:tcPr>
            <w:tcW w:w="350" w:type="pct"/>
            <w:tcBorders>
              <w:top w:val="nil"/>
              <w:left w:val="nil"/>
              <w:bottom w:val="nil"/>
              <w:right w:val="nil"/>
            </w:tcBorders>
            <w:shd w:val="clear" w:color="auto" w:fill="auto"/>
            <w:noWrap/>
            <w:vAlign w:val="bottom"/>
            <w:hideMark/>
          </w:tcPr>
          <w:p w14:paraId="7B846A4F" w14:textId="77777777" w:rsidR="006C5478" w:rsidRPr="00821FA0" w:rsidRDefault="006C5478" w:rsidP="006C5478">
            <w:pPr>
              <w:rPr>
                <w:color w:val="000000"/>
                <w:szCs w:val="22"/>
                <w:lang w:val="en-GB" w:eastAsia="en-GB"/>
              </w:rPr>
            </w:pPr>
            <w:r w:rsidRPr="00821FA0">
              <w:rPr>
                <w:color w:val="000000"/>
                <w:szCs w:val="22"/>
                <w:lang w:val="en-GB" w:eastAsia="en-GB"/>
              </w:rPr>
              <w:t>ERMPH</w:t>
            </w:r>
          </w:p>
        </w:tc>
        <w:tc>
          <w:tcPr>
            <w:tcW w:w="449" w:type="pct"/>
            <w:tcBorders>
              <w:top w:val="nil"/>
              <w:left w:val="nil"/>
              <w:bottom w:val="nil"/>
              <w:right w:val="nil"/>
            </w:tcBorders>
            <w:shd w:val="clear" w:color="auto" w:fill="auto"/>
            <w:noWrap/>
            <w:vAlign w:val="bottom"/>
            <w:hideMark/>
          </w:tcPr>
          <w:p w14:paraId="21EF4E30" w14:textId="77777777" w:rsidR="006C5478" w:rsidRPr="00821FA0" w:rsidRDefault="006C5478" w:rsidP="00821FA0">
            <w:pPr>
              <w:jc w:val="center"/>
              <w:rPr>
                <w:color w:val="000000"/>
                <w:szCs w:val="22"/>
                <w:lang w:val="en-GB" w:eastAsia="en-GB"/>
              </w:rPr>
            </w:pPr>
            <w:r w:rsidRPr="00821FA0">
              <w:rPr>
                <w:color w:val="000000"/>
                <w:szCs w:val="22"/>
                <w:lang w:val="en-GB" w:eastAsia="en-GB"/>
              </w:rPr>
              <w:t>8</w:t>
            </w:r>
          </w:p>
        </w:tc>
        <w:tc>
          <w:tcPr>
            <w:tcW w:w="269" w:type="pct"/>
            <w:tcBorders>
              <w:top w:val="nil"/>
              <w:left w:val="nil"/>
              <w:bottom w:val="nil"/>
              <w:right w:val="nil"/>
            </w:tcBorders>
            <w:shd w:val="clear" w:color="auto" w:fill="auto"/>
            <w:noWrap/>
            <w:vAlign w:val="bottom"/>
            <w:hideMark/>
          </w:tcPr>
          <w:p w14:paraId="74975A15" w14:textId="77777777" w:rsidR="006C5478" w:rsidRPr="00821FA0" w:rsidRDefault="006C5478" w:rsidP="00821FA0">
            <w:pPr>
              <w:jc w:val="center"/>
              <w:rPr>
                <w:color w:val="000000"/>
                <w:szCs w:val="22"/>
                <w:lang w:val="en-GB" w:eastAsia="en-GB"/>
              </w:rPr>
            </w:pPr>
            <w:r w:rsidRPr="00821FA0">
              <w:rPr>
                <w:color w:val="000000"/>
                <w:szCs w:val="22"/>
                <w:lang w:val="en-GB" w:eastAsia="en-GB"/>
              </w:rPr>
              <w:t>102</w:t>
            </w:r>
          </w:p>
        </w:tc>
      </w:tr>
      <w:tr w:rsidR="00821FA0" w:rsidRPr="00821FA0" w14:paraId="233A43BF" w14:textId="77777777" w:rsidTr="00821FA0">
        <w:trPr>
          <w:trHeight w:val="300"/>
        </w:trPr>
        <w:tc>
          <w:tcPr>
            <w:tcW w:w="510" w:type="pct"/>
            <w:tcBorders>
              <w:top w:val="nil"/>
              <w:left w:val="nil"/>
              <w:bottom w:val="nil"/>
              <w:right w:val="nil"/>
            </w:tcBorders>
            <w:shd w:val="clear" w:color="auto" w:fill="auto"/>
            <w:noWrap/>
            <w:vAlign w:val="bottom"/>
            <w:hideMark/>
          </w:tcPr>
          <w:p w14:paraId="4012A344" w14:textId="77777777" w:rsidR="006C5478" w:rsidRPr="00821FA0" w:rsidRDefault="006C5478" w:rsidP="006C5478">
            <w:pPr>
              <w:rPr>
                <w:color w:val="000000"/>
                <w:szCs w:val="22"/>
                <w:lang w:val="en-GB" w:eastAsia="en-GB"/>
              </w:rPr>
            </w:pPr>
            <w:r w:rsidRPr="00821FA0">
              <w:rPr>
                <w:color w:val="000000"/>
                <w:szCs w:val="22"/>
                <w:lang w:val="en-GB" w:eastAsia="en-GB"/>
              </w:rPr>
              <w:t>Sobanski 2012</w:t>
            </w:r>
          </w:p>
        </w:tc>
        <w:tc>
          <w:tcPr>
            <w:tcW w:w="215" w:type="pct"/>
            <w:tcBorders>
              <w:top w:val="nil"/>
              <w:left w:val="nil"/>
              <w:bottom w:val="nil"/>
              <w:right w:val="nil"/>
            </w:tcBorders>
            <w:shd w:val="clear" w:color="auto" w:fill="auto"/>
            <w:noWrap/>
            <w:vAlign w:val="bottom"/>
            <w:hideMark/>
          </w:tcPr>
          <w:p w14:paraId="260E4657" w14:textId="77777777" w:rsidR="006C5478" w:rsidRPr="00821FA0" w:rsidRDefault="006C5478" w:rsidP="00821FA0">
            <w:pPr>
              <w:jc w:val="center"/>
              <w:rPr>
                <w:color w:val="000000"/>
                <w:szCs w:val="22"/>
                <w:lang w:val="en-GB" w:eastAsia="en-GB"/>
              </w:rPr>
            </w:pPr>
            <w:r w:rsidRPr="00821FA0">
              <w:rPr>
                <w:color w:val="000000"/>
                <w:szCs w:val="22"/>
                <w:lang w:val="en-GB" w:eastAsia="en-GB"/>
              </w:rPr>
              <w:t>2</w:t>
            </w:r>
          </w:p>
        </w:tc>
        <w:tc>
          <w:tcPr>
            <w:tcW w:w="350" w:type="pct"/>
            <w:tcBorders>
              <w:top w:val="nil"/>
              <w:left w:val="nil"/>
              <w:bottom w:val="nil"/>
              <w:right w:val="nil"/>
            </w:tcBorders>
            <w:shd w:val="clear" w:color="auto" w:fill="auto"/>
            <w:noWrap/>
            <w:vAlign w:val="bottom"/>
            <w:hideMark/>
          </w:tcPr>
          <w:p w14:paraId="0CAD3AE5" w14:textId="77777777" w:rsidR="006C5478" w:rsidRPr="00821FA0" w:rsidRDefault="006C5478" w:rsidP="006C5478">
            <w:pPr>
              <w:rPr>
                <w:color w:val="000000"/>
                <w:szCs w:val="22"/>
                <w:lang w:val="en-GB" w:eastAsia="en-GB"/>
              </w:rPr>
            </w:pPr>
            <w:r w:rsidRPr="00821FA0">
              <w:rPr>
                <w:color w:val="000000"/>
                <w:szCs w:val="22"/>
                <w:lang w:val="en-GB" w:eastAsia="en-GB"/>
              </w:rPr>
              <w:t>PL</w:t>
            </w:r>
          </w:p>
        </w:tc>
        <w:tc>
          <w:tcPr>
            <w:tcW w:w="449" w:type="pct"/>
            <w:tcBorders>
              <w:top w:val="nil"/>
              <w:left w:val="nil"/>
              <w:bottom w:val="nil"/>
              <w:right w:val="nil"/>
            </w:tcBorders>
            <w:shd w:val="clear" w:color="auto" w:fill="auto"/>
            <w:noWrap/>
            <w:vAlign w:val="bottom"/>
            <w:hideMark/>
          </w:tcPr>
          <w:p w14:paraId="6CB91B03" w14:textId="77777777" w:rsidR="006C5478" w:rsidRPr="00821FA0" w:rsidRDefault="006C5478" w:rsidP="00821FA0">
            <w:pPr>
              <w:jc w:val="center"/>
              <w:rPr>
                <w:color w:val="000000"/>
                <w:szCs w:val="22"/>
                <w:lang w:val="en-GB" w:eastAsia="en-GB"/>
              </w:rPr>
            </w:pPr>
            <w:r w:rsidRPr="00821FA0">
              <w:rPr>
                <w:color w:val="000000"/>
                <w:szCs w:val="22"/>
                <w:lang w:val="en-GB" w:eastAsia="en-GB"/>
              </w:rPr>
              <w:t>0</w:t>
            </w:r>
          </w:p>
        </w:tc>
        <w:tc>
          <w:tcPr>
            <w:tcW w:w="269" w:type="pct"/>
            <w:tcBorders>
              <w:top w:val="nil"/>
              <w:left w:val="nil"/>
              <w:bottom w:val="nil"/>
              <w:right w:val="nil"/>
            </w:tcBorders>
            <w:shd w:val="clear" w:color="auto" w:fill="auto"/>
            <w:noWrap/>
            <w:vAlign w:val="bottom"/>
            <w:hideMark/>
          </w:tcPr>
          <w:p w14:paraId="144E284C" w14:textId="77777777" w:rsidR="006C5478" w:rsidRPr="00821FA0" w:rsidRDefault="006C5478" w:rsidP="00821FA0">
            <w:pPr>
              <w:jc w:val="center"/>
              <w:rPr>
                <w:color w:val="000000"/>
                <w:szCs w:val="22"/>
                <w:lang w:val="en-GB" w:eastAsia="en-GB"/>
              </w:rPr>
            </w:pPr>
            <w:r w:rsidRPr="00821FA0">
              <w:rPr>
                <w:color w:val="000000"/>
                <w:szCs w:val="22"/>
                <w:lang w:val="en-GB" w:eastAsia="en-GB"/>
              </w:rPr>
              <w:t>37</w:t>
            </w:r>
          </w:p>
        </w:tc>
        <w:tc>
          <w:tcPr>
            <w:tcW w:w="432" w:type="pct"/>
            <w:gridSpan w:val="2"/>
            <w:tcBorders>
              <w:top w:val="nil"/>
              <w:left w:val="nil"/>
              <w:bottom w:val="nil"/>
              <w:right w:val="nil"/>
            </w:tcBorders>
            <w:shd w:val="clear" w:color="auto" w:fill="auto"/>
            <w:noWrap/>
            <w:vAlign w:val="bottom"/>
            <w:hideMark/>
          </w:tcPr>
          <w:p w14:paraId="156C95CC" w14:textId="77777777" w:rsidR="006C5478" w:rsidRPr="00821FA0" w:rsidRDefault="006C5478" w:rsidP="006C5478">
            <w:pPr>
              <w:rPr>
                <w:color w:val="000000"/>
                <w:szCs w:val="22"/>
                <w:lang w:val="en-GB" w:eastAsia="en-GB"/>
              </w:rPr>
            </w:pPr>
            <w:r w:rsidRPr="00821FA0">
              <w:rPr>
                <w:color w:val="000000"/>
                <w:szCs w:val="22"/>
                <w:lang w:val="en-GB" w:eastAsia="en-GB"/>
              </w:rPr>
              <w:t>ATX</w:t>
            </w:r>
          </w:p>
        </w:tc>
        <w:tc>
          <w:tcPr>
            <w:tcW w:w="368" w:type="pct"/>
            <w:tcBorders>
              <w:top w:val="nil"/>
              <w:left w:val="nil"/>
              <w:bottom w:val="nil"/>
              <w:right w:val="nil"/>
            </w:tcBorders>
            <w:shd w:val="clear" w:color="auto" w:fill="auto"/>
            <w:noWrap/>
            <w:vAlign w:val="bottom"/>
            <w:hideMark/>
          </w:tcPr>
          <w:p w14:paraId="01BB70B4" w14:textId="77777777" w:rsidR="006C5478" w:rsidRPr="00821FA0" w:rsidRDefault="006C5478" w:rsidP="00821FA0">
            <w:pPr>
              <w:jc w:val="center"/>
              <w:rPr>
                <w:color w:val="000000"/>
                <w:szCs w:val="22"/>
                <w:lang w:val="en-GB" w:eastAsia="en-GB"/>
              </w:rPr>
            </w:pPr>
            <w:r w:rsidRPr="00821FA0">
              <w:rPr>
                <w:color w:val="000000"/>
                <w:szCs w:val="22"/>
                <w:lang w:val="en-GB" w:eastAsia="en-GB"/>
              </w:rPr>
              <w:t>5</w:t>
            </w:r>
          </w:p>
        </w:tc>
        <w:tc>
          <w:tcPr>
            <w:tcW w:w="269" w:type="pct"/>
            <w:tcBorders>
              <w:top w:val="nil"/>
              <w:left w:val="nil"/>
              <w:bottom w:val="nil"/>
              <w:right w:val="nil"/>
            </w:tcBorders>
            <w:shd w:val="clear" w:color="auto" w:fill="auto"/>
            <w:noWrap/>
            <w:vAlign w:val="bottom"/>
            <w:hideMark/>
          </w:tcPr>
          <w:p w14:paraId="0EDF68B5" w14:textId="77777777" w:rsidR="006C5478" w:rsidRPr="00821FA0" w:rsidRDefault="006C5478" w:rsidP="00821FA0">
            <w:pPr>
              <w:jc w:val="center"/>
              <w:rPr>
                <w:color w:val="000000"/>
                <w:szCs w:val="22"/>
                <w:lang w:val="en-GB" w:eastAsia="en-GB"/>
              </w:rPr>
            </w:pPr>
            <w:r w:rsidRPr="00821FA0">
              <w:rPr>
                <w:color w:val="000000"/>
                <w:szCs w:val="22"/>
                <w:lang w:val="en-GB" w:eastAsia="en-GB"/>
              </w:rPr>
              <w:t>27</w:t>
            </w:r>
          </w:p>
        </w:tc>
        <w:tc>
          <w:tcPr>
            <w:tcW w:w="350" w:type="pct"/>
            <w:tcBorders>
              <w:top w:val="nil"/>
              <w:left w:val="nil"/>
              <w:bottom w:val="nil"/>
              <w:right w:val="nil"/>
            </w:tcBorders>
            <w:shd w:val="clear" w:color="auto" w:fill="auto"/>
            <w:noWrap/>
            <w:vAlign w:val="bottom"/>
            <w:hideMark/>
          </w:tcPr>
          <w:p w14:paraId="2BC0ADE4" w14:textId="77777777" w:rsidR="006C5478" w:rsidRPr="00821FA0" w:rsidRDefault="006C5478" w:rsidP="006C5478">
            <w:pPr>
              <w:rPr>
                <w:color w:val="000000"/>
                <w:szCs w:val="22"/>
                <w:lang w:val="en-GB" w:eastAsia="en-GB"/>
              </w:rPr>
            </w:pPr>
            <w:r w:rsidRPr="00821FA0">
              <w:rPr>
                <w:color w:val="000000"/>
                <w:szCs w:val="22"/>
                <w:lang w:val="en-GB" w:eastAsia="en-GB"/>
              </w:rPr>
              <w:t>NA</w:t>
            </w:r>
          </w:p>
        </w:tc>
        <w:tc>
          <w:tcPr>
            <w:tcW w:w="449" w:type="pct"/>
            <w:tcBorders>
              <w:top w:val="nil"/>
              <w:left w:val="nil"/>
              <w:bottom w:val="nil"/>
              <w:right w:val="nil"/>
            </w:tcBorders>
            <w:shd w:val="clear" w:color="auto" w:fill="auto"/>
            <w:noWrap/>
            <w:vAlign w:val="bottom"/>
            <w:hideMark/>
          </w:tcPr>
          <w:p w14:paraId="19DBCEE9" w14:textId="77777777" w:rsidR="006C5478" w:rsidRPr="00821FA0" w:rsidRDefault="006C5478" w:rsidP="00821FA0">
            <w:pPr>
              <w:jc w:val="center"/>
              <w:rPr>
                <w:color w:val="000000"/>
                <w:szCs w:val="22"/>
                <w:lang w:val="en-GB" w:eastAsia="en-GB"/>
              </w:rPr>
            </w:pPr>
            <w:r w:rsidRPr="00821FA0">
              <w:rPr>
                <w:color w:val="000000"/>
                <w:szCs w:val="22"/>
                <w:lang w:val="en-GB" w:eastAsia="en-GB"/>
              </w:rPr>
              <w:t>NA</w:t>
            </w:r>
          </w:p>
        </w:tc>
        <w:tc>
          <w:tcPr>
            <w:tcW w:w="269" w:type="pct"/>
            <w:tcBorders>
              <w:top w:val="nil"/>
              <w:left w:val="nil"/>
              <w:bottom w:val="nil"/>
              <w:right w:val="nil"/>
            </w:tcBorders>
            <w:shd w:val="clear" w:color="auto" w:fill="auto"/>
            <w:noWrap/>
            <w:vAlign w:val="bottom"/>
            <w:hideMark/>
          </w:tcPr>
          <w:p w14:paraId="209D7446" w14:textId="77777777" w:rsidR="006C5478" w:rsidRPr="00821FA0" w:rsidRDefault="006C5478" w:rsidP="00821FA0">
            <w:pPr>
              <w:jc w:val="center"/>
              <w:rPr>
                <w:color w:val="000000"/>
                <w:szCs w:val="22"/>
                <w:lang w:val="en-GB" w:eastAsia="en-GB"/>
              </w:rPr>
            </w:pPr>
            <w:r w:rsidRPr="00821FA0">
              <w:rPr>
                <w:color w:val="000000"/>
                <w:szCs w:val="22"/>
                <w:lang w:val="en-GB" w:eastAsia="en-GB"/>
              </w:rPr>
              <w:t>NA</w:t>
            </w:r>
          </w:p>
        </w:tc>
        <w:tc>
          <w:tcPr>
            <w:tcW w:w="350" w:type="pct"/>
            <w:tcBorders>
              <w:top w:val="nil"/>
              <w:left w:val="nil"/>
              <w:bottom w:val="nil"/>
              <w:right w:val="nil"/>
            </w:tcBorders>
            <w:shd w:val="clear" w:color="auto" w:fill="auto"/>
            <w:noWrap/>
            <w:vAlign w:val="bottom"/>
            <w:hideMark/>
          </w:tcPr>
          <w:p w14:paraId="53825AAD" w14:textId="77777777" w:rsidR="006C5478" w:rsidRPr="00821FA0" w:rsidRDefault="006C5478" w:rsidP="006C5478">
            <w:pPr>
              <w:rPr>
                <w:color w:val="000000"/>
                <w:szCs w:val="22"/>
                <w:lang w:val="en-GB" w:eastAsia="en-GB"/>
              </w:rPr>
            </w:pPr>
            <w:r w:rsidRPr="00821FA0">
              <w:rPr>
                <w:color w:val="000000"/>
                <w:szCs w:val="22"/>
                <w:lang w:val="en-GB" w:eastAsia="en-GB"/>
              </w:rPr>
              <w:t>NA</w:t>
            </w:r>
          </w:p>
        </w:tc>
        <w:tc>
          <w:tcPr>
            <w:tcW w:w="449" w:type="pct"/>
            <w:tcBorders>
              <w:top w:val="nil"/>
              <w:left w:val="nil"/>
              <w:bottom w:val="nil"/>
              <w:right w:val="nil"/>
            </w:tcBorders>
            <w:shd w:val="clear" w:color="auto" w:fill="auto"/>
            <w:noWrap/>
            <w:vAlign w:val="bottom"/>
            <w:hideMark/>
          </w:tcPr>
          <w:p w14:paraId="4ADD6FFF" w14:textId="77777777" w:rsidR="006C5478" w:rsidRPr="00821FA0" w:rsidRDefault="006C5478" w:rsidP="00821FA0">
            <w:pPr>
              <w:jc w:val="center"/>
              <w:rPr>
                <w:color w:val="000000"/>
                <w:szCs w:val="22"/>
                <w:lang w:val="en-GB" w:eastAsia="en-GB"/>
              </w:rPr>
            </w:pPr>
            <w:r w:rsidRPr="00821FA0">
              <w:rPr>
                <w:color w:val="000000"/>
                <w:szCs w:val="22"/>
                <w:lang w:val="en-GB" w:eastAsia="en-GB"/>
              </w:rPr>
              <w:t>NA</w:t>
            </w:r>
          </w:p>
        </w:tc>
        <w:tc>
          <w:tcPr>
            <w:tcW w:w="269" w:type="pct"/>
            <w:tcBorders>
              <w:top w:val="nil"/>
              <w:left w:val="nil"/>
              <w:bottom w:val="nil"/>
              <w:right w:val="nil"/>
            </w:tcBorders>
            <w:shd w:val="clear" w:color="auto" w:fill="auto"/>
            <w:noWrap/>
            <w:vAlign w:val="bottom"/>
            <w:hideMark/>
          </w:tcPr>
          <w:p w14:paraId="2C1E589D" w14:textId="77777777" w:rsidR="006C5478" w:rsidRPr="00821FA0" w:rsidRDefault="006C5478" w:rsidP="00821FA0">
            <w:pPr>
              <w:jc w:val="center"/>
              <w:rPr>
                <w:color w:val="000000"/>
                <w:szCs w:val="22"/>
                <w:lang w:val="en-GB" w:eastAsia="en-GB"/>
              </w:rPr>
            </w:pPr>
            <w:r w:rsidRPr="00821FA0">
              <w:rPr>
                <w:color w:val="000000"/>
                <w:szCs w:val="22"/>
                <w:lang w:val="en-GB" w:eastAsia="en-GB"/>
              </w:rPr>
              <w:t>NA</w:t>
            </w:r>
          </w:p>
        </w:tc>
      </w:tr>
      <w:tr w:rsidR="00821FA0" w:rsidRPr="00821FA0" w14:paraId="26D3E759" w14:textId="77777777" w:rsidTr="00821FA0">
        <w:trPr>
          <w:trHeight w:val="300"/>
        </w:trPr>
        <w:tc>
          <w:tcPr>
            <w:tcW w:w="510" w:type="pct"/>
            <w:tcBorders>
              <w:top w:val="nil"/>
              <w:left w:val="nil"/>
              <w:bottom w:val="nil"/>
              <w:right w:val="nil"/>
            </w:tcBorders>
            <w:shd w:val="clear" w:color="auto" w:fill="auto"/>
            <w:noWrap/>
            <w:vAlign w:val="bottom"/>
            <w:hideMark/>
          </w:tcPr>
          <w:p w14:paraId="0D45BF85" w14:textId="77777777" w:rsidR="006C5478" w:rsidRPr="00821FA0" w:rsidRDefault="006C5478" w:rsidP="006C5478">
            <w:pPr>
              <w:rPr>
                <w:color w:val="000000"/>
                <w:szCs w:val="22"/>
                <w:lang w:val="en-GB" w:eastAsia="en-GB"/>
              </w:rPr>
            </w:pPr>
            <w:r w:rsidRPr="00821FA0">
              <w:rPr>
                <w:color w:val="000000"/>
                <w:szCs w:val="22"/>
                <w:lang w:val="en-GB" w:eastAsia="en-GB"/>
              </w:rPr>
              <w:t>Biederman 2006</w:t>
            </w:r>
          </w:p>
        </w:tc>
        <w:tc>
          <w:tcPr>
            <w:tcW w:w="215" w:type="pct"/>
            <w:tcBorders>
              <w:top w:val="nil"/>
              <w:left w:val="nil"/>
              <w:bottom w:val="nil"/>
              <w:right w:val="nil"/>
            </w:tcBorders>
            <w:shd w:val="clear" w:color="auto" w:fill="auto"/>
            <w:noWrap/>
            <w:vAlign w:val="bottom"/>
            <w:hideMark/>
          </w:tcPr>
          <w:p w14:paraId="47D10F95" w14:textId="77777777" w:rsidR="006C5478" w:rsidRPr="00821FA0" w:rsidRDefault="006C5478" w:rsidP="00821FA0">
            <w:pPr>
              <w:jc w:val="center"/>
              <w:rPr>
                <w:color w:val="000000"/>
                <w:szCs w:val="22"/>
                <w:lang w:val="en-GB" w:eastAsia="en-GB"/>
              </w:rPr>
            </w:pPr>
            <w:r w:rsidRPr="00821FA0">
              <w:rPr>
                <w:color w:val="000000"/>
                <w:szCs w:val="22"/>
                <w:lang w:val="en-GB" w:eastAsia="en-GB"/>
              </w:rPr>
              <w:t>2</w:t>
            </w:r>
          </w:p>
        </w:tc>
        <w:tc>
          <w:tcPr>
            <w:tcW w:w="350" w:type="pct"/>
            <w:tcBorders>
              <w:top w:val="nil"/>
              <w:left w:val="nil"/>
              <w:bottom w:val="nil"/>
              <w:right w:val="nil"/>
            </w:tcBorders>
            <w:shd w:val="clear" w:color="auto" w:fill="auto"/>
            <w:noWrap/>
            <w:vAlign w:val="bottom"/>
            <w:hideMark/>
          </w:tcPr>
          <w:p w14:paraId="3A4F9ECC" w14:textId="77777777" w:rsidR="006C5478" w:rsidRPr="00821FA0" w:rsidRDefault="006C5478" w:rsidP="006C5478">
            <w:pPr>
              <w:rPr>
                <w:color w:val="000000"/>
                <w:szCs w:val="22"/>
                <w:lang w:val="en-GB" w:eastAsia="en-GB"/>
              </w:rPr>
            </w:pPr>
            <w:r w:rsidRPr="00821FA0">
              <w:rPr>
                <w:color w:val="000000"/>
                <w:szCs w:val="22"/>
                <w:lang w:val="en-GB" w:eastAsia="en-GB"/>
              </w:rPr>
              <w:t>PL</w:t>
            </w:r>
          </w:p>
        </w:tc>
        <w:tc>
          <w:tcPr>
            <w:tcW w:w="449" w:type="pct"/>
            <w:tcBorders>
              <w:top w:val="nil"/>
              <w:left w:val="nil"/>
              <w:bottom w:val="nil"/>
              <w:right w:val="nil"/>
            </w:tcBorders>
            <w:shd w:val="clear" w:color="auto" w:fill="auto"/>
            <w:noWrap/>
            <w:vAlign w:val="bottom"/>
            <w:hideMark/>
          </w:tcPr>
          <w:p w14:paraId="1B8BBF85" w14:textId="77777777" w:rsidR="006C5478" w:rsidRPr="00821FA0" w:rsidRDefault="006C5478" w:rsidP="00821FA0">
            <w:pPr>
              <w:jc w:val="center"/>
              <w:rPr>
                <w:color w:val="000000"/>
                <w:szCs w:val="22"/>
                <w:lang w:val="en-GB" w:eastAsia="en-GB"/>
              </w:rPr>
            </w:pPr>
            <w:r w:rsidRPr="00821FA0">
              <w:rPr>
                <w:color w:val="000000"/>
                <w:szCs w:val="22"/>
                <w:lang w:val="en-GB" w:eastAsia="en-GB"/>
              </w:rPr>
              <w:t>3</w:t>
            </w:r>
          </w:p>
        </w:tc>
        <w:tc>
          <w:tcPr>
            <w:tcW w:w="269" w:type="pct"/>
            <w:tcBorders>
              <w:top w:val="nil"/>
              <w:left w:val="nil"/>
              <w:bottom w:val="nil"/>
              <w:right w:val="nil"/>
            </w:tcBorders>
            <w:shd w:val="clear" w:color="auto" w:fill="auto"/>
            <w:noWrap/>
            <w:vAlign w:val="bottom"/>
            <w:hideMark/>
          </w:tcPr>
          <w:p w14:paraId="5B3F08C3" w14:textId="77777777" w:rsidR="006C5478" w:rsidRPr="00821FA0" w:rsidRDefault="006C5478" w:rsidP="00821FA0">
            <w:pPr>
              <w:jc w:val="center"/>
              <w:rPr>
                <w:color w:val="000000"/>
                <w:szCs w:val="22"/>
                <w:lang w:val="en-GB" w:eastAsia="en-GB"/>
              </w:rPr>
            </w:pPr>
            <w:r w:rsidRPr="00821FA0">
              <w:rPr>
                <w:color w:val="000000"/>
                <w:szCs w:val="22"/>
                <w:lang w:val="en-GB" w:eastAsia="en-GB"/>
              </w:rPr>
              <w:t>74</w:t>
            </w:r>
          </w:p>
        </w:tc>
        <w:tc>
          <w:tcPr>
            <w:tcW w:w="432" w:type="pct"/>
            <w:gridSpan w:val="2"/>
            <w:tcBorders>
              <w:top w:val="nil"/>
              <w:left w:val="nil"/>
              <w:bottom w:val="nil"/>
              <w:right w:val="nil"/>
            </w:tcBorders>
            <w:shd w:val="clear" w:color="auto" w:fill="auto"/>
            <w:noWrap/>
            <w:vAlign w:val="bottom"/>
            <w:hideMark/>
          </w:tcPr>
          <w:p w14:paraId="1C400A91" w14:textId="77777777" w:rsidR="006C5478" w:rsidRPr="00821FA0" w:rsidRDefault="006C5478" w:rsidP="006C5478">
            <w:pPr>
              <w:rPr>
                <w:color w:val="000000"/>
                <w:szCs w:val="22"/>
                <w:lang w:val="en-GB" w:eastAsia="en-GB"/>
              </w:rPr>
            </w:pPr>
            <w:r w:rsidRPr="00821FA0">
              <w:rPr>
                <w:color w:val="000000"/>
                <w:szCs w:val="22"/>
                <w:lang w:val="en-GB" w:eastAsia="en-GB"/>
              </w:rPr>
              <w:t>ERMPH</w:t>
            </w:r>
          </w:p>
        </w:tc>
        <w:tc>
          <w:tcPr>
            <w:tcW w:w="368" w:type="pct"/>
            <w:tcBorders>
              <w:top w:val="nil"/>
              <w:left w:val="nil"/>
              <w:bottom w:val="nil"/>
              <w:right w:val="nil"/>
            </w:tcBorders>
            <w:shd w:val="clear" w:color="auto" w:fill="auto"/>
            <w:noWrap/>
            <w:vAlign w:val="bottom"/>
            <w:hideMark/>
          </w:tcPr>
          <w:p w14:paraId="5FE21B77" w14:textId="77777777" w:rsidR="006C5478" w:rsidRPr="00821FA0" w:rsidRDefault="006C5478" w:rsidP="00821FA0">
            <w:pPr>
              <w:jc w:val="center"/>
              <w:rPr>
                <w:color w:val="000000"/>
                <w:szCs w:val="22"/>
                <w:lang w:val="en-GB" w:eastAsia="en-GB"/>
              </w:rPr>
            </w:pPr>
            <w:r w:rsidRPr="00821FA0">
              <w:rPr>
                <w:color w:val="000000"/>
                <w:szCs w:val="22"/>
                <w:lang w:val="en-GB" w:eastAsia="en-GB"/>
              </w:rPr>
              <w:t>9</w:t>
            </w:r>
          </w:p>
        </w:tc>
        <w:tc>
          <w:tcPr>
            <w:tcW w:w="269" w:type="pct"/>
            <w:tcBorders>
              <w:top w:val="nil"/>
              <w:left w:val="nil"/>
              <w:bottom w:val="nil"/>
              <w:right w:val="nil"/>
            </w:tcBorders>
            <w:shd w:val="clear" w:color="auto" w:fill="auto"/>
            <w:noWrap/>
            <w:vAlign w:val="bottom"/>
            <w:hideMark/>
          </w:tcPr>
          <w:p w14:paraId="00448651" w14:textId="77777777" w:rsidR="006C5478" w:rsidRPr="00821FA0" w:rsidRDefault="006C5478" w:rsidP="00821FA0">
            <w:pPr>
              <w:jc w:val="center"/>
              <w:rPr>
                <w:color w:val="000000"/>
                <w:szCs w:val="22"/>
                <w:lang w:val="en-GB" w:eastAsia="en-GB"/>
              </w:rPr>
            </w:pPr>
            <w:r w:rsidRPr="00821FA0">
              <w:rPr>
                <w:color w:val="000000"/>
                <w:szCs w:val="22"/>
                <w:lang w:val="en-GB" w:eastAsia="en-GB"/>
              </w:rPr>
              <w:t>67</w:t>
            </w:r>
          </w:p>
        </w:tc>
        <w:tc>
          <w:tcPr>
            <w:tcW w:w="350" w:type="pct"/>
            <w:tcBorders>
              <w:top w:val="nil"/>
              <w:left w:val="nil"/>
              <w:bottom w:val="nil"/>
              <w:right w:val="nil"/>
            </w:tcBorders>
            <w:shd w:val="clear" w:color="auto" w:fill="auto"/>
            <w:noWrap/>
            <w:vAlign w:val="bottom"/>
            <w:hideMark/>
          </w:tcPr>
          <w:p w14:paraId="5FE17BFC" w14:textId="77777777" w:rsidR="006C5478" w:rsidRPr="00821FA0" w:rsidRDefault="006C5478" w:rsidP="006C5478">
            <w:pPr>
              <w:rPr>
                <w:color w:val="000000"/>
                <w:szCs w:val="22"/>
                <w:lang w:val="en-GB" w:eastAsia="en-GB"/>
              </w:rPr>
            </w:pPr>
            <w:r w:rsidRPr="00821FA0">
              <w:rPr>
                <w:color w:val="000000"/>
                <w:szCs w:val="22"/>
                <w:lang w:val="en-GB" w:eastAsia="en-GB"/>
              </w:rPr>
              <w:t>NA</w:t>
            </w:r>
          </w:p>
        </w:tc>
        <w:tc>
          <w:tcPr>
            <w:tcW w:w="449" w:type="pct"/>
            <w:tcBorders>
              <w:top w:val="nil"/>
              <w:left w:val="nil"/>
              <w:bottom w:val="nil"/>
              <w:right w:val="nil"/>
            </w:tcBorders>
            <w:shd w:val="clear" w:color="auto" w:fill="auto"/>
            <w:noWrap/>
            <w:vAlign w:val="bottom"/>
            <w:hideMark/>
          </w:tcPr>
          <w:p w14:paraId="685E52FB" w14:textId="77777777" w:rsidR="006C5478" w:rsidRPr="00821FA0" w:rsidRDefault="006C5478" w:rsidP="00821FA0">
            <w:pPr>
              <w:jc w:val="center"/>
              <w:rPr>
                <w:color w:val="000000"/>
                <w:szCs w:val="22"/>
                <w:lang w:val="en-GB" w:eastAsia="en-GB"/>
              </w:rPr>
            </w:pPr>
            <w:r w:rsidRPr="00821FA0">
              <w:rPr>
                <w:color w:val="000000"/>
                <w:szCs w:val="22"/>
                <w:lang w:val="en-GB" w:eastAsia="en-GB"/>
              </w:rPr>
              <w:t>NA</w:t>
            </w:r>
          </w:p>
        </w:tc>
        <w:tc>
          <w:tcPr>
            <w:tcW w:w="269" w:type="pct"/>
            <w:tcBorders>
              <w:top w:val="nil"/>
              <w:left w:val="nil"/>
              <w:bottom w:val="nil"/>
              <w:right w:val="nil"/>
            </w:tcBorders>
            <w:shd w:val="clear" w:color="auto" w:fill="auto"/>
            <w:noWrap/>
            <w:vAlign w:val="bottom"/>
            <w:hideMark/>
          </w:tcPr>
          <w:p w14:paraId="05A246A5" w14:textId="77777777" w:rsidR="006C5478" w:rsidRPr="00821FA0" w:rsidRDefault="006C5478" w:rsidP="00821FA0">
            <w:pPr>
              <w:jc w:val="center"/>
              <w:rPr>
                <w:color w:val="000000"/>
                <w:szCs w:val="22"/>
                <w:lang w:val="en-GB" w:eastAsia="en-GB"/>
              </w:rPr>
            </w:pPr>
            <w:r w:rsidRPr="00821FA0">
              <w:rPr>
                <w:color w:val="000000"/>
                <w:szCs w:val="22"/>
                <w:lang w:val="en-GB" w:eastAsia="en-GB"/>
              </w:rPr>
              <w:t>NA</w:t>
            </w:r>
          </w:p>
        </w:tc>
        <w:tc>
          <w:tcPr>
            <w:tcW w:w="350" w:type="pct"/>
            <w:tcBorders>
              <w:top w:val="nil"/>
              <w:left w:val="nil"/>
              <w:bottom w:val="nil"/>
              <w:right w:val="nil"/>
            </w:tcBorders>
            <w:shd w:val="clear" w:color="auto" w:fill="auto"/>
            <w:noWrap/>
            <w:vAlign w:val="bottom"/>
            <w:hideMark/>
          </w:tcPr>
          <w:p w14:paraId="3D7CEB27" w14:textId="77777777" w:rsidR="006C5478" w:rsidRPr="00821FA0" w:rsidRDefault="006C5478" w:rsidP="006C5478">
            <w:pPr>
              <w:rPr>
                <w:color w:val="000000"/>
                <w:szCs w:val="22"/>
                <w:lang w:val="en-GB" w:eastAsia="en-GB"/>
              </w:rPr>
            </w:pPr>
            <w:r w:rsidRPr="00821FA0">
              <w:rPr>
                <w:color w:val="000000"/>
                <w:szCs w:val="22"/>
                <w:lang w:val="en-GB" w:eastAsia="en-GB"/>
              </w:rPr>
              <w:t>NA</w:t>
            </w:r>
          </w:p>
        </w:tc>
        <w:tc>
          <w:tcPr>
            <w:tcW w:w="449" w:type="pct"/>
            <w:tcBorders>
              <w:top w:val="nil"/>
              <w:left w:val="nil"/>
              <w:bottom w:val="nil"/>
              <w:right w:val="nil"/>
            </w:tcBorders>
            <w:shd w:val="clear" w:color="auto" w:fill="auto"/>
            <w:noWrap/>
            <w:vAlign w:val="bottom"/>
            <w:hideMark/>
          </w:tcPr>
          <w:p w14:paraId="7C560E62" w14:textId="77777777" w:rsidR="006C5478" w:rsidRPr="00821FA0" w:rsidRDefault="006C5478" w:rsidP="00821FA0">
            <w:pPr>
              <w:jc w:val="center"/>
              <w:rPr>
                <w:color w:val="000000"/>
                <w:szCs w:val="22"/>
                <w:lang w:val="en-GB" w:eastAsia="en-GB"/>
              </w:rPr>
            </w:pPr>
            <w:r w:rsidRPr="00821FA0">
              <w:rPr>
                <w:color w:val="000000"/>
                <w:szCs w:val="22"/>
                <w:lang w:val="en-GB" w:eastAsia="en-GB"/>
              </w:rPr>
              <w:t>NA</w:t>
            </w:r>
          </w:p>
        </w:tc>
        <w:tc>
          <w:tcPr>
            <w:tcW w:w="269" w:type="pct"/>
            <w:tcBorders>
              <w:top w:val="nil"/>
              <w:left w:val="nil"/>
              <w:bottom w:val="nil"/>
              <w:right w:val="nil"/>
            </w:tcBorders>
            <w:shd w:val="clear" w:color="auto" w:fill="auto"/>
            <w:noWrap/>
            <w:vAlign w:val="bottom"/>
            <w:hideMark/>
          </w:tcPr>
          <w:p w14:paraId="0C72AFEE" w14:textId="77777777" w:rsidR="006C5478" w:rsidRPr="00821FA0" w:rsidRDefault="006C5478" w:rsidP="00821FA0">
            <w:pPr>
              <w:jc w:val="center"/>
              <w:rPr>
                <w:color w:val="000000"/>
                <w:szCs w:val="22"/>
                <w:lang w:val="en-GB" w:eastAsia="en-GB"/>
              </w:rPr>
            </w:pPr>
            <w:r w:rsidRPr="00821FA0">
              <w:rPr>
                <w:color w:val="000000"/>
                <w:szCs w:val="22"/>
                <w:lang w:val="en-GB" w:eastAsia="en-GB"/>
              </w:rPr>
              <w:t>NA</w:t>
            </w:r>
          </w:p>
        </w:tc>
      </w:tr>
      <w:tr w:rsidR="00821FA0" w:rsidRPr="00821FA0" w14:paraId="52FBA0AF" w14:textId="77777777" w:rsidTr="00821FA0">
        <w:trPr>
          <w:trHeight w:val="300"/>
        </w:trPr>
        <w:tc>
          <w:tcPr>
            <w:tcW w:w="510" w:type="pct"/>
            <w:tcBorders>
              <w:top w:val="nil"/>
              <w:left w:val="nil"/>
              <w:bottom w:val="nil"/>
              <w:right w:val="nil"/>
            </w:tcBorders>
            <w:shd w:val="clear" w:color="auto" w:fill="auto"/>
            <w:noWrap/>
            <w:vAlign w:val="bottom"/>
            <w:hideMark/>
          </w:tcPr>
          <w:p w14:paraId="2A5F096A" w14:textId="77777777" w:rsidR="006C5478" w:rsidRPr="00821FA0" w:rsidRDefault="006C5478" w:rsidP="006C5478">
            <w:pPr>
              <w:rPr>
                <w:color w:val="000000"/>
                <w:szCs w:val="22"/>
                <w:lang w:val="en-GB" w:eastAsia="en-GB"/>
              </w:rPr>
            </w:pPr>
            <w:r w:rsidRPr="00821FA0">
              <w:rPr>
                <w:color w:val="000000"/>
                <w:szCs w:val="22"/>
                <w:lang w:val="en-GB" w:eastAsia="en-GB"/>
              </w:rPr>
              <w:t>NCT00937040</w:t>
            </w:r>
          </w:p>
        </w:tc>
        <w:tc>
          <w:tcPr>
            <w:tcW w:w="215" w:type="pct"/>
            <w:tcBorders>
              <w:top w:val="nil"/>
              <w:left w:val="nil"/>
              <w:bottom w:val="nil"/>
              <w:right w:val="nil"/>
            </w:tcBorders>
            <w:shd w:val="clear" w:color="auto" w:fill="auto"/>
            <w:noWrap/>
            <w:vAlign w:val="bottom"/>
            <w:hideMark/>
          </w:tcPr>
          <w:p w14:paraId="1AF8F74F" w14:textId="77777777" w:rsidR="006C5478" w:rsidRPr="00821FA0" w:rsidRDefault="006C5478" w:rsidP="00821FA0">
            <w:pPr>
              <w:jc w:val="center"/>
              <w:rPr>
                <w:color w:val="000000"/>
                <w:szCs w:val="22"/>
                <w:lang w:val="en-GB" w:eastAsia="en-GB"/>
              </w:rPr>
            </w:pPr>
            <w:r w:rsidRPr="00821FA0">
              <w:rPr>
                <w:color w:val="000000"/>
                <w:szCs w:val="22"/>
                <w:lang w:val="en-GB" w:eastAsia="en-GB"/>
              </w:rPr>
              <w:t>2</w:t>
            </w:r>
          </w:p>
        </w:tc>
        <w:tc>
          <w:tcPr>
            <w:tcW w:w="350" w:type="pct"/>
            <w:tcBorders>
              <w:top w:val="nil"/>
              <w:left w:val="nil"/>
              <w:bottom w:val="nil"/>
              <w:right w:val="nil"/>
            </w:tcBorders>
            <w:shd w:val="clear" w:color="auto" w:fill="auto"/>
            <w:noWrap/>
            <w:vAlign w:val="bottom"/>
            <w:hideMark/>
          </w:tcPr>
          <w:p w14:paraId="5C345655" w14:textId="77777777" w:rsidR="006C5478" w:rsidRPr="00821FA0" w:rsidRDefault="006C5478" w:rsidP="006C5478">
            <w:pPr>
              <w:rPr>
                <w:color w:val="000000"/>
                <w:szCs w:val="22"/>
                <w:lang w:val="en-GB" w:eastAsia="en-GB"/>
              </w:rPr>
            </w:pPr>
            <w:r w:rsidRPr="00821FA0">
              <w:rPr>
                <w:color w:val="000000"/>
                <w:szCs w:val="22"/>
                <w:lang w:val="en-GB" w:eastAsia="en-GB"/>
              </w:rPr>
              <w:t>PL</w:t>
            </w:r>
          </w:p>
        </w:tc>
        <w:tc>
          <w:tcPr>
            <w:tcW w:w="449" w:type="pct"/>
            <w:tcBorders>
              <w:top w:val="nil"/>
              <w:left w:val="nil"/>
              <w:bottom w:val="nil"/>
              <w:right w:val="nil"/>
            </w:tcBorders>
            <w:shd w:val="clear" w:color="auto" w:fill="auto"/>
            <w:noWrap/>
            <w:vAlign w:val="bottom"/>
            <w:hideMark/>
          </w:tcPr>
          <w:p w14:paraId="5EE0E367" w14:textId="77777777" w:rsidR="006C5478" w:rsidRPr="00821FA0" w:rsidRDefault="006C5478" w:rsidP="00821FA0">
            <w:pPr>
              <w:jc w:val="center"/>
              <w:rPr>
                <w:color w:val="000000"/>
                <w:szCs w:val="22"/>
                <w:lang w:val="en-GB" w:eastAsia="en-GB"/>
              </w:rPr>
            </w:pPr>
            <w:r w:rsidRPr="00821FA0">
              <w:rPr>
                <w:color w:val="000000"/>
                <w:szCs w:val="22"/>
                <w:lang w:val="en-GB" w:eastAsia="en-GB"/>
              </w:rPr>
              <w:t>5</w:t>
            </w:r>
          </w:p>
        </w:tc>
        <w:tc>
          <w:tcPr>
            <w:tcW w:w="269" w:type="pct"/>
            <w:tcBorders>
              <w:top w:val="nil"/>
              <w:left w:val="nil"/>
              <w:bottom w:val="nil"/>
              <w:right w:val="nil"/>
            </w:tcBorders>
            <w:shd w:val="clear" w:color="auto" w:fill="auto"/>
            <w:noWrap/>
            <w:vAlign w:val="bottom"/>
            <w:hideMark/>
          </w:tcPr>
          <w:p w14:paraId="7480CF2A" w14:textId="77777777" w:rsidR="006C5478" w:rsidRPr="00821FA0" w:rsidRDefault="006C5478" w:rsidP="00821FA0">
            <w:pPr>
              <w:jc w:val="center"/>
              <w:rPr>
                <w:color w:val="000000"/>
                <w:szCs w:val="22"/>
                <w:lang w:val="en-GB" w:eastAsia="en-GB"/>
              </w:rPr>
            </w:pPr>
            <w:r w:rsidRPr="00821FA0">
              <w:rPr>
                <w:color w:val="000000"/>
                <w:szCs w:val="22"/>
                <w:lang w:val="en-GB" w:eastAsia="en-GB"/>
              </w:rPr>
              <w:t>179</w:t>
            </w:r>
          </w:p>
        </w:tc>
        <w:tc>
          <w:tcPr>
            <w:tcW w:w="432" w:type="pct"/>
            <w:gridSpan w:val="2"/>
            <w:tcBorders>
              <w:top w:val="nil"/>
              <w:left w:val="nil"/>
              <w:bottom w:val="nil"/>
              <w:right w:val="nil"/>
            </w:tcBorders>
            <w:shd w:val="clear" w:color="auto" w:fill="auto"/>
            <w:noWrap/>
            <w:vAlign w:val="bottom"/>
            <w:hideMark/>
          </w:tcPr>
          <w:p w14:paraId="0C987BEB" w14:textId="77777777" w:rsidR="006C5478" w:rsidRPr="00821FA0" w:rsidRDefault="006C5478" w:rsidP="006C5478">
            <w:pPr>
              <w:rPr>
                <w:color w:val="000000"/>
                <w:szCs w:val="22"/>
                <w:lang w:val="en-GB" w:eastAsia="en-GB"/>
              </w:rPr>
            </w:pPr>
            <w:r w:rsidRPr="00821FA0">
              <w:rPr>
                <w:color w:val="000000"/>
                <w:szCs w:val="22"/>
                <w:lang w:val="en-GB" w:eastAsia="en-GB"/>
              </w:rPr>
              <w:t>ERMPH</w:t>
            </w:r>
          </w:p>
        </w:tc>
        <w:tc>
          <w:tcPr>
            <w:tcW w:w="368" w:type="pct"/>
            <w:tcBorders>
              <w:top w:val="nil"/>
              <w:left w:val="nil"/>
              <w:bottom w:val="nil"/>
              <w:right w:val="nil"/>
            </w:tcBorders>
            <w:shd w:val="clear" w:color="auto" w:fill="auto"/>
            <w:noWrap/>
            <w:vAlign w:val="bottom"/>
            <w:hideMark/>
          </w:tcPr>
          <w:p w14:paraId="50D68B03" w14:textId="77777777" w:rsidR="006C5478" w:rsidRPr="00821FA0" w:rsidRDefault="006C5478" w:rsidP="00821FA0">
            <w:pPr>
              <w:jc w:val="center"/>
              <w:rPr>
                <w:color w:val="000000"/>
                <w:szCs w:val="22"/>
                <w:lang w:val="en-GB" w:eastAsia="en-GB"/>
              </w:rPr>
            </w:pPr>
            <w:r w:rsidRPr="00821FA0">
              <w:rPr>
                <w:color w:val="000000"/>
                <w:szCs w:val="22"/>
                <w:lang w:val="en-GB" w:eastAsia="en-GB"/>
              </w:rPr>
              <w:t>8</w:t>
            </w:r>
          </w:p>
        </w:tc>
        <w:tc>
          <w:tcPr>
            <w:tcW w:w="269" w:type="pct"/>
            <w:tcBorders>
              <w:top w:val="nil"/>
              <w:left w:val="nil"/>
              <w:bottom w:val="nil"/>
              <w:right w:val="nil"/>
            </w:tcBorders>
            <w:shd w:val="clear" w:color="auto" w:fill="auto"/>
            <w:noWrap/>
            <w:vAlign w:val="bottom"/>
            <w:hideMark/>
          </w:tcPr>
          <w:p w14:paraId="519FC51C" w14:textId="77777777" w:rsidR="006C5478" w:rsidRPr="00821FA0" w:rsidRDefault="006C5478" w:rsidP="00821FA0">
            <w:pPr>
              <w:jc w:val="center"/>
              <w:rPr>
                <w:color w:val="000000"/>
                <w:szCs w:val="22"/>
                <w:lang w:val="en-GB" w:eastAsia="en-GB"/>
              </w:rPr>
            </w:pPr>
            <w:r w:rsidRPr="00821FA0">
              <w:rPr>
                <w:color w:val="000000"/>
                <w:szCs w:val="22"/>
                <w:lang w:val="en-GB" w:eastAsia="en-GB"/>
              </w:rPr>
              <w:t>178</w:t>
            </w:r>
          </w:p>
        </w:tc>
        <w:tc>
          <w:tcPr>
            <w:tcW w:w="350" w:type="pct"/>
            <w:tcBorders>
              <w:top w:val="nil"/>
              <w:left w:val="nil"/>
              <w:bottom w:val="nil"/>
              <w:right w:val="nil"/>
            </w:tcBorders>
            <w:shd w:val="clear" w:color="auto" w:fill="auto"/>
            <w:noWrap/>
            <w:vAlign w:val="bottom"/>
            <w:hideMark/>
          </w:tcPr>
          <w:p w14:paraId="7959A6E6" w14:textId="77777777" w:rsidR="006C5478" w:rsidRPr="00821FA0" w:rsidRDefault="006C5478" w:rsidP="006C5478">
            <w:pPr>
              <w:rPr>
                <w:color w:val="000000"/>
                <w:szCs w:val="22"/>
                <w:lang w:val="en-GB" w:eastAsia="en-GB"/>
              </w:rPr>
            </w:pPr>
            <w:r w:rsidRPr="00821FA0">
              <w:rPr>
                <w:color w:val="000000"/>
                <w:szCs w:val="22"/>
                <w:lang w:val="en-GB" w:eastAsia="en-GB"/>
              </w:rPr>
              <w:t>NA</w:t>
            </w:r>
          </w:p>
        </w:tc>
        <w:tc>
          <w:tcPr>
            <w:tcW w:w="449" w:type="pct"/>
            <w:tcBorders>
              <w:top w:val="nil"/>
              <w:left w:val="nil"/>
              <w:bottom w:val="nil"/>
              <w:right w:val="nil"/>
            </w:tcBorders>
            <w:shd w:val="clear" w:color="auto" w:fill="auto"/>
            <w:noWrap/>
            <w:vAlign w:val="bottom"/>
            <w:hideMark/>
          </w:tcPr>
          <w:p w14:paraId="7F64BCB0" w14:textId="77777777" w:rsidR="006C5478" w:rsidRPr="00821FA0" w:rsidRDefault="006C5478" w:rsidP="00821FA0">
            <w:pPr>
              <w:jc w:val="center"/>
              <w:rPr>
                <w:color w:val="000000"/>
                <w:szCs w:val="22"/>
                <w:lang w:val="en-GB" w:eastAsia="en-GB"/>
              </w:rPr>
            </w:pPr>
            <w:r w:rsidRPr="00821FA0">
              <w:rPr>
                <w:color w:val="000000"/>
                <w:szCs w:val="22"/>
                <w:lang w:val="en-GB" w:eastAsia="en-GB"/>
              </w:rPr>
              <w:t>NA</w:t>
            </w:r>
          </w:p>
        </w:tc>
        <w:tc>
          <w:tcPr>
            <w:tcW w:w="269" w:type="pct"/>
            <w:tcBorders>
              <w:top w:val="nil"/>
              <w:left w:val="nil"/>
              <w:bottom w:val="nil"/>
              <w:right w:val="nil"/>
            </w:tcBorders>
            <w:shd w:val="clear" w:color="auto" w:fill="auto"/>
            <w:noWrap/>
            <w:vAlign w:val="bottom"/>
            <w:hideMark/>
          </w:tcPr>
          <w:p w14:paraId="56A7A4F2" w14:textId="77777777" w:rsidR="006C5478" w:rsidRPr="00821FA0" w:rsidRDefault="006C5478" w:rsidP="00821FA0">
            <w:pPr>
              <w:jc w:val="center"/>
              <w:rPr>
                <w:color w:val="000000"/>
                <w:szCs w:val="22"/>
                <w:lang w:val="en-GB" w:eastAsia="en-GB"/>
              </w:rPr>
            </w:pPr>
            <w:r w:rsidRPr="00821FA0">
              <w:rPr>
                <w:color w:val="000000"/>
                <w:szCs w:val="22"/>
                <w:lang w:val="en-GB" w:eastAsia="en-GB"/>
              </w:rPr>
              <w:t>NA</w:t>
            </w:r>
          </w:p>
        </w:tc>
        <w:tc>
          <w:tcPr>
            <w:tcW w:w="350" w:type="pct"/>
            <w:tcBorders>
              <w:top w:val="nil"/>
              <w:left w:val="nil"/>
              <w:bottom w:val="nil"/>
              <w:right w:val="nil"/>
            </w:tcBorders>
            <w:shd w:val="clear" w:color="auto" w:fill="auto"/>
            <w:noWrap/>
            <w:vAlign w:val="bottom"/>
            <w:hideMark/>
          </w:tcPr>
          <w:p w14:paraId="786FBF3D" w14:textId="77777777" w:rsidR="006C5478" w:rsidRPr="00821FA0" w:rsidRDefault="006C5478" w:rsidP="006C5478">
            <w:pPr>
              <w:rPr>
                <w:color w:val="000000"/>
                <w:szCs w:val="22"/>
                <w:lang w:val="en-GB" w:eastAsia="en-GB"/>
              </w:rPr>
            </w:pPr>
            <w:r w:rsidRPr="00821FA0">
              <w:rPr>
                <w:color w:val="000000"/>
                <w:szCs w:val="22"/>
                <w:lang w:val="en-GB" w:eastAsia="en-GB"/>
              </w:rPr>
              <w:t>NA</w:t>
            </w:r>
          </w:p>
        </w:tc>
        <w:tc>
          <w:tcPr>
            <w:tcW w:w="449" w:type="pct"/>
            <w:tcBorders>
              <w:top w:val="nil"/>
              <w:left w:val="nil"/>
              <w:bottom w:val="nil"/>
              <w:right w:val="nil"/>
            </w:tcBorders>
            <w:shd w:val="clear" w:color="auto" w:fill="auto"/>
            <w:noWrap/>
            <w:vAlign w:val="bottom"/>
            <w:hideMark/>
          </w:tcPr>
          <w:p w14:paraId="72087381" w14:textId="77777777" w:rsidR="006C5478" w:rsidRPr="00821FA0" w:rsidRDefault="006C5478" w:rsidP="00821FA0">
            <w:pPr>
              <w:jc w:val="center"/>
              <w:rPr>
                <w:color w:val="000000"/>
                <w:szCs w:val="22"/>
                <w:lang w:val="en-GB" w:eastAsia="en-GB"/>
              </w:rPr>
            </w:pPr>
            <w:r w:rsidRPr="00821FA0">
              <w:rPr>
                <w:color w:val="000000"/>
                <w:szCs w:val="22"/>
                <w:lang w:val="en-GB" w:eastAsia="en-GB"/>
              </w:rPr>
              <w:t>NA</w:t>
            </w:r>
          </w:p>
        </w:tc>
        <w:tc>
          <w:tcPr>
            <w:tcW w:w="269" w:type="pct"/>
            <w:tcBorders>
              <w:top w:val="nil"/>
              <w:left w:val="nil"/>
              <w:bottom w:val="nil"/>
              <w:right w:val="nil"/>
            </w:tcBorders>
            <w:shd w:val="clear" w:color="auto" w:fill="auto"/>
            <w:noWrap/>
            <w:vAlign w:val="bottom"/>
            <w:hideMark/>
          </w:tcPr>
          <w:p w14:paraId="49440EE1" w14:textId="77777777" w:rsidR="006C5478" w:rsidRPr="00821FA0" w:rsidRDefault="006C5478" w:rsidP="00821FA0">
            <w:pPr>
              <w:jc w:val="center"/>
              <w:rPr>
                <w:color w:val="000000"/>
                <w:szCs w:val="22"/>
                <w:lang w:val="en-GB" w:eastAsia="en-GB"/>
              </w:rPr>
            </w:pPr>
            <w:r w:rsidRPr="00821FA0">
              <w:rPr>
                <w:color w:val="000000"/>
                <w:szCs w:val="22"/>
                <w:lang w:val="en-GB" w:eastAsia="en-GB"/>
              </w:rPr>
              <w:t>NA</w:t>
            </w:r>
          </w:p>
        </w:tc>
      </w:tr>
      <w:tr w:rsidR="00821FA0" w:rsidRPr="00821FA0" w14:paraId="4B552CF7" w14:textId="77777777" w:rsidTr="00821FA0">
        <w:trPr>
          <w:trHeight w:val="300"/>
        </w:trPr>
        <w:tc>
          <w:tcPr>
            <w:tcW w:w="510" w:type="pct"/>
            <w:tcBorders>
              <w:top w:val="nil"/>
              <w:left w:val="nil"/>
              <w:bottom w:val="nil"/>
              <w:right w:val="nil"/>
            </w:tcBorders>
            <w:shd w:val="clear" w:color="auto" w:fill="auto"/>
            <w:noWrap/>
            <w:vAlign w:val="bottom"/>
            <w:hideMark/>
          </w:tcPr>
          <w:p w14:paraId="1A503657" w14:textId="77777777" w:rsidR="006C5478" w:rsidRPr="00821FA0" w:rsidRDefault="006C5478" w:rsidP="006C5478">
            <w:pPr>
              <w:rPr>
                <w:color w:val="000000"/>
                <w:szCs w:val="22"/>
                <w:lang w:val="en-GB" w:eastAsia="en-GB"/>
              </w:rPr>
            </w:pPr>
            <w:r w:rsidRPr="00821FA0">
              <w:rPr>
                <w:color w:val="000000"/>
                <w:szCs w:val="22"/>
                <w:lang w:val="en-GB" w:eastAsia="en-GB"/>
              </w:rPr>
              <w:t>Biederman 2010</w:t>
            </w:r>
          </w:p>
        </w:tc>
        <w:tc>
          <w:tcPr>
            <w:tcW w:w="215" w:type="pct"/>
            <w:tcBorders>
              <w:top w:val="nil"/>
              <w:left w:val="nil"/>
              <w:bottom w:val="nil"/>
              <w:right w:val="nil"/>
            </w:tcBorders>
            <w:shd w:val="clear" w:color="auto" w:fill="auto"/>
            <w:noWrap/>
            <w:vAlign w:val="bottom"/>
            <w:hideMark/>
          </w:tcPr>
          <w:p w14:paraId="12415624" w14:textId="77777777" w:rsidR="006C5478" w:rsidRPr="00821FA0" w:rsidRDefault="006C5478" w:rsidP="00821FA0">
            <w:pPr>
              <w:jc w:val="center"/>
              <w:rPr>
                <w:color w:val="000000"/>
                <w:szCs w:val="22"/>
                <w:lang w:val="en-GB" w:eastAsia="en-GB"/>
              </w:rPr>
            </w:pPr>
            <w:r w:rsidRPr="00821FA0">
              <w:rPr>
                <w:color w:val="000000"/>
                <w:szCs w:val="22"/>
                <w:lang w:val="en-GB" w:eastAsia="en-GB"/>
              </w:rPr>
              <w:t>2</w:t>
            </w:r>
          </w:p>
        </w:tc>
        <w:tc>
          <w:tcPr>
            <w:tcW w:w="350" w:type="pct"/>
            <w:tcBorders>
              <w:top w:val="nil"/>
              <w:left w:val="nil"/>
              <w:bottom w:val="nil"/>
              <w:right w:val="nil"/>
            </w:tcBorders>
            <w:shd w:val="clear" w:color="auto" w:fill="auto"/>
            <w:noWrap/>
            <w:vAlign w:val="bottom"/>
            <w:hideMark/>
          </w:tcPr>
          <w:p w14:paraId="6F924ED5" w14:textId="77777777" w:rsidR="006C5478" w:rsidRPr="00821FA0" w:rsidRDefault="006C5478" w:rsidP="006C5478">
            <w:pPr>
              <w:rPr>
                <w:color w:val="000000"/>
                <w:szCs w:val="22"/>
                <w:lang w:val="en-GB" w:eastAsia="en-GB"/>
              </w:rPr>
            </w:pPr>
            <w:r w:rsidRPr="00821FA0">
              <w:rPr>
                <w:color w:val="000000"/>
                <w:szCs w:val="22"/>
                <w:lang w:val="en-GB" w:eastAsia="en-GB"/>
              </w:rPr>
              <w:t>PL</w:t>
            </w:r>
          </w:p>
        </w:tc>
        <w:tc>
          <w:tcPr>
            <w:tcW w:w="449" w:type="pct"/>
            <w:tcBorders>
              <w:top w:val="nil"/>
              <w:left w:val="nil"/>
              <w:bottom w:val="nil"/>
              <w:right w:val="nil"/>
            </w:tcBorders>
            <w:shd w:val="clear" w:color="auto" w:fill="auto"/>
            <w:noWrap/>
            <w:vAlign w:val="bottom"/>
            <w:hideMark/>
          </w:tcPr>
          <w:p w14:paraId="5AE74494" w14:textId="77777777" w:rsidR="006C5478" w:rsidRPr="00821FA0" w:rsidRDefault="006C5478" w:rsidP="00821FA0">
            <w:pPr>
              <w:jc w:val="center"/>
              <w:rPr>
                <w:color w:val="000000"/>
                <w:szCs w:val="22"/>
                <w:lang w:val="en-GB" w:eastAsia="en-GB"/>
              </w:rPr>
            </w:pPr>
            <w:r w:rsidRPr="00821FA0">
              <w:rPr>
                <w:color w:val="000000"/>
                <w:szCs w:val="22"/>
                <w:lang w:val="en-GB" w:eastAsia="en-GB"/>
              </w:rPr>
              <w:t>3</w:t>
            </w:r>
          </w:p>
        </w:tc>
        <w:tc>
          <w:tcPr>
            <w:tcW w:w="269" w:type="pct"/>
            <w:tcBorders>
              <w:top w:val="nil"/>
              <w:left w:val="nil"/>
              <w:bottom w:val="nil"/>
              <w:right w:val="nil"/>
            </w:tcBorders>
            <w:shd w:val="clear" w:color="auto" w:fill="auto"/>
            <w:noWrap/>
            <w:vAlign w:val="bottom"/>
            <w:hideMark/>
          </w:tcPr>
          <w:p w14:paraId="753EBDB3" w14:textId="77777777" w:rsidR="006C5478" w:rsidRPr="00821FA0" w:rsidRDefault="006C5478" w:rsidP="00821FA0">
            <w:pPr>
              <w:jc w:val="center"/>
              <w:rPr>
                <w:color w:val="000000"/>
                <w:szCs w:val="22"/>
                <w:lang w:val="en-GB" w:eastAsia="en-GB"/>
              </w:rPr>
            </w:pPr>
            <w:r w:rsidRPr="00821FA0">
              <w:rPr>
                <w:color w:val="000000"/>
                <w:szCs w:val="22"/>
                <w:lang w:val="en-GB" w:eastAsia="en-GB"/>
              </w:rPr>
              <w:t>114</w:t>
            </w:r>
          </w:p>
        </w:tc>
        <w:tc>
          <w:tcPr>
            <w:tcW w:w="432" w:type="pct"/>
            <w:gridSpan w:val="2"/>
            <w:tcBorders>
              <w:top w:val="nil"/>
              <w:left w:val="nil"/>
              <w:bottom w:val="nil"/>
              <w:right w:val="nil"/>
            </w:tcBorders>
            <w:shd w:val="clear" w:color="auto" w:fill="auto"/>
            <w:noWrap/>
            <w:vAlign w:val="bottom"/>
            <w:hideMark/>
          </w:tcPr>
          <w:p w14:paraId="0300775D" w14:textId="77777777" w:rsidR="006C5478" w:rsidRPr="00821FA0" w:rsidRDefault="006C5478" w:rsidP="006C5478">
            <w:pPr>
              <w:rPr>
                <w:color w:val="000000"/>
                <w:szCs w:val="22"/>
                <w:lang w:val="en-GB" w:eastAsia="en-GB"/>
              </w:rPr>
            </w:pPr>
            <w:r w:rsidRPr="00821FA0">
              <w:rPr>
                <w:color w:val="000000"/>
                <w:szCs w:val="22"/>
                <w:lang w:val="en-GB" w:eastAsia="en-GB"/>
              </w:rPr>
              <w:t>ERMPH</w:t>
            </w:r>
          </w:p>
        </w:tc>
        <w:tc>
          <w:tcPr>
            <w:tcW w:w="368" w:type="pct"/>
            <w:tcBorders>
              <w:top w:val="nil"/>
              <w:left w:val="nil"/>
              <w:bottom w:val="nil"/>
              <w:right w:val="nil"/>
            </w:tcBorders>
            <w:shd w:val="clear" w:color="auto" w:fill="auto"/>
            <w:noWrap/>
            <w:vAlign w:val="bottom"/>
            <w:hideMark/>
          </w:tcPr>
          <w:p w14:paraId="43EFDDA9" w14:textId="77777777" w:rsidR="006C5478" w:rsidRPr="00821FA0" w:rsidRDefault="006C5478" w:rsidP="00821FA0">
            <w:pPr>
              <w:jc w:val="center"/>
              <w:rPr>
                <w:color w:val="000000"/>
                <w:szCs w:val="22"/>
                <w:lang w:val="en-GB" w:eastAsia="en-GB"/>
              </w:rPr>
            </w:pPr>
            <w:r w:rsidRPr="00821FA0">
              <w:rPr>
                <w:color w:val="000000"/>
                <w:szCs w:val="22"/>
                <w:lang w:val="en-GB" w:eastAsia="en-GB"/>
              </w:rPr>
              <w:t>12</w:t>
            </w:r>
          </w:p>
        </w:tc>
        <w:tc>
          <w:tcPr>
            <w:tcW w:w="269" w:type="pct"/>
            <w:tcBorders>
              <w:top w:val="nil"/>
              <w:left w:val="nil"/>
              <w:bottom w:val="nil"/>
              <w:right w:val="nil"/>
            </w:tcBorders>
            <w:shd w:val="clear" w:color="auto" w:fill="auto"/>
            <w:noWrap/>
            <w:vAlign w:val="bottom"/>
            <w:hideMark/>
          </w:tcPr>
          <w:p w14:paraId="6417830C" w14:textId="77777777" w:rsidR="006C5478" w:rsidRPr="00821FA0" w:rsidRDefault="006C5478" w:rsidP="00821FA0">
            <w:pPr>
              <w:jc w:val="center"/>
              <w:rPr>
                <w:color w:val="000000"/>
                <w:szCs w:val="22"/>
                <w:lang w:val="en-GB" w:eastAsia="en-GB"/>
              </w:rPr>
            </w:pPr>
            <w:r w:rsidRPr="00821FA0">
              <w:rPr>
                <w:color w:val="000000"/>
                <w:szCs w:val="22"/>
                <w:lang w:val="en-GB" w:eastAsia="en-GB"/>
              </w:rPr>
              <w:t>109</w:t>
            </w:r>
          </w:p>
        </w:tc>
        <w:tc>
          <w:tcPr>
            <w:tcW w:w="350" w:type="pct"/>
            <w:tcBorders>
              <w:top w:val="nil"/>
              <w:left w:val="nil"/>
              <w:bottom w:val="nil"/>
              <w:right w:val="nil"/>
            </w:tcBorders>
            <w:shd w:val="clear" w:color="auto" w:fill="auto"/>
            <w:noWrap/>
            <w:vAlign w:val="bottom"/>
            <w:hideMark/>
          </w:tcPr>
          <w:p w14:paraId="750B4E5B" w14:textId="77777777" w:rsidR="006C5478" w:rsidRPr="00821FA0" w:rsidRDefault="006C5478" w:rsidP="006C5478">
            <w:pPr>
              <w:rPr>
                <w:color w:val="000000"/>
                <w:szCs w:val="22"/>
                <w:lang w:val="en-GB" w:eastAsia="en-GB"/>
              </w:rPr>
            </w:pPr>
            <w:r w:rsidRPr="00821FA0">
              <w:rPr>
                <w:color w:val="000000"/>
                <w:szCs w:val="22"/>
                <w:lang w:val="en-GB" w:eastAsia="en-GB"/>
              </w:rPr>
              <w:t>NA</w:t>
            </w:r>
          </w:p>
        </w:tc>
        <w:tc>
          <w:tcPr>
            <w:tcW w:w="449" w:type="pct"/>
            <w:tcBorders>
              <w:top w:val="nil"/>
              <w:left w:val="nil"/>
              <w:bottom w:val="nil"/>
              <w:right w:val="nil"/>
            </w:tcBorders>
            <w:shd w:val="clear" w:color="auto" w:fill="auto"/>
            <w:noWrap/>
            <w:vAlign w:val="bottom"/>
            <w:hideMark/>
          </w:tcPr>
          <w:p w14:paraId="4DC9E195" w14:textId="77777777" w:rsidR="006C5478" w:rsidRPr="00821FA0" w:rsidRDefault="006C5478" w:rsidP="00821FA0">
            <w:pPr>
              <w:jc w:val="center"/>
              <w:rPr>
                <w:color w:val="000000"/>
                <w:szCs w:val="22"/>
                <w:lang w:val="en-GB" w:eastAsia="en-GB"/>
              </w:rPr>
            </w:pPr>
            <w:r w:rsidRPr="00821FA0">
              <w:rPr>
                <w:color w:val="000000"/>
                <w:szCs w:val="22"/>
                <w:lang w:val="en-GB" w:eastAsia="en-GB"/>
              </w:rPr>
              <w:t>NA</w:t>
            </w:r>
          </w:p>
        </w:tc>
        <w:tc>
          <w:tcPr>
            <w:tcW w:w="269" w:type="pct"/>
            <w:tcBorders>
              <w:top w:val="nil"/>
              <w:left w:val="nil"/>
              <w:bottom w:val="nil"/>
              <w:right w:val="nil"/>
            </w:tcBorders>
            <w:shd w:val="clear" w:color="auto" w:fill="auto"/>
            <w:noWrap/>
            <w:vAlign w:val="bottom"/>
            <w:hideMark/>
          </w:tcPr>
          <w:p w14:paraId="54DFF9F4" w14:textId="77777777" w:rsidR="006C5478" w:rsidRPr="00821FA0" w:rsidRDefault="006C5478" w:rsidP="00821FA0">
            <w:pPr>
              <w:jc w:val="center"/>
              <w:rPr>
                <w:color w:val="000000"/>
                <w:szCs w:val="22"/>
                <w:lang w:val="en-GB" w:eastAsia="en-GB"/>
              </w:rPr>
            </w:pPr>
            <w:r w:rsidRPr="00821FA0">
              <w:rPr>
                <w:color w:val="000000"/>
                <w:szCs w:val="22"/>
                <w:lang w:val="en-GB" w:eastAsia="en-GB"/>
              </w:rPr>
              <w:t>NA</w:t>
            </w:r>
          </w:p>
        </w:tc>
        <w:tc>
          <w:tcPr>
            <w:tcW w:w="350" w:type="pct"/>
            <w:tcBorders>
              <w:top w:val="nil"/>
              <w:left w:val="nil"/>
              <w:bottom w:val="nil"/>
              <w:right w:val="nil"/>
            </w:tcBorders>
            <w:shd w:val="clear" w:color="auto" w:fill="auto"/>
            <w:noWrap/>
            <w:vAlign w:val="bottom"/>
            <w:hideMark/>
          </w:tcPr>
          <w:p w14:paraId="2F84E3E7" w14:textId="77777777" w:rsidR="006C5478" w:rsidRPr="00821FA0" w:rsidRDefault="006C5478" w:rsidP="006C5478">
            <w:pPr>
              <w:rPr>
                <w:color w:val="000000"/>
                <w:szCs w:val="22"/>
                <w:lang w:val="en-GB" w:eastAsia="en-GB"/>
              </w:rPr>
            </w:pPr>
            <w:r w:rsidRPr="00821FA0">
              <w:rPr>
                <w:color w:val="000000"/>
                <w:szCs w:val="22"/>
                <w:lang w:val="en-GB" w:eastAsia="en-GB"/>
              </w:rPr>
              <w:t>NA</w:t>
            </w:r>
          </w:p>
        </w:tc>
        <w:tc>
          <w:tcPr>
            <w:tcW w:w="449" w:type="pct"/>
            <w:tcBorders>
              <w:top w:val="nil"/>
              <w:left w:val="nil"/>
              <w:bottom w:val="nil"/>
              <w:right w:val="nil"/>
            </w:tcBorders>
            <w:shd w:val="clear" w:color="auto" w:fill="auto"/>
            <w:noWrap/>
            <w:vAlign w:val="bottom"/>
            <w:hideMark/>
          </w:tcPr>
          <w:p w14:paraId="1827DBBA" w14:textId="77777777" w:rsidR="006C5478" w:rsidRPr="00821FA0" w:rsidRDefault="006C5478" w:rsidP="00821FA0">
            <w:pPr>
              <w:jc w:val="center"/>
              <w:rPr>
                <w:color w:val="000000"/>
                <w:szCs w:val="22"/>
                <w:lang w:val="en-GB" w:eastAsia="en-GB"/>
              </w:rPr>
            </w:pPr>
            <w:r w:rsidRPr="00821FA0">
              <w:rPr>
                <w:color w:val="000000"/>
                <w:szCs w:val="22"/>
                <w:lang w:val="en-GB" w:eastAsia="en-GB"/>
              </w:rPr>
              <w:t>NA</w:t>
            </w:r>
          </w:p>
        </w:tc>
        <w:tc>
          <w:tcPr>
            <w:tcW w:w="269" w:type="pct"/>
            <w:tcBorders>
              <w:top w:val="nil"/>
              <w:left w:val="nil"/>
              <w:bottom w:val="nil"/>
              <w:right w:val="nil"/>
            </w:tcBorders>
            <w:shd w:val="clear" w:color="auto" w:fill="auto"/>
            <w:noWrap/>
            <w:vAlign w:val="bottom"/>
            <w:hideMark/>
          </w:tcPr>
          <w:p w14:paraId="4C253AFF" w14:textId="77777777" w:rsidR="006C5478" w:rsidRPr="00821FA0" w:rsidRDefault="006C5478" w:rsidP="00821FA0">
            <w:pPr>
              <w:jc w:val="center"/>
              <w:rPr>
                <w:color w:val="000000"/>
                <w:szCs w:val="22"/>
                <w:lang w:val="en-GB" w:eastAsia="en-GB"/>
              </w:rPr>
            </w:pPr>
            <w:r w:rsidRPr="00821FA0">
              <w:rPr>
                <w:color w:val="000000"/>
                <w:szCs w:val="22"/>
                <w:lang w:val="en-GB" w:eastAsia="en-GB"/>
              </w:rPr>
              <w:t>NA</w:t>
            </w:r>
          </w:p>
        </w:tc>
      </w:tr>
      <w:tr w:rsidR="00821FA0" w:rsidRPr="00821FA0" w14:paraId="46C4F5C6" w14:textId="77777777" w:rsidTr="00821FA0">
        <w:trPr>
          <w:trHeight w:val="300"/>
        </w:trPr>
        <w:tc>
          <w:tcPr>
            <w:tcW w:w="510" w:type="pct"/>
            <w:tcBorders>
              <w:top w:val="nil"/>
              <w:left w:val="nil"/>
              <w:bottom w:val="nil"/>
              <w:right w:val="nil"/>
            </w:tcBorders>
            <w:shd w:val="clear" w:color="auto" w:fill="auto"/>
            <w:noWrap/>
            <w:vAlign w:val="bottom"/>
            <w:hideMark/>
          </w:tcPr>
          <w:p w14:paraId="1DAAE1E4" w14:textId="77777777" w:rsidR="006C5478" w:rsidRPr="00821FA0" w:rsidRDefault="006C5478" w:rsidP="006C5478">
            <w:pPr>
              <w:rPr>
                <w:color w:val="000000"/>
                <w:szCs w:val="22"/>
                <w:lang w:val="en-GB" w:eastAsia="en-GB"/>
              </w:rPr>
            </w:pPr>
            <w:r w:rsidRPr="00821FA0">
              <w:rPr>
                <w:color w:val="000000"/>
                <w:szCs w:val="22"/>
                <w:lang w:val="en-GB" w:eastAsia="en-GB"/>
              </w:rPr>
              <w:t>Adler 2009</w:t>
            </w:r>
          </w:p>
        </w:tc>
        <w:tc>
          <w:tcPr>
            <w:tcW w:w="215" w:type="pct"/>
            <w:tcBorders>
              <w:top w:val="nil"/>
              <w:left w:val="nil"/>
              <w:bottom w:val="nil"/>
              <w:right w:val="nil"/>
            </w:tcBorders>
            <w:shd w:val="clear" w:color="auto" w:fill="auto"/>
            <w:noWrap/>
            <w:vAlign w:val="bottom"/>
            <w:hideMark/>
          </w:tcPr>
          <w:p w14:paraId="3FA8995B" w14:textId="77777777" w:rsidR="006C5478" w:rsidRPr="00821FA0" w:rsidRDefault="006C5478" w:rsidP="00821FA0">
            <w:pPr>
              <w:jc w:val="center"/>
              <w:rPr>
                <w:color w:val="000000"/>
                <w:szCs w:val="22"/>
                <w:lang w:val="en-GB" w:eastAsia="en-GB"/>
              </w:rPr>
            </w:pPr>
            <w:r w:rsidRPr="00821FA0">
              <w:rPr>
                <w:color w:val="000000"/>
                <w:szCs w:val="22"/>
                <w:lang w:val="en-GB" w:eastAsia="en-GB"/>
              </w:rPr>
              <w:t>2</w:t>
            </w:r>
          </w:p>
        </w:tc>
        <w:tc>
          <w:tcPr>
            <w:tcW w:w="350" w:type="pct"/>
            <w:tcBorders>
              <w:top w:val="nil"/>
              <w:left w:val="nil"/>
              <w:bottom w:val="nil"/>
              <w:right w:val="nil"/>
            </w:tcBorders>
            <w:shd w:val="clear" w:color="auto" w:fill="auto"/>
            <w:noWrap/>
            <w:vAlign w:val="bottom"/>
            <w:hideMark/>
          </w:tcPr>
          <w:p w14:paraId="4210145F" w14:textId="77777777" w:rsidR="006C5478" w:rsidRPr="00821FA0" w:rsidRDefault="006C5478" w:rsidP="006C5478">
            <w:pPr>
              <w:rPr>
                <w:color w:val="000000"/>
                <w:szCs w:val="22"/>
                <w:lang w:val="en-GB" w:eastAsia="en-GB"/>
              </w:rPr>
            </w:pPr>
            <w:r w:rsidRPr="00821FA0">
              <w:rPr>
                <w:color w:val="000000"/>
                <w:szCs w:val="22"/>
                <w:lang w:val="en-GB" w:eastAsia="en-GB"/>
              </w:rPr>
              <w:t>PL</w:t>
            </w:r>
          </w:p>
        </w:tc>
        <w:tc>
          <w:tcPr>
            <w:tcW w:w="449" w:type="pct"/>
            <w:tcBorders>
              <w:top w:val="nil"/>
              <w:left w:val="nil"/>
              <w:bottom w:val="nil"/>
              <w:right w:val="nil"/>
            </w:tcBorders>
            <w:shd w:val="clear" w:color="auto" w:fill="auto"/>
            <w:noWrap/>
            <w:vAlign w:val="bottom"/>
            <w:hideMark/>
          </w:tcPr>
          <w:p w14:paraId="7DEA51F5" w14:textId="77777777" w:rsidR="006C5478" w:rsidRPr="00821FA0" w:rsidRDefault="006C5478" w:rsidP="00821FA0">
            <w:pPr>
              <w:jc w:val="center"/>
              <w:rPr>
                <w:color w:val="000000"/>
                <w:szCs w:val="22"/>
                <w:lang w:val="en-GB" w:eastAsia="en-GB"/>
              </w:rPr>
            </w:pPr>
            <w:r w:rsidRPr="00821FA0">
              <w:rPr>
                <w:color w:val="000000"/>
                <w:szCs w:val="22"/>
                <w:lang w:val="en-GB" w:eastAsia="en-GB"/>
              </w:rPr>
              <w:t>6</w:t>
            </w:r>
          </w:p>
        </w:tc>
        <w:tc>
          <w:tcPr>
            <w:tcW w:w="269" w:type="pct"/>
            <w:tcBorders>
              <w:top w:val="nil"/>
              <w:left w:val="nil"/>
              <w:bottom w:val="nil"/>
              <w:right w:val="nil"/>
            </w:tcBorders>
            <w:shd w:val="clear" w:color="auto" w:fill="auto"/>
            <w:noWrap/>
            <w:vAlign w:val="bottom"/>
            <w:hideMark/>
          </w:tcPr>
          <w:p w14:paraId="21570EDB" w14:textId="77777777" w:rsidR="006C5478" w:rsidRPr="00821FA0" w:rsidRDefault="006C5478" w:rsidP="00821FA0">
            <w:pPr>
              <w:jc w:val="center"/>
              <w:rPr>
                <w:color w:val="000000"/>
                <w:szCs w:val="22"/>
                <w:lang w:val="en-GB" w:eastAsia="en-GB"/>
              </w:rPr>
            </w:pPr>
            <w:r w:rsidRPr="00821FA0">
              <w:rPr>
                <w:color w:val="000000"/>
                <w:szCs w:val="22"/>
                <w:lang w:val="en-GB" w:eastAsia="en-GB"/>
              </w:rPr>
              <w:t>116</w:t>
            </w:r>
          </w:p>
        </w:tc>
        <w:tc>
          <w:tcPr>
            <w:tcW w:w="432" w:type="pct"/>
            <w:gridSpan w:val="2"/>
            <w:tcBorders>
              <w:top w:val="nil"/>
              <w:left w:val="nil"/>
              <w:bottom w:val="nil"/>
              <w:right w:val="nil"/>
            </w:tcBorders>
            <w:shd w:val="clear" w:color="auto" w:fill="auto"/>
            <w:noWrap/>
            <w:vAlign w:val="bottom"/>
            <w:hideMark/>
          </w:tcPr>
          <w:p w14:paraId="23E19BEF" w14:textId="77777777" w:rsidR="006C5478" w:rsidRPr="00821FA0" w:rsidRDefault="006C5478" w:rsidP="006C5478">
            <w:pPr>
              <w:rPr>
                <w:color w:val="000000"/>
                <w:szCs w:val="22"/>
                <w:lang w:val="en-GB" w:eastAsia="en-GB"/>
              </w:rPr>
            </w:pPr>
            <w:r w:rsidRPr="00821FA0">
              <w:rPr>
                <w:color w:val="000000"/>
                <w:szCs w:val="22"/>
                <w:lang w:val="en-GB" w:eastAsia="en-GB"/>
              </w:rPr>
              <w:t>ERMPH</w:t>
            </w:r>
          </w:p>
        </w:tc>
        <w:tc>
          <w:tcPr>
            <w:tcW w:w="368" w:type="pct"/>
            <w:tcBorders>
              <w:top w:val="nil"/>
              <w:left w:val="nil"/>
              <w:bottom w:val="nil"/>
              <w:right w:val="nil"/>
            </w:tcBorders>
            <w:shd w:val="clear" w:color="auto" w:fill="auto"/>
            <w:noWrap/>
            <w:vAlign w:val="bottom"/>
            <w:hideMark/>
          </w:tcPr>
          <w:p w14:paraId="2127F864" w14:textId="77777777" w:rsidR="006C5478" w:rsidRPr="00821FA0" w:rsidRDefault="006C5478" w:rsidP="00821FA0">
            <w:pPr>
              <w:jc w:val="center"/>
              <w:rPr>
                <w:color w:val="000000"/>
                <w:szCs w:val="22"/>
                <w:lang w:val="en-GB" w:eastAsia="en-GB"/>
              </w:rPr>
            </w:pPr>
            <w:r w:rsidRPr="00821FA0">
              <w:rPr>
                <w:color w:val="000000"/>
                <w:szCs w:val="22"/>
                <w:lang w:val="en-GB" w:eastAsia="en-GB"/>
              </w:rPr>
              <w:t>16</w:t>
            </w:r>
          </w:p>
        </w:tc>
        <w:tc>
          <w:tcPr>
            <w:tcW w:w="269" w:type="pct"/>
            <w:tcBorders>
              <w:top w:val="nil"/>
              <w:left w:val="nil"/>
              <w:bottom w:val="nil"/>
              <w:right w:val="nil"/>
            </w:tcBorders>
            <w:shd w:val="clear" w:color="auto" w:fill="auto"/>
            <w:noWrap/>
            <w:vAlign w:val="bottom"/>
            <w:hideMark/>
          </w:tcPr>
          <w:p w14:paraId="1570E2A2" w14:textId="77777777" w:rsidR="006C5478" w:rsidRPr="00821FA0" w:rsidRDefault="006C5478" w:rsidP="00821FA0">
            <w:pPr>
              <w:jc w:val="center"/>
              <w:rPr>
                <w:color w:val="000000"/>
                <w:szCs w:val="22"/>
                <w:lang w:val="en-GB" w:eastAsia="en-GB"/>
              </w:rPr>
            </w:pPr>
            <w:r w:rsidRPr="00821FA0">
              <w:rPr>
                <w:color w:val="000000"/>
                <w:szCs w:val="22"/>
                <w:lang w:val="en-GB" w:eastAsia="en-GB"/>
              </w:rPr>
              <w:t>110</w:t>
            </w:r>
          </w:p>
        </w:tc>
        <w:tc>
          <w:tcPr>
            <w:tcW w:w="350" w:type="pct"/>
            <w:tcBorders>
              <w:top w:val="nil"/>
              <w:left w:val="nil"/>
              <w:bottom w:val="nil"/>
              <w:right w:val="nil"/>
            </w:tcBorders>
            <w:shd w:val="clear" w:color="auto" w:fill="auto"/>
            <w:noWrap/>
            <w:vAlign w:val="bottom"/>
            <w:hideMark/>
          </w:tcPr>
          <w:p w14:paraId="26B30D36" w14:textId="77777777" w:rsidR="006C5478" w:rsidRPr="00821FA0" w:rsidRDefault="006C5478" w:rsidP="006C5478">
            <w:pPr>
              <w:rPr>
                <w:color w:val="000000"/>
                <w:szCs w:val="22"/>
                <w:lang w:val="en-GB" w:eastAsia="en-GB"/>
              </w:rPr>
            </w:pPr>
            <w:r w:rsidRPr="00821FA0">
              <w:rPr>
                <w:color w:val="000000"/>
                <w:szCs w:val="22"/>
                <w:lang w:val="en-GB" w:eastAsia="en-GB"/>
              </w:rPr>
              <w:t>NA</w:t>
            </w:r>
          </w:p>
        </w:tc>
        <w:tc>
          <w:tcPr>
            <w:tcW w:w="449" w:type="pct"/>
            <w:tcBorders>
              <w:top w:val="nil"/>
              <w:left w:val="nil"/>
              <w:bottom w:val="nil"/>
              <w:right w:val="nil"/>
            </w:tcBorders>
            <w:shd w:val="clear" w:color="auto" w:fill="auto"/>
            <w:noWrap/>
            <w:vAlign w:val="bottom"/>
            <w:hideMark/>
          </w:tcPr>
          <w:p w14:paraId="3E0E9879" w14:textId="77777777" w:rsidR="006C5478" w:rsidRPr="00821FA0" w:rsidRDefault="006C5478" w:rsidP="00821FA0">
            <w:pPr>
              <w:jc w:val="center"/>
              <w:rPr>
                <w:color w:val="000000"/>
                <w:szCs w:val="22"/>
                <w:lang w:val="en-GB" w:eastAsia="en-GB"/>
              </w:rPr>
            </w:pPr>
            <w:r w:rsidRPr="00821FA0">
              <w:rPr>
                <w:color w:val="000000"/>
                <w:szCs w:val="22"/>
                <w:lang w:val="en-GB" w:eastAsia="en-GB"/>
              </w:rPr>
              <w:t>NA</w:t>
            </w:r>
          </w:p>
        </w:tc>
        <w:tc>
          <w:tcPr>
            <w:tcW w:w="269" w:type="pct"/>
            <w:tcBorders>
              <w:top w:val="nil"/>
              <w:left w:val="nil"/>
              <w:bottom w:val="nil"/>
              <w:right w:val="nil"/>
            </w:tcBorders>
            <w:shd w:val="clear" w:color="auto" w:fill="auto"/>
            <w:noWrap/>
            <w:vAlign w:val="bottom"/>
            <w:hideMark/>
          </w:tcPr>
          <w:p w14:paraId="50FC3B37" w14:textId="77777777" w:rsidR="006C5478" w:rsidRPr="00821FA0" w:rsidRDefault="006C5478" w:rsidP="00821FA0">
            <w:pPr>
              <w:jc w:val="center"/>
              <w:rPr>
                <w:color w:val="000000"/>
                <w:szCs w:val="22"/>
                <w:lang w:val="en-GB" w:eastAsia="en-GB"/>
              </w:rPr>
            </w:pPr>
            <w:r w:rsidRPr="00821FA0">
              <w:rPr>
                <w:color w:val="000000"/>
                <w:szCs w:val="22"/>
                <w:lang w:val="en-GB" w:eastAsia="en-GB"/>
              </w:rPr>
              <w:t>NA</w:t>
            </w:r>
          </w:p>
        </w:tc>
        <w:tc>
          <w:tcPr>
            <w:tcW w:w="350" w:type="pct"/>
            <w:tcBorders>
              <w:top w:val="nil"/>
              <w:left w:val="nil"/>
              <w:bottom w:val="nil"/>
              <w:right w:val="nil"/>
            </w:tcBorders>
            <w:shd w:val="clear" w:color="auto" w:fill="auto"/>
            <w:noWrap/>
            <w:vAlign w:val="bottom"/>
            <w:hideMark/>
          </w:tcPr>
          <w:p w14:paraId="77787DFA" w14:textId="77777777" w:rsidR="006C5478" w:rsidRPr="00821FA0" w:rsidRDefault="006C5478" w:rsidP="006C5478">
            <w:pPr>
              <w:rPr>
                <w:color w:val="000000"/>
                <w:szCs w:val="22"/>
                <w:lang w:val="en-GB" w:eastAsia="en-GB"/>
              </w:rPr>
            </w:pPr>
            <w:r w:rsidRPr="00821FA0">
              <w:rPr>
                <w:color w:val="000000"/>
                <w:szCs w:val="22"/>
                <w:lang w:val="en-GB" w:eastAsia="en-GB"/>
              </w:rPr>
              <w:t>NA</w:t>
            </w:r>
          </w:p>
        </w:tc>
        <w:tc>
          <w:tcPr>
            <w:tcW w:w="449" w:type="pct"/>
            <w:tcBorders>
              <w:top w:val="nil"/>
              <w:left w:val="nil"/>
              <w:bottom w:val="nil"/>
              <w:right w:val="nil"/>
            </w:tcBorders>
            <w:shd w:val="clear" w:color="auto" w:fill="auto"/>
            <w:noWrap/>
            <w:vAlign w:val="bottom"/>
            <w:hideMark/>
          </w:tcPr>
          <w:p w14:paraId="6485C738" w14:textId="77777777" w:rsidR="006C5478" w:rsidRPr="00821FA0" w:rsidRDefault="006C5478" w:rsidP="00821FA0">
            <w:pPr>
              <w:jc w:val="center"/>
              <w:rPr>
                <w:color w:val="000000"/>
                <w:szCs w:val="22"/>
                <w:lang w:val="en-GB" w:eastAsia="en-GB"/>
              </w:rPr>
            </w:pPr>
            <w:r w:rsidRPr="00821FA0">
              <w:rPr>
                <w:color w:val="000000"/>
                <w:szCs w:val="22"/>
                <w:lang w:val="en-GB" w:eastAsia="en-GB"/>
              </w:rPr>
              <w:t>NA</w:t>
            </w:r>
          </w:p>
        </w:tc>
        <w:tc>
          <w:tcPr>
            <w:tcW w:w="269" w:type="pct"/>
            <w:tcBorders>
              <w:top w:val="nil"/>
              <w:left w:val="nil"/>
              <w:bottom w:val="nil"/>
              <w:right w:val="nil"/>
            </w:tcBorders>
            <w:shd w:val="clear" w:color="auto" w:fill="auto"/>
            <w:noWrap/>
            <w:vAlign w:val="bottom"/>
            <w:hideMark/>
          </w:tcPr>
          <w:p w14:paraId="7B38A2A8" w14:textId="77777777" w:rsidR="006C5478" w:rsidRPr="00821FA0" w:rsidRDefault="006C5478" w:rsidP="00821FA0">
            <w:pPr>
              <w:jc w:val="center"/>
              <w:rPr>
                <w:color w:val="000000"/>
                <w:szCs w:val="22"/>
                <w:lang w:val="en-GB" w:eastAsia="en-GB"/>
              </w:rPr>
            </w:pPr>
            <w:r w:rsidRPr="00821FA0">
              <w:rPr>
                <w:color w:val="000000"/>
                <w:szCs w:val="22"/>
                <w:lang w:val="en-GB" w:eastAsia="en-GB"/>
              </w:rPr>
              <w:t>NA</w:t>
            </w:r>
          </w:p>
        </w:tc>
      </w:tr>
      <w:tr w:rsidR="00821FA0" w:rsidRPr="00821FA0" w14:paraId="3618B4F6" w14:textId="77777777" w:rsidTr="00821FA0">
        <w:trPr>
          <w:trHeight w:val="300"/>
        </w:trPr>
        <w:tc>
          <w:tcPr>
            <w:tcW w:w="510" w:type="pct"/>
            <w:tcBorders>
              <w:top w:val="nil"/>
              <w:left w:val="nil"/>
              <w:bottom w:val="nil"/>
              <w:right w:val="nil"/>
            </w:tcBorders>
            <w:shd w:val="clear" w:color="auto" w:fill="auto"/>
            <w:noWrap/>
            <w:vAlign w:val="bottom"/>
            <w:hideMark/>
          </w:tcPr>
          <w:p w14:paraId="0D1598C1" w14:textId="77777777" w:rsidR="006C5478" w:rsidRPr="00821FA0" w:rsidRDefault="006C5478" w:rsidP="006C5478">
            <w:pPr>
              <w:rPr>
                <w:color w:val="000000"/>
                <w:szCs w:val="22"/>
                <w:lang w:val="en-GB" w:eastAsia="en-GB"/>
              </w:rPr>
            </w:pPr>
            <w:r w:rsidRPr="00821FA0">
              <w:rPr>
                <w:color w:val="000000"/>
                <w:szCs w:val="22"/>
                <w:lang w:val="en-GB" w:eastAsia="en-GB"/>
              </w:rPr>
              <w:t>Casas 2013</w:t>
            </w:r>
          </w:p>
        </w:tc>
        <w:tc>
          <w:tcPr>
            <w:tcW w:w="215" w:type="pct"/>
            <w:tcBorders>
              <w:top w:val="nil"/>
              <w:left w:val="nil"/>
              <w:bottom w:val="nil"/>
              <w:right w:val="nil"/>
            </w:tcBorders>
            <w:shd w:val="clear" w:color="auto" w:fill="auto"/>
            <w:noWrap/>
            <w:vAlign w:val="bottom"/>
            <w:hideMark/>
          </w:tcPr>
          <w:p w14:paraId="1091E634" w14:textId="77777777" w:rsidR="006C5478" w:rsidRPr="00821FA0" w:rsidRDefault="006C5478" w:rsidP="00821FA0">
            <w:pPr>
              <w:jc w:val="center"/>
              <w:rPr>
                <w:color w:val="000000"/>
                <w:szCs w:val="22"/>
                <w:lang w:val="en-GB" w:eastAsia="en-GB"/>
              </w:rPr>
            </w:pPr>
            <w:r w:rsidRPr="00821FA0">
              <w:rPr>
                <w:color w:val="000000"/>
                <w:szCs w:val="22"/>
                <w:lang w:val="en-GB" w:eastAsia="en-GB"/>
              </w:rPr>
              <w:t>3</w:t>
            </w:r>
          </w:p>
        </w:tc>
        <w:tc>
          <w:tcPr>
            <w:tcW w:w="350" w:type="pct"/>
            <w:tcBorders>
              <w:top w:val="nil"/>
              <w:left w:val="nil"/>
              <w:bottom w:val="nil"/>
              <w:right w:val="nil"/>
            </w:tcBorders>
            <w:shd w:val="clear" w:color="auto" w:fill="auto"/>
            <w:noWrap/>
            <w:vAlign w:val="bottom"/>
            <w:hideMark/>
          </w:tcPr>
          <w:p w14:paraId="4839144F" w14:textId="77777777" w:rsidR="006C5478" w:rsidRPr="00821FA0" w:rsidRDefault="006C5478" w:rsidP="006C5478">
            <w:pPr>
              <w:rPr>
                <w:color w:val="000000"/>
                <w:szCs w:val="22"/>
                <w:lang w:val="en-GB" w:eastAsia="en-GB"/>
              </w:rPr>
            </w:pPr>
            <w:r w:rsidRPr="00821FA0">
              <w:rPr>
                <w:color w:val="000000"/>
                <w:szCs w:val="22"/>
                <w:lang w:val="en-GB" w:eastAsia="en-GB"/>
              </w:rPr>
              <w:t>PL</w:t>
            </w:r>
          </w:p>
        </w:tc>
        <w:tc>
          <w:tcPr>
            <w:tcW w:w="449" w:type="pct"/>
            <w:tcBorders>
              <w:top w:val="nil"/>
              <w:left w:val="nil"/>
              <w:bottom w:val="nil"/>
              <w:right w:val="nil"/>
            </w:tcBorders>
            <w:shd w:val="clear" w:color="auto" w:fill="auto"/>
            <w:noWrap/>
            <w:vAlign w:val="bottom"/>
            <w:hideMark/>
          </w:tcPr>
          <w:p w14:paraId="50CCF61C" w14:textId="77777777" w:rsidR="006C5478" w:rsidRPr="00821FA0" w:rsidRDefault="006C5478" w:rsidP="00821FA0">
            <w:pPr>
              <w:jc w:val="center"/>
              <w:rPr>
                <w:color w:val="000000"/>
                <w:szCs w:val="22"/>
                <w:lang w:val="en-GB" w:eastAsia="en-GB"/>
              </w:rPr>
            </w:pPr>
            <w:r w:rsidRPr="00821FA0">
              <w:rPr>
                <w:color w:val="000000"/>
                <w:szCs w:val="22"/>
                <w:lang w:val="en-GB" w:eastAsia="en-GB"/>
              </w:rPr>
              <w:t>2</w:t>
            </w:r>
          </w:p>
        </w:tc>
        <w:tc>
          <w:tcPr>
            <w:tcW w:w="269" w:type="pct"/>
            <w:tcBorders>
              <w:top w:val="nil"/>
              <w:left w:val="nil"/>
              <w:bottom w:val="nil"/>
              <w:right w:val="nil"/>
            </w:tcBorders>
            <w:shd w:val="clear" w:color="auto" w:fill="auto"/>
            <w:noWrap/>
            <w:vAlign w:val="bottom"/>
            <w:hideMark/>
          </w:tcPr>
          <w:p w14:paraId="620A8116" w14:textId="77777777" w:rsidR="006C5478" w:rsidRPr="00821FA0" w:rsidRDefault="006C5478" w:rsidP="00821FA0">
            <w:pPr>
              <w:jc w:val="center"/>
              <w:rPr>
                <w:color w:val="000000"/>
                <w:szCs w:val="22"/>
                <w:lang w:val="en-GB" w:eastAsia="en-GB"/>
              </w:rPr>
            </w:pPr>
            <w:r w:rsidRPr="00821FA0">
              <w:rPr>
                <w:color w:val="000000"/>
                <w:szCs w:val="22"/>
                <w:lang w:val="en-GB" w:eastAsia="en-GB"/>
              </w:rPr>
              <w:t>97</w:t>
            </w:r>
          </w:p>
        </w:tc>
        <w:tc>
          <w:tcPr>
            <w:tcW w:w="432" w:type="pct"/>
            <w:gridSpan w:val="2"/>
            <w:tcBorders>
              <w:top w:val="nil"/>
              <w:left w:val="nil"/>
              <w:bottom w:val="nil"/>
              <w:right w:val="nil"/>
            </w:tcBorders>
            <w:shd w:val="clear" w:color="auto" w:fill="auto"/>
            <w:noWrap/>
            <w:vAlign w:val="bottom"/>
            <w:hideMark/>
          </w:tcPr>
          <w:p w14:paraId="48071EEE" w14:textId="77777777" w:rsidR="006C5478" w:rsidRPr="00821FA0" w:rsidRDefault="006C5478" w:rsidP="006C5478">
            <w:pPr>
              <w:rPr>
                <w:color w:val="000000"/>
                <w:szCs w:val="22"/>
                <w:lang w:val="en-GB" w:eastAsia="en-GB"/>
              </w:rPr>
            </w:pPr>
            <w:r w:rsidRPr="00821FA0">
              <w:rPr>
                <w:color w:val="000000"/>
                <w:szCs w:val="22"/>
                <w:lang w:val="en-GB" w:eastAsia="en-GB"/>
              </w:rPr>
              <w:t>ERMPH</w:t>
            </w:r>
          </w:p>
        </w:tc>
        <w:tc>
          <w:tcPr>
            <w:tcW w:w="368" w:type="pct"/>
            <w:tcBorders>
              <w:top w:val="nil"/>
              <w:left w:val="nil"/>
              <w:bottom w:val="nil"/>
              <w:right w:val="nil"/>
            </w:tcBorders>
            <w:shd w:val="clear" w:color="auto" w:fill="auto"/>
            <w:noWrap/>
            <w:vAlign w:val="bottom"/>
            <w:hideMark/>
          </w:tcPr>
          <w:p w14:paraId="543A668D" w14:textId="77777777" w:rsidR="006C5478" w:rsidRPr="00821FA0" w:rsidRDefault="006C5478" w:rsidP="00821FA0">
            <w:pPr>
              <w:jc w:val="center"/>
              <w:rPr>
                <w:color w:val="000000"/>
                <w:szCs w:val="22"/>
                <w:lang w:val="en-GB" w:eastAsia="en-GB"/>
              </w:rPr>
            </w:pPr>
            <w:r w:rsidRPr="00821FA0">
              <w:rPr>
                <w:color w:val="000000"/>
                <w:szCs w:val="22"/>
                <w:lang w:val="en-GB" w:eastAsia="en-GB"/>
              </w:rPr>
              <w:t>15</w:t>
            </w:r>
          </w:p>
        </w:tc>
        <w:tc>
          <w:tcPr>
            <w:tcW w:w="269" w:type="pct"/>
            <w:tcBorders>
              <w:top w:val="nil"/>
              <w:left w:val="nil"/>
              <w:bottom w:val="nil"/>
              <w:right w:val="nil"/>
            </w:tcBorders>
            <w:shd w:val="clear" w:color="auto" w:fill="auto"/>
            <w:noWrap/>
            <w:vAlign w:val="bottom"/>
            <w:hideMark/>
          </w:tcPr>
          <w:p w14:paraId="5F7D241C" w14:textId="77777777" w:rsidR="006C5478" w:rsidRPr="00821FA0" w:rsidRDefault="006C5478" w:rsidP="00821FA0">
            <w:pPr>
              <w:jc w:val="center"/>
              <w:rPr>
                <w:color w:val="000000"/>
                <w:szCs w:val="22"/>
                <w:lang w:val="en-GB" w:eastAsia="en-GB"/>
              </w:rPr>
            </w:pPr>
            <w:r w:rsidRPr="00821FA0">
              <w:rPr>
                <w:color w:val="000000"/>
                <w:szCs w:val="22"/>
                <w:lang w:val="en-GB" w:eastAsia="en-GB"/>
              </w:rPr>
              <w:t>89</w:t>
            </w:r>
          </w:p>
        </w:tc>
        <w:tc>
          <w:tcPr>
            <w:tcW w:w="350" w:type="pct"/>
            <w:tcBorders>
              <w:top w:val="nil"/>
              <w:left w:val="nil"/>
              <w:bottom w:val="nil"/>
              <w:right w:val="nil"/>
            </w:tcBorders>
            <w:shd w:val="clear" w:color="auto" w:fill="auto"/>
            <w:noWrap/>
            <w:vAlign w:val="bottom"/>
            <w:hideMark/>
          </w:tcPr>
          <w:p w14:paraId="5EDF2DCC" w14:textId="77777777" w:rsidR="006C5478" w:rsidRPr="00821FA0" w:rsidRDefault="006C5478" w:rsidP="006C5478">
            <w:pPr>
              <w:rPr>
                <w:color w:val="000000"/>
                <w:szCs w:val="22"/>
                <w:lang w:val="en-GB" w:eastAsia="en-GB"/>
              </w:rPr>
            </w:pPr>
            <w:r w:rsidRPr="00821FA0">
              <w:rPr>
                <w:color w:val="000000"/>
                <w:szCs w:val="22"/>
                <w:lang w:val="en-GB" w:eastAsia="en-GB"/>
              </w:rPr>
              <w:t>ERMPH</w:t>
            </w:r>
          </w:p>
        </w:tc>
        <w:tc>
          <w:tcPr>
            <w:tcW w:w="449" w:type="pct"/>
            <w:tcBorders>
              <w:top w:val="nil"/>
              <w:left w:val="nil"/>
              <w:bottom w:val="nil"/>
              <w:right w:val="nil"/>
            </w:tcBorders>
            <w:shd w:val="clear" w:color="auto" w:fill="auto"/>
            <w:noWrap/>
            <w:vAlign w:val="bottom"/>
            <w:hideMark/>
          </w:tcPr>
          <w:p w14:paraId="32ECCCF8" w14:textId="77777777" w:rsidR="006C5478" w:rsidRPr="00821FA0" w:rsidRDefault="006C5478" w:rsidP="00821FA0">
            <w:pPr>
              <w:jc w:val="center"/>
              <w:rPr>
                <w:color w:val="000000"/>
                <w:szCs w:val="22"/>
                <w:lang w:val="en-GB" w:eastAsia="en-GB"/>
              </w:rPr>
            </w:pPr>
            <w:r w:rsidRPr="00821FA0">
              <w:rPr>
                <w:color w:val="000000"/>
                <w:szCs w:val="22"/>
                <w:lang w:val="en-GB" w:eastAsia="en-GB"/>
              </w:rPr>
              <w:t>19</w:t>
            </w:r>
          </w:p>
        </w:tc>
        <w:tc>
          <w:tcPr>
            <w:tcW w:w="269" w:type="pct"/>
            <w:tcBorders>
              <w:top w:val="nil"/>
              <w:left w:val="nil"/>
              <w:bottom w:val="nil"/>
              <w:right w:val="nil"/>
            </w:tcBorders>
            <w:shd w:val="clear" w:color="auto" w:fill="auto"/>
            <w:noWrap/>
            <w:vAlign w:val="bottom"/>
            <w:hideMark/>
          </w:tcPr>
          <w:p w14:paraId="4180021D" w14:textId="77777777" w:rsidR="006C5478" w:rsidRPr="00821FA0" w:rsidRDefault="006C5478" w:rsidP="00821FA0">
            <w:pPr>
              <w:jc w:val="center"/>
              <w:rPr>
                <w:color w:val="000000"/>
                <w:szCs w:val="22"/>
                <w:lang w:val="en-GB" w:eastAsia="en-GB"/>
              </w:rPr>
            </w:pPr>
            <w:r w:rsidRPr="00821FA0">
              <w:rPr>
                <w:color w:val="000000"/>
                <w:szCs w:val="22"/>
                <w:lang w:val="en-GB" w:eastAsia="en-GB"/>
              </w:rPr>
              <w:t>92</w:t>
            </w:r>
          </w:p>
        </w:tc>
        <w:tc>
          <w:tcPr>
            <w:tcW w:w="350" w:type="pct"/>
            <w:tcBorders>
              <w:top w:val="nil"/>
              <w:left w:val="nil"/>
              <w:bottom w:val="nil"/>
              <w:right w:val="nil"/>
            </w:tcBorders>
            <w:shd w:val="clear" w:color="auto" w:fill="auto"/>
            <w:noWrap/>
            <w:vAlign w:val="bottom"/>
            <w:hideMark/>
          </w:tcPr>
          <w:p w14:paraId="66DDD8F7" w14:textId="77777777" w:rsidR="006C5478" w:rsidRPr="00821FA0" w:rsidRDefault="006C5478" w:rsidP="006C5478">
            <w:pPr>
              <w:rPr>
                <w:color w:val="000000"/>
                <w:szCs w:val="22"/>
                <w:lang w:val="en-GB" w:eastAsia="en-GB"/>
              </w:rPr>
            </w:pPr>
            <w:r w:rsidRPr="00821FA0">
              <w:rPr>
                <w:color w:val="000000"/>
                <w:szCs w:val="22"/>
                <w:lang w:val="en-GB" w:eastAsia="en-GB"/>
              </w:rPr>
              <w:t>NA</w:t>
            </w:r>
          </w:p>
        </w:tc>
        <w:tc>
          <w:tcPr>
            <w:tcW w:w="449" w:type="pct"/>
            <w:tcBorders>
              <w:top w:val="nil"/>
              <w:left w:val="nil"/>
              <w:bottom w:val="nil"/>
              <w:right w:val="nil"/>
            </w:tcBorders>
            <w:shd w:val="clear" w:color="auto" w:fill="auto"/>
            <w:noWrap/>
            <w:vAlign w:val="bottom"/>
            <w:hideMark/>
          </w:tcPr>
          <w:p w14:paraId="67D9720A" w14:textId="77777777" w:rsidR="006C5478" w:rsidRPr="00821FA0" w:rsidRDefault="006C5478" w:rsidP="00821FA0">
            <w:pPr>
              <w:jc w:val="center"/>
              <w:rPr>
                <w:color w:val="000000"/>
                <w:szCs w:val="22"/>
                <w:lang w:val="en-GB" w:eastAsia="en-GB"/>
              </w:rPr>
            </w:pPr>
            <w:r w:rsidRPr="00821FA0">
              <w:rPr>
                <w:color w:val="000000"/>
                <w:szCs w:val="22"/>
                <w:lang w:val="en-GB" w:eastAsia="en-GB"/>
              </w:rPr>
              <w:t>NA</w:t>
            </w:r>
          </w:p>
        </w:tc>
        <w:tc>
          <w:tcPr>
            <w:tcW w:w="269" w:type="pct"/>
            <w:tcBorders>
              <w:top w:val="nil"/>
              <w:left w:val="nil"/>
              <w:bottom w:val="nil"/>
              <w:right w:val="nil"/>
            </w:tcBorders>
            <w:shd w:val="clear" w:color="auto" w:fill="auto"/>
            <w:noWrap/>
            <w:vAlign w:val="bottom"/>
            <w:hideMark/>
          </w:tcPr>
          <w:p w14:paraId="1BF8E292" w14:textId="77777777" w:rsidR="006C5478" w:rsidRPr="00821FA0" w:rsidRDefault="006C5478" w:rsidP="00821FA0">
            <w:pPr>
              <w:jc w:val="center"/>
              <w:rPr>
                <w:color w:val="000000"/>
                <w:szCs w:val="22"/>
                <w:lang w:val="en-GB" w:eastAsia="en-GB"/>
              </w:rPr>
            </w:pPr>
            <w:r w:rsidRPr="00821FA0">
              <w:rPr>
                <w:color w:val="000000"/>
                <w:szCs w:val="22"/>
                <w:lang w:val="en-GB" w:eastAsia="en-GB"/>
              </w:rPr>
              <w:t>NA</w:t>
            </w:r>
          </w:p>
        </w:tc>
      </w:tr>
      <w:tr w:rsidR="00821FA0" w:rsidRPr="00821FA0" w14:paraId="5F8C13D2" w14:textId="77777777" w:rsidTr="00821FA0">
        <w:trPr>
          <w:trHeight w:val="300"/>
        </w:trPr>
        <w:tc>
          <w:tcPr>
            <w:tcW w:w="510" w:type="pct"/>
            <w:tcBorders>
              <w:top w:val="nil"/>
              <w:left w:val="nil"/>
              <w:bottom w:val="nil"/>
              <w:right w:val="nil"/>
            </w:tcBorders>
            <w:shd w:val="clear" w:color="auto" w:fill="auto"/>
            <w:noWrap/>
            <w:vAlign w:val="bottom"/>
            <w:hideMark/>
          </w:tcPr>
          <w:p w14:paraId="6CE30480" w14:textId="77777777" w:rsidR="006C5478" w:rsidRPr="00821FA0" w:rsidRDefault="006C5478" w:rsidP="006C5478">
            <w:pPr>
              <w:rPr>
                <w:color w:val="000000"/>
                <w:szCs w:val="22"/>
                <w:lang w:val="en-GB" w:eastAsia="en-GB"/>
              </w:rPr>
            </w:pPr>
            <w:r w:rsidRPr="00821FA0">
              <w:rPr>
                <w:color w:val="000000"/>
                <w:szCs w:val="22"/>
                <w:lang w:val="en-GB" w:eastAsia="en-GB"/>
              </w:rPr>
              <w:t>Spencer 2007</w:t>
            </w:r>
          </w:p>
        </w:tc>
        <w:tc>
          <w:tcPr>
            <w:tcW w:w="215" w:type="pct"/>
            <w:tcBorders>
              <w:top w:val="nil"/>
              <w:left w:val="nil"/>
              <w:bottom w:val="nil"/>
              <w:right w:val="nil"/>
            </w:tcBorders>
            <w:shd w:val="clear" w:color="auto" w:fill="auto"/>
            <w:noWrap/>
            <w:vAlign w:val="bottom"/>
            <w:hideMark/>
          </w:tcPr>
          <w:p w14:paraId="5C30991C" w14:textId="77777777" w:rsidR="006C5478" w:rsidRPr="00821FA0" w:rsidRDefault="006C5478" w:rsidP="00821FA0">
            <w:pPr>
              <w:jc w:val="center"/>
              <w:rPr>
                <w:color w:val="000000"/>
                <w:szCs w:val="22"/>
                <w:lang w:val="en-GB" w:eastAsia="en-GB"/>
              </w:rPr>
            </w:pPr>
            <w:r w:rsidRPr="00821FA0">
              <w:rPr>
                <w:color w:val="000000"/>
                <w:szCs w:val="22"/>
                <w:lang w:val="en-GB" w:eastAsia="en-GB"/>
              </w:rPr>
              <w:t>4</w:t>
            </w:r>
          </w:p>
        </w:tc>
        <w:tc>
          <w:tcPr>
            <w:tcW w:w="350" w:type="pct"/>
            <w:tcBorders>
              <w:top w:val="nil"/>
              <w:left w:val="nil"/>
              <w:bottom w:val="nil"/>
              <w:right w:val="nil"/>
            </w:tcBorders>
            <w:shd w:val="clear" w:color="auto" w:fill="auto"/>
            <w:noWrap/>
            <w:vAlign w:val="bottom"/>
            <w:hideMark/>
          </w:tcPr>
          <w:p w14:paraId="4F6EB5B1" w14:textId="77777777" w:rsidR="006C5478" w:rsidRPr="00821FA0" w:rsidRDefault="006C5478" w:rsidP="006C5478">
            <w:pPr>
              <w:rPr>
                <w:color w:val="000000"/>
                <w:szCs w:val="22"/>
                <w:lang w:val="en-GB" w:eastAsia="en-GB"/>
              </w:rPr>
            </w:pPr>
            <w:r w:rsidRPr="00821FA0">
              <w:rPr>
                <w:color w:val="000000"/>
                <w:szCs w:val="22"/>
                <w:lang w:val="en-GB" w:eastAsia="en-GB"/>
              </w:rPr>
              <w:t>PL</w:t>
            </w:r>
          </w:p>
        </w:tc>
        <w:tc>
          <w:tcPr>
            <w:tcW w:w="449" w:type="pct"/>
            <w:tcBorders>
              <w:top w:val="nil"/>
              <w:left w:val="nil"/>
              <w:bottom w:val="nil"/>
              <w:right w:val="nil"/>
            </w:tcBorders>
            <w:shd w:val="clear" w:color="auto" w:fill="auto"/>
            <w:noWrap/>
            <w:vAlign w:val="bottom"/>
            <w:hideMark/>
          </w:tcPr>
          <w:p w14:paraId="653D1E11" w14:textId="77777777" w:rsidR="006C5478" w:rsidRPr="00821FA0" w:rsidRDefault="006C5478" w:rsidP="00821FA0">
            <w:pPr>
              <w:jc w:val="center"/>
              <w:rPr>
                <w:color w:val="000000"/>
                <w:szCs w:val="22"/>
                <w:lang w:val="en-GB" w:eastAsia="en-GB"/>
              </w:rPr>
            </w:pPr>
            <w:r w:rsidRPr="00821FA0">
              <w:rPr>
                <w:color w:val="000000"/>
                <w:szCs w:val="22"/>
                <w:lang w:val="en-GB" w:eastAsia="en-GB"/>
              </w:rPr>
              <w:t>4</w:t>
            </w:r>
          </w:p>
        </w:tc>
        <w:tc>
          <w:tcPr>
            <w:tcW w:w="269" w:type="pct"/>
            <w:tcBorders>
              <w:top w:val="nil"/>
              <w:left w:val="nil"/>
              <w:bottom w:val="nil"/>
              <w:right w:val="nil"/>
            </w:tcBorders>
            <w:shd w:val="clear" w:color="auto" w:fill="auto"/>
            <w:noWrap/>
            <w:vAlign w:val="bottom"/>
            <w:hideMark/>
          </w:tcPr>
          <w:p w14:paraId="74B7590D" w14:textId="77777777" w:rsidR="006C5478" w:rsidRPr="00821FA0" w:rsidRDefault="006C5478" w:rsidP="00821FA0">
            <w:pPr>
              <w:jc w:val="center"/>
              <w:rPr>
                <w:color w:val="000000"/>
                <w:szCs w:val="22"/>
                <w:lang w:val="en-GB" w:eastAsia="en-GB"/>
              </w:rPr>
            </w:pPr>
            <w:r w:rsidRPr="00821FA0">
              <w:rPr>
                <w:color w:val="000000"/>
                <w:szCs w:val="22"/>
                <w:lang w:val="en-GB" w:eastAsia="en-GB"/>
              </w:rPr>
              <w:t>53</w:t>
            </w:r>
          </w:p>
        </w:tc>
        <w:tc>
          <w:tcPr>
            <w:tcW w:w="432" w:type="pct"/>
            <w:gridSpan w:val="2"/>
            <w:tcBorders>
              <w:top w:val="nil"/>
              <w:left w:val="nil"/>
              <w:bottom w:val="nil"/>
              <w:right w:val="nil"/>
            </w:tcBorders>
            <w:shd w:val="clear" w:color="auto" w:fill="auto"/>
            <w:noWrap/>
            <w:vAlign w:val="bottom"/>
            <w:hideMark/>
          </w:tcPr>
          <w:p w14:paraId="38E0309F" w14:textId="77777777" w:rsidR="006C5478" w:rsidRPr="00821FA0" w:rsidRDefault="006C5478" w:rsidP="006C5478">
            <w:pPr>
              <w:rPr>
                <w:color w:val="000000"/>
                <w:szCs w:val="22"/>
                <w:lang w:val="en-GB" w:eastAsia="en-GB"/>
              </w:rPr>
            </w:pPr>
            <w:r w:rsidRPr="00821FA0">
              <w:rPr>
                <w:color w:val="000000"/>
                <w:szCs w:val="22"/>
                <w:lang w:val="en-GB" w:eastAsia="en-GB"/>
              </w:rPr>
              <w:t>ERMPH</w:t>
            </w:r>
          </w:p>
        </w:tc>
        <w:tc>
          <w:tcPr>
            <w:tcW w:w="368" w:type="pct"/>
            <w:tcBorders>
              <w:top w:val="nil"/>
              <w:left w:val="nil"/>
              <w:bottom w:val="nil"/>
              <w:right w:val="nil"/>
            </w:tcBorders>
            <w:shd w:val="clear" w:color="auto" w:fill="auto"/>
            <w:noWrap/>
            <w:vAlign w:val="bottom"/>
            <w:hideMark/>
          </w:tcPr>
          <w:p w14:paraId="0BB628FE" w14:textId="77777777" w:rsidR="006C5478" w:rsidRPr="00821FA0" w:rsidRDefault="006C5478" w:rsidP="00821FA0">
            <w:pPr>
              <w:jc w:val="center"/>
              <w:rPr>
                <w:color w:val="000000"/>
                <w:szCs w:val="22"/>
                <w:lang w:val="en-GB" w:eastAsia="en-GB"/>
              </w:rPr>
            </w:pPr>
            <w:r w:rsidRPr="00821FA0">
              <w:rPr>
                <w:color w:val="000000"/>
                <w:szCs w:val="22"/>
                <w:lang w:val="en-GB" w:eastAsia="en-GB"/>
              </w:rPr>
              <w:t>6</w:t>
            </w:r>
          </w:p>
        </w:tc>
        <w:tc>
          <w:tcPr>
            <w:tcW w:w="269" w:type="pct"/>
            <w:tcBorders>
              <w:top w:val="nil"/>
              <w:left w:val="nil"/>
              <w:bottom w:val="nil"/>
              <w:right w:val="nil"/>
            </w:tcBorders>
            <w:shd w:val="clear" w:color="auto" w:fill="auto"/>
            <w:noWrap/>
            <w:vAlign w:val="bottom"/>
            <w:hideMark/>
          </w:tcPr>
          <w:p w14:paraId="664F5AF5" w14:textId="77777777" w:rsidR="006C5478" w:rsidRPr="00821FA0" w:rsidRDefault="006C5478" w:rsidP="00821FA0">
            <w:pPr>
              <w:jc w:val="center"/>
              <w:rPr>
                <w:color w:val="000000"/>
                <w:szCs w:val="22"/>
                <w:lang w:val="en-GB" w:eastAsia="en-GB"/>
              </w:rPr>
            </w:pPr>
            <w:r w:rsidRPr="00821FA0">
              <w:rPr>
                <w:color w:val="000000"/>
                <w:szCs w:val="22"/>
                <w:lang w:val="en-GB" w:eastAsia="en-GB"/>
              </w:rPr>
              <w:t>57</w:t>
            </w:r>
          </w:p>
        </w:tc>
        <w:tc>
          <w:tcPr>
            <w:tcW w:w="350" w:type="pct"/>
            <w:tcBorders>
              <w:top w:val="nil"/>
              <w:left w:val="nil"/>
              <w:bottom w:val="nil"/>
              <w:right w:val="nil"/>
            </w:tcBorders>
            <w:shd w:val="clear" w:color="auto" w:fill="auto"/>
            <w:noWrap/>
            <w:vAlign w:val="bottom"/>
            <w:hideMark/>
          </w:tcPr>
          <w:p w14:paraId="0D615C2C" w14:textId="77777777" w:rsidR="006C5478" w:rsidRPr="00821FA0" w:rsidRDefault="006C5478" w:rsidP="006C5478">
            <w:pPr>
              <w:rPr>
                <w:color w:val="000000"/>
                <w:szCs w:val="22"/>
                <w:lang w:val="en-GB" w:eastAsia="en-GB"/>
              </w:rPr>
            </w:pPr>
            <w:r w:rsidRPr="00821FA0">
              <w:rPr>
                <w:color w:val="000000"/>
                <w:szCs w:val="22"/>
                <w:lang w:val="en-GB" w:eastAsia="en-GB"/>
              </w:rPr>
              <w:t>ERMPH</w:t>
            </w:r>
          </w:p>
        </w:tc>
        <w:tc>
          <w:tcPr>
            <w:tcW w:w="449" w:type="pct"/>
            <w:tcBorders>
              <w:top w:val="nil"/>
              <w:left w:val="nil"/>
              <w:bottom w:val="nil"/>
              <w:right w:val="nil"/>
            </w:tcBorders>
            <w:shd w:val="clear" w:color="auto" w:fill="auto"/>
            <w:noWrap/>
            <w:vAlign w:val="bottom"/>
            <w:hideMark/>
          </w:tcPr>
          <w:p w14:paraId="6B19BE6D" w14:textId="77777777" w:rsidR="006C5478" w:rsidRPr="00821FA0" w:rsidRDefault="006C5478" w:rsidP="00821FA0">
            <w:pPr>
              <w:jc w:val="center"/>
              <w:rPr>
                <w:color w:val="000000"/>
                <w:szCs w:val="22"/>
                <w:lang w:val="en-GB" w:eastAsia="en-GB"/>
              </w:rPr>
            </w:pPr>
            <w:r w:rsidRPr="00821FA0">
              <w:rPr>
                <w:color w:val="000000"/>
                <w:szCs w:val="22"/>
                <w:lang w:val="en-GB" w:eastAsia="en-GB"/>
              </w:rPr>
              <w:t>7</w:t>
            </w:r>
          </w:p>
        </w:tc>
        <w:tc>
          <w:tcPr>
            <w:tcW w:w="269" w:type="pct"/>
            <w:tcBorders>
              <w:top w:val="nil"/>
              <w:left w:val="nil"/>
              <w:bottom w:val="nil"/>
              <w:right w:val="nil"/>
            </w:tcBorders>
            <w:shd w:val="clear" w:color="auto" w:fill="auto"/>
            <w:noWrap/>
            <w:vAlign w:val="bottom"/>
            <w:hideMark/>
          </w:tcPr>
          <w:p w14:paraId="55AB4F83" w14:textId="77777777" w:rsidR="006C5478" w:rsidRPr="00821FA0" w:rsidRDefault="006C5478" w:rsidP="00821FA0">
            <w:pPr>
              <w:jc w:val="center"/>
              <w:rPr>
                <w:color w:val="000000"/>
                <w:szCs w:val="22"/>
                <w:lang w:val="en-GB" w:eastAsia="en-GB"/>
              </w:rPr>
            </w:pPr>
            <w:r w:rsidRPr="00821FA0">
              <w:rPr>
                <w:color w:val="000000"/>
                <w:szCs w:val="22"/>
                <w:lang w:val="en-GB" w:eastAsia="en-GB"/>
              </w:rPr>
              <w:t>54</w:t>
            </w:r>
          </w:p>
        </w:tc>
        <w:tc>
          <w:tcPr>
            <w:tcW w:w="350" w:type="pct"/>
            <w:tcBorders>
              <w:top w:val="nil"/>
              <w:left w:val="nil"/>
              <w:bottom w:val="nil"/>
              <w:right w:val="nil"/>
            </w:tcBorders>
            <w:shd w:val="clear" w:color="auto" w:fill="auto"/>
            <w:noWrap/>
            <w:vAlign w:val="bottom"/>
            <w:hideMark/>
          </w:tcPr>
          <w:p w14:paraId="28162E6E" w14:textId="77777777" w:rsidR="006C5478" w:rsidRPr="00821FA0" w:rsidRDefault="006C5478" w:rsidP="006C5478">
            <w:pPr>
              <w:rPr>
                <w:color w:val="000000"/>
                <w:szCs w:val="22"/>
                <w:lang w:val="en-GB" w:eastAsia="en-GB"/>
              </w:rPr>
            </w:pPr>
            <w:r w:rsidRPr="00821FA0">
              <w:rPr>
                <w:color w:val="000000"/>
                <w:szCs w:val="22"/>
                <w:lang w:val="en-GB" w:eastAsia="en-GB"/>
              </w:rPr>
              <w:t>ERMPH</w:t>
            </w:r>
          </w:p>
        </w:tc>
        <w:tc>
          <w:tcPr>
            <w:tcW w:w="449" w:type="pct"/>
            <w:tcBorders>
              <w:top w:val="nil"/>
              <w:left w:val="nil"/>
              <w:bottom w:val="nil"/>
              <w:right w:val="nil"/>
            </w:tcBorders>
            <w:shd w:val="clear" w:color="auto" w:fill="auto"/>
            <w:noWrap/>
            <w:vAlign w:val="bottom"/>
            <w:hideMark/>
          </w:tcPr>
          <w:p w14:paraId="760003A1" w14:textId="77777777" w:rsidR="006C5478" w:rsidRPr="00821FA0" w:rsidRDefault="006C5478" w:rsidP="00821FA0">
            <w:pPr>
              <w:jc w:val="center"/>
              <w:rPr>
                <w:color w:val="000000"/>
                <w:szCs w:val="22"/>
                <w:lang w:val="en-GB" w:eastAsia="en-GB"/>
              </w:rPr>
            </w:pPr>
            <w:r w:rsidRPr="00821FA0">
              <w:rPr>
                <w:color w:val="000000"/>
                <w:szCs w:val="22"/>
                <w:lang w:val="en-GB" w:eastAsia="en-GB"/>
              </w:rPr>
              <w:t>5</w:t>
            </w:r>
          </w:p>
        </w:tc>
        <w:tc>
          <w:tcPr>
            <w:tcW w:w="269" w:type="pct"/>
            <w:tcBorders>
              <w:top w:val="nil"/>
              <w:left w:val="nil"/>
              <w:bottom w:val="nil"/>
              <w:right w:val="nil"/>
            </w:tcBorders>
            <w:shd w:val="clear" w:color="auto" w:fill="auto"/>
            <w:noWrap/>
            <w:vAlign w:val="bottom"/>
            <w:hideMark/>
          </w:tcPr>
          <w:p w14:paraId="7998373D" w14:textId="77777777" w:rsidR="006C5478" w:rsidRPr="00821FA0" w:rsidRDefault="006C5478" w:rsidP="00821FA0">
            <w:pPr>
              <w:jc w:val="center"/>
              <w:rPr>
                <w:color w:val="000000"/>
                <w:szCs w:val="22"/>
                <w:lang w:val="en-GB" w:eastAsia="en-GB"/>
              </w:rPr>
            </w:pPr>
            <w:r w:rsidRPr="00821FA0">
              <w:rPr>
                <w:color w:val="000000"/>
                <w:szCs w:val="22"/>
                <w:lang w:val="en-GB" w:eastAsia="en-GB"/>
              </w:rPr>
              <w:t>54</w:t>
            </w:r>
          </w:p>
        </w:tc>
      </w:tr>
      <w:tr w:rsidR="00821FA0" w:rsidRPr="00821FA0" w14:paraId="7CFC2AC3" w14:textId="77777777" w:rsidTr="00821FA0">
        <w:trPr>
          <w:trHeight w:val="300"/>
        </w:trPr>
        <w:tc>
          <w:tcPr>
            <w:tcW w:w="510" w:type="pct"/>
            <w:tcBorders>
              <w:top w:val="nil"/>
              <w:left w:val="nil"/>
              <w:bottom w:val="nil"/>
              <w:right w:val="nil"/>
            </w:tcBorders>
            <w:shd w:val="clear" w:color="auto" w:fill="auto"/>
            <w:noWrap/>
            <w:vAlign w:val="bottom"/>
            <w:hideMark/>
          </w:tcPr>
          <w:p w14:paraId="1BE15873" w14:textId="77777777" w:rsidR="006C5478" w:rsidRPr="00821FA0" w:rsidRDefault="006C5478" w:rsidP="006C5478">
            <w:pPr>
              <w:rPr>
                <w:color w:val="000000"/>
                <w:szCs w:val="22"/>
                <w:lang w:val="en-GB" w:eastAsia="en-GB"/>
              </w:rPr>
            </w:pPr>
            <w:r w:rsidRPr="00821FA0">
              <w:rPr>
                <w:color w:val="000000"/>
                <w:szCs w:val="22"/>
                <w:lang w:val="en-GB" w:eastAsia="en-GB"/>
              </w:rPr>
              <w:t>Young 2011</w:t>
            </w:r>
          </w:p>
        </w:tc>
        <w:tc>
          <w:tcPr>
            <w:tcW w:w="215" w:type="pct"/>
            <w:tcBorders>
              <w:top w:val="nil"/>
              <w:left w:val="nil"/>
              <w:bottom w:val="nil"/>
              <w:right w:val="nil"/>
            </w:tcBorders>
            <w:shd w:val="clear" w:color="auto" w:fill="auto"/>
            <w:noWrap/>
            <w:vAlign w:val="bottom"/>
            <w:hideMark/>
          </w:tcPr>
          <w:p w14:paraId="2F0B029A" w14:textId="77777777" w:rsidR="006C5478" w:rsidRPr="00821FA0" w:rsidRDefault="006C5478" w:rsidP="00821FA0">
            <w:pPr>
              <w:jc w:val="center"/>
              <w:rPr>
                <w:color w:val="000000"/>
                <w:szCs w:val="22"/>
                <w:lang w:val="en-GB" w:eastAsia="en-GB"/>
              </w:rPr>
            </w:pPr>
            <w:r w:rsidRPr="00821FA0">
              <w:rPr>
                <w:color w:val="000000"/>
                <w:szCs w:val="22"/>
                <w:lang w:val="en-GB" w:eastAsia="en-GB"/>
              </w:rPr>
              <w:t>2</w:t>
            </w:r>
          </w:p>
        </w:tc>
        <w:tc>
          <w:tcPr>
            <w:tcW w:w="350" w:type="pct"/>
            <w:tcBorders>
              <w:top w:val="nil"/>
              <w:left w:val="nil"/>
              <w:bottom w:val="nil"/>
              <w:right w:val="nil"/>
            </w:tcBorders>
            <w:shd w:val="clear" w:color="auto" w:fill="auto"/>
            <w:noWrap/>
            <w:vAlign w:val="bottom"/>
            <w:hideMark/>
          </w:tcPr>
          <w:p w14:paraId="546FAB15" w14:textId="77777777" w:rsidR="006C5478" w:rsidRPr="00821FA0" w:rsidRDefault="006C5478" w:rsidP="006C5478">
            <w:pPr>
              <w:rPr>
                <w:color w:val="000000"/>
                <w:szCs w:val="22"/>
                <w:lang w:val="en-GB" w:eastAsia="en-GB"/>
              </w:rPr>
            </w:pPr>
            <w:r w:rsidRPr="00821FA0">
              <w:rPr>
                <w:color w:val="000000"/>
                <w:szCs w:val="22"/>
                <w:lang w:val="en-GB" w:eastAsia="en-GB"/>
              </w:rPr>
              <w:t>PL</w:t>
            </w:r>
          </w:p>
        </w:tc>
        <w:tc>
          <w:tcPr>
            <w:tcW w:w="449" w:type="pct"/>
            <w:tcBorders>
              <w:top w:val="nil"/>
              <w:left w:val="nil"/>
              <w:bottom w:val="nil"/>
              <w:right w:val="nil"/>
            </w:tcBorders>
            <w:shd w:val="clear" w:color="auto" w:fill="auto"/>
            <w:noWrap/>
            <w:vAlign w:val="bottom"/>
            <w:hideMark/>
          </w:tcPr>
          <w:p w14:paraId="5B031600" w14:textId="77777777" w:rsidR="006C5478" w:rsidRPr="00821FA0" w:rsidRDefault="006C5478" w:rsidP="00821FA0">
            <w:pPr>
              <w:jc w:val="center"/>
              <w:rPr>
                <w:color w:val="000000"/>
                <w:szCs w:val="22"/>
                <w:lang w:val="en-GB" w:eastAsia="en-GB"/>
              </w:rPr>
            </w:pPr>
            <w:r w:rsidRPr="00821FA0">
              <w:rPr>
                <w:color w:val="000000"/>
                <w:szCs w:val="22"/>
                <w:lang w:val="en-GB" w:eastAsia="en-GB"/>
              </w:rPr>
              <w:t>22</w:t>
            </w:r>
          </w:p>
        </w:tc>
        <w:tc>
          <w:tcPr>
            <w:tcW w:w="269" w:type="pct"/>
            <w:tcBorders>
              <w:top w:val="nil"/>
              <w:left w:val="nil"/>
              <w:bottom w:val="nil"/>
              <w:right w:val="nil"/>
            </w:tcBorders>
            <w:shd w:val="clear" w:color="auto" w:fill="auto"/>
            <w:noWrap/>
            <w:vAlign w:val="bottom"/>
            <w:hideMark/>
          </w:tcPr>
          <w:p w14:paraId="206FE1E2" w14:textId="77777777" w:rsidR="006C5478" w:rsidRPr="00821FA0" w:rsidRDefault="006C5478" w:rsidP="00821FA0">
            <w:pPr>
              <w:jc w:val="center"/>
              <w:rPr>
                <w:color w:val="000000"/>
                <w:szCs w:val="22"/>
                <w:lang w:val="en-GB" w:eastAsia="en-GB"/>
              </w:rPr>
            </w:pPr>
            <w:r w:rsidRPr="00821FA0">
              <w:rPr>
                <w:color w:val="000000"/>
                <w:szCs w:val="22"/>
                <w:lang w:val="en-GB" w:eastAsia="en-GB"/>
              </w:rPr>
              <w:t>234</w:t>
            </w:r>
          </w:p>
        </w:tc>
        <w:tc>
          <w:tcPr>
            <w:tcW w:w="432" w:type="pct"/>
            <w:gridSpan w:val="2"/>
            <w:tcBorders>
              <w:top w:val="nil"/>
              <w:left w:val="nil"/>
              <w:bottom w:val="nil"/>
              <w:right w:val="nil"/>
            </w:tcBorders>
            <w:shd w:val="clear" w:color="auto" w:fill="auto"/>
            <w:noWrap/>
            <w:vAlign w:val="bottom"/>
            <w:hideMark/>
          </w:tcPr>
          <w:p w14:paraId="7F395372" w14:textId="77777777" w:rsidR="006C5478" w:rsidRPr="00821FA0" w:rsidRDefault="006C5478" w:rsidP="006C5478">
            <w:pPr>
              <w:rPr>
                <w:color w:val="000000"/>
                <w:szCs w:val="22"/>
                <w:lang w:val="en-GB" w:eastAsia="en-GB"/>
              </w:rPr>
            </w:pPr>
            <w:r w:rsidRPr="00821FA0">
              <w:rPr>
                <w:color w:val="000000"/>
                <w:szCs w:val="22"/>
                <w:lang w:val="en-GB" w:eastAsia="en-GB"/>
              </w:rPr>
              <w:t>ATX</w:t>
            </w:r>
          </w:p>
        </w:tc>
        <w:tc>
          <w:tcPr>
            <w:tcW w:w="368" w:type="pct"/>
            <w:tcBorders>
              <w:top w:val="nil"/>
              <w:left w:val="nil"/>
              <w:bottom w:val="nil"/>
              <w:right w:val="nil"/>
            </w:tcBorders>
            <w:shd w:val="clear" w:color="auto" w:fill="auto"/>
            <w:noWrap/>
            <w:vAlign w:val="bottom"/>
            <w:hideMark/>
          </w:tcPr>
          <w:p w14:paraId="55432D08" w14:textId="77777777" w:rsidR="006C5478" w:rsidRPr="00821FA0" w:rsidRDefault="006C5478" w:rsidP="00821FA0">
            <w:pPr>
              <w:jc w:val="center"/>
              <w:rPr>
                <w:color w:val="000000"/>
                <w:szCs w:val="22"/>
                <w:lang w:val="en-GB" w:eastAsia="en-GB"/>
              </w:rPr>
            </w:pPr>
            <w:r w:rsidRPr="00821FA0">
              <w:rPr>
                <w:color w:val="000000"/>
                <w:szCs w:val="22"/>
                <w:lang w:val="en-GB" w:eastAsia="en-GB"/>
              </w:rPr>
              <w:t>57</w:t>
            </w:r>
          </w:p>
        </w:tc>
        <w:tc>
          <w:tcPr>
            <w:tcW w:w="269" w:type="pct"/>
            <w:tcBorders>
              <w:top w:val="nil"/>
              <w:left w:val="nil"/>
              <w:bottom w:val="nil"/>
              <w:right w:val="nil"/>
            </w:tcBorders>
            <w:shd w:val="clear" w:color="auto" w:fill="auto"/>
            <w:noWrap/>
            <w:vAlign w:val="bottom"/>
            <w:hideMark/>
          </w:tcPr>
          <w:p w14:paraId="0D23660C" w14:textId="77777777" w:rsidR="006C5478" w:rsidRPr="00821FA0" w:rsidRDefault="006C5478" w:rsidP="00821FA0">
            <w:pPr>
              <w:jc w:val="center"/>
              <w:rPr>
                <w:color w:val="000000"/>
                <w:szCs w:val="22"/>
                <w:lang w:val="en-GB" w:eastAsia="en-GB"/>
              </w:rPr>
            </w:pPr>
            <w:r w:rsidRPr="00821FA0">
              <w:rPr>
                <w:color w:val="000000"/>
                <w:szCs w:val="22"/>
                <w:lang w:val="en-GB" w:eastAsia="en-GB"/>
              </w:rPr>
              <w:t>266</w:t>
            </w:r>
          </w:p>
        </w:tc>
        <w:tc>
          <w:tcPr>
            <w:tcW w:w="350" w:type="pct"/>
            <w:tcBorders>
              <w:top w:val="nil"/>
              <w:left w:val="nil"/>
              <w:bottom w:val="nil"/>
              <w:right w:val="nil"/>
            </w:tcBorders>
            <w:shd w:val="clear" w:color="auto" w:fill="auto"/>
            <w:noWrap/>
            <w:vAlign w:val="bottom"/>
            <w:hideMark/>
          </w:tcPr>
          <w:p w14:paraId="220EA18B" w14:textId="77777777" w:rsidR="006C5478" w:rsidRPr="00821FA0" w:rsidRDefault="006C5478" w:rsidP="006C5478">
            <w:pPr>
              <w:rPr>
                <w:color w:val="000000"/>
                <w:szCs w:val="22"/>
                <w:lang w:val="en-GB" w:eastAsia="en-GB"/>
              </w:rPr>
            </w:pPr>
            <w:r w:rsidRPr="00821FA0">
              <w:rPr>
                <w:color w:val="000000"/>
                <w:szCs w:val="22"/>
                <w:lang w:val="en-GB" w:eastAsia="en-GB"/>
              </w:rPr>
              <w:t>NA</w:t>
            </w:r>
          </w:p>
        </w:tc>
        <w:tc>
          <w:tcPr>
            <w:tcW w:w="449" w:type="pct"/>
            <w:tcBorders>
              <w:top w:val="nil"/>
              <w:left w:val="nil"/>
              <w:bottom w:val="nil"/>
              <w:right w:val="nil"/>
            </w:tcBorders>
            <w:shd w:val="clear" w:color="auto" w:fill="auto"/>
            <w:noWrap/>
            <w:vAlign w:val="bottom"/>
            <w:hideMark/>
          </w:tcPr>
          <w:p w14:paraId="26581A67" w14:textId="77777777" w:rsidR="006C5478" w:rsidRPr="00821FA0" w:rsidRDefault="006C5478" w:rsidP="00821FA0">
            <w:pPr>
              <w:jc w:val="center"/>
              <w:rPr>
                <w:color w:val="000000"/>
                <w:szCs w:val="22"/>
                <w:lang w:val="en-GB" w:eastAsia="en-GB"/>
              </w:rPr>
            </w:pPr>
            <w:r w:rsidRPr="00821FA0">
              <w:rPr>
                <w:color w:val="000000"/>
                <w:szCs w:val="22"/>
                <w:lang w:val="en-GB" w:eastAsia="en-GB"/>
              </w:rPr>
              <w:t>NA</w:t>
            </w:r>
          </w:p>
        </w:tc>
        <w:tc>
          <w:tcPr>
            <w:tcW w:w="269" w:type="pct"/>
            <w:tcBorders>
              <w:top w:val="nil"/>
              <w:left w:val="nil"/>
              <w:bottom w:val="nil"/>
              <w:right w:val="nil"/>
            </w:tcBorders>
            <w:shd w:val="clear" w:color="auto" w:fill="auto"/>
            <w:noWrap/>
            <w:vAlign w:val="bottom"/>
            <w:hideMark/>
          </w:tcPr>
          <w:p w14:paraId="1CF9B125" w14:textId="77777777" w:rsidR="006C5478" w:rsidRPr="00821FA0" w:rsidRDefault="006C5478" w:rsidP="00821FA0">
            <w:pPr>
              <w:jc w:val="center"/>
              <w:rPr>
                <w:color w:val="000000"/>
                <w:szCs w:val="22"/>
                <w:lang w:val="en-GB" w:eastAsia="en-GB"/>
              </w:rPr>
            </w:pPr>
            <w:r w:rsidRPr="00821FA0">
              <w:rPr>
                <w:color w:val="000000"/>
                <w:szCs w:val="22"/>
                <w:lang w:val="en-GB" w:eastAsia="en-GB"/>
              </w:rPr>
              <w:t>NA</w:t>
            </w:r>
          </w:p>
        </w:tc>
        <w:tc>
          <w:tcPr>
            <w:tcW w:w="350" w:type="pct"/>
            <w:tcBorders>
              <w:top w:val="nil"/>
              <w:left w:val="nil"/>
              <w:bottom w:val="nil"/>
              <w:right w:val="nil"/>
            </w:tcBorders>
            <w:shd w:val="clear" w:color="auto" w:fill="auto"/>
            <w:noWrap/>
            <w:vAlign w:val="bottom"/>
            <w:hideMark/>
          </w:tcPr>
          <w:p w14:paraId="320D961C" w14:textId="77777777" w:rsidR="006C5478" w:rsidRPr="00821FA0" w:rsidRDefault="006C5478" w:rsidP="006C5478">
            <w:pPr>
              <w:rPr>
                <w:color w:val="000000"/>
                <w:szCs w:val="22"/>
                <w:lang w:val="en-GB" w:eastAsia="en-GB"/>
              </w:rPr>
            </w:pPr>
            <w:r w:rsidRPr="00821FA0">
              <w:rPr>
                <w:color w:val="000000"/>
                <w:szCs w:val="22"/>
                <w:lang w:val="en-GB" w:eastAsia="en-GB"/>
              </w:rPr>
              <w:t>NA</w:t>
            </w:r>
          </w:p>
        </w:tc>
        <w:tc>
          <w:tcPr>
            <w:tcW w:w="449" w:type="pct"/>
            <w:tcBorders>
              <w:top w:val="nil"/>
              <w:left w:val="nil"/>
              <w:bottom w:val="nil"/>
              <w:right w:val="nil"/>
            </w:tcBorders>
            <w:shd w:val="clear" w:color="auto" w:fill="auto"/>
            <w:noWrap/>
            <w:vAlign w:val="bottom"/>
            <w:hideMark/>
          </w:tcPr>
          <w:p w14:paraId="4E447674" w14:textId="77777777" w:rsidR="006C5478" w:rsidRPr="00821FA0" w:rsidRDefault="006C5478" w:rsidP="00821FA0">
            <w:pPr>
              <w:jc w:val="center"/>
              <w:rPr>
                <w:color w:val="000000"/>
                <w:szCs w:val="22"/>
                <w:lang w:val="en-GB" w:eastAsia="en-GB"/>
              </w:rPr>
            </w:pPr>
            <w:r w:rsidRPr="00821FA0">
              <w:rPr>
                <w:color w:val="000000"/>
                <w:szCs w:val="22"/>
                <w:lang w:val="en-GB" w:eastAsia="en-GB"/>
              </w:rPr>
              <w:t>NA</w:t>
            </w:r>
          </w:p>
        </w:tc>
        <w:tc>
          <w:tcPr>
            <w:tcW w:w="269" w:type="pct"/>
            <w:tcBorders>
              <w:top w:val="nil"/>
              <w:left w:val="nil"/>
              <w:bottom w:val="nil"/>
              <w:right w:val="nil"/>
            </w:tcBorders>
            <w:shd w:val="clear" w:color="auto" w:fill="auto"/>
            <w:noWrap/>
            <w:vAlign w:val="bottom"/>
            <w:hideMark/>
          </w:tcPr>
          <w:p w14:paraId="33812884" w14:textId="77777777" w:rsidR="006C5478" w:rsidRPr="00821FA0" w:rsidRDefault="006C5478" w:rsidP="00821FA0">
            <w:pPr>
              <w:jc w:val="center"/>
              <w:rPr>
                <w:color w:val="000000"/>
                <w:szCs w:val="22"/>
                <w:lang w:val="en-GB" w:eastAsia="en-GB"/>
              </w:rPr>
            </w:pPr>
            <w:r w:rsidRPr="00821FA0">
              <w:rPr>
                <w:color w:val="000000"/>
                <w:szCs w:val="22"/>
                <w:lang w:val="en-GB" w:eastAsia="en-GB"/>
              </w:rPr>
              <w:t>NA</w:t>
            </w:r>
          </w:p>
        </w:tc>
      </w:tr>
      <w:tr w:rsidR="00821FA0" w:rsidRPr="00821FA0" w14:paraId="43B1C0A8" w14:textId="77777777" w:rsidTr="00821FA0">
        <w:trPr>
          <w:trHeight w:val="300"/>
        </w:trPr>
        <w:tc>
          <w:tcPr>
            <w:tcW w:w="510" w:type="pct"/>
            <w:tcBorders>
              <w:top w:val="nil"/>
              <w:left w:val="nil"/>
              <w:bottom w:val="nil"/>
              <w:right w:val="nil"/>
            </w:tcBorders>
            <w:shd w:val="clear" w:color="auto" w:fill="auto"/>
            <w:noWrap/>
            <w:vAlign w:val="bottom"/>
            <w:hideMark/>
          </w:tcPr>
          <w:p w14:paraId="710180BC" w14:textId="77777777" w:rsidR="006C5478" w:rsidRPr="00821FA0" w:rsidRDefault="006C5478" w:rsidP="006C5478">
            <w:pPr>
              <w:rPr>
                <w:color w:val="000000"/>
                <w:szCs w:val="22"/>
                <w:lang w:val="en-GB" w:eastAsia="en-GB"/>
              </w:rPr>
            </w:pPr>
            <w:r w:rsidRPr="00821FA0">
              <w:rPr>
                <w:color w:val="000000"/>
                <w:szCs w:val="22"/>
                <w:lang w:val="en-GB" w:eastAsia="en-GB"/>
              </w:rPr>
              <w:t>Weisler 2012</w:t>
            </w:r>
          </w:p>
        </w:tc>
        <w:tc>
          <w:tcPr>
            <w:tcW w:w="215" w:type="pct"/>
            <w:tcBorders>
              <w:top w:val="nil"/>
              <w:left w:val="nil"/>
              <w:bottom w:val="nil"/>
              <w:right w:val="nil"/>
            </w:tcBorders>
            <w:shd w:val="clear" w:color="auto" w:fill="auto"/>
            <w:noWrap/>
            <w:vAlign w:val="bottom"/>
            <w:hideMark/>
          </w:tcPr>
          <w:p w14:paraId="61B49CEA" w14:textId="77777777" w:rsidR="006C5478" w:rsidRPr="00821FA0" w:rsidRDefault="006C5478" w:rsidP="00821FA0">
            <w:pPr>
              <w:jc w:val="center"/>
              <w:rPr>
                <w:color w:val="000000"/>
                <w:szCs w:val="22"/>
                <w:lang w:val="en-GB" w:eastAsia="en-GB"/>
              </w:rPr>
            </w:pPr>
            <w:r w:rsidRPr="00821FA0">
              <w:rPr>
                <w:color w:val="000000"/>
                <w:szCs w:val="22"/>
                <w:lang w:val="en-GB" w:eastAsia="en-GB"/>
              </w:rPr>
              <w:t>3</w:t>
            </w:r>
          </w:p>
        </w:tc>
        <w:tc>
          <w:tcPr>
            <w:tcW w:w="350" w:type="pct"/>
            <w:tcBorders>
              <w:top w:val="nil"/>
              <w:left w:val="nil"/>
              <w:bottom w:val="nil"/>
              <w:right w:val="nil"/>
            </w:tcBorders>
            <w:shd w:val="clear" w:color="auto" w:fill="auto"/>
            <w:noWrap/>
            <w:vAlign w:val="bottom"/>
            <w:hideMark/>
          </w:tcPr>
          <w:p w14:paraId="68F49725" w14:textId="77777777" w:rsidR="006C5478" w:rsidRPr="00821FA0" w:rsidRDefault="006C5478" w:rsidP="006C5478">
            <w:pPr>
              <w:rPr>
                <w:color w:val="000000"/>
                <w:szCs w:val="22"/>
                <w:lang w:val="en-GB" w:eastAsia="en-GB"/>
              </w:rPr>
            </w:pPr>
            <w:r w:rsidRPr="00821FA0">
              <w:rPr>
                <w:color w:val="000000"/>
                <w:szCs w:val="22"/>
                <w:lang w:val="en-GB" w:eastAsia="en-GB"/>
              </w:rPr>
              <w:t>PL</w:t>
            </w:r>
          </w:p>
        </w:tc>
        <w:tc>
          <w:tcPr>
            <w:tcW w:w="449" w:type="pct"/>
            <w:tcBorders>
              <w:top w:val="nil"/>
              <w:left w:val="nil"/>
              <w:bottom w:val="nil"/>
              <w:right w:val="nil"/>
            </w:tcBorders>
            <w:shd w:val="clear" w:color="auto" w:fill="auto"/>
            <w:noWrap/>
            <w:vAlign w:val="bottom"/>
            <w:hideMark/>
          </w:tcPr>
          <w:p w14:paraId="0A5753FD" w14:textId="77777777" w:rsidR="006C5478" w:rsidRPr="00821FA0" w:rsidRDefault="006C5478" w:rsidP="00821FA0">
            <w:pPr>
              <w:jc w:val="center"/>
              <w:rPr>
                <w:color w:val="000000"/>
                <w:szCs w:val="22"/>
                <w:lang w:val="en-GB" w:eastAsia="en-GB"/>
              </w:rPr>
            </w:pPr>
            <w:r w:rsidRPr="00821FA0">
              <w:rPr>
                <w:color w:val="000000"/>
                <w:szCs w:val="22"/>
                <w:lang w:val="en-GB" w:eastAsia="en-GB"/>
              </w:rPr>
              <w:t>2</w:t>
            </w:r>
          </w:p>
        </w:tc>
        <w:tc>
          <w:tcPr>
            <w:tcW w:w="269" w:type="pct"/>
            <w:tcBorders>
              <w:top w:val="nil"/>
              <w:left w:val="nil"/>
              <w:bottom w:val="nil"/>
              <w:right w:val="nil"/>
            </w:tcBorders>
            <w:shd w:val="clear" w:color="auto" w:fill="auto"/>
            <w:noWrap/>
            <w:vAlign w:val="bottom"/>
            <w:hideMark/>
          </w:tcPr>
          <w:p w14:paraId="533DD9D1" w14:textId="77777777" w:rsidR="006C5478" w:rsidRPr="00821FA0" w:rsidRDefault="006C5478" w:rsidP="00821FA0">
            <w:pPr>
              <w:jc w:val="center"/>
              <w:rPr>
                <w:color w:val="000000"/>
                <w:szCs w:val="22"/>
                <w:lang w:val="en-GB" w:eastAsia="en-GB"/>
              </w:rPr>
            </w:pPr>
            <w:r w:rsidRPr="00821FA0">
              <w:rPr>
                <w:color w:val="000000"/>
                <w:szCs w:val="22"/>
                <w:lang w:val="en-GB" w:eastAsia="en-GB"/>
              </w:rPr>
              <w:t>73</w:t>
            </w:r>
          </w:p>
        </w:tc>
        <w:tc>
          <w:tcPr>
            <w:tcW w:w="432" w:type="pct"/>
            <w:gridSpan w:val="2"/>
            <w:tcBorders>
              <w:top w:val="nil"/>
              <w:left w:val="nil"/>
              <w:bottom w:val="nil"/>
              <w:right w:val="nil"/>
            </w:tcBorders>
            <w:shd w:val="clear" w:color="auto" w:fill="auto"/>
            <w:noWrap/>
            <w:vAlign w:val="bottom"/>
            <w:hideMark/>
          </w:tcPr>
          <w:p w14:paraId="06D9F6A7" w14:textId="77777777" w:rsidR="006C5478" w:rsidRPr="00821FA0" w:rsidRDefault="006C5478" w:rsidP="006C5478">
            <w:pPr>
              <w:rPr>
                <w:color w:val="000000"/>
                <w:szCs w:val="22"/>
                <w:lang w:val="en-GB" w:eastAsia="en-GB"/>
              </w:rPr>
            </w:pPr>
            <w:r w:rsidRPr="00821FA0">
              <w:rPr>
                <w:color w:val="000000"/>
                <w:szCs w:val="22"/>
                <w:lang w:val="en-GB" w:eastAsia="en-GB"/>
              </w:rPr>
              <w:t>ERMPH</w:t>
            </w:r>
          </w:p>
        </w:tc>
        <w:tc>
          <w:tcPr>
            <w:tcW w:w="368" w:type="pct"/>
            <w:tcBorders>
              <w:top w:val="nil"/>
              <w:left w:val="nil"/>
              <w:bottom w:val="nil"/>
              <w:right w:val="nil"/>
            </w:tcBorders>
            <w:shd w:val="clear" w:color="auto" w:fill="auto"/>
            <w:noWrap/>
            <w:vAlign w:val="bottom"/>
            <w:hideMark/>
          </w:tcPr>
          <w:p w14:paraId="72D82255" w14:textId="77777777" w:rsidR="006C5478" w:rsidRPr="00821FA0" w:rsidRDefault="006C5478" w:rsidP="00821FA0">
            <w:pPr>
              <w:jc w:val="center"/>
              <w:rPr>
                <w:color w:val="000000"/>
                <w:szCs w:val="22"/>
                <w:lang w:val="en-GB" w:eastAsia="en-GB"/>
              </w:rPr>
            </w:pPr>
            <w:r w:rsidRPr="00821FA0">
              <w:rPr>
                <w:color w:val="000000"/>
                <w:szCs w:val="22"/>
                <w:lang w:val="en-GB" w:eastAsia="en-GB"/>
              </w:rPr>
              <w:t>6</w:t>
            </w:r>
          </w:p>
        </w:tc>
        <w:tc>
          <w:tcPr>
            <w:tcW w:w="269" w:type="pct"/>
            <w:tcBorders>
              <w:top w:val="nil"/>
              <w:left w:val="nil"/>
              <w:bottom w:val="nil"/>
              <w:right w:val="nil"/>
            </w:tcBorders>
            <w:shd w:val="clear" w:color="auto" w:fill="auto"/>
            <w:noWrap/>
            <w:vAlign w:val="bottom"/>
            <w:hideMark/>
          </w:tcPr>
          <w:p w14:paraId="68AA0386" w14:textId="77777777" w:rsidR="006C5478" w:rsidRPr="00821FA0" w:rsidRDefault="006C5478" w:rsidP="00821FA0">
            <w:pPr>
              <w:jc w:val="center"/>
              <w:rPr>
                <w:color w:val="000000"/>
                <w:szCs w:val="22"/>
                <w:lang w:val="en-GB" w:eastAsia="en-GB"/>
              </w:rPr>
            </w:pPr>
            <w:r w:rsidRPr="00821FA0">
              <w:rPr>
                <w:color w:val="000000"/>
                <w:szCs w:val="22"/>
                <w:lang w:val="en-GB" w:eastAsia="en-GB"/>
              </w:rPr>
              <w:t>68</w:t>
            </w:r>
          </w:p>
        </w:tc>
        <w:tc>
          <w:tcPr>
            <w:tcW w:w="350" w:type="pct"/>
            <w:tcBorders>
              <w:top w:val="nil"/>
              <w:left w:val="nil"/>
              <w:bottom w:val="nil"/>
              <w:right w:val="nil"/>
            </w:tcBorders>
            <w:shd w:val="clear" w:color="auto" w:fill="auto"/>
            <w:noWrap/>
            <w:vAlign w:val="bottom"/>
            <w:hideMark/>
          </w:tcPr>
          <w:p w14:paraId="5D561434" w14:textId="77777777" w:rsidR="006C5478" w:rsidRPr="00821FA0" w:rsidRDefault="006C5478" w:rsidP="006C5478">
            <w:pPr>
              <w:rPr>
                <w:color w:val="000000"/>
                <w:szCs w:val="22"/>
                <w:lang w:val="en-GB" w:eastAsia="en-GB"/>
              </w:rPr>
            </w:pPr>
            <w:r w:rsidRPr="00821FA0">
              <w:rPr>
                <w:color w:val="000000"/>
                <w:szCs w:val="22"/>
                <w:lang w:val="en-GB" w:eastAsia="en-GB"/>
              </w:rPr>
              <w:t>ATX</w:t>
            </w:r>
          </w:p>
        </w:tc>
        <w:tc>
          <w:tcPr>
            <w:tcW w:w="449" w:type="pct"/>
            <w:tcBorders>
              <w:top w:val="nil"/>
              <w:left w:val="nil"/>
              <w:bottom w:val="nil"/>
              <w:right w:val="nil"/>
            </w:tcBorders>
            <w:shd w:val="clear" w:color="auto" w:fill="auto"/>
            <w:noWrap/>
            <w:vAlign w:val="bottom"/>
            <w:hideMark/>
          </w:tcPr>
          <w:p w14:paraId="4A51F7A4" w14:textId="77777777" w:rsidR="006C5478" w:rsidRPr="00821FA0" w:rsidRDefault="006C5478" w:rsidP="00821FA0">
            <w:pPr>
              <w:jc w:val="center"/>
              <w:rPr>
                <w:color w:val="000000"/>
                <w:szCs w:val="22"/>
                <w:lang w:val="en-GB" w:eastAsia="en-GB"/>
              </w:rPr>
            </w:pPr>
            <w:r w:rsidRPr="00821FA0">
              <w:rPr>
                <w:color w:val="000000"/>
                <w:szCs w:val="22"/>
                <w:lang w:val="en-GB" w:eastAsia="en-GB"/>
              </w:rPr>
              <w:t>8</w:t>
            </w:r>
          </w:p>
        </w:tc>
        <w:tc>
          <w:tcPr>
            <w:tcW w:w="269" w:type="pct"/>
            <w:tcBorders>
              <w:top w:val="nil"/>
              <w:left w:val="nil"/>
              <w:bottom w:val="nil"/>
              <w:right w:val="nil"/>
            </w:tcBorders>
            <w:shd w:val="clear" w:color="auto" w:fill="auto"/>
            <w:noWrap/>
            <w:vAlign w:val="bottom"/>
            <w:hideMark/>
          </w:tcPr>
          <w:p w14:paraId="459625DF" w14:textId="77777777" w:rsidR="006C5478" w:rsidRPr="00821FA0" w:rsidRDefault="006C5478" w:rsidP="00821FA0">
            <w:pPr>
              <w:jc w:val="center"/>
              <w:rPr>
                <w:color w:val="000000"/>
                <w:szCs w:val="22"/>
                <w:lang w:val="en-GB" w:eastAsia="en-GB"/>
              </w:rPr>
            </w:pPr>
            <w:r w:rsidRPr="00821FA0">
              <w:rPr>
                <w:color w:val="000000"/>
                <w:szCs w:val="22"/>
                <w:lang w:val="en-GB" w:eastAsia="en-GB"/>
              </w:rPr>
              <w:t>74</w:t>
            </w:r>
          </w:p>
        </w:tc>
        <w:tc>
          <w:tcPr>
            <w:tcW w:w="350" w:type="pct"/>
            <w:tcBorders>
              <w:top w:val="nil"/>
              <w:left w:val="nil"/>
              <w:bottom w:val="nil"/>
              <w:right w:val="nil"/>
            </w:tcBorders>
            <w:shd w:val="clear" w:color="auto" w:fill="auto"/>
            <w:noWrap/>
            <w:vAlign w:val="bottom"/>
            <w:hideMark/>
          </w:tcPr>
          <w:p w14:paraId="2C37A6F1" w14:textId="77777777" w:rsidR="006C5478" w:rsidRPr="00821FA0" w:rsidRDefault="006C5478" w:rsidP="006C5478">
            <w:pPr>
              <w:rPr>
                <w:color w:val="000000"/>
                <w:szCs w:val="22"/>
                <w:lang w:val="en-GB" w:eastAsia="en-GB"/>
              </w:rPr>
            </w:pPr>
            <w:r w:rsidRPr="00821FA0">
              <w:rPr>
                <w:color w:val="000000"/>
                <w:szCs w:val="22"/>
                <w:lang w:val="en-GB" w:eastAsia="en-GB"/>
              </w:rPr>
              <w:t>NA</w:t>
            </w:r>
          </w:p>
        </w:tc>
        <w:tc>
          <w:tcPr>
            <w:tcW w:w="449" w:type="pct"/>
            <w:tcBorders>
              <w:top w:val="nil"/>
              <w:left w:val="nil"/>
              <w:bottom w:val="nil"/>
              <w:right w:val="nil"/>
            </w:tcBorders>
            <w:shd w:val="clear" w:color="auto" w:fill="auto"/>
            <w:noWrap/>
            <w:vAlign w:val="bottom"/>
            <w:hideMark/>
          </w:tcPr>
          <w:p w14:paraId="6E0C379A" w14:textId="77777777" w:rsidR="006C5478" w:rsidRPr="00821FA0" w:rsidRDefault="006C5478" w:rsidP="00821FA0">
            <w:pPr>
              <w:jc w:val="center"/>
              <w:rPr>
                <w:color w:val="000000"/>
                <w:szCs w:val="22"/>
                <w:lang w:val="en-GB" w:eastAsia="en-GB"/>
              </w:rPr>
            </w:pPr>
            <w:r w:rsidRPr="00821FA0">
              <w:rPr>
                <w:color w:val="000000"/>
                <w:szCs w:val="22"/>
                <w:lang w:val="en-GB" w:eastAsia="en-GB"/>
              </w:rPr>
              <w:t>NA</w:t>
            </w:r>
          </w:p>
        </w:tc>
        <w:tc>
          <w:tcPr>
            <w:tcW w:w="269" w:type="pct"/>
            <w:tcBorders>
              <w:top w:val="nil"/>
              <w:left w:val="nil"/>
              <w:bottom w:val="nil"/>
              <w:right w:val="nil"/>
            </w:tcBorders>
            <w:shd w:val="clear" w:color="auto" w:fill="auto"/>
            <w:noWrap/>
            <w:vAlign w:val="bottom"/>
            <w:hideMark/>
          </w:tcPr>
          <w:p w14:paraId="65BDF6CB" w14:textId="77777777" w:rsidR="006C5478" w:rsidRPr="00821FA0" w:rsidRDefault="006C5478" w:rsidP="00821FA0">
            <w:pPr>
              <w:jc w:val="center"/>
              <w:rPr>
                <w:color w:val="000000"/>
                <w:szCs w:val="22"/>
                <w:lang w:val="en-GB" w:eastAsia="en-GB"/>
              </w:rPr>
            </w:pPr>
            <w:r w:rsidRPr="00821FA0">
              <w:rPr>
                <w:color w:val="000000"/>
                <w:szCs w:val="22"/>
                <w:lang w:val="en-GB" w:eastAsia="en-GB"/>
              </w:rPr>
              <w:t>NA</w:t>
            </w:r>
          </w:p>
        </w:tc>
      </w:tr>
      <w:tr w:rsidR="00821FA0" w:rsidRPr="00821FA0" w14:paraId="427DAFB7" w14:textId="77777777" w:rsidTr="00821FA0">
        <w:trPr>
          <w:trHeight w:val="300"/>
        </w:trPr>
        <w:tc>
          <w:tcPr>
            <w:tcW w:w="510" w:type="pct"/>
            <w:tcBorders>
              <w:top w:val="nil"/>
              <w:left w:val="nil"/>
              <w:bottom w:val="nil"/>
              <w:right w:val="nil"/>
            </w:tcBorders>
            <w:shd w:val="clear" w:color="auto" w:fill="auto"/>
            <w:noWrap/>
            <w:vAlign w:val="bottom"/>
            <w:hideMark/>
          </w:tcPr>
          <w:p w14:paraId="1538D0FD" w14:textId="77777777" w:rsidR="006C5478" w:rsidRPr="00821FA0" w:rsidRDefault="006C5478" w:rsidP="006C5478">
            <w:pPr>
              <w:rPr>
                <w:color w:val="000000"/>
                <w:szCs w:val="22"/>
                <w:lang w:val="en-GB" w:eastAsia="en-GB"/>
              </w:rPr>
            </w:pPr>
            <w:r w:rsidRPr="00821FA0">
              <w:rPr>
                <w:color w:val="000000"/>
                <w:szCs w:val="22"/>
                <w:lang w:val="en-GB" w:eastAsia="en-GB"/>
              </w:rPr>
              <w:t>Sutherland 2012</w:t>
            </w:r>
          </w:p>
        </w:tc>
        <w:tc>
          <w:tcPr>
            <w:tcW w:w="215" w:type="pct"/>
            <w:tcBorders>
              <w:top w:val="nil"/>
              <w:left w:val="nil"/>
              <w:bottom w:val="nil"/>
              <w:right w:val="nil"/>
            </w:tcBorders>
            <w:shd w:val="clear" w:color="auto" w:fill="auto"/>
            <w:noWrap/>
            <w:vAlign w:val="bottom"/>
            <w:hideMark/>
          </w:tcPr>
          <w:p w14:paraId="3FB6393A" w14:textId="77777777" w:rsidR="006C5478" w:rsidRPr="00821FA0" w:rsidRDefault="006C5478" w:rsidP="00821FA0">
            <w:pPr>
              <w:jc w:val="center"/>
              <w:rPr>
                <w:color w:val="000000"/>
                <w:szCs w:val="22"/>
                <w:lang w:val="en-GB" w:eastAsia="en-GB"/>
              </w:rPr>
            </w:pPr>
            <w:r w:rsidRPr="00821FA0">
              <w:rPr>
                <w:color w:val="000000"/>
                <w:szCs w:val="22"/>
                <w:lang w:val="en-GB" w:eastAsia="en-GB"/>
              </w:rPr>
              <w:t>2</w:t>
            </w:r>
          </w:p>
        </w:tc>
        <w:tc>
          <w:tcPr>
            <w:tcW w:w="350" w:type="pct"/>
            <w:tcBorders>
              <w:top w:val="nil"/>
              <w:left w:val="nil"/>
              <w:bottom w:val="nil"/>
              <w:right w:val="nil"/>
            </w:tcBorders>
            <w:shd w:val="clear" w:color="auto" w:fill="auto"/>
            <w:noWrap/>
            <w:vAlign w:val="bottom"/>
            <w:hideMark/>
          </w:tcPr>
          <w:p w14:paraId="4CBE2C34" w14:textId="77777777" w:rsidR="006C5478" w:rsidRPr="00821FA0" w:rsidRDefault="006C5478" w:rsidP="006C5478">
            <w:pPr>
              <w:rPr>
                <w:color w:val="000000"/>
                <w:szCs w:val="22"/>
                <w:lang w:val="en-GB" w:eastAsia="en-GB"/>
              </w:rPr>
            </w:pPr>
            <w:r w:rsidRPr="00821FA0">
              <w:rPr>
                <w:color w:val="000000"/>
                <w:szCs w:val="22"/>
                <w:lang w:val="en-GB" w:eastAsia="en-GB"/>
              </w:rPr>
              <w:t>PL</w:t>
            </w:r>
          </w:p>
        </w:tc>
        <w:tc>
          <w:tcPr>
            <w:tcW w:w="449" w:type="pct"/>
            <w:tcBorders>
              <w:top w:val="nil"/>
              <w:left w:val="nil"/>
              <w:bottom w:val="nil"/>
              <w:right w:val="nil"/>
            </w:tcBorders>
            <w:shd w:val="clear" w:color="auto" w:fill="auto"/>
            <w:noWrap/>
            <w:vAlign w:val="bottom"/>
            <w:hideMark/>
          </w:tcPr>
          <w:p w14:paraId="36B2A154" w14:textId="77777777" w:rsidR="006C5478" w:rsidRPr="00821FA0" w:rsidRDefault="006C5478" w:rsidP="00821FA0">
            <w:pPr>
              <w:jc w:val="center"/>
              <w:rPr>
                <w:color w:val="000000"/>
                <w:szCs w:val="22"/>
                <w:lang w:val="en-GB" w:eastAsia="en-GB"/>
              </w:rPr>
            </w:pPr>
            <w:r w:rsidRPr="00821FA0">
              <w:rPr>
                <w:color w:val="000000"/>
                <w:szCs w:val="22"/>
                <w:lang w:val="en-GB" w:eastAsia="en-GB"/>
              </w:rPr>
              <w:t>7</w:t>
            </w:r>
          </w:p>
        </w:tc>
        <w:tc>
          <w:tcPr>
            <w:tcW w:w="269" w:type="pct"/>
            <w:tcBorders>
              <w:top w:val="nil"/>
              <w:left w:val="nil"/>
              <w:bottom w:val="nil"/>
              <w:right w:val="nil"/>
            </w:tcBorders>
            <w:shd w:val="clear" w:color="auto" w:fill="auto"/>
            <w:noWrap/>
            <w:vAlign w:val="bottom"/>
            <w:hideMark/>
          </w:tcPr>
          <w:p w14:paraId="7DE3F691" w14:textId="77777777" w:rsidR="006C5478" w:rsidRPr="00821FA0" w:rsidRDefault="006C5478" w:rsidP="00821FA0">
            <w:pPr>
              <w:jc w:val="center"/>
              <w:rPr>
                <w:color w:val="000000"/>
                <w:szCs w:val="22"/>
                <w:lang w:val="en-GB" w:eastAsia="en-GB"/>
              </w:rPr>
            </w:pPr>
            <w:r w:rsidRPr="00821FA0">
              <w:rPr>
                <w:color w:val="000000"/>
                <w:szCs w:val="22"/>
                <w:lang w:val="en-GB" w:eastAsia="en-GB"/>
              </w:rPr>
              <w:t>47</w:t>
            </w:r>
          </w:p>
        </w:tc>
        <w:tc>
          <w:tcPr>
            <w:tcW w:w="432" w:type="pct"/>
            <w:gridSpan w:val="2"/>
            <w:tcBorders>
              <w:top w:val="nil"/>
              <w:left w:val="nil"/>
              <w:bottom w:val="nil"/>
              <w:right w:val="nil"/>
            </w:tcBorders>
            <w:shd w:val="clear" w:color="auto" w:fill="auto"/>
            <w:noWrap/>
            <w:vAlign w:val="bottom"/>
            <w:hideMark/>
          </w:tcPr>
          <w:p w14:paraId="2D771DD3" w14:textId="77777777" w:rsidR="006C5478" w:rsidRPr="00821FA0" w:rsidRDefault="006C5478" w:rsidP="006C5478">
            <w:pPr>
              <w:rPr>
                <w:color w:val="000000"/>
                <w:szCs w:val="22"/>
                <w:lang w:val="en-GB" w:eastAsia="en-GB"/>
              </w:rPr>
            </w:pPr>
            <w:r w:rsidRPr="00821FA0">
              <w:rPr>
                <w:color w:val="000000"/>
                <w:szCs w:val="22"/>
                <w:lang w:val="en-GB" w:eastAsia="en-GB"/>
              </w:rPr>
              <w:t>ATX</w:t>
            </w:r>
          </w:p>
        </w:tc>
        <w:tc>
          <w:tcPr>
            <w:tcW w:w="368" w:type="pct"/>
            <w:tcBorders>
              <w:top w:val="nil"/>
              <w:left w:val="nil"/>
              <w:bottom w:val="nil"/>
              <w:right w:val="nil"/>
            </w:tcBorders>
            <w:shd w:val="clear" w:color="auto" w:fill="auto"/>
            <w:noWrap/>
            <w:vAlign w:val="bottom"/>
            <w:hideMark/>
          </w:tcPr>
          <w:p w14:paraId="4DBFF8F3" w14:textId="77777777" w:rsidR="006C5478" w:rsidRPr="00821FA0" w:rsidRDefault="006C5478" w:rsidP="00821FA0">
            <w:pPr>
              <w:jc w:val="center"/>
              <w:rPr>
                <w:color w:val="000000"/>
                <w:szCs w:val="22"/>
                <w:lang w:val="en-GB" w:eastAsia="en-GB"/>
              </w:rPr>
            </w:pPr>
            <w:r w:rsidRPr="00821FA0">
              <w:rPr>
                <w:color w:val="000000"/>
                <w:szCs w:val="22"/>
                <w:lang w:val="en-GB" w:eastAsia="en-GB"/>
              </w:rPr>
              <w:t>11</w:t>
            </w:r>
          </w:p>
        </w:tc>
        <w:tc>
          <w:tcPr>
            <w:tcW w:w="269" w:type="pct"/>
            <w:tcBorders>
              <w:top w:val="nil"/>
              <w:left w:val="nil"/>
              <w:bottom w:val="nil"/>
              <w:right w:val="nil"/>
            </w:tcBorders>
            <w:shd w:val="clear" w:color="auto" w:fill="auto"/>
            <w:noWrap/>
            <w:vAlign w:val="bottom"/>
            <w:hideMark/>
          </w:tcPr>
          <w:p w14:paraId="58BE5F30" w14:textId="77777777" w:rsidR="006C5478" w:rsidRPr="00821FA0" w:rsidRDefault="006C5478" w:rsidP="00821FA0">
            <w:pPr>
              <w:jc w:val="center"/>
              <w:rPr>
                <w:color w:val="000000"/>
                <w:szCs w:val="22"/>
                <w:lang w:val="en-GB" w:eastAsia="en-GB"/>
              </w:rPr>
            </w:pPr>
            <w:r w:rsidRPr="00821FA0">
              <w:rPr>
                <w:color w:val="000000"/>
                <w:szCs w:val="22"/>
                <w:lang w:val="en-GB" w:eastAsia="en-GB"/>
              </w:rPr>
              <w:t>97</w:t>
            </w:r>
          </w:p>
        </w:tc>
        <w:tc>
          <w:tcPr>
            <w:tcW w:w="350" w:type="pct"/>
            <w:tcBorders>
              <w:top w:val="nil"/>
              <w:left w:val="nil"/>
              <w:bottom w:val="nil"/>
              <w:right w:val="nil"/>
            </w:tcBorders>
            <w:shd w:val="clear" w:color="auto" w:fill="auto"/>
            <w:noWrap/>
            <w:vAlign w:val="bottom"/>
            <w:hideMark/>
          </w:tcPr>
          <w:p w14:paraId="1A569745" w14:textId="77777777" w:rsidR="006C5478" w:rsidRPr="00821FA0" w:rsidRDefault="006C5478" w:rsidP="006C5478">
            <w:pPr>
              <w:rPr>
                <w:color w:val="000000"/>
                <w:szCs w:val="22"/>
                <w:lang w:val="en-GB" w:eastAsia="en-GB"/>
              </w:rPr>
            </w:pPr>
            <w:r w:rsidRPr="00821FA0">
              <w:rPr>
                <w:color w:val="000000"/>
                <w:szCs w:val="22"/>
                <w:lang w:val="en-GB" w:eastAsia="en-GB"/>
              </w:rPr>
              <w:t>NA</w:t>
            </w:r>
          </w:p>
        </w:tc>
        <w:tc>
          <w:tcPr>
            <w:tcW w:w="449" w:type="pct"/>
            <w:tcBorders>
              <w:top w:val="nil"/>
              <w:left w:val="nil"/>
              <w:bottom w:val="nil"/>
              <w:right w:val="nil"/>
            </w:tcBorders>
            <w:shd w:val="clear" w:color="auto" w:fill="auto"/>
            <w:noWrap/>
            <w:vAlign w:val="bottom"/>
            <w:hideMark/>
          </w:tcPr>
          <w:p w14:paraId="06F5FBF3" w14:textId="77777777" w:rsidR="006C5478" w:rsidRPr="00821FA0" w:rsidRDefault="006C5478" w:rsidP="00821FA0">
            <w:pPr>
              <w:jc w:val="center"/>
              <w:rPr>
                <w:color w:val="000000"/>
                <w:szCs w:val="22"/>
                <w:lang w:val="en-GB" w:eastAsia="en-GB"/>
              </w:rPr>
            </w:pPr>
            <w:r w:rsidRPr="00821FA0">
              <w:rPr>
                <w:color w:val="000000"/>
                <w:szCs w:val="22"/>
                <w:lang w:val="en-GB" w:eastAsia="en-GB"/>
              </w:rPr>
              <w:t>NA</w:t>
            </w:r>
          </w:p>
        </w:tc>
        <w:tc>
          <w:tcPr>
            <w:tcW w:w="269" w:type="pct"/>
            <w:tcBorders>
              <w:top w:val="nil"/>
              <w:left w:val="nil"/>
              <w:bottom w:val="nil"/>
              <w:right w:val="nil"/>
            </w:tcBorders>
            <w:shd w:val="clear" w:color="auto" w:fill="auto"/>
            <w:noWrap/>
            <w:vAlign w:val="bottom"/>
            <w:hideMark/>
          </w:tcPr>
          <w:p w14:paraId="25CF5080" w14:textId="77777777" w:rsidR="006C5478" w:rsidRPr="00821FA0" w:rsidRDefault="006C5478" w:rsidP="00821FA0">
            <w:pPr>
              <w:jc w:val="center"/>
              <w:rPr>
                <w:color w:val="000000"/>
                <w:szCs w:val="22"/>
                <w:lang w:val="en-GB" w:eastAsia="en-GB"/>
              </w:rPr>
            </w:pPr>
            <w:r w:rsidRPr="00821FA0">
              <w:rPr>
                <w:color w:val="000000"/>
                <w:szCs w:val="22"/>
                <w:lang w:val="en-GB" w:eastAsia="en-GB"/>
              </w:rPr>
              <w:t>NA</w:t>
            </w:r>
          </w:p>
        </w:tc>
        <w:tc>
          <w:tcPr>
            <w:tcW w:w="350" w:type="pct"/>
            <w:tcBorders>
              <w:top w:val="nil"/>
              <w:left w:val="nil"/>
              <w:bottom w:val="nil"/>
              <w:right w:val="nil"/>
            </w:tcBorders>
            <w:shd w:val="clear" w:color="auto" w:fill="auto"/>
            <w:noWrap/>
            <w:vAlign w:val="bottom"/>
            <w:hideMark/>
          </w:tcPr>
          <w:p w14:paraId="1D501352" w14:textId="77777777" w:rsidR="006C5478" w:rsidRPr="00821FA0" w:rsidRDefault="006C5478" w:rsidP="006C5478">
            <w:pPr>
              <w:rPr>
                <w:color w:val="000000"/>
                <w:szCs w:val="22"/>
                <w:lang w:val="en-GB" w:eastAsia="en-GB"/>
              </w:rPr>
            </w:pPr>
            <w:r w:rsidRPr="00821FA0">
              <w:rPr>
                <w:color w:val="000000"/>
                <w:szCs w:val="22"/>
                <w:lang w:val="en-GB" w:eastAsia="en-GB"/>
              </w:rPr>
              <w:t>NA</w:t>
            </w:r>
          </w:p>
        </w:tc>
        <w:tc>
          <w:tcPr>
            <w:tcW w:w="449" w:type="pct"/>
            <w:tcBorders>
              <w:top w:val="nil"/>
              <w:left w:val="nil"/>
              <w:bottom w:val="nil"/>
              <w:right w:val="nil"/>
            </w:tcBorders>
            <w:shd w:val="clear" w:color="auto" w:fill="auto"/>
            <w:noWrap/>
            <w:vAlign w:val="bottom"/>
            <w:hideMark/>
          </w:tcPr>
          <w:p w14:paraId="2401FBF2" w14:textId="77777777" w:rsidR="006C5478" w:rsidRPr="00821FA0" w:rsidRDefault="006C5478" w:rsidP="00821FA0">
            <w:pPr>
              <w:jc w:val="center"/>
              <w:rPr>
                <w:color w:val="000000"/>
                <w:szCs w:val="22"/>
                <w:lang w:val="en-GB" w:eastAsia="en-GB"/>
              </w:rPr>
            </w:pPr>
            <w:r w:rsidRPr="00821FA0">
              <w:rPr>
                <w:color w:val="000000"/>
                <w:szCs w:val="22"/>
                <w:lang w:val="en-GB" w:eastAsia="en-GB"/>
              </w:rPr>
              <w:t>NA</w:t>
            </w:r>
          </w:p>
        </w:tc>
        <w:tc>
          <w:tcPr>
            <w:tcW w:w="269" w:type="pct"/>
            <w:tcBorders>
              <w:top w:val="nil"/>
              <w:left w:val="nil"/>
              <w:bottom w:val="nil"/>
              <w:right w:val="nil"/>
            </w:tcBorders>
            <w:shd w:val="clear" w:color="auto" w:fill="auto"/>
            <w:noWrap/>
            <w:vAlign w:val="bottom"/>
            <w:hideMark/>
          </w:tcPr>
          <w:p w14:paraId="7B2B2D81" w14:textId="77777777" w:rsidR="006C5478" w:rsidRPr="00821FA0" w:rsidRDefault="006C5478" w:rsidP="00821FA0">
            <w:pPr>
              <w:jc w:val="center"/>
              <w:rPr>
                <w:color w:val="000000"/>
                <w:szCs w:val="22"/>
                <w:lang w:val="en-GB" w:eastAsia="en-GB"/>
              </w:rPr>
            </w:pPr>
            <w:r w:rsidRPr="00821FA0">
              <w:rPr>
                <w:color w:val="000000"/>
                <w:szCs w:val="22"/>
                <w:lang w:val="en-GB" w:eastAsia="en-GB"/>
              </w:rPr>
              <w:t>NA</w:t>
            </w:r>
          </w:p>
        </w:tc>
      </w:tr>
      <w:tr w:rsidR="00821FA0" w:rsidRPr="00821FA0" w14:paraId="1FDB0D4D" w14:textId="77777777" w:rsidTr="00821FA0">
        <w:trPr>
          <w:trHeight w:val="300"/>
        </w:trPr>
        <w:tc>
          <w:tcPr>
            <w:tcW w:w="510" w:type="pct"/>
            <w:tcBorders>
              <w:top w:val="nil"/>
              <w:left w:val="nil"/>
              <w:bottom w:val="nil"/>
              <w:right w:val="nil"/>
            </w:tcBorders>
            <w:shd w:val="clear" w:color="auto" w:fill="auto"/>
            <w:noWrap/>
            <w:vAlign w:val="bottom"/>
            <w:hideMark/>
          </w:tcPr>
          <w:p w14:paraId="6ACAD113" w14:textId="77777777" w:rsidR="006C5478" w:rsidRPr="00821FA0" w:rsidRDefault="006C5478" w:rsidP="006C5478">
            <w:pPr>
              <w:rPr>
                <w:color w:val="000000"/>
                <w:szCs w:val="22"/>
                <w:lang w:val="en-GB" w:eastAsia="en-GB"/>
              </w:rPr>
            </w:pPr>
            <w:r w:rsidRPr="00821FA0">
              <w:rPr>
                <w:color w:val="000000"/>
                <w:szCs w:val="22"/>
                <w:lang w:val="en-GB" w:eastAsia="en-GB"/>
              </w:rPr>
              <w:t>Michelson 2003</w:t>
            </w:r>
          </w:p>
        </w:tc>
        <w:tc>
          <w:tcPr>
            <w:tcW w:w="215" w:type="pct"/>
            <w:tcBorders>
              <w:top w:val="nil"/>
              <w:left w:val="nil"/>
              <w:bottom w:val="nil"/>
              <w:right w:val="nil"/>
            </w:tcBorders>
            <w:shd w:val="clear" w:color="auto" w:fill="auto"/>
            <w:noWrap/>
            <w:vAlign w:val="bottom"/>
            <w:hideMark/>
          </w:tcPr>
          <w:p w14:paraId="01C3BEB1" w14:textId="77777777" w:rsidR="006C5478" w:rsidRPr="00821FA0" w:rsidRDefault="006C5478" w:rsidP="00821FA0">
            <w:pPr>
              <w:jc w:val="center"/>
              <w:rPr>
                <w:color w:val="000000"/>
                <w:szCs w:val="22"/>
                <w:lang w:val="en-GB" w:eastAsia="en-GB"/>
              </w:rPr>
            </w:pPr>
            <w:r w:rsidRPr="00821FA0">
              <w:rPr>
                <w:color w:val="000000"/>
                <w:szCs w:val="22"/>
                <w:lang w:val="en-GB" w:eastAsia="en-GB"/>
              </w:rPr>
              <w:t>2</w:t>
            </w:r>
          </w:p>
        </w:tc>
        <w:tc>
          <w:tcPr>
            <w:tcW w:w="350" w:type="pct"/>
            <w:tcBorders>
              <w:top w:val="nil"/>
              <w:left w:val="nil"/>
              <w:bottom w:val="nil"/>
              <w:right w:val="nil"/>
            </w:tcBorders>
            <w:shd w:val="clear" w:color="auto" w:fill="auto"/>
            <w:noWrap/>
            <w:vAlign w:val="bottom"/>
            <w:hideMark/>
          </w:tcPr>
          <w:p w14:paraId="4D773848" w14:textId="77777777" w:rsidR="006C5478" w:rsidRPr="00821FA0" w:rsidRDefault="006C5478" w:rsidP="006C5478">
            <w:pPr>
              <w:rPr>
                <w:color w:val="000000"/>
                <w:szCs w:val="22"/>
                <w:lang w:val="en-GB" w:eastAsia="en-GB"/>
              </w:rPr>
            </w:pPr>
            <w:r w:rsidRPr="00821FA0">
              <w:rPr>
                <w:color w:val="000000"/>
                <w:szCs w:val="22"/>
                <w:lang w:val="en-GB" w:eastAsia="en-GB"/>
              </w:rPr>
              <w:t>PL</w:t>
            </w:r>
          </w:p>
        </w:tc>
        <w:tc>
          <w:tcPr>
            <w:tcW w:w="449" w:type="pct"/>
            <w:tcBorders>
              <w:top w:val="nil"/>
              <w:left w:val="nil"/>
              <w:bottom w:val="nil"/>
              <w:right w:val="nil"/>
            </w:tcBorders>
            <w:shd w:val="clear" w:color="auto" w:fill="auto"/>
            <w:noWrap/>
            <w:vAlign w:val="bottom"/>
            <w:hideMark/>
          </w:tcPr>
          <w:p w14:paraId="71B713E6" w14:textId="77777777" w:rsidR="006C5478" w:rsidRPr="00821FA0" w:rsidRDefault="006C5478" w:rsidP="00821FA0">
            <w:pPr>
              <w:jc w:val="center"/>
              <w:rPr>
                <w:color w:val="000000"/>
                <w:szCs w:val="22"/>
                <w:lang w:val="en-GB" w:eastAsia="en-GB"/>
              </w:rPr>
            </w:pPr>
            <w:r w:rsidRPr="00821FA0">
              <w:rPr>
                <w:color w:val="000000"/>
                <w:szCs w:val="22"/>
                <w:lang w:val="en-GB" w:eastAsia="en-GB"/>
              </w:rPr>
              <w:t>9</w:t>
            </w:r>
          </w:p>
        </w:tc>
        <w:tc>
          <w:tcPr>
            <w:tcW w:w="269" w:type="pct"/>
            <w:tcBorders>
              <w:top w:val="nil"/>
              <w:left w:val="nil"/>
              <w:bottom w:val="nil"/>
              <w:right w:val="nil"/>
            </w:tcBorders>
            <w:shd w:val="clear" w:color="auto" w:fill="auto"/>
            <w:noWrap/>
            <w:vAlign w:val="bottom"/>
            <w:hideMark/>
          </w:tcPr>
          <w:p w14:paraId="1783450F" w14:textId="77777777" w:rsidR="006C5478" w:rsidRPr="00821FA0" w:rsidRDefault="006C5478" w:rsidP="00821FA0">
            <w:pPr>
              <w:jc w:val="center"/>
              <w:rPr>
                <w:color w:val="000000"/>
                <w:szCs w:val="22"/>
                <w:lang w:val="en-GB" w:eastAsia="en-GB"/>
              </w:rPr>
            </w:pPr>
            <w:r w:rsidRPr="00821FA0">
              <w:rPr>
                <w:color w:val="000000"/>
                <w:szCs w:val="22"/>
                <w:lang w:val="en-GB" w:eastAsia="en-GB"/>
              </w:rPr>
              <w:t>263</w:t>
            </w:r>
          </w:p>
        </w:tc>
        <w:tc>
          <w:tcPr>
            <w:tcW w:w="432" w:type="pct"/>
            <w:gridSpan w:val="2"/>
            <w:tcBorders>
              <w:top w:val="nil"/>
              <w:left w:val="nil"/>
              <w:bottom w:val="nil"/>
              <w:right w:val="nil"/>
            </w:tcBorders>
            <w:shd w:val="clear" w:color="auto" w:fill="auto"/>
            <w:noWrap/>
            <w:vAlign w:val="bottom"/>
            <w:hideMark/>
          </w:tcPr>
          <w:p w14:paraId="21FD1682" w14:textId="77777777" w:rsidR="006C5478" w:rsidRPr="00821FA0" w:rsidRDefault="006C5478" w:rsidP="006C5478">
            <w:pPr>
              <w:rPr>
                <w:color w:val="000000"/>
                <w:szCs w:val="22"/>
                <w:lang w:val="en-GB" w:eastAsia="en-GB"/>
              </w:rPr>
            </w:pPr>
            <w:r w:rsidRPr="00821FA0">
              <w:rPr>
                <w:color w:val="000000"/>
                <w:szCs w:val="22"/>
                <w:lang w:val="en-GB" w:eastAsia="en-GB"/>
              </w:rPr>
              <w:t>ATX</w:t>
            </w:r>
          </w:p>
        </w:tc>
        <w:tc>
          <w:tcPr>
            <w:tcW w:w="368" w:type="pct"/>
            <w:tcBorders>
              <w:top w:val="nil"/>
              <w:left w:val="nil"/>
              <w:bottom w:val="nil"/>
              <w:right w:val="nil"/>
            </w:tcBorders>
            <w:shd w:val="clear" w:color="auto" w:fill="auto"/>
            <w:noWrap/>
            <w:vAlign w:val="bottom"/>
            <w:hideMark/>
          </w:tcPr>
          <w:p w14:paraId="05554CB3" w14:textId="77777777" w:rsidR="006C5478" w:rsidRPr="00821FA0" w:rsidRDefault="006C5478" w:rsidP="00821FA0">
            <w:pPr>
              <w:jc w:val="center"/>
              <w:rPr>
                <w:color w:val="000000"/>
                <w:szCs w:val="22"/>
                <w:lang w:val="en-GB" w:eastAsia="en-GB"/>
              </w:rPr>
            </w:pPr>
            <w:r w:rsidRPr="00821FA0">
              <w:rPr>
                <w:color w:val="000000"/>
                <w:szCs w:val="22"/>
                <w:lang w:val="en-GB" w:eastAsia="en-GB"/>
              </w:rPr>
              <w:t>23</w:t>
            </w:r>
          </w:p>
        </w:tc>
        <w:tc>
          <w:tcPr>
            <w:tcW w:w="269" w:type="pct"/>
            <w:tcBorders>
              <w:top w:val="nil"/>
              <w:left w:val="nil"/>
              <w:bottom w:val="nil"/>
              <w:right w:val="nil"/>
            </w:tcBorders>
            <w:shd w:val="clear" w:color="auto" w:fill="auto"/>
            <w:noWrap/>
            <w:vAlign w:val="bottom"/>
            <w:hideMark/>
          </w:tcPr>
          <w:p w14:paraId="346C2FD7" w14:textId="77777777" w:rsidR="006C5478" w:rsidRPr="00821FA0" w:rsidRDefault="006C5478" w:rsidP="00821FA0">
            <w:pPr>
              <w:jc w:val="center"/>
              <w:rPr>
                <w:color w:val="000000"/>
                <w:szCs w:val="22"/>
                <w:lang w:val="en-GB" w:eastAsia="en-GB"/>
              </w:rPr>
            </w:pPr>
            <w:r w:rsidRPr="00821FA0">
              <w:rPr>
                <w:color w:val="000000"/>
                <w:szCs w:val="22"/>
                <w:lang w:val="en-GB" w:eastAsia="en-GB"/>
              </w:rPr>
              <w:t>269</w:t>
            </w:r>
          </w:p>
        </w:tc>
        <w:tc>
          <w:tcPr>
            <w:tcW w:w="350" w:type="pct"/>
            <w:tcBorders>
              <w:top w:val="nil"/>
              <w:left w:val="nil"/>
              <w:bottom w:val="nil"/>
              <w:right w:val="nil"/>
            </w:tcBorders>
            <w:shd w:val="clear" w:color="auto" w:fill="auto"/>
            <w:noWrap/>
            <w:vAlign w:val="bottom"/>
            <w:hideMark/>
          </w:tcPr>
          <w:p w14:paraId="35742984" w14:textId="77777777" w:rsidR="006C5478" w:rsidRPr="00821FA0" w:rsidRDefault="006C5478" w:rsidP="006C5478">
            <w:pPr>
              <w:rPr>
                <w:color w:val="000000"/>
                <w:szCs w:val="22"/>
                <w:lang w:val="en-GB" w:eastAsia="en-GB"/>
              </w:rPr>
            </w:pPr>
            <w:r w:rsidRPr="00821FA0">
              <w:rPr>
                <w:color w:val="000000"/>
                <w:szCs w:val="22"/>
                <w:lang w:val="en-GB" w:eastAsia="en-GB"/>
              </w:rPr>
              <w:t>NA</w:t>
            </w:r>
          </w:p>
        </w:tc>
        <w:tc>
          <w:tcPr>
            <w:tcW w:w="449" w:type="pct"/>
            <w:tcBorders>
              <w:top w:val="nil"/>
              <w:left w:val="nil"/>
              <w:bottom w:val="nil"/>
              <w:right w:val="nil"/>
            </w:tcBorders>
            <w:shd w:val="clear" w:color="auto" w:fill="auto"/>
            <w:noWrap/>
            <w:vAlign w:val="bottom"/>
            <w:hideMark/>
          </w:tcPr>
          <w:p w14:paraId="446981B2" w14:textId="77777777" w:rsidR="006C5478" w:rsidRPr="00821FA0" w:rsidRDefault="006C5478" w:rsidP="00821FA0">
            <w:pPr>
              <w:jc w:val="center"/>
              <w:rPr>
                <w:color w:val="000000"/>
                <w:szCs w:val="22"/>
                <w:lang w:val="en-GB" w:eastAsia="en-GB"/>
              </w:rPr>
            </w:pPr>
            <w:r w:rsidRPr="00821FA0">
              <w:rPr>
                <w:color w:val="000000"/>
                <w:szCs w:val="22"/>
                <w:lang w:val="en-GB" w:eastAsia="en-GB"/>
              </w:rPr>
              <w:t>NA</w:t>
            </w:r>
          </w:p>
        </w:tc>
        <w:tc>
          <w:tcPr>
            <w:tcW w:w="269" w:type="pct"/>
            <w:tcBorders>
              <w:top w:val="nil"/>
              <w:left w:val="nil"/>
              <w:bottom w:val="nil"/>
              <w:right w:val="nil"/>
            </w:tcBorders>
            <w:shd w:val="clear" w:color="auto" w:fill="auto"/>
            <w:noWrap/>
            <w:vAlign w:val="bottom"/>
            <w:hideMark/>
          </w:tcPr>
          <w:p w14:paraId="1EA17437" w14:textId="77777777" w:rsidR="006C5478" w:rsidRPr="00821FA0" w:rsidRDefault="006C5478" w:rsidP="00821FA0">
            <w:pPr>
              <w:jc w:val="center"/>
              <w:rPr>
                <w:color w:val="000000"/>
                <w:szCs w:val="22"/>
                <w:lang w:val="en-GB" w:eastAsia="en-GB"/>
              </w:rPr>
            </w:pPr>
            <w:r w:rsidRPr="00821FA0">
              <w:rPr>
                <w:color w:val="000000"/>
                <w:szCs w:val="22"/>
                <w:lang w:val="en-GB" w:eastAsia="en-GB"/>
              </w:rPr>
              <w:t>NA</w:t>
            </w:r>
          </w:p>
        </w:tc>
        <w:tc>
          <w:tcPr>
            <w:tcW w:w="350" w:type="pct"/>
            <w:tcBorders>
              <w:top w:val="nil"/>
              <w:left w:val="nil"/>
              <w:bottom w:val="nil"/>
              <w:right w:val="nil"/>
            </w:tcBorders>
            <w:shd w:val="clear" w:color="auto" w:fill="auto"/>
            <w:noWrap/>
            <w:vAlign w:val="bottom"/>
            <w:hideMark/>
          </w:tcPr>
          <w:p w14:paraId="32F420B2" w14:textId="77777777" w:rsidR="006C5478" w:rsidRPr="00821FA0" w:rsidRDefault="006C5478" w:rsidP="006C5478">
            <w:pPr>
              <w:rPr>
                <w:color w:val="000000"/>
                <w:szCs w:val="22"/>
                <w:lang w:val="en-GB" w:eastAsia="en-GB"/>
              </w:rPr>
            </w:pPr>
            <w:r w:rsidRPr="00821FA0">
              <w:rPr>
                <w:color w:val="000000"/>
                <w:szCs w:val="22"/>
                <w:lang w:val="en-GB" w:eastAsia="en-GB"/>
              </w:rPr>
              <w:t>NA</w:t>
            </w:r>
          </w:p>
        </w:tc>
        <w:tc>
          <w:tcPr>
            <w:tcW w:w="449" w:type="pct"/>
            <w:tcBorders>
              <w:top w:val="nil"/>
              <w:left w:val="nil"/>
              <w:bottom w:val="nil"/>
              <w:right w:val="nil"/>
            </w:tcBorders>
            <w:shd w:val="clear" w:color="auto" w:fill="auto"/>
            <w:noWrap/>
            <w:vAlign w:val="bottom"/>
            <w:hideMark/>
          </w:tcPr>
          <w:p w14:paraId="5A9727C7" w14:textId="77777777" w:rsidR="006C5478" w:rsidRPr="00821FA0" w:rsidRDefault="006C5478" w:rsidP="00821FA0">
            <w:pPr>
              <w:jc w:val="center"/>
              <w:rPr>
                <w:color w:val="000000"/>
                <w:szCs w:val="22"/>
                <w:lang w:val="en-GB" w:eastAsia="en-GB"/>
              </w:rPr>
            </w:pPr>
            <w:r w:rsidRPr="00821FA0">
              <w:rPr>
                <w:color w:val="000000"/>
                <w:szCs w:val="22"/>
                <w:lang w:val="en-GB" w:eastAsia="en-GB"/>
              </w:rPr>
              <w:t>NA</w:t>
            </w:r>
          </w:p>
        </w:tc>
        <w:tc>
          <w:tcPr>
            <w:tcW w:w="269" w:type="pct"/>
            <w:tcBorders>
              <w:top w:val="nil"/>
              <w:left w:val="nil"/>
              <w:bottom w:val="nil"/>
              <w:right w:val="nil"/>
            </w:tcBorders>
            <w:shd w:val="clear" w:color="auto" w:fill="auto"/>
            <w:noWrap/>
            <w:vAlign w:val="bottom"/>
            <w:hideMark/>
          </w:tcPr>
          <w:p w14:paraId="73DDD255" w14:textId="77777777" w:rsidR="006C5478" w:rsidRPr="00821FA0" w:rsidRDefault="006C5478" w:rsidP="00821FA0">
            <w:pPr>
              <w:jc w:val="center"/>
              <w:rPr>
                <w:color w:val="000000"/>
                <w:szCs w:val="22"/>
                <w:lang w:val="en-GB" w:eastAsia="en-GB"/>
              </w:rPr>
            </w:pPr>
            <w:r w:rsidRPr="00821FA0">
              <w:rPr>
                <w:color w:val="000000"/>
                <w:szCs w:val="22"/>
                <w:lang w:val="en-GB" w:eastAsia="en-GB"/>
              </w:rPr>
              <w:t>NA</w:t>
            </w:r>
          </w:p>
        </w:tc>
      </w:tr>
      <w:tr w:rsidR="00821FA0" w:rsidRPr="00821FA0" w14:paraId="3C095B65" w14:textId="77777777" w:rsidTr="00821FA0">
        <w:trPr>
          <w:trHeight w:val="300"/>
        </w:trPr>
        <w:tc>
          <w:tcPr>
            <w:tcW w:w="510" w:type="pct"/>
            <w:tcBorders>
              <w:top w:val="nil"/>
              <w:left w:val="nil"/>
              <w:bottom w:val="nil"/>
              <w:right w:val="nil"/>
            </w:tcBorders>
            <w:shd w:val="clear" w:color="auto" w:fill="auto"/>
            <w:noWrap/>
            <w:vAlign w:val="bottom"/>
            <w:hideMark/>
          </w:tcPr>
          <w:p w14:paraId="319A17B8" w14:textId="77777777" w:rsidR="006C5478" w:rsidRPr="00821FA0" w:rsidRDefault="006C5478" w:rsidP="006C5478">
            <w:pPr>
              <w:rPr>
                <w:color w:val="000000"/>
                <w:szCs w:val="22"/>
                <w:lang w:val="en-GB" w:eastAsia="en-GB"/>
              </w:rPr>
            </w:pPr>
            <w:r w:rsidRPr="00821FA0">
              <w:rPr>
                <w:color w:val="000000"/>
                <w:szCs w:val="22"/>
                <w:lang w:val="en-GB" w:eastAsia="en-GB"/>
              </w:rPr>
              <w:t>Spencer 2005</w:t>
            </w:r>
          </w:p>
        </w:tc>
        <w:tc>
          <w:tcPr>
            <w:tcW w:w="215" w:type="pct"/>
            <w:tcBorders>
              <w:top w:val="nil"/>
              <w:left w:val="nil"/>
              <w:bottom w:val="nil"/>
              <w:right w:val="nil"/>
            </w:tcBorders>
            <w:shd w:val="clear" w:color="auto" w:fill="auto"/>
            <w:noWrap/>
            <w:vAlign w:val="bottom"/>
            <w:hideMark/>
          </w:tcPr>
          <w:p w14:paraId="7F8CB206" w14:textId="77777777" w:rsidR="006C5478" w:rsidRPr="00821FA0" w:rsidRDefault="006C5478" w:rsidP="00821FA0">
            <w:pPr>
              <w:jc w:val="center"/>
              <w:rPr>
                <w:color w:val="000000"/>
                <w:szCs w:val="22"/>
                <w:lang w:val="en-GB" w:eastAsia="en-GB"/>
              </w:rPr>
            </w:pPr>
            <w:r w:rsidRPr="00821FA0">
              <w:rPr>
                <w:color w:val="000000"/>
                <w:szCs w:val="22"/>
                <w:lang w:val="en-GB" w:eastAsia="en-GB"/>
              </w:rPr>
              <w:t>2</w:t>
            </w:r>
          </w:p>
        </w:tc>
        <w:tc>
          <w:tcPr>
            <w:tcW w:w="350" w:type="pct"/>
            <w:tcBorders>
              <w:top w:val="nil"/>
              <w:left w:val="nil"/>
              <w:bottom w:val="nil"/>
              <w:right w:val="nil"/>
            </w:tcBorders>
            <w:shd w:val="clear" w:color="auto" w:fill="auto"/>
            <w:noWrap/>
            <w:vAlign w:val="bottom"/>
            <w:hideMark/>
          </w:tcPr>
          <w:p w14:paraId="53969B9F" w14:textId="77777777" w:rsidR="006C5478" w:rsidRPr="00821FA0" w:rsidRDefault="006C5478" w:rsidP="006C5478">
            <w:pPr>
              <w:rPr>
                <w:color w:val="000000"/>
                <w:szCs w:val="22"/>
                <w:lang w:val="en-GB" w:eastAsia="en-GB"/>
              </w:rPr>
            </w:pPr>
            <w:r w:rsidRPr="00821FA0">
              <w:rPr>
                <w:color w:val="000000"/>
                <w:szCs w:val="22"/>
                <w:lang w:val="en-GB" w:eastAsia="en-GB"/>
              </w:rPr>
              <w:t>PL</w:t>
            </w:r>
          </w:p>
        </w:tc>
        <w:tc>
          <w:tcPr>
            <w:tcW w:w="449" w:type="pct"/>
            <w:tcBorders>
              <w:top w:val="nil"/>
              <w:left w:val="nil"/>
              <w:bottom w:val="nil"/>
              <w:right w:val="nil"/>
            </w:tcBorders>
            <w:shd w:val="clear" w:color="auto" w:fill="auto"/>
            <w:noWrap/>
            <w:vAlign w:val="bottom"/>
            <w:hideMark/>
          </w:tcPr>
          <w:p w14:paraId="53DCFDF3" w14:textId="77777777" w:rsidR="006C5478" w:rsidRPr="00821FA0" w:rsidRDefault="006C5478" w:rsidP="00821FA0">
            <w:pPr>
              <w:jc w:val="center"/>
              <w:rPr>
                <w:color w:val="000000"/>
                <w:szCs w:val="22"/>
                <w:lang w:val="en-GB" w:eastAsia="en-GB"/>
              </w:rPr>
            </w:pPr>
            <w:r w:rsidRPr="00821FA0">
              <w:rPr>
                <w:color w:val="000000"/>
                <w:szCs w:val="22"/>
                <w:lang w:val="en-GB" w:eastAsia="en-GB"/>
              </w:rPr>
              <w:t>2</w:t>
            </w:r>
          </w:p>
        </w:tc>
        <w:tc>
          <w:tcPr>
            <w:tcW w:w="269" w:type="pct"/>
            <w:tcBorders>
              <w:top w:val="nil"/>
              <w:left w:val="nil"/>
              <w:bottom w:val="nil"/>
              <w:right w:val="nil"/>
            </w:tcBorders>
            <w:shd w:val="clear" w:color="auto" w:fill="auto"/>
            <w:noWrap/>
            <w:vAlign w:val="bottom"/>
            <w:hideMark/>
          </w:tcPr>
          <w:p w14:paraId="60072F4A" w14:textId="77777777" w:rsidR="006C5478" w:rsidRPr="00821FA0" w:rsidRDefault="006C5478" w:rsidP="00821FA0">
            <w:pPr>
              <w:jc w:val="center"/>
              <w:rPr>
                <w:color w:val="000000"/>
                <w:szCs w:val="22"/>
                <w:lang w:val="en-GB" w:eastAsia="en-GB"/>
              </w:rPr>
            </w:pPr>
            <w:r w:rsidRPr="00821FA0">
              <w:rPr>
                <w:color w:val="000000"/>
                <w:szCs w:val="22"/>
                <w:lang w:val="en-GB" w:eastAsia="en-GB"/>
              </w:rPr>
              <w:t>42</w:t>
            </w:r>
          </w:p>
        </w:tc>
        <w:tc>
          <w:tcPr>
            <w:tcW w:w="432" w:type="pct"/>
            <w:gridSpan w:val="2"/>
            <w:tcBorders>
              <w:top w:val="nil"/>
              <w:left w:val="nil"/>
              <w:bottom w:val="nil"/>
              <w:right w:val="nil"/>
            </w:tcBorders>
            <w:shd w:val="clear" w:color="auto" w:fill="auto"/>
            <w:noWrap/>
            <w:vAlign w:val="bottom"/>
            <w:hideMark/>
          </w:tcPr>
          <w:p w14:paraId="0EAE05D3" w14:textId="77777777" w:rsidR="006C5478" w:rsidRPr="00821FA0" w:rsidRDefault="006C5478" w:rsidP="006C5478">
            <w:pPr>
              <w:rPr>
                <w:color w:val="000000"/>
                <w:szCs w:val="22"/>
                <w:lang w:val="en-GB" w:eastAsia="en-GB"/>
              </w:rPr>
            </w:pPr>
            <w:r w:rsidRPr="00821FA0">
              <w:rPr>
                <w:color w:val="000000"/>
                <w:szCs w:val="22"/>
                <w:lang w:val="en-GB" w:eastAsia="en-GB"/>
              </w:rPr>
              <w:t>IRMPH</w:t>
            </w:r>
          </w:p>
        </w:tc>
        <w:tc>
          <w:tcPr>
            <w:tcW w:w="368" w:type="pct"/>
            <w:tcBorders>
              <w:top w:val="nil"/>
              <w:left w:val="nil"/>
              <w:bottom w:val="nil"/>
              <w:right w:val="nil"/>
            </w:tcBorders>
            <w:shd w:val="clear" w:color="auto" w:fill="auto"/>
            <w:noWrap/>
            <w:vAlign w:val="bottom"/>
            <w:hideMark/>
          </w:tcPr>
          <w:p w14:paraId="45221E42" w14:textId="77777777" w:rsidR="006C5478" w:rsidRPr="00821FA0" w:rsidRDefault="006C5478" w:rsidP="00821FA0">
            <w:pPr>
              <w:jc w:val="center"/>
              <w:rPr>
                <w:color w:val="000000"/>
                <w:szCs w:val="22"/>
                <w:lang w:val="en-GB" w:eastAsia="en-GB"/>
              </w:rPr>
            </w:pPr>
            <w:r w:rsidRPr="00821FA0">
              <w:rPr>
                <w:color w:val="000000"/>
                <w:szCs w:val="22"/>
                <w:lang w:val="en-GB" w:eastAsia="en-GB"/>
              </w:rPr>
              <w:t>16</w:t>
            </w:r>
          </w:p>
        </w:tc>
        <w:tc>
          <w:tcPr>
            <w:tcW w:w="269" w:type="pct"/>
            <w:tcBorders>
              <w:top w:val="nil"/>
              <w:left w:val="nil"/>
              <w:bottom w:val="nil"/>
              <w:right w:val="nil"/>
            </w:tcBorders>
            <w:shd w:val="clear" w:color="auto" w:fill="auto"/>
            <w:noWrap/>
            <w:vAlign w:val="bottom"/>
            <w:hideMark/>
          </w:tcPr>
          <w:p w14:paraId="48EFA311" w14:textId="77777777" w:rsidR="006C5478" w:rsidRPr="00821FA0" w:rsidRDefault="006C5478" w:rsidP="00821FA0">
            <w:pPr>
              <w:jc w:val="center"/>
              <w:rPr>
                <w:color w:val="000000"/>
                <w:szCs w:val="22"/>
                <w:lang w:val="en-GB" w:eastAsia="en-GB"/>
              </w:rPr>
            </w:pPr>
            <w:r w:rsidRPr="00821FA0">
              <w:rPr>
                <w:color w:val="000000"/>
                <w:szCs w:val="22"/>
                <w:lang w:val="en-GB" w:eastAsia="en-GB"/>
              </w:rPr>
              <w:t>104</w:t>
            </w:r>
          </w:p>
        </w:tc>
        <w:tc>
          <w:tcPr>
            <w:tcW w:w="350" w:type="pct"/>
            <w:tcBorders>
              <w:top w:val="nil"/>
              <w:left w:val="nil"/>
              <w:bottom w:val="nil"/>
              <w:right w:val="nil"/>
            </w:tcBorders>
            <w:shd w:val="clear" w:color="auto" w:fill="auto"/>
            <w:noWrap/>
            <w:vAlign w:val="bottom"/>
            <w:hideMark/>
          </w:tcPr>
          <w:p w14:paraId="2C4F9BE4" w14:textId="77777777" w:rsidR="006C5478" w:rsidRPr="00821FA0" w:rsidRDefault="006C5478" w:rsidP="006C5478">
            <w:pPr>
              <w:rPr>
                <w:color w:val="000000"/>
                <w:szCs w:val="22"/>
                <w:lang w:val="en-GB" w:eastAsia="en-GB"/>
              </w:rPr>
            </w:pPr>
            <w:r w:rsidRPr="00821FA0">
              <w:rPr>
                <w:color w:val="000000"/>
                <w:szCs w:val="22"/>
                <w:lang w:val="en-GB" w:eastAsia="en-GB"/>
              </w:rPr>
              <w:t>NA</w:t>
            </w:r>
          </w:p>
        </w:tc>
        <w:tc>
          <w:tcPr>
            <w:tcW w:w="449" w:type="pct"/>
            <w:tcBorders>
              <w:top w:val="nil"/>
              <w:left w:val="nil"/>
              <w:bottom w:val="nil"/>
              <w:right w:val="nil"/>
            </w:tcBorders>
            <w:shd w:val="clear" w:color="auto" w:fill="auto"/>
            <w:noWrap/>
            <w:vAlign w:val="bottom"/>
            <w:hideMark/>
          </w:tcPr>
          <w:p w14:paraId="051C5612" w14:textId="77777777" w:rsidR="006C5478" w:rsidRPr="00821FA0" w:rsidRDefault="006C5478" w:rsidP="00821FA0">
            <w:pPr>
              <w:jc w:val="center"/>
              <w:rPr>
                <w:color w:val="000000"/>
                <w:szCs w:val="22"/>
                <w:lang w:val="en-GB" w:eastAsia="en-GB"/>
              </w:rPr>
            </w:pPr>
            <w:r w:rsidRPr="00821FA0">
              <w:rPr>
                <w:color w:val="000000"/>
                <w:szCs w:val="22"/>
                <w:lang w:val="en-GB" w:eastAsia="en-GB"/>
              </w:rPr>
              <w:t>NA</w:t>
            </w:r>
          </w:p>
        </w:tc>
        <w:tc>
          <w:tcPr>
            <w:tcW w:w="269" w:type="pct"/>
            <w:tcBorders>
              <w:top w:val="nil"/>
              <w:left w:val="nil"/>
              <w:bottom w:val="nil"/>
              <w:right w:val="nil"/>
            </w:tcBorders>
            <w:shd w:val="clear" w:color="auto" w:fill="auto"/>
            <w:noWrap/>
            <w:vAlign w:val="bottom"/>
            <w:hideMark/>
          </w:tcPr>
          <w:p w14:paraId="2B1E94A8" w14:textId="77777777" w:rsidR="006C5478" w:rsidRPr="00821FA0" w:rsidRDefault="006C5478" w:rsidP="00821FA0">
            <w:pPr>
              <w:jc w:val="center"/>
              <w:rPr>
                <w:color w:val="000000"/>
                <w:szCs w:val="22"/>
                <w:lang w:val="en-GB" w:eastAsia="en-GB"/>
              </w:rPr>
            </w:pPr>
            <w:r w:rsidRPr="00821FA0">
              <w:rPr>
                <w:color w:val="000000"/>
                <w:szCs w:val="22"/>
                <w:lang w:val="en-GB" w:eastAsia="en-GB"/>
              </w:rPr>
              <w:t>NA</w:t>
            </w:r>
          </w:p>
        </w:tc>
        <w:tc>
          <w:tcPr>
            <w:tcW w:w="350" w:type="pct"/>
            <w:tcBorders>
              <w:top w:val="nil"/>
              <w:left w:val="nil"/>
              <w:bottom w:val="nil"/>
              <w:right w:val="nil"/>
            </w:tcBorders>
            <w:shd w:val="clear" w:color="auto" w:fill="auto"/>
            <w:noWrap/>
            <w:vAlign w:val="bottom"/>
            <w:hideMark/>
          </w:tcPr>
          <w:p w14:paraId="4F39B9A3" w14:textId="77777777" w:rsidR="006C5478" w:rsidRPr="00821FA0" w:rsidRDefault="006C5478" w:rsidP="006C5478">
            <w:pPr>
              <w:rPr>
                <w:color w:val="000000"/>
                <w:szCs w:val="22"/>
                <w:lang w:val="en-GB" w:eastAsia="en-GB"/>
              </w:rPr>
            </w:pPr>
            <w:r w:rsidRPr="00821FA0">
              <w:rPr>
                <w:color w:val="000000"/>
                <w:szCs w:val="22"/>
                <w:lang w:val="en-GB" w:eastAsia="en-GB"/>
              </w:rPr>
              <w:t>NA</w:t>
            </w:r>
          </w:p>
        </w:tc>
        <w:tc>
          <w:tcPr>
            <w:tcW w:w="449" w:type="pct"/>
            <w:tcBorders>
              <w:top w:val="nil"/>
              <w:left w:val="nil"/>
              <w:bottom w:val="nil"/>
              <w:right w:val="nil"/>
            </w:tcBorders>
            <w:shd w:val="clear" w:color="auto" w:fill="auto"/>
            <w:noWrap/>
            <w:vAlign w:val="bottom"/>
            <w:hideMark/>
          </w:tcPr>
          <w:p w14:paraId="74937C6D" w14:textId="77777777" w:rsidR="006C5478" w:rsidRPr="00821FA0" w:rsidRDefault="006C5478" w:rsidP="00821FA0">
            <w:pPr>
              <w:jc w:val="center"/>
              <w:rPr>
                <w:color w:val="000000"/>
                <w:szCs w:val="22"/>
                <w:lang w:val="en-GB" w:eastAsia="en-GB"/>
              </w:rPr>
            </w:pPr>
            <w:r w:rsidRPr="00821FA0">
              <w:rPr>
                <w:color w:val="000000"/>
                <w:szCs w:val="22"/>
                <w:lang w:val="en-GB" w:eastAsia="en-GB"/>
              </w:rPr>
              <w:t>NA</w:t>
            </w:r>
          </w:p>
        </w:tc>
        <w:tc>
          <w:tcPr>
            <w:tcW w:w="269" w:type="pct"/>
            <w:tcBorders>
              <w:top w:val="nil"/>
              <w:left w:val="nil"/>
              <w:bottom w:val="nil"/>
              <w:right w:val="nil"/>
            </w:tcBorders>
            <w:shd w:val="clear" w:color="auto" w:fill="auto"/>
            <w:noWrap/>
            <w:vAlign w:val="bottom"/>
            <w:hideMark/>
          </w:tcPr>
          <w:p w14:paraId="5919561C" w14:textId="77777777" w:rsidR="006C5478" w:rsidRPr="00821FA0" w:rsidRDefault="006C5478" w:rsidP="00821FA0">
            <w:pPr>
              <w:jc w:val="center"/>
              <w:rPr>
                <w:color w:val="000000"/>
                <w:szCs w:val="22"/>
                <w:lang w:val="en-GB" w:eastAsia="en-GB"/>
              </w:rPr>
            </w:pPr>
            <w:r w:rsidRPr="00821FA0">
              <w:rPr>
                <w:color w:val="000000"/>
                <w:szCs w:val="22"/>
                <w:lang w:val="en-GB" w:eastAsia="en-GB"/>
              </w:rPr>
              <w:t>NA</w:t>
            </w:r>
          </w:p>
        </w:tc>
      </w:tr>
      <w:tr w:rsidR="00821FA0" w:rsidRPr="00821FA0" w14:paraId="6231ABAD" w14:textId="77777777" w:rsidTr="00821FA0">
        <w:trPr>
          <w:trHeight w:val="300"/>
        </w:trPr>
        <w:tc>
          <w:tcPr>
            <w:tcW w:w="510" w:type="pct"/>
            <w:tcBorders>
              <w:top w:val="nil"/>
              <w:left w:val="nil"/>
              <w:right w:val="nil"/>
            </w:tcBorders>
            <w:shd w:val="clear" w:color="auto" w:fill="auto"/>
            <w:noWrap/>
            <w:vAlign w:val="bottom"/>
            <w:hideMark/>
          </w:tcPr>
          <w:p w14:paraId="4E0408C2" w14:textId="77777777" w:rsidR="006C5478" w:rsidRPr="00821FA0" w:rsidRDefault="006C5478" w:rsidP="006C5478">
            <w:pPr>
              <w:rPr>
                <w:color w:val="000000"/>
                <w:szCs w:val="22"/>
                <w:lang w:val="en-GB" w:eastAsia="en-GB"/>
              </w:rPr>
            </w:pPr>
            <w:r w:rsidRPr="00821FA0">
              <w:rPr>
                <w:color w:val="000000"/>
                <w:szCs w:val="22"/>
                <w:lang w:val="en-GB" w:eastAsia="en-GB"/>
              </w:rPr>
              <w:t>Biederman 2012</w:t>
            </w:r>
          </w:p>
        </w:tc>
        <w:tc>
          <w:tcPr>
            <w:tcW w:w="215" w:type="pct"/>
            <w:tcBorders>
              <w:top w:val="nil"/>
              <w:left w:val="nil"/>
              <w:right w:val="nil"/>
            </w:tcBorders>
            <w:shd w:val="clear" w:color="auto" w:fill="auto"/>
            <w:noWrap/>
            <w:vAlign w:val="bottom"/>
            <w:hideMark/>
          </w:tcPr>
          <w:p w14:paraId="0BD0D6DE" w14:textId="77777777" w:rsidR="006C5478" w:rsidRPr="00821FA0" w:rsidRDefault="006C5478" w:rsidP="00821FA0">
            <w:pPr>
              <w:jc w:val="center"/>
              <w:rPr>
                <w:color w:val="000000"/>
                <w:szCs w:val="22"/>
                <w:lang w:val="en-GB" w:eastAsia="en-GB"/>
              </w:rPr>
            </w:pPr>
            <w:r w:rsidRPr="00821FA0">
              <w:rPr>
                <w:color w:val="000000"/>
                <w:szCs w:val="22"/>
                <w:lang w:val="en-GB" w:eastAsia="en-GB"/>
              </w:rPr>
              <w:t>2</w:t>
            </w:r>
          </w:p>
        </w:tc>
        <w:tc>
          <w:tcPr>
            <w:tcW w:w="350" w:type="pct"/>
            <w:tcBorders>
              <w:top w:val="nil"/>
              <w:left w:val="nil"/>
              <w:right w:val="nil"/>
            </w:tcBorders>
            <w:shd w:val="clear" w:color="auto" w:fill="auto"/>
            <w:noWrap/>
            <w:vAlign w:val="bottom"/>
            <w:hideMark/>
          </w:tcPr>
          <w:p w14:paraId="65CFB4B3" w14:textId="77777777" w:rsidR="006C5478" w:rsidRPr="00821FA0" w:rsidRDefault="006C5478" w:rsidP="006C5478">
            <w:pPr>
              <w:rPr>
                <w:color w:val="000000"/>
                <w:szCs w:val="22"/>
                <w:lang w:val="en-GB" w:eastAsia="en-GB"/>
              </w:rPr>
            </w:pPr>
            <w:r w:rsidRPr="00821FA0">
              <w:rPr>
                <w:color w:val="000000"/>
                <w:szCs w:val="22"/>
                <w:lang w:val="en-GB" w:eastAsia="en-GB"/>
              </w:rPr>
              <w:t>PL</w:t>
            </w:r>
          </w:p>
        </w:tc>
        <w:tc>
          <w:tcPr>
            <w:tcW w:w="449" w:type="pct"/>
            <w:tcBorders>
              <w:top w:val="nil"/>
              <w:left w:val="nil"/>
              <w:right w:val="nil"/>
            </w:tcBorders>
            <w:shd w:val="clear" w:color="auto" w:fill="auto"/>
            <w:noWrap/>
            <w:vAlign w:val="bottom"/>
            <w:hideMark/>
          </w:tcPr>
          <w:p w14:paraId="6C541DC0" w14:textId="77777777" w:rsidR="006C5478" w:rsidRPr="00821FA0" w:rsidRDefault="006C5478" w:rsidP="00821FA0">
            <w:pPr>
              <w:jc w:val="center"/>
              <w:rPr>
                <w:color w:val="000000"/>
                <w:szCs w:val="22"/>
                <w:lang w:val="en-GB" w:eastAsia="en-GB"/>
              </w:rPr>
            </w:pPr>
            <w:r w:rsidRPr="00821FA0">
              <w:rPr>
                <w:color w:val="000000"/>
                <w:szCs w:val="22"/>
                <w:lang w:val="en-GB" w:eastAsia="en-GB"/>
              </w:rPr>
              <w:t>1</w:t>
            </w:r>
          </w:p>
        </w:tc>
        <w:tc>
          <w:tcPr>
            <w:tcW w:w="269" w:type="pct"/>
            <w:tcBorders>
              <w:top w:val="nil"/>
              <w:left w:val="nil"/>
              <w:right w:val="nil"/>
            </w:tcBorders>
            <w:shd w:val="clear" w:color="auto" w:fill="auto"/>
            <w:noWrap/>
            <w:vAlign w:val="bottom"/>
            <w:hideMark/>
          </w:tcPr>
          <w:p w14:paraId="72065013" w14:textId="77777777" w:rsidR="006C5478" w:rsidRPr="00821FA0" w:rsidRDefault="006C5478" w:rsidP="00821FA0">
            <w:pPr>
              <w:jc w:val="center"/>
              <w:rPr>
                <w:color w:val="000000"/>
                <w:szCs w:val="22"/>
                <w:lang w:val="en-GB" w:eastAsia="en-GB"/>
              </w:rPr>
            </w:pPr>
            <w:r w:rsidRPr="00821FA0">
              <w:rPr>
                <w:color w:val="000000"/>
                <w:szCs w:val="22"/>
                <w:lang w:val="en-GB" w:eastAsia="en-GB"/>
              </w:rPr>
              <w:t>31</w:t>
            </w:r>
          </w:p>
        </w:tc>
        <w:tc>
          <w:tcPr>
            <w:tcW w:w="432" w:type="pct"/>
            <w:gridSpan w:val="2"/>
            <w:tcBorders>
              <w:top w:val="nil"/>
              <w:left w:val="nil"/>
              <w:right w:val="nil"/>
            </w:tcBorders>
            <w:shd w:val="clear" w:color="auto" w:fill="auto"/>
            <w:noWrap/>
            <w:vAlign w:val="bottom"/>
            <w:hideMark/>
          </w:tcPr>
          <w:p w14:paraId="773AD685" w14:textId="77777777" w:rsidR="006C5478" w:rsidRPr="00821FA0" w:rsidRDefault="006C5478" w:rsidP="006C5478">
            <w:pPr>
              <w:rPr>
                <w:color w:val="000000"/>
                <w:szCs w:val="22"/>
                <w:lang w:val="en-GB" w:eastAsia="en-GB"/>
              </w:rPr>
            </w:pPr>
            <w:r w:rsidRPr="00821FA0">
              <w:rPr>
                <w:color w:val="000000"/>
                <w:szCs w:val="22"/>
                <w:lang w:val="en-GB" w:eastAsia="en-GB"/>
              </w:rPr>
              <w:t>LDX</w:t>
            </w:r>
          </w:p>
        </w:tc>
        <w:tc>
          <w:tcPr>
            <w:tcW w:w="368" w:type="pct"/>
            <w:tcBorders>
              <w:top w:val="nil"/>
              <w:left w:val="nil"/>
              <w:right w:val="nil"/>
            </w:tcBorders>
            <w:shd w:val="clear" w:color="auto" w:fill="auto"/>
            <w:noWrap/>
            <w:vAlign w:val="bottom"/>
            <w:hideMark/>
          </w:tcPr>
          <w:p w14:paraId="2744A2A1" w14:textId="77777777" w:rsidR="006C5478" w:rsidRPr="00821FA0" w:rsidRDefault="006C5478" w:rsidP="00821FA0">
            <w:pPr>
              <w:jc w:val="center"/>
              <w:rPr>
                <w:color w:val="000000"/>
                <w:szCs w:val="22"/>
                <w:lang w:val="en-GB" w:eastAsia="en-GB"/>
              </w:rPr>
            </w:pPr>
            <w:r w:rsidRPr="00821FA0">
              <w:rPr>
                <w:color w:val="000000"/>
                <w:szCs w:val="22"/>
                <w:lang w:val="en-GB" w:eastAsia="en-GB"/>
              </w:rPr>
              <w:t>1</w:t>
            </w:r>
          </w:p>
        </w:tc>
        <w:tc>
          <w:tcPr>
            <w:tcW w:w="269" w:type="pct"/>
            <w:tcBorders>
              <w:top w:val="nil"/>
              <w:left w:val="nil"/>
              <w:right w:val="nil"/>
            </w:tcBorders>
            <w:shd w:val="clear" w:color="auto" w:fill="auto"/>
            <w:noWrap/>
            <w:vAlign w:val="bottom"/>
            <w:hideMark/>
          </w:tcPr>
          <w:p w14:paraId="0F1FCD23" w14:textId="77777777" w:rsidR="006C5478" w:rsidRPr="00821FA0" w:rsidRDefault="006C5478" w:rsidP="00821FA0">
            <w:pPr>
              <w:jc w:val="center"/>
              <w:rPr>
                <w:color w:val="000000"/>
                <w:szCs w:val="22"/>
                <w:lang w:val="en-GB" w:eastAsia="en-GB"/>
              </w:rPr>
            </w:pPr>
            <w:r w:rsidRPr="00821FA0">
              <w:rPr>
                <w:color w:val="000000"/>
                <w:szCs w:val="22"/>
                <w:lang w:val="en-GB" w:eastAsia="en-GB"/>
              </w:rPr>
              <w:t>32</w:t>
            </w:r>
          </w:p>
        </w:tc>
        <w:tc>
          <w:tcPr>
            <w:tcW w:w="350" w:type="pct"/>
            <w:tcBorders>
              <w:top w:val="nil"/>
              <w:left w:val="nil"/>
              <w:right w:val="nil"/>
            </w:tcBorders>
            <w:shd w:val="clear" w:color="auto" w:fill="auto"/>
            <w:noWrap/>
            <w:vAlign w:val="bottom"/>
            <w:hideMark/>
          </w:tcPr>
          <w:p w14:paraId="520D789A" w14:textId="77777777" w:rsidR="006C5478" w:rsidRPr="00821FA0" w:rsidRDefault="006C5478" w:rsidP="006C5478">
            <w:pPr>
              <w:rPr>
                <w:color w:val="000000"/>
                <w:szCs w:val="22"/>
                <w:lang w:val="en-GB" w:eastAsia="en-GB"/>
              </w:rPr>
            </w:pPr>
            <w:r w:rsidRPr="00821FA0">
              <w:rPr>
                <w:color w:val="000000"/>
                <w:szCs w:val="22"/>
                <w:lang w:val="en-GB" w:eastAsia="en-GB"/>
              </w:rPr>
              <w:t>NA</w:t>
            </w:r>
          </w:p>
        </w:tc>
        <w:tc>
          <w:tcPr>
            <w:tcW w:w="449" w:type="pct"/>
            <w:tcBorders>
              <w:top w:val="nil"/>
              <w:left w:val="nil"/>
              <w:right w:val="nil"/>
            </w:tcBorders>
            <w:shd w:val="clear" w:color="auto" w:fill="auto"/>
            <w:noWrap/>
            <w:vAlign w:val="bottom"/>
            <w:hideMark/>
          </w:tcPr>
          <w:p w14:paraId="69D89152" w14:textId="77777777" w:rsidR="006C5478" w:rsidRPr="00821FA0" w:rsidRDefault="006C5478" w:rsidP="00821FA0">
            <w:pPr>
              <w:jc w:val="center"/>
              <w:rPr>
                <w:color w:val="000000"/>
                <w:szCs w:val="22"/>
                <w:lang w:val="en-GB" w:eastAsia="en-GB"/>
              </w:rPr>
            </w:pPr>
            <w:r w:rsidRPr="00821FA0">
              <w:rPr>
                <w:color w:val="000000"/>
                <w:szCs w:val="22"/>
                <w:lang w:val="en-GB" w:eastAsia="en-GB"/>
              </w:rPr>
              <w:t>NA</w:t>
            </w:r>
          </w:p>
        </w:tc>
        <w:tc>
          <w:tcPr>
            <w:tcW w:w="269" w:type="pct"/>
            <w:tcBorders>
              <w:top w:val="nil"/>
              <w:left w:val="nil"/>
              <w:right w:val="nil"/>
            </w:tcBorders>
            <w:shd w:val="clear" w:color="auto" w:fill="auto"/>
            <w:noWrap/>
            <w:vAlign w:val="bottom"/>
            <w:hideMark/>
          </w:tcPr>
          <w:p w14:paraId="344BEDC7" w14:textId="77777777" w:rsidR="006C5478" w:rsidRPr="00821FA0" w:rsidRDefault="006C5478" w:rsidP="00821FA0">
            <w:pPr>
              <w:jc w:val="center"/>
              <w:rPr>
                <w:color w:val="000000"/>
                <w:szCs w:val="22"/>
                <w:lang w:val="en-GB" w:eastAsia="en-GB"/>
              </w:rPr>
            </w:pPr>
            <w:r w:rsidRPr="00821FA0">
              <w:rPr>
                <w:color w:val="000000"/>
                <w:szCs w:val="22"/>
                <w:lang w:val="en-GB" w:eastAsia="en-GB"/>
              </w:rPr>
              <w:t>NA</w:t>
            </w:r>
          </w:p>
        </w:tc>
        <w:tc>
          <w:tcPr>
            <w:tcW w:w="350" w:type="pct"/>
            <w:tcBorders>
              <w:top w:val="nil"/>
              <w:left w:val="nil"/>
              <w:right w:val="nil"/>
            </w:tcBorders>
            <w:shd w:val="clear" w:color="auto" w:fill="auto"/>
            <w:noWrap/>
            <w:vAlign w:val="bottom"/>
            <w:hideMark/>
          </w:tcPr>
          <w:p w14:paraId="5FEDAFDA" w14:textId="77777777" w:rsidR="006C5478" w:rsidRPr="00821FA0" w:rsidRDefault="006C5478" w:rsidP="006C5478">
            <w:pPr>
              <w:rPr>
                <w:color w:val="000000"/>
                <w:szCs w:val="22"/>
                <w:lang w:val="en-GB" w:eastAsia="en-GB"/>
              </w:rPr>
            </w:pPr>
            <w:r w:rsidRPr="00821FA0">
              <w:rPr>
                <w:color w:val="000000"/>
                <w:szCs w:val="22"/>
                <w:lang w:val="en-GB" w:eastAsia="en-GB"/>
              </w:rPr>
              <w:t>NA</w:t>
            </w:r>
          </w:p>
        </w:tc>
        <w:tc>
          <w:tcPr>
            <w:tcW w:w="449" w:type="pct"/>
            <w:tcBorders>
              <w:top w:val="nil"/>
              <w:left w:val="nil"/>
              <w:right w:val="nil"/>
            </w:tcBorders>
            <w:shd w:val="clear" w:color="auto" w:fill="auto"/>
            <w:noWrap/>
            <w:vAlign w:val="bottom"/>
            <w:hideMark/>
          </w:tcPr>
          <w:p w14:paraId="3C801FC1" w14:textId="77777777" w:rsidR="006C5478" w:rsidRPr="00821FA0" w:rsidRDefault="006C5478" w:rsidP="00821FA0">
            <w:pPr>
              <w:jc w:val="center"/>
              <w:rPr>
                <w:color w:val="000000"/>
                <w:szCs w:val="22"/>
                <w:lang w:val="en-GB" w:eastAsia="en-GB"/>
              </w:rPr>
            </w:pPr>
            <w:r w:rsidRPr="00821FA0">
              <w:rPr>
                <w:color w:val="000000"/>
                <w:szCs w:val="22"/>
                <w:lang w:val="en-GB" w:eastAsia="en-GB"/>
              </w:rPr>
              <w:t>NA</w:t>
            </w:r>
          </w:p>
        </w:tc>
        <w:tc>
          <w:tcPr>
            <w:tcW w:w="269" w:type="pct"/>
            <w:tcBorders>
              <w:top w:val="nil"/>
              <w:left w:val="nil"/>
              <w:right w:val="nil"/>
            </w:tcBorders>
            <w:shd w:val="clear" w:color="auto" w:fill="auto"/>
            <w:noWrap/>
            <w:vAlign w:val="bottom"/>
            <w:hideMark/>
          </w:tcPr>
          <w:p w14:paraId="1A4EF5A0" w14:textId="77777777" w:rsidR="006C5478" w:rsidRPr="00821FA0" w:rsidRDefault="006C5478" w:rsidP="00821FA0">
            <w:pPr>
              <w:jc w:val="center"/>
              <w:rPr>
                <w:color w:val="000000"/>
                <w:szCs w:val="22"/>
                <w:lang w:val="en-GB" w:eastAsia="en-GB"/>
              </w:rPr>
            </w:pPr>
            <w:r w:rsidRPr="00821FA0">
              <w:rPr>
                <w:color w:val="000000"/>
                <w:szCs w:val="22"/>
                <w:lang w:val="en-GB" w:eastAsia="en-GB"/>
              </w:rPr>
              <w:t>NA</w:t>
            </w:r>
          </w:p>
        </w:tc>
      </w:tr>
      <w:tr w:rsidR="00821FA0" w:rsidRPr="00821FA0" w14:paraId="7DDD3EA8" w14:textId="77777777" w:rsidTr="00821FA0">
        <w:trPr>
          <w:trHeight w:val="300"/>
        </w:trPr>
        <w:tc>
          <w:tcPr>
            <w:tcW w:w="510" w:type="pct"/>
            <w:tcBorders>
              <w:top w:val="nil"/>
              <w:left w:val="nil"/>
              <w:bottom w:val="single" w:sz="4" w:space="0" w:color="auto"/>
              <w:right w:val="nil"/>
            </w:tcBorders>
            <w:shd w:val="clear" w:color="auto" w:fill="auto"/>
            <w:noWrap/>
            <w:vAlign w:val="bottom"/>
            <w:hideMark/>
          </w:tcPr>
          <w:p w14:paraId="269400AA" w14:textId="77777777" w:rsidR="006C5478" w:rsidRPr="00821FA0" w:rsidRDefault="006C5478" w:rsidP="006C5478">
            <w:pPr>
              <w:rPr>
                <w:color w:val="000000"/>
                <w:szCs w:val="22"/>
                <w:lang w:val="en-GB" w:eastAsia="en-GB"/>
              </w:rPr>
            </w:pPr>
            <w:r w:rsidRPr="00821FA0">
              <w:rPr>
                <w:color w:val="000000"/>
                <w:szCs w:val="22"/>
                <w:lang w:val="en-GB" w:eastAsia="en-GB"/>
              </w:rPr>
              <w:t>Durell 2013</w:t>
            </w:r>
          </w:p>
        </w:tc>
        <w:tc>
          <w:tcPr>
            <w:tcW w:w="215" w:type="pct"/>
            <w:tcBorders>
              <w:top w:val="nil"/>
              <w:left w:val="nil"/>
              <w:bottom w:val="single" w:sz="4" w:space="0" w:color="auto"/>
              <w:right w:val="nil"/>
            </w:tcBorders>
            <w:shd w:val="clear" w:color="auto" w:fill="auto"/>
            <w:noWrap/>
            <w:vAlign w:val="bottom"/>
            <w:hideMark/>
          </w:tcPr>
          <w:p w14:paraId="16EA340E" w14:textId="77777777" w:rsidR="006C5478" w:rsidRPr="00821FA0" w:rsidRDefault="006C5478" w:rsidP="00821FA0">
            <w:pPr>
              <w:jc w:val="center"/>
              <w:rPr>
                <w:color w:val="000000"/>
                <w:szCs w:val="22"/>
                <w:lang w:val="en-GB" w:eastAsia="en-GB"/>
              </w:rPr>
            </w:pPr>
            <w:r w:rsidRPr="00821FA0">
              <w:rPr>
                <w:color w:val="000000"/>
                <w:szCs w:val="22"/>
                <w:lang w:val="en-GB" w:eastAsia="en-GB"/>
              </w:rPr>
              <w:t>2</w:t>
            </w:r>
          </w:p>
        </w:tc>
        <w:tc>
          <w:tcPr>
            <w:tcW w:w="350" w:type="pct"/>
            <w:tcBorders>
              <w:top w:val="nil"/>
              <w:left w:val="nil"/>
              <w:bottom w:val="single" w:sz="4" w:space="0" w:color="auto"/>
              <w:right w:val="nil"/>
            </w:tcBorders>
            <w:shd w:val="clear" w:color="auto" w:fill="auto"/>
            <w:noWrap/>
            <w:vAlign w:val="bottom"/>
            <w:hideMark/>
          </w:tcPr>
          <w:p w14:paraId="31DBBCB4" w14:textId="77777777" w:rsidR="006C5478" w:rsidRPr="00821FA0" w:rsidRDefault="006C5478" w:rsidP="006C5478">
            <w:pPr>
              <w:rPr>
                <w:color w:val="000000"/>
                <w:szCs w:val="22"/>
                <w:lang w:val="en-GB" w:eastAsia="en-GB"/>
              </w:rPr>
            </w:pPr>
            <w:r w:rsidRPr="00821FA0">
              <w:rPr>
                <w:color w:val="000000"/>
                <w:szCs w:val="22"/>
                <w:lang w:val="en-GB" w:eastAsia="en-GB"/>
              </w:rPr>
              <w:t>PL</w:t>
            </w:r>
          </w:p>
        </w:tc>
        <w:tc>
          <w:tcPr>
            <w:tcW w:w="449" w:type="pct"/>
            <w:tcBorders>
              <w:top w:val="nil"/>
              <w:left w:val="nil"/>
              <w:bottom w:val="single" w:sz="4" w:space="0" w:color="auto"/>
              <w:right w:val="nil"/>
            </w:tcBorders>
            <w:shd w:val="clear" w:color="auto" w:fill="auto"/>
            <w:noWrap/>
            <w:vAlign w:val="bottom"/>
            <w:hideMark/>
          </w:tcPr>
          <w:p w14:paraId="55E30108" w14:textId="77777777" w:rsidR="006C5478" w:rsidRPr="00821FA0" w:rsidRDefault="006C5478" w:rsidP="00821FA0">
            <w:pPr>
              <w:jc w:val="center"/>
              <w:rPr>
                <w:color w:val="000000"/>
                <w:szCs w:val="22"/>
                <w:lang w:val="en-GB" w:eastAsia="en-GB"/>
              </w:rPr>
            </w:pPr>
            <w:r w:rsidRPr="00821FA0">
              <w:rPr>
                <w:color w:val="000000"/>
                <w:szCs w:val="22"/>
                <w:lang w:val="en-GB" w:eastAsia="en-GB"/>
              </w:rPr>
              <w:t>6</w:t>
            </w:r>
          </w:p>
        </w:tc>
        <w:tc>
          <w:tcPr>
            <w:tcW w:w="269" w:type="pct"/>
            <w:tcBorders>
              <w:top w:val="nil"/>
              <w:left w:val="nil"/>
              <w:bottom w:val="single" w:sz="4" w:space="0" w:color="auto"/>
              <w:right w:val="nil"/>
            </w:tcBorders>
            <w:shd w:val="clear" w:color="auto" w:fill="auto"/>
            <w:noWrap/>
            <w:vAlign w:val="bottom"/>
            <w:hideMark/>
          </w:tcPr>
          <w:p w14:paraId="00AB803A" w14:textId="77777777" w:rsidR="006C5478" w:rsidRPr="00821FA0" w:rsidRDefault="006C5478" w:rsidP="00821FA0">
            <w:pPr>
              <w:jc w:val="center"/>
              <w:rPr>
                <w:color w:val="000000"/>
                <w:szCs w:val="22"/>
                <w:lang w:val="en-GB" w:eastAsia="en-GB"/>
              </w:rPr>
            </w:pPr>
            <w:r w:rsidRPr="00821FA0">
              <w:rPr>
                <w:color w:val="000000"/>
                <w:szCs w:val="22"/>
                <w:lang w:val="en-GB" w:eastAsia="en-GB"/>
              </w:rPr>
              <w:t>225</w:t>
            </w:r>
          </w:p>
        </w:tc>
        <w:tc>
          <w:tcPr>
            <w:tcW w:w="432" w:type="pct"/>
            <w:gridSpan w:val="2"/>
            <w:tcBorders>
              <w:top w:val="nil"/>
              <w:left w:val="nil"/>
              <w:bottom w:val="single" w:sz="4" w:space="0" w:color="auto"/>
              <w:right w:val="nil"/>
            </w:tcBorders>
            <w:shd w:val="clear" w:color="auto" w:fill="auto"/>
            <w:noWrap/>
            <w:vAlign w:val="bottom"/>
            <w:hideMark/>
          </w:tcPr>
          <w:p w14:paraId="4E62EF43" w14:textId="77777777" w:rsidR="006C5478" w:rsidRPr="00821FA0" w:rsidRDefault="006C5478" w:rsidP="006C5478">
            <w:pPr>
              <w:rPr>
                <w:color w:val="000000"/>
                <w:szCs w:val="22"/>
                <w:lang w:val="en-GB" w:eastAsia="en-GB"/>
              </w:rPr>
            </w:pPr>
            <w:r w:rsidRPr="00821FA0">
              <w:rPr>
                <w:color w:val="000000"/>
                <w:szCs w:val="22"/>
                <w:lang w:val="en-GB" w:eastAsia="en-GB"/>
              </w:rPr>
              <w:t>ATX</w:t>
            </w:r>
          </w:p>
        </w:tc>
        <w:tc>
          <w:tcPr>
            <w:tcW w:w="368" w:type="pct"/>
            <w:tcBorders>
              <w:top w:val="nil"/>
              <w:left w:val="nil"/>
              <w:bottom w:val="single" w:sz="4" w:space="0" w:color="auto"/>
              <w:right w:val="nil"/>
            </w:tcBorders>
            <w:shd w:val="clear" w:color="auto" w:fill="auto"/>
            <w:noWrap/>
            <w:vAlign w:val="bottom"/>
            <w:hideMark/>
          </w:tcPr>
          <w:p w14:paraId="4481AE0A" w14:textId="77777777" w:rsidR="006C5478" w:rsidRPr="00821FA0" w:rsidRDefault="006C5478" w:rsidP="00821FA0">
            <w:pPr>
              <w:jc w:val="center"/>
              <w:rPr>
                <w:color w:val="000000"/>
                <w:szCs w:val="22"/>
                <w:lang w:val="en-GB" w:eastAsia="en-GB"/>
              </w:rPr>
            </w:pPr>
            <w:r w:rsidRPr="00821FA0">
              <w:rPr>
                <w:color w:val="000000"/>
                <w:szCs w:val="22"/>
                <w:lang w:val="en-GB" w:eastAsia="en-GB"/>
              </w:rPr>
              <w:t>21</w:t>
            </w:r>
          </w:p>
        </w:tc>
        <w:tc>
          <w:tcPr>
            <w:tcW w:w="269" w:type="pct"/>
            <w:tcBorders>
              <w:top w:val="nil"/>
              <w:left w:val="nil"/>
              <w:bottom w:val="single" w:sz="4" w:space="0" w:color="auto"/>
              <w:right w:val="nil"/>
            </w:tcBorders>
            <w:shd w:val="clear" w:color="auto" w:fill="auto"/>
            <w:noWrap/>
            <w:vAlign w:val="bottom"/>
            <w:hideMark/>
          </w:tcPr>
          <w:p w14:paraId="3DFE8CA0" w14:textId="77777777" w:rsidR="006C5478" w:rsidRPr="00821FA0" w:rsidRDefault="006C5478" w:rsidP="00821FA0">
            <w:pPr>
              <w:jc w:val="center"/>
              <w:rPr>
                <w:color w:val="000000"/>
                <w:szCs w:val="22"/>
                <w:lang w:val="en-GB" w:eastAsia="en-GB"/>
              </w:rPr>
            </w:pPr>
            <w:r w:rsidRPr="00821FA0">
              <w:rPr>
                <w:color w:val="000000"/>
                <w:szCs w:val="22"/>
                <w:lang w:val="en-GB" w:eastAsia="en-GB"/>
              </w:rPr>
              <w:t>220</w:t>
            </w:r>
          </w:p>
        </w:tc>
        <w:tc>
          <w:tcPr>
            <w:tcW w:w="350" w:type="pct"/>
            <w:tcBorders>
              <w:top w:val="nil"/>
              <w:left w:val="nil"/>
              <w:bottom w:val="single" w:sz="4" w:space="0" w:color="auto"/>
              <w:right w:val="nil"/>
            </w:tcBorders>
            <w:shd w:val="clear" w:color="auto" w:fill="auto"/>
            <w:noWrap/>
            <w:vAlign w:val="bottom"/>
            <w:hideMark/>
          </w:tcPr>
          <w:p w14:paraId="6965AB8B" w14:textId="77777777" w:rsidR="006C5478" w:rsidRPr="00821FA0" w:rsidRDefault="006C5478" w:rsidP="006C5478">
            <w:pPr>
              <w:rPr>
                <w:color w:val="000000"/>
                <w:szCs w:val="22"/>
                <w:lang w:val="en-GB" w:eastAsia="en-GB"/>
              </w:rPr>
            </w:pPr>
            <w:r w:rsidRPr="00821FA0">
              <w:rPr>
                <w:color w:val="000000"/>
                <w:szCs w:val="22"/>
                <w:lang w:val="en-GB" w:eastAsia="en-GB"/>
              </w:rPr>
              <w:t>NA</w:t>
            </w:r>
          </w:p>
        </w:tc>
        <w:tc>
          <w:tcPr>
            <w:tcW w:w="449" w:type="pct"/>
            <w:tcBorders>
              <w:top w:val="nil"/>
              <w:left w:val="nil"/>
              <w:bottom w:val="single" w:sz="4" w:space="0" w:color="auto"/>
              <w:right w:val="nil"/>
            </w:tcBorders>
            <w:shd w:val="clear" w:color="auto" w:fill="auto"/>
            <w:noWrap/>
            <w:vAlign w:val="bottom"/>
            <w:hideMark/>
          </w:tcPr>
          <w:p w14:paraId="7C72D007" w14:textId="77777777" w:rsidR="006C5478" w:rsidRPr="00821FA0" w:rsidRDefault="006C5478" w:rsidP="00821FA0">
            <w:pPr>
              <w:jc w:val="center"/>
              <w:rPr>
                <w:color w:val="000000"/>
                <w:szCs w:val="22"/>
                <w:lang w:val="en-GB" w:eastAsia="en-GB"/>
              </w:rPr>
            </w:pPr>
            <w:r w:rsidRPr="00821FA0">
              <w:rPr>
                <w:color w:val="000000"/>
                <w:szCs w:val="22"/>
                <w:lang w:val="en-GB" w:eastAsia="en-GB"/>
              </w:rPr>
              <w:t>NA</w:t>
            </w:r>
          </w:p>
        </w:tc>
        <w:tc>
          <w:tcPr>
            <w:tcW w:w="269" w:type="pct"/>
            <w:tcBorders>
              <w:top w:val="nil"/>
              <w:left w:val="nil"/>
              <w:bottom w:val="single" w:sz="4" w:space="0" w:color="auto"/>
              <w:right w:val="nil"/>
            </w:tcBorders>
            <w:shd w:val="clear" w:color="auto" w:fill="auto"/>
            <w:noWrap/>
            <w:vAlign w:val="bottom"/>
            <w:hideMark/>
          </w:tcPr>
          <w:p w14:paraId="5BA3A942" w14:textId="77777777" w:rsidR="006C5478" w:rsidRPr="00821FA0" w:rsidRDefault="006C5478" w:rsidP="00821FA0">
            <w:pPr>
              <w:jc w:val="center"/>
              <w:rPr>
                <w:color w:val="000000"/>
                <w:szCs w:val="22"/>
                <w:lang w:val="en-GB" w:eastAsia="en-GB"/>
              </w:rPr>
            </w:pPr>
            <w:r w:rsidRPr="00821FA0">
              <w:rPr>
                <w:color w:val="000000"/>
                <w:szCs w:val="22"/>
                <w:lang w:val="en-GB" w:eastAsia="en-GB"/>
              </w:rPr>
              <w:t>NA</w:t>
            </w:r>
          </w:p>
        </w:tc>
        <w:tc>
          <w:tcPr>
            <w:tcW w:w="350" w:type="pct"/>
            <w:tcBorders>
              <w:top w:val="nil"/>
              <w:left w:val="nil"/>
              <w:bottom w:val="single" w:sz="4" w:space="0" w:color="auto"/>
              <w:right w:val="nil"/>
            </w:tcBorders>
            <w:shd w:val="clear" w:color="auto" w:fill="auto"/>
            <w:noWrap/>
            <w:vAlign w:val="bottom"/>
            <w:hideMark/>
          </w:tcPr>
          <w:p w14:paraId="30A1279D" w14:textId="77777777" w:rsidR="006C5478" w:rsidRPr="00821FA0" w:rsidRDefault="006C5478" w:rsidP="006C5478">
            <w:pPr>
              <w:rPr>
                <w:color w:val="000000"/>
                <w:szCs w:val="22"/>
                <w:lang w:val="en-GB" w:eastAsia="en-GB"/>
              </w:rPr>
            </w:pPr>
            <w:r w:rsidRPr="00821FA0">
              <w:rPr>
                <w:color w:val="000000"/>
                <w:szCs w:val="22"/>
                <w:lang w:val="en-GB" w:eastAsia="en-GB"/>
              </w:rPr>
              <w:t>NA</w:t>
            </w:r>
          </w:p>
        </w:tc>
        <w:tc>
          <w:tcPr>
            <w:tcW w:w="449" w:type="pct"/>
            <w:tcBorders>
              <w:top w:val="nil"/>
              <w:left w:val="nil"/>
              <w:bottom w:val="single" w:sz="4" w:space="0" w:color="auto"/>
              <w:right w:val="nil"/>
            </w:tcBorders>
            <w:shd w:val="clear" w:color="auto" w:fill="auto"/>
            <w:noWrap/>
            <w:vAlign w:val="bottom"/>
            <w:hideMark/>
          </w:tcPr>
          <w:p w14:paraId="31797552" w14:textId="77777777" w:rsidR="006C5478" w:rsidRPr="00821FA0" w:rsidRDefault="006C5478" w:rsidP="00821FA0">
            <w:pPr>
              <w:jc w:val="center"/>
              <w:rPr>
                <w:color w:val="000000"/>
                <w:szCs w:val="22"/>
                <w:lang w:val="en-GB" w:eastAsia="en-GB"/>
              </w:rPr>
            </w:pPr>
            <w:r w:rsidRPr="00821FA0">
              <w:rPr>
                <w:color w:val="000000"/>
                <w:szCs w:val="22"/>
                <w:lang w:val="en-GB" w:eastAsia="en-GB"/>
              </w:rPr>
              <w:t>NA</w:t>
            </w:r>
          </w:p>
        </w:tc>
        <w:tc>
          <w:tcPr>
            <w:tcW w:w="269" w:type="pct"/>
            <w:tcBorders>
              <w:top w:val="nil"/>
              <w:left w:val="nil"/>
              <w:bottom w:val="single" w:sz="4" w:space="0" w:color="auto"/>
              <w:right w:val="nil"/>
            </w:tcBorders>
            <w:shd w:val="clear" w:color="auto" w:fill="auto"/>
            <w:noWrap/>
            <w:vAlign w:val="bottom"/>
            <w:hideMark/>
          </w:tcPr>
          <w:p w14:paraId="1B96A8FA" w14:textId="77777777" w:rsidR="006C5478" w:rsidRPr="00821FA0" w:rsidRDefault="006C5478" w:rsidP="00821FA0">
            <w:pPr>
              <w:jc w:val="center"/>
              <w:rPr>
                <w:color w:val="000000"/>
                <w:szCs w:val="22"/>
                <w:lang w:val="en-GB" w:eastAsia="en-GB"/>
              </w:rPr>
            </w:pPr>
            <w:r w:rsidRPr="00821FA0">
              <w:rPr>
                <w:color w:val="000000"/>
                <w:szCs w:val="22"/>
                <w:lang w:val="en-GB" w:eastAsia="en-GB"/>
              </w:rPr>
              <w:t>NA</w:t>
            </w:r>
          </w:p>
        </w:tc>
      </w:tr>
    </w:tbl>
    <w:p w14:paraId="324F9882" w14:textId="329A70D2" w:rsidR="006C5478" w:rsidRDefault="006C5478" w:rsidP="006C5478">
      <w:pPr>
        <w:rPr>
          <w:lang w:val="en-GB"/>
        </w:rPr>
      </w:pPr>
      <w:bookmarkStart w:id="340" w:name="_GoBack"/>
      <w:bookmarkEnd w:id="340"/>
    </w:p>
    <w:p w14:paraId="69E6E79A" w14:textId="2BFF988D" w:rsidR="00F553CC" w:rsidRPr="006C5478" w:rsidRDefault="006C5478" w:rsidP="006C5478">
      <w:pPr>
        <w:rPr>
          <w:lang w:val="en-GB"/>
        </w:rPr>
        <w:sectPr w:rsidR="00F553CC" w:rsidRPr="006C5478" w:rsidSect="006C5478">
          <w:endnotePr>
            <w:numFmt w:val="decimal"/>
          </w:endnotePr>
          <w:pgSz w:w="15840" w:h="12240" w:orient="landscape" w:code="9"/>
          <w:pgMar w:top="720" w:right="720" w:bottom="720" w:left="720" w:header="576" w:footer="1440" w:gutter="0"/>
          <w:cols w:space="720"/>
          <w:formProt w:val="0"/>
          <w:docGrid w:linePitch="272"/>
        </w:sectPr>
      </w:pPr>
      <w:r w:rsidRPr="006C5478">
        <w:rPr>
          <w:b/>
          <w:lang w:val="en-GB"/>
        </w:rPr>
        <w:t>Abbreviations:</w:t>
      </w:r>
      <w:r>
        <w:rPr>
          <w:lang w:val="en-GB"/>
        </w:rPr>
        <w:t xml:space="preserve"> </w:t>
      </w:r>
      <w:r w:rsidRPr="006C5478">
        <w:rPr>
          <w:lang w:val="en-GB"/>
        </w:rPr>
        <w:t>ADHD: attention-deficit/hyperactivity disorder</w:t>
      </w:r>
      <w:r w:rsidR="00821FA0" w:rsidRPr="006C5478">
        <w:rPr>
          <w:lang w:val="en-GB"/>
        </w:rPr>
        <w:t>; ATX: atomoxetine; ER, extended release</w:t>
      </w:r>
      <w:r w:rsidRPr="006C5478">
        <w:rPr>
          <w:lang w:val="en-GB"/>
        </w:rPr>
        <w:t>; LDX, lisdexamphetamine; MPH, methylphenidate; IR, immediate release</w:t>
      </w:r>
    </w:p>
    <w:p w14:paraId="14FCC576" w14:textId="078C17CB" w:rsidR="008200FF" w:rsidRPr="00E14060" w:rsidRDefault="008200FF" w:rsidP="008200FF">
      <w:pPr>
        <w:pStyle w:val="Heading2"/>
        <w:rPr>
          <w:color w:val="auto"/>
          <w:lang w:val="en-GB"/>
        </w:rPr>
      </w:pPr>
      <w:r w:rsidRPr="00E14060">
        <w:rPr>
          <w:color w:val="auto"/>
          <w:lang w:val="en-GB"/>
        </w:rPr>
        <w:lastRenderedPageBreak/>
        <w:t xml:space="preserve">Appendix </w:t>
      </w:r>
      <w:r w:rsidR="00F553CC">
        <w:rPr>
          <w:color w:val="auto"/>
          <w:lang w:val="en-GB"/>
        </w:rPr>
        <w:t>B</w:t>
      </w:r>
      <w:r w:rsidRPr="00E14060">
        <w:rPr>
          <w:color w:val="auto"/>
          <w:lang w:val="en-GB"/>
        </w:rPr>
        <w:t>: Imputation analysis</w:t>
      </w:r>
      <w:bookmarkEnd w:id="335"/>
      <w:bookmarkEnd w:id="336"/>
      <w:bookmarkEnd w:id="337"/>
    </w:p>
    <w:p w14:paraId="402FF55E" w14:textId="7A65B539" w:rsidR="008200FF" w:rsidRPr="00E14060" w:rsidRDefault="008200FF" w:rsidP="008200FF">
      <w:pPr>
        <w:rPr>
          <w:sz w:val="24"/>
          <w:szCs w:val="24"/>
          <w:lang w:val="en-GB"/>
        </w:rPr>
      </w:pPr>
      <w:r w:rsidRPr="00E14060">
        <w:rPr>
          <w:lang w:val="en-GB"/>
        </w:rPr>
        <w:tab/>
      </w:r>
      <w:r w:rsidRPr="00E14060">
        <w:rPr>
          <w:b/>
          <w:sz w:val="24"/>
          <w:szCs w:val="24"/>
          <w:lang w:val="en-GB"/>
        </w:rPr>
        <w:t>Step 1.</w:t>
      </w:r>
      <w:r w:rsidRPr="00E14060">
        <w:rPr>
          <w:sz w:val="24"/>
          <w:szCs w:val="24"/>
          <w:lang w:val="en-GB"/>
        </w:rPr>
        <w:t>Test of normality for ADHD-RS-IV score change in SPD489-303 trial</w:t>
      </w:r>
    </w:p>
    <w:p w14:paraId="0AE4E527" w14:textId="77777777" w:rsidR="008200FF" w:rsidRPr="00E14060" w:rsidRDefault="008200FF" w:rsidP="008200FF">
      <w:pPr>
        <w:rPr>
          <w:sz w:val="24"/>
          <w:szCs w:val="24"/>
          <w:lang w:val="en-GB"/>
        </w:rPr>
      </w:pPr>
      <w:r w:rsidRPr="00E14060">
        <w:rPr>
          <w:noProof/>
          <w:lang w:val="en-GB" w:eastAsia="en-GB"/>
        </w:rPr>
        <w:drawing>
          <wp:inline distT="0" distB="0" distL="0" distR="0" wp14:anchorId="565DED5B" wp14:editId="6C67AD0C">
            <wp:extent cx="6921795" cy="5539655"/>
            <wp:effectExtent l="0" t="0" r="0" b="444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930442" cy="5546576"/>
                    </a:xfrm>
                    <a:prstGeom prst="rect">
                      <a:avLst/>
                    </a:prstGeom>
                  </pic:spPr>
                </pic:pic>
              </a:graphicData>
            </a:graphic>
          </wp:inline>
        </w:drawing>
      </w:r>
    </w:p>
    <w:p w14:paraId="0A37C005" w14:textId="77777777" w:rsidR="008200FF" w:rsidRPr="00E14060" w:rsidRDefault="008200FF" w:rsidP="008200FF">
      <w:pPr>
        <w:ind w:left="720"/>
        <w:rPr>
          <w:sz w:val="24"/>
          <w:szCs w:val="24"/>
          <w:lang w:val="en-GB"/>
        </w:rPr>
      </w:pPr>
      <w:r w:rsidRPr="00E14060">
        <w:rPr>
          <w:b/>
          <w:sz w:val="24"/>
          <w:szCs w:val="24"/>
          <w:lang w:val="en-GB"/>
        </w:rPr>
        <w:t>Abbreviations</w:t>
      </w:r>
      <w:r w:rsidRPr="00E14060">
        <w:rPr>
          <w:sz w:val="24"/>
          <w:szCs w:val="24"/>
          <w:lang w:val="en-GB"/>
        </w:rPr>
        <w:t>: CDF: cumulative distribution function; ADHD-RS-IV: ADHD Rating Scale-IV.</w:t>
      </w:r>
    </w:p>
    <w:p w14:paraId="17CE31CC" w14:textId="77777777" w:rsidR="008200FF" w:rsidRPr="00E14060" w:rsidRDefault="008200FF" w:rsidP="008200FF">
      <w:pPr>
        <w:ind w:left="720"/>
        <w:rPr>
          <w:sz w:val="24"/>
          <w:szCs w:val="24"/>
          <w:lang w:val="en-GB"/>
        </w:rPr>
      </w:pPr>
      <w:r w:rsidRPr="00E14060">
        <w:rPr>
          <w:b/>
          <w:sz w:val="24"/>
          <w:szCs w:val="24"/>
          <w:lang w:val="en-GB"/>
        </w:rPr>
        <w:t>Notes</w:t>
      </w:r>
      <w:r w:rsidRPr="00E14060">
        <w:rPr>
          <w:sz w:val="24"/>
          <w:szCs w:val="24"/>
          <w:lang w:val="en-GB"/>
        </w:rPr>
        <w:t>: Normality was assessed using all ADHD-RS-IV change observations in the SPD489-303 trial (both active and placebo arms).</w:t>
      </w:r>
    </w:p>
    <w:p w14:paraId="5C591881" w14:textId="77777777" w:rsidR="008200FF" w:rsidRPr="00E14060" w:rsidRDefault="008200FF" w:rsidP="008200FF">
      <w:pPr>
        <w:rPr>
          <w:sz w:val="24"/>
          <w:szCs w:val="24"/>
          <w:lang w:val="en-GB"/>
        </w:rPr>
      </w:pPr>
    </w:p>
    <w:p w14:paraId="610DEBF2" w14:textId="77777777" w:rsidR="008200FF" w:rsidRPr="00E14060" w:rsidRDefault="008200FF" w:rsidP="008200FF">
      <w:pPr>
        <w:rPr>
          <w:sz w:val="24"/>
          <w:szCs w:val="24"/>
          <w:lang w:val="en-GB"/>
        </w:rPr>
      </w:pPr>
    </w:p>
    <w:p w14:paraId="6E219002" w14:textId="77777777" w:rsidR="008200FF" w:rsidRPr="00E14060" w:rsidRDefault="008200FF" w:rsidP="008200FF">
      <w:pPr>
        <w:rPr>
          <w:sz w:val="24"/>
          <w:szCs w:val="24"/>
          <w:lang w:val="en-GB"/>
        </w:rPr>
      </w:pPr>
    </w:p>
    <w:p w14:paraId="189E888D" w14:textId="77777777" w:rsidR="008200FF" w:rsidRPr="00E14060" w:rsidRDefault="008200FF" w:rsidP="008200FF">
      <w:pPr>
        <w:rPr>
          <w:sz w:val="24"/>
          <w:szCs w:val="24"/>
          <w:lang w:val="en-GB"/>
        </w:rPr>
      </w:pPr>
    </w:p>
    <w:p w14:paraId="14E94B63" w14:textId="77777777" w:rsidR="008200FF" w:rsidRPr="00E14060" w:rsidRDefault="008200FF" w:rsidP="008200FF">
      <w:pPr>
        <w:rPr>
          <w:sz w:val="24"/>
          <w:szCs w:val="24"/>
          <w:lang w:val="en-GB"/>
        </w:rPr>
      </w:pPr>
    </w:p>
    <w:p w14:paraId="54FDD75A" w14:textId="77777777" w:rsidR="008200FF" w:rsidRPr="00E14060" w:rsidRDefault="008200FF" w:rsidP="008200FF">
      <w:pPr>
        <w:rPr>
          <w:sz w:val="24"/>
          <w:szCs w:val="24"/>
          <w:lang w:val="en-GB"/>
        </w:rPr>
      </w:pPr>
    </w:p>
    <w:p w14:paraId="293B6EFD" w14:textId="77777777" w:rsidR="008200FF" w:rsidRPr="00E14060" w:rsidRDefault="008200FF" w:rsidP="008200FF">
      <w:pPr>
        <w:rPr>
          <w:sz w:val="24"/>
          <w:szCs w:val="24"/>
          <w:lang w:val="en-GB"/>
        </w:rPr>
        <w:sectPr w:rsidR="008200FF" w:rsidRPr="00E14060" w:rsidSect="00841EE3">
          <w:endnotePr>
            <w:numFmt w:val="decimal"/>
          </w:endnotePr>
          <w:pgSz w:w="12240" w:h="15840" w:code="9"/>
          <w:pgMar w:top="720" w:right="720" w:bottom="720" w:left="720" w:header="576" w:footer="1440" w:gutter="0"/>
          <w:cols w:space="720"/>
          <w:formProt w:val="0"/>
          <w:docGrid w:linePitch="272"/>
        </w:sectPr>
      </w:pPr>
    </w:p>
    <w:p w14:paraId="681DAAD6" w14:textId="61036F7E" w:rsidR="008200FF" w:rsidRPr="00E14060" w:rsidRDefault="008200FF" w:rsidP="008200FF">
      <w:pPr>
        <w:ind w:left="720"/>
        <w:rPr>
          <w:sz w:val="24"/>
          <w:szCs w:val="24"/>
          <w:lang w:val="en-GB"/>
        </w:rPr>
      </w:pPr>
      <w:r w:rsidRPr="00E14060">
        <w:rPr>
          <w:b/>
          <w:sz w:val="24"/>
          <w:szCs w:val="24"/>
          <w:lang w:val="en-GB"/>
        </w:rPr>
        <w:lastRenderedPageBreak/>
        <w:t>Step 2.</w:t>
      </w:r>
      <w:r w:rsidRPr="00E14060">
        <w:rPr>
          <w:sz w:val="24"/>
          <w:szCs w:val="24"/>
          <w:lang w:val="en-GB"/>
        </w:rPr>
        <w:t xml:space="preserve"> Cut-off values based on ADHD-RS-IV for CGI-I response, using SPD489-303 trial</w:t>
      </w:r>
    </w:p>
    <w:p w14:paraId="552FC628" w14:textId="77777777" w:rsidR="008200FF" w:rsidRPr="00E14060" w:rsidRDefault="008200FF" w:rsidP="008200FF">
      <w:pPr>
        <w:rPr>
          <w:lang w:val="en-GB"/>
        </w:rPr>
      </w:pPr>
    </w:p>
    <w:tbl>
      <w:tblPr>
        <w:tblW w:w="9360" w:type="dxa"/>
        <w:tblInd w:w="108" w:type="dxa"/>
        <w:tblLook w:val="04A0" w:firstRow="1" w:lastRow="0" w:firstColumn="1" w:lastColumn="0" w:noHBand="0" w:noVBand="1"/>
      </w:tblPr>
      <w:tblGrid>
        <w:gridCol w:w="2469"/>
        <w:gridCol w:w="266"/>
        <w:gridCol w:w="271"/>
        <w:gridCol w:w="2519"/>
        <w:gridCol w:w="1993"/>
        <w:gridCol w:w="1991"/>
      </w:tblGrid>
      <w:tr w:rsidR="008200FF" w:rsidRPr="00E14060" w14:paraId="20CD8400" w14:textId="77777777" w:rsidTr="00E40CF3">
        <w:trPr>
          <w:trHeight w:val="285"/>
        </w:trPr>
        <w:tc>
          <w:tcPr>
            <w:tcW w:w="9360" w:type="dxa"/>
            <w:gridSpan w:val="6"/>
            <w:tcBorders>
              <w:top w:val="nil"/>
              <w:left w:val="nil"/>
              <w:bottom w:val="single" w:sz="4" w:space="0" w:color="auto"/>
              <w:right w:val="nil"/>
            </w:tcBorders>
            <w:shd w:val="clear" w:color="000000" w:fill="FFFFFF"/>
            <w:noWrap/>
            <w:vAlign w:val="bottom"/>
            <w:hideMark/>
          </w:tcPr>
          <w:p w14:paraId="24D1D462" w14:textId="77777777" w:rsidR="008200FF" w:rsidRPr="00E14060" w:rsidRDefault="008200FF" w:rsidP="00E40CF3">
            <w:pPr>
              <w:jc w:val="center"/>
              <w:rPr>
                <w:b/>
                <w:bCs/>
                <w:sz w:val="22"/>
                <w:szCs w:val="22"/>
                <w:lang w:val="en-GB"/>
              </w:rPr>
            </w:pPr>
            <w:r w:rsidRPr="00E14060">
              <w:rPr>
                <w:b/>
                <w:bCs/>
                <w:sz w:val="22"/>
                <w:szCs w:val="22"/>
                <w:lang w:val="en-GB"/>
              </w:rPr>
              <w:t>Table M-2a. Cutoffs obtained by different extrapolation methods</w:t>
            </w:r>
          </w:p>
        </w:tc>
      </w:tr>
      <w:tr w:rsidR="008200FF" w:rsidRPr="00E14060" w14:paraId="593B8A5D" w14:textId="77777777" w:rsidTr="00E40CF3">
        <w:trPr>
          <w:trHeight w:val="1020"/>
        </w:trPr>
        <w:tc>
          <w:tcPr>
            <w:tcW w:w="2469" w:type="dxa"/>
            <w:tcBorders>
              <w:top w:val="nil"/>
              <w:left w:val="nil"/>
              <w:bottom w:val="single" w:sz="4" w:space="0" w:color="auto"/>
              <w:right w:val="nil"/>
            </w:tcBorders>
            <w:shd w:val="clear" w:color="000000" w:fill="FFFFFF"/>
            <w:noWrap/>
            <w:vAlign w:val="bottom"/>
            <w:hideMark/>
          </w:tcPr>
          <w:p w14:paraId="074DCA05" w14:textId="77777777" w:rsidR="008200FF" w:rsidRPr="00E14060" w:rsidRDefault="008200FF" w:rsidP="00E40CF3">
            <w:pPr>
              <w:rPr>
                <w:b/>
                <w:bCs/>
                <w:lang w:val="en-GB"/>
              </w:rPr>
            </w:pPr>
            <w:r w:rsidRPr="00E14060">
              <w:rPr>
                <w:b/>
                <w:bCs/>
                <w:lang w:val="en-GB"/>
              </w:rPr>
              <w:t>Method</w:t>
            </w:r>
          </w:p>
        </w:tc>
        <w:tc>
          <w:tcPr>
            <w:tcW w:w="184" w:type="dxa"/>
            <w:tcBorders>
              <w:top w:val="nil"/>
              <w:left w:val="nil"/>
              <w:bottom w:val="single" w:sz="4" w:space="0" w:color="auto"/>
              <w:right w:val="nil"/>
            </w:tcBorders>
            <w:shd w:val="clear" w:color="000000" w:fill="FFFFFF"/>
            <w:noWrap/>
            <w:vAlign w:val="center"/>
            <w:hideMark/>
          </w:tcPr>
          <w:p w14:paraId="4E4BE95F" w14:textId="77777777" w:rsidR="008200FF" w:rsidRPr="00E14060" w:rsidRDefault="008200FF" w:rsidP="00E40CF3">
            <w:pPr>
              <w:rPr>
                <w:b/>
                <w:bCs/>
                <w:lang w:val="en-GB"/>
              </w:rPr>
            </w:pPr>
            <w:r w:rsidRPr="00E14060">
              <w:rPr>
                <w:b/>
                <w:bCs/>
                <w:lang w:val="en-GB"/>
              </w:rPr>
              <w:t> </w:t>
            </w:r>
          </w:p>
        </w:tc>
        <w:tc>
          <w:tcPr>
            <w:tcW w:w="204" w:type="dxa"/>
            <w:tcBorders>
              <w:top w:val="nil"/>
              <w:left w:val="nil"/>
              <w:bottom w:val="single" w:sz="4" w:space="0" w:color="auto"/>
              <w:right w:val="nil"/>
            </w:tcBorders>
            <w:shd w:val="clear" w:color="000000" w:fill="FFFFFF"/>
            <w:noWrap/>
            <w:vAlign w:val="center"/>
            <w:hideMark/>
          </w:tcPr>
          <w:p w14:paraId="5144CD42" w14:textId="77777777" w:rsidR="008200FF" w:rsidRPr="00E14060" w:rsidRDefault="008200FF" w:rsidP="00E40CF3">
            <w:pPr>
              <w:rPr>
                <w:b/>
                <w:bCs/>
                <w:lang w:val="en-GB"/>
              </w:rPr>
            </w:pPr>
            <w:r w:rsidRPr="00E14060">
              <w:rPr>
                <w:b/>
                <w:bCs/>
                <w:lang w:val="en-GB"/>
              </w:rPr>
              <w:t> </w:t>
            </w:r>
          </w:p>
        </w:tc>
        <w:tc>
          <w:tcPr>
            <w:tcW w:w="2519" w:type="dxa"/>
            <w:tcBorders>
              <w:top w:val="nil"/>
              <w:left w:val="nil"/>
              <w:bottom w:val="single" w:sz="4" w:space="0" w:color="auto"/>
              <w:right w:val="nil"/>
            </w:tcBorders>
            <w:shd w:val="clear" w:color="000000" w:fill="FFFFFF"/>
            <w:vAlign w:val="bottom"/>
            <w:hideMark/>
          </w:tcPr>
          <w:p w14:paraId="57833E75" w14:textId="77777777" w:rsidR="008200FF" w:rsidRPr="00E14060" w:rsidRDefault="008200FF" w:rsidP="00E40CF3">
            <w:pPr>
              <w:jc w:val="center"/>
              <w:rPr>
                <w:b/>
                <w:bCs/>
                <w:lang w:val="en-GB"/>
              </w:rPr>
            </w:pPr>
            <w:r w:rsidRPr="00E14060">
              <w:rPr>
                <w:b/>
                <w:bCs/>
                <w:lang w:val="en-GB"/>
              </w:rPr>
              <w:t>Cutoff for CGI-I response based on change in ADHD-RS-IV from baseline</w:t>
            </w:r>
          </w:p>
        </w:tc>
        <w:tc>
          <w:tcPr>
            <w:tcW w:w="1993" w:type="dxa"/>
            <w:tcBorders>
              <w:top w:val="nil"/>
              <w:left w:val="nil"/>
              <w:bottom w:val="single" w:sz="4" w:space="0" w:color="auto"/>
              <w:right w:val="nil"/>
            </w:tcBorders>
            <w:shd w:val="clear" w:color="000000" w:fill="FFFFFF"/>
            <w:noWrap/>
            <w:vAlign w:val="bottom"/>
            <w:hideMark/>
          </w:tcPr>
          <w:p w14:paraId="60FFF468" w14:textId="77777777" w:rsidR="008200FF" w:rsidRPr="00E14060" w:rsidRDefault="008200FF" w:rsidP="00E40CF3">
            <w:pPr>
              <w:jc w:val="center"/>
              <w:rPr>
                <w:b/>
                <w:bCs/>
                <w:lang w:val="en-GB"/>
              </w:rPr>
            </w:pPr>
            <w:r w:rsidRPr="00E14060">
              <w:rPr>
                <w:b/>
                <w:bCs/>
                <w:lang w:val="en-GB"/>
              </w:rPr>
              <w:t>Sensitivity</w:t>
            </w:r>
            <w:r w:rsidRPr="00E14060">
              <w:rPr>
                <w:b/>
                <w:bCs/>
                <w:vertAlign w:val="superscript"/>
                <w:lang w:val="en-GB"/>
              </w:rPr>
              <w:t>[3]</w:t>
            </w:r>
          </w:p>
        </w:tc>
        <w:tc>
          <w:tcPr>
            <w:tcW w:w="1991" w:type="dxa"/>
            <w:tcBorders>
              <w:top w:val="nil"/>
              <w:left w:val="nil"/>
              <w:bottom w:val="single" w:sz="4" w:space="0" w:color="auto"/>
              <w:right w:val="nil"/>
            </w:tcBorders>
            <w:shd w:val="clear" w:color="000000" w:fill="FFFFFF"/>
            <w:noWrap/>
            <w:vAlign w:val="bottom"/>
            <w:hideMark/>
          </w:tcPr>
          <w:p w14:paraId="565014D1" w14:textId="77777777" w:rsidR="008200FF" w:rsidRPr="00E14060" w:rsidRDefault="008200FF" w:rsidP="00E40CF3">
            <w:pPr>
              <w:jc w:val="center"/>
              <w:rPr>
                <w:b/>
                <w:bCs/>
                <w:lang w:val="en-GB"/>
              </w:rPr>
            </w:pPr>
            <w:r w:rsidRPr="00E14060">
              <w:rPr>
                <w:b/>
                <w:bCs/>
                <w:lang w:val="en-GB"/>
              </w:rPr>
              <w:t>Specificity</w:t>
            </w:r>
            <w:r w:rsidRPr="00E14060">
              <w:rPr>
                <w:b/>
                <w:bCs/>
                <w:vertAlign w:val="superscript"/>
                <w:lang w:val="en-GB"/>
              </w:rPr>
              <w:t>[4]</w:t>
            </w:r>
          </w:p>
        </w:tc>
      </w:tr>
      <w:tr w:rsidR="008200FF" w:rsidRPr="00E14060" w14:paraId="407D253F" w14:textId="77777777" w:rsidTr="00E40CF3">
        <w:trPr>
          <w:trHeight w:val="300"/>
        </w:trPr>
        <w:tc>
          <w:tcPr>
            <w:tcW w:w="2857" w:type="dxa"/>
            <w:gridSpan w:val="3"/>
            <w:tcBorders>
              <w:top w:val="nil"/>
              <w:left w:val="nil"/>
              <w:bottom w:val="nil"/>
              <w:right w:val="nil"/>
            </w:tcBorders>
            <w:shd w:val="clear" w:color="000000" w:fill="FFFFFF"/>
            <w:noWrap/>
            <w:vAlign w:val="center"/>
            <w:hideMark/>
          </w:tcPr>
          <w:p w14:paraId="5C37F5F6" w14:textId="77777777" w:rsidR="008200FF" w:rsidRPr="00E14060" w:rsidRDefault="008200FF" w:rsidP="00E40CF3">
            <w:pPr>
              <w:rPr>
                <w:sz w:val="22"/>
                <w:szCs w:val="22"/>
                <w:lang w:val="en-GB"/>
              </w:rPr>
            </w:pPr>
            <w:r w:rsidRPr="00E14060">
              <w:rPr>
                <w:sz w:val="22"/>
                <w:szCs w:val="22"/>
                <w:lang w:val="en-GB"/>
              </w:rPr>
              <w:t>Quadratic regression (Goodman)</w:t>
            </w:r>
            <w:r w:rsidRPr="00E14060">
              <w:rPr>
                <w:sz w:val="22"/>
                <w:szCs w:val="22"/>
                <w:vertAlign w:val="superscript"/>
                <w:lang w:val="en-GB"/>
              </w:rPr>
              <w:t>[1]</w:t>
            </w:r>
          </w:p>
        </w:tc>
        <w:tc>
          <w:tcPr>
            <w:tcW w:w="2519" w:type="dxa"/>
            <w:tcBorders>
              <w:top w:val="nil"/>
              <w:left w:val="nil"/>
              <w:bottom w:val="nil"/>
              <w:right w:val="nil"/>
            </w:tcBorders>
            <w:shd w:val="clear" w:color="000000" w:fill="FFFFFF"/>
            <w:noWrap/>
            <w:vAlign w:val="bottom"/>
            <w:hideMark/>
          </w:tcPr>
          <w:p w14:paraId="69E3D8F3" w14:textId="77777777" w:rsidR="008200FF" w:rsidRPr="00E14060" w:rsidRDefault="008200FF" w:rsidP="00E40CF3">
            <w:pPr>
              <w:jc w:val="center"/>
              <w:rPr>
                <w:sz w:val="22"/>
                <w:szCs w:val="22"/>
                <w:lang w:val="en-GB"/>
              </w:rPr>
            </w:pPr>
            <w:r w:rsidRPr="00E14060">
              <w:rPr>
                <w:sz w:val="22"/>
                <w:szCs w:val="22"/>
                <w:lang w:val="en-GB"/>
              </w:rPr>
              <w:t>-13.636</w:t>
            </w:r>
          </w:p>
        </w:tc>
        <w:tc>
          <w:tcPr>
            <w:tcW w:w="1993" w:type="dxa"/>
            <w:tcBorders>
              <w:top w:val="nil"/>
              <w:left w:val="nil"/>
              <w:bottom w:val="nil"/>
              <w:right w:val="nil"/>
            </w:tcBorders>
            <w:shd w:val="clear" w:color="000000" w:fill="FFFFFF"/>
            <w:noWrap/>
            <w:vAlign w:val="bottom"/>
            <w:hideMark/>
          </w:tcPr>
          <w:p w14:paraId="6506C269" w14:textId="77777777" w:rsidR="008200FF" w:rsidRPr="00E14060" w:rsidRDefault="008200FF" w:rsidP="00E40CF3">
            <w:pPr>
              <w:jc w:val="center"/>
              <w:rPr>
                <w:sz w:val="22"/>
                <w:szCs w:val="22"/>
                <w:lang w:val="en-GB"/>
              </w:rPr>
            </w:pPr>
            <w:r w:rsidRPr="00E14060">
              <w:rPr>
                <w:sz w:val="22"/>
                <w:szCs w:val="22"/>
                <w:lang w:val="en-GB"/>
              </w:rPr>
              <w:t>0.905</w:t>
            </w:r>
          </w:p>
        </w:tc>
        <w:tc>
          <w:tcPr>
            <w:tcW w:w="1991" w:type="dxa"/>
            <w:tcBorders>
              <w:top w:val="nil"/>
              <w:left w:val="nil"/>
              <w:bottom w:val="nil"/>
              <w:right w:val="nil"/>
            </w:tcBorders>
            <w:shd w:val="clear" w:color="000000" w:fill="FFFFFF"/>
            <w:noWrap/>
            <w:vAlign w:val="bottom"/>
            <w:hideMark/>
          </w:tcPr>
          <w:p w14:paraId="4F5D11B5" w14:textId="77777777" w:rsidR="008200FF" w:rsidRPr="00E14060" w:rsidRDefault="008200FF" w:rsidP="00E40CF3">
            <w:pPr>
              <w:jc w:val="center"/>
              <w:rPr>
                <w:sz w:val="22"/>
                <w:szCs w:val="22"/>
                <w:lang w:val="en-GB"/>
              </w:rPr>
            </w:pPr>
            <w:r w:rsidRPr="00E14060">
              <w:rPr>
                <w:sz w:val="22"/>
                <w:szCs w:val="22"/>
                <w:lang w:val="en-GB"/>
              </w:rPr>
              <w:t>0.877</w:t>
            </w:r>
          </w:p>
        </w:tc>
      </w:tr>
      <w:tr w:rsidR="008200FF" w:rsidRPr="00E14060" w14:paraId="2CE9CA50" w14:textId="77777777" w:rsidTr="00E40CF3">
        <w:trPr>
          <w:trHeight w:val="300"/>
        </w:trPr>
        <w:tc>
          <w:tcPr>
            <w:tcW w:w="2653" w:type="dxa"/>
            <w:gridSpan w:val="2"/>
            <w:tcBorders>
              <w:top w:val="nil"/>
              <w:left w:val="nil"/>
              <w:bottom w:val="single" w:sz="4" w:space="0" w:color="auto"/>
              <w:right w:val="nil"/>
            </w:tcBorders>
            <w:shd w:val="clear" w:color="000000" w:fill="FFFFFF"/>
            <w:noWrap/>
            <w:vAlign w:val="center"/>
            <w:hideMark/>
          </w:tcPr>
          <w:p w14:paraId="1C0AA939" w14:textId="77777777" w:rsidR="008200FF" w:rsidRPr="00E14060" w:rsidRDefault="008200FF" w:rsidP="00E40CF3">
            <w:pPr>
              <w:rPr>
                <w:sz w:val="22"/>
                <w:szCs w:val="22"/>
                <w:lang w:val="en-GB"/>
              </w:rPr>
            </w:pPr>
            <w:r w:rsidRPr="00E14060">
              <w:rPr>
                <w:sz w:val="22"/>
                <w:szCs w:val="22"/>
                <w:lang w:val="en-GB"/>
              </w:rPr>
              <w:t>Direct estimation</w:t>
            </w:r>
            <w:r w:rsidRPr="00E14060">
              <w:rPr>
                <w:sz w:val="22"/>
                <w:szCs w:val="22"/>
                <w:vertAlign w:val="superscript"/>
                <w:lang w:val="en-GB"/>
              </w:rPr>
              <w:t>[2]</w:t>
            </w:r>
          </w:p>
        </w:tc>
        <w:tc>
          <w:tcPr>
            <w:tcW w:w="204" w:type="dxa"/>
            <w:tcBorders>
              <w:top w:val="nil"/>
              <w:left w:val="nil"/>
              <w:bottom w:val="single" w:sz="4" w:space="0" w:color="auto"/>
              <w:right w:val="nil"/>
            </w:tcBorders>
            <w:shd w:val="clear" w:color="000000" w:fill="FFFFFF"/>
            <w:noWrap/>
            <w:vAlign w:val="center"/>
            <w:hideMark/>
          </w:tcPr>
          <w:p w14:paraId="600AA02F" w14:textId="77777777" w:rsidR="008200FF" w:rsidRPr="00E14060" w:rsidRDefault="008200FF" w:rsidP="00E40CF3">
            <w:pPr>
              <w:rPr>
                <w:sz w:val="22"/>
                <w:szCs w:val="22"/>
                <w:lang w:val="en-GB"/>
              </w:rPr>
            </w:pPr>
            <w:r w:rsidRPr="00E14060">
              <w:rPr>
                <w:sz w:val="22"/>
                <w:szCs w:val="22"/>
                <w:lang w:val="en-GB"/>
              </w:rPr>
              <w:t> </w:t>
            </w:r>
          </w:p>
        </w:tc>
        <w:tc>
          <w:tcPr>
            <w:tcW w:w="2519" w:type="dxa"/>
            <w:tcBorders>
              <w:top w:val="nil"/>
              <w:left w:val="nil"/>
              <w:bottom w:val="single" w:sz="4" w:space="0" w:color="auto"/>
              <w:right w:val="nil"/>
            </w:tcBorders>
            <w:shd w:val="clear" w:color="000000" w:fill="FFFFFF"/>
            <w:noWrap/>
            <w:vAlign w:val="bottom"/>
            <w:hideMark/>
          </w:tcPr>
          <w:p w14:paraId="12B018EC" w14:textId="77777777" w:rsidR="008200FF" w:rsidRPr="00E14060" w:rsidRDefault="008200FF" w:rsidP="00E40CF3">
            <w:pPr>
              <w:jc w:val="center"/>
              <w:rPr>
                <w:sz w:val="22"/>
                <w:szCs w:val="22"/>
                <w:lang w:val="en-GB"/>
              </w:rPr>
            </w:pPr>
            <w:r w:rsidRPr="00E14060">
              <w:rPr>
                <w:sz w:val="22"/>
                <w:szCs w:val="22"/>
                <w:lang w:val="en-GB"/>
              </w:rPr>
              <w:t>-14.405</w:t>
            </w:r>
          </w:p>
        </w:tc>
        <w:tc>
          <w:tcPr>
            <w:tcW w:w="1993" w:type="dxa"/>
            <w:tcBorders>
              <w:top w:val="nil"/>
              <w:left w:val="nil"/>
              <w:bottom w:val="single" w:sz="4" w:space="0" w:color="auto"/>
              <w:right w:val="nil"/>
            </w:tcBorders>
            <w:shd w:val="clear" w:color="000000" w:fill="FFFFFF"/>
            <w:noWrap/>
            <w:vAlign w:val="bottom"/>
            <w:hideMark/>
          </w:tcPr>
          <w:p w14:paraId="08B8D427" w14:textId="77777777" w:rsidR="008200FF" w:rsidRPr="00E14060" w:rsidRDefault="008200FF" w:rsidP="00E40CF3">
            <w:pPr>
              <w:jc w:val="center"/>
              <w:rPr>
                <w:sz w:val="22"/>
                <w:szCs w:val="22"/>
                <w:lang w:val="en-GB"/>
              </w:rPr>
            </w:pPr>
            <w:r w:rsidRPr="00E14060">
              <w:rPr>
                <w:sz w:val="22"/>
                <w:szCs w:val="22"/>
                <w:lang w:val="en-GB"/>
              </w:rPr>
              <w:t>0.885</w:t>
            </w:r>
          </w:p>
        </w:tc>
        <w:tc>
          <w:tcPr>
            <w:tcW w:w="1991" w:type="dxa"/>
            <w:tcBorders>
              <w:top w:val="nil"/>
              <w:left w:val="nil"/>
              <w:bottom w:val="single" w:sz="4" w:space="0" w:color="auto"/>
              <w:right w:val="nil"/>
            </w:tcBorders>
            <w:shd w:val="clear" w:color="000000" w:fill="FFFFFF"/>
            <w:noWrap/>
            <w:vAlign w:val="bottom"/>
            <w:hideMark/>
          </w:tcPr>
          <w:p w14:paraId="35AF9B69" w14:textId="77777777" w:rsidR="008200FF" w:rsidRPr="00E14060" w:rsidRDefault="008200FF" w:rsidP="00E40CF3">
            <w:pPr>
              <w:jc w:val="center"/>
              <w:rPr>
                <w:sz w:val="22"/>
                <w:szCs w:val="22"/>
                <w:lang w:val="en-GB"/>
              </w:rPr>
            </w:pPr>
            <w:r w:rsidRPr="00E14060">
              <w:rPr>
                <w:sz w:val="22"/>
                <w:szCs w:val="22"/>
                <w:lang w:val="en-GB"/>
              </w:rPr>
              <w:t>0.910</w:t>
            </w:r>
          </w:p>
        </w:tc>
      </w:tr>
    </w:tbl>
    <w:p w14:paraId="20031743" w14:textId="77777777" w:rsidR="008200FF" w:rsidRPr="00E14060" w:rsidRDefault="008200FF" w:rsidP="008200FF">
      <w:pPr>
        <w:pStyle w:val="AGbodytext0"/>
        <w:spacing w:line="240" w:lineRule="auto"/>
        <w:jc w:val="center"/>
        <w:rPr>
          <w:b/>
        </w:rPr>
      </w:pPr>
    </w:p>
    <w:p w14:paraId="31A021A9" w14:textId="77777777" w:rsidR="008200FF" w:rsidRPr="00E14060" w:rsidRDefault="008200FF" w:rsidP="008200FF">
      <w:pPr>
        <w:pStyle w:val="AGbodytext0"/>
        <w:spacing w:line="240" w:lineRule="auto"/>
        <w:rPr>
          <w:sz w:val="20"/>
          <w:szCs w:val="20"/>
        </w:rPr>
      </w:pPr>
      <w:r w:rsidRPr="00E14060">
        <w:rPr>
          <w:b/>
          <w:sz w:val="20"/>
          <w:szCs w:val="20"/>
        </w:rPr>
        <w:t>Notes</w:t>
      </w:r>
      <w:r w:rsidRPr="00E14060">
        <w:rPr>
          <w:sz w:val="20"/>
          <w:szCs w:val="20"/>
        </w:rPr>
        <w:t>:</w:t>
      </w:r>
    </w:p>
    <w:p w14:paraId="67380C56" w14:textId="6D840D35" w:rsidR="008200FF" w:rsidRPr="00E14060" w:rsidRDefault="008200FF" w:rsidP="00241DBD">
      <w:pPr>
        <w:pStyle w:val="AGbodytext0"/>
        <w:numPr>
          <w:ilvl w:val="0"/>
          <w:numId w:val="38"/>
        </w:numPr>
        <w:spacing w:before="0" w:after="200" w:line="288" w:lineRule="auto"/>
        <w:rPr>
          <w:sz w:val="20"/>
          <w:szCs w:val="20"/>
        </w:rPr>
      </w:pPr>
      <w:r w:rsidRPr="00E14060">
        <w:rPr>
          <w:sz w:val="20"/>
          <w:szCs w:val="20"/>
        </w:rPr>
        <w:t>The quadratic regression fits a quadratic model between CGI-I and ADHD-RS-IV c</w:t>
      </w:r>
      <w:r w:rsidR="00FD373B" w:rsidRPr="00E14060">
        <w:rPr>
          <w:sz w:val="20"/>
          <w:szCs w:val="20"/>
        </w:rPr>
        <w:t>hange from baseline, uses a cut</w:t>
      </w:r>
      <w:r w:rsidRPr="00E14060">
        <w:rPr>
          <w:sz w:val="20"/>
          <w:szCs w:val="20"/>
        </w:rPr>
        <w:t>off of predicted CGI-I ≤ 2.5 to find the corresponding cut-off in terms of ADHD-RS-IV change. Two thirds of the observations from SPD489-303 trial (both active and placebo arms) were used.</w:t>
      </w:r>
    </w:p>
    <w:p w14:paraId="6C3E2511" w14:textId="77777777" w:rsidR="008200FF" w:rsidRPr="00E14060" w:rsidRDefault="008200FF" w:rsidP="00241DBD">
      <w:pPr>
        <w:pStyle w:val="AGbodytext0"/>
        <w:numPr>
          <w:ilvl w:val="0"/>
          <w:numId w:val="38"/>
        </w:numPr>
        <w:spacing w:before="0" w:after="200" w:line="288" w:lineRule="auto"/>
        <w:rPr>
          <w:sz w:val="20"/>
          <w:szCs w:val="20"/>
        </w:rPr>
      </w:pPr>
      <w:r w:rsidRPr="00E14060">
        <w:rPr>
          <w:sz w:val="20"/>
          <w:szCs w:val="20"/>
        </w:rPr>
        <w:t>The direct estimation method finds a cut-off using ADHD-RS-IV change from baseline that gives the percentage of CGI-I response corresponding to what was observed. Two thirds of the observations from SPD489-303 trial (both active and placebo arms) were used.</w:t>
      </w:r>
    </w:p>
    <w:p w14:paraId="2720F79C" w14:textId="77777777" w:rsidR="008200FF" w:rsidRPr="00E14060" w:rsidRDefault="008200FF" w:rsidP="00241DBD">
      <w:pPr>
        <w:pStyle w:val="AGbodytext0"/>
        <w:numPr>
          <w:ilvl w:val="0"/>
          <w:numId w:val="38"/>
        </w:numPr>
        <w:spacing w:before="0" w:after="200" w:line="288" w:lineRule="auto"/>
        <w:rPr>
          <w:sz w:val="20"/>
          <w:szCs w:val="20"/>
        </w:rPr>
      </w:pPr>
      <w:r w:rsidRPr="00E14060">
        <w:rPr>
          <w:sz w:val="20"/>
          <w:szCs w:val="20"/>
        </w:rPr>
        <w:t>Sensitivity measures the percentage of patients achieving CGI-I response who are correctly identified as having such response.</w:t>
      </w:r>
    </w:p>
    <w:p w14:paraId="36C7EE05" w14:textId="77777777" w:rsidR="008200FF" w:rsidRPr="00E14060" w:rsidRDefault="008200FF" w:rsidP="00241DBD">
      <w:pPr>
        <w:pStyle w:val="AGbodytext0"/>
        <w:numPr>
          <w:ilvl w:val="0"/>
          <w:numId w:val="38"/>
        </w:numPr>
        <w:spacing w:before="0" w:after="200" w:line="288" w:lineRule="auto"/>
        <w:rPr>
          <w:sz w:val="20"/>
          <w:szCs w:val="20"/>
        </w:rPr>
      </w:pPr>
      <w:r w:rsidRPr="00E14060">
        <w:rPr>
          <w:sz w:val="20"/>
          <w:szCs w:val="20"/>
        </w:rPr>
        <w:t>Specificity measures the percentage of patients not achieving CGI-I response who are correctly identified as not having response.</w:t>
      </w:r>
    </w:p>
    <w:p w14:paraId="2F030132" w14:textId="77777777" w:rsidR="008200FF" w:rsidRPr="00E14060" w:rsidRDefault="008200FF" w:rsidP="008200FF">
      <w:pPr>
        <w:pStyle w:val="AGbodytext0"/>
        <w:spacing w:line="240" w:lineRule="auto"/>
        <w:ind w:left="720"/>
      </w:pPr>
    </w:p>
    <w:p w14:paraId="2151AAAA" w14:textId="77777777" w:rsidR="008200FF" w:rsidRPr="00E14060" w:rsidRDefault="008200FF" w:rsidP="008200FF">
      <w:pPr>
        <w:pStyle w:val="AGbodytext0"/>
        <w:spacing w:line="240" w:lineRule="auto"/>
        <w:ind w:left="720"/>
      </w:pPr>
    </w:p>
    <w:p w14:paraId="550D0AE2" w14:textId="77777777" w:rsidR="008200FF" w:rsidRPr="00E14060" w:rsidRDefault="008200FF" w:rsidP="008200FF">
      <w:pPr>
        <w:rPr>
          <w:sz w:val="22"/>
          <w:szCs w:val="22"/>
          <w:lang w:val="en-GB"/>
        </w:rPr>
      </w:pPr>
      <w:r w:rsidRPr="00E14060">
        <w:rPr>
          <w:lang w:val="en-GB"/>
        </w:rPr>
        <w:br w:type="page"/>
      </w:r>
    </w:p>
    <w:p w14:paraId="706752BF" w14:textId="77777777" w:rsidR="008200FF" w:rsidRPr="00E14060" w:rsidRDefault="008200FF" w:rsidP="008200FF">
      <w:pPr>
        <w:pStyle w:val="AGbodytext0"/>
        <w:spacing w:line="240" w:lineRule="auto"/>
        <w:ind w:left="720"/>
        <w:rPr>
          <w:sz w:val="24"/>
          <w:szCs w:val="24"/>
        </w:rPr>
      </w:pPr>
      <w:r w:rsidRPr="00E14060">
        <w:rPr>
          <w:b/>
          <w:sz w:val="24"/>
          <w:szCs w:val="24"/>
        </w:rPr>
        <w:lastRenderedPageBreak/>
        <w:t>Step M-2 (continued).</w:t>
      </w:r>
      <w:r w:rsidRPr="00E14060">
        <w:rPr>
          <w:sz w:val="24"/>
          <w:szCs w:val="24"/>
        </w:rPr>
        <w:t xml:space="preserve"> Cut-off values based on ADHD-RS-IV for CGI-I response, using SPD489-303 trial</w:t>
      </w:r>
    </w:p>
    <w:p w14:paraId="46DE50A3" w14:textId="77777777" w:rsidR="008200FF" w:rsidRPr="00E14060" w:rsidRDefault="008200FF" w:rsidP="008200FF">
      <w:pPr>
        <w:pStyle w:val="AGbodytext0"/>
        <w:spacing w:line="240" w:lineRule="auto"/>
        <w:ind w:left="720"/>
      </w:pPr>
      <w:r w:rsidRPr="00E14060">
        <w:rPr>
          <w:noProof/>
          <w:lang w:eastAsia="en-GB"/>
        </w:rPr>
        <w:drawing>
          <wp:inline distT="0" distB="0" distL="0" distR="0" wp14:anchorId="6066A243" wp14:editId="5C6BDCC0">
            <wp:extent cx="5066666" cy="4287178"/>
            <wp:effectExtent l="0" t="0" r="635" b="0"/>
            <wp:docPr id="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074949" cy="4294186"/>
                    </a:xfrm>
                    <a:prstGeom prst="rect">
                      <a:avLst/>
                    </a:prstGeom>
                    <a:noFill/>
                    <a:extLst/>
                  </pic:spPr>
                </pic:pic>
              </a:graphicData>
            </a:graphic>
          </wp:inline>
        </w:drawing>
      </w:r>
    </w:p>
    <w:p w14:paraId="59C862BE" w14:textId="77777777" w:rsidR="008200FF" w:rsidRPr="00E14060" w:rsidRDefault="008200FF" w:rsidP="008200FF">
      <w:pPr>
        <w:rPr>
          <w:szCs w:val="28"/>
          <w:lang w:val="en-GB"/>
        </w:rPr>
      </w:pPr>
      <w:bookmarkStart w:id="341" w:name="_Toc384683070"/>
      <w:r w:rsidRPr="00E14060">
        <w:rPr>
          <w:szCs w:val="28"/>
          <w:lang w:val="en-GB"/>
        </w:rPr>
        <w:br w:type="page"/>
      </w:r>
    </w:p>
    <w:bookmarkEnd w:id="341"/>
    <w:p w14:paraId="7780F194" w14:textId="5BD919A0" w:rsidR="008200FF" w:rsidRPr="00E14060" w:rsidRDefault="008200FF" w:rsidP="008200FF">
      <w:pPr>
        <w:ind w:left="720"/>
        <w:rPr>
          <w:sz w:val="24"/>
          <w:szCs w:val="24"/>
          <w:lang w:val="en-GB"/>
        </w:rPr>
      </w:pPr>
      <w:r w:rsidRPr="00E14060">
        <w:rPr>
          <w:b/>
          <w:sz w:val="24"/>
          <w:szCs w:val="24"/>
          <w:lang w:val="en-GB"/>
        </w:rPr>
        <w:lastRenderedPageBreak/>
        <w:t>Step 3.</w:t>
      </w:r>
      <w:r w:rsidRPr="00E14060">
        <w:rPr>
          <w:sz w:val="24"/>
          <w:szCs w:val="24"/>
          <w:lang w:val="en-GB"/>
        </w:rPr>
        <w:t xml:space="preserve"> Validation against the validation set of the SPD489-303 trial and other studies</w:t>
      </w:r>
    </w:p>
    <w:p w14:paraId="28C0C3D0" w14:textId="77777777" w:rsidR="008200FF" w:rsidRPr="00E14060" w:rsidRDefault="008200FF" w:rsidP="008200FF">
      <w:pPr>
        <w:rPr>
          <w:sz w:val="24"/>
          <w:szCs w:val="24"/>
          <w:lang w:val="en-GB"/>
        </w:rPr>
      </w:pPr>
    </w:p>
    <w:p w14:paraId="0624BE95" w14:textId="77777777" w:rsidR="008200FF" w:rsidRPr="00E14060" w:rsidRDefault="008200FF" w:rsidP="008200FF">
      <w:pPr>
        <w:rPr>
          <w:sz w:val="24"/>
          <w:szCs w:val="24"/>
          <w:lang w:val="en-GB"/>
        </w:rPr>
      </w:pPr>
      <w:r w:rsidRPr="00E14060">
        <w:rPr>
          <w:sz w:val="24"/>
          <w:szCs w:val="24"/>
          <w:lang w:val="en-GB"/>
        </w:rPr>
        <w:tab/>
      </w:r>
    </w:p>
    <w:tbl>
      <w:tblPr>
        <w:tblW w:w="5000" w:type="pct"/>
        <w:tblLayout w:type="fixed"/>
        <w:tblLook w:val="04A0" w:firstRow="1" w:lastRow="0" w:firstColumn="1" w:lastColumn="0" w:noHBand="0" w:noVBand="1"/>
      </w:tblPr>
      <w:tblGrid>
        <w:gridCol w:w="2517"/>
        <w:gridCol w:w="273"/>
        <w:gridCol w:w="1564"/>
        <w:gridCol w:w="1565"/>
        <w:gridCol w:w="1564"/>
        <w:gridCol w:w="1565"/>
        <w:gridCol w:w="312"/>
      </w:tblGrid>
      <w:tr w:rsidR="008200FF" w:rsidRPr="00E14060" w14:paraId="61DE0442" w14:textId="77777777" w:rsidTr="006F2A62">
        <w:trPr>
          <w:trHeight w:val="300"/>
        </w:trPr>
        <w:tc>
          <w:tcPr>
            <w:tcW w:w="9360" w:type="dxa"/>
            <w:gridSpan w:val="7"/>
            <w:tcBorders>
              <w:top w:val="nil"/>
              <w:left w:val="nil"/>
              <w:bottom w:val="single" w:sz="4" w:space="0" w:color="auto"/>
              <w:right w:val="nil"/>
            </w:tcBorders>
            <w:shd w:val="clear" w:color="000000" w:fill="FFFFFF"/>
            <w:noWrap/>
            <w:vAlign w:val="center"/>
            <w:hideMark/>
          </w:tcPr>
          <w:p w14:paraId="4AB02090" w14:textId="77777777" w:rsidR="008200FF" w:rsidRPr="00E14060" w:rsidRDefault="008200FF" w:rsidP="00E40CF3">
            <w:pPr>
              <w:jc w:val="center"/>
              <w:rPr>
                <w:b/>
                <w:bCs/>
                <w:sz w:val="22"/>
                <w:szCs w:val="22"/>
                <w:lang w:val="en-GB"/>
              </w:rPr>
            </w:pPr>
            <w:r w:rsidRPr="00E14060">
              <w:rPr>
                <w:b/>
                <w:bCs/>
                <w:sz w:val="22"/>
                <w:szCs w:val="22"/>
                <w:lang w:val="en-GB"/>
              </w:rPr>
              <w:t>Table M-3a. Extrapolation of SPD489-303 trial validation dataset</w:t>
            </w:r>
            <w:r w:rsidRPr="00E14060">
              <w:rPr>
                <w:b/>
                <w:bCs/>
                <w:sz w:val="22"/>
                <w:szCs w:val="22"/>
                <w:vertAlign w:val="superscript"/>
                <w:lang w:val="en-GB"/>
              </w:rPr>
              <w:t>[3]</w:t>
            </w:r>
          </w:p>
        </w:tc>
      </w:tr>
      <w:tr w:rsidR="006F2A62" w:rsidRPr="00E14060" w14:paraId="47D7E96B" w14:textId="77777777" w:rsidTr="006F2A62">
        <w:trPr>
          <w:trHeight w:val="780"/>
        </w:trPr>
        <w:tc>
          <w:tcPr>
            <w:tcW w:w="2517" w:type="dxa"/>
            <w:tcBorders>
              <w:top w:val="single" w:sz="4" w:space="0" w:color="auto"/>
              <w:left w:val="nil"/>
              <w:bottom w:val="single" w:sz="4" w:space="0" w:color="auto"/>
              <w:right w:val="nil"/>
            </w:tcBorders>
            <w:shd w:val="clear" w:color="000000" w:fill="FFFFFF"/>
            <w:noWrap/>
            <w:vAlign w:val="center"/>
            <w:hideMark/>
          </w:tcPr>
          <w:p w14:paraId="1D5650EA" w14:textId="77777777" w:rsidR="008200FF" w:rsidRPr="00E14060" w:rsidRDefault="008200FF" w:rsidP="00E40CF3">
            <w:pPr>
              <w:rPr>
                <w:b/>
                <w:bCs/>
                <w:lang w:val="en-GB"/>
              </w:rPr>
            </w:pPr>
            <w:r w:rsidRPr="00E14060">
              <w:rPr>
                <w:b/>
                <w:bCs/>
                <w:lang w:val="en-GB"/>
              </w:rPr>
              <w:t>Method</w:t>
            </w:r>
          </w:p>
        </w:tc>
        <w:tc>
          <w:tcPr>
            <w:tcW w:w="273" w:type="dxa"/>
            <w:tcBorders>
              <w:top w:val="single" w:sz="4" w:space="0" w:color="auto"/>
              <w:left w:val="nil"/>
              <w:bottom w:val="single" w:sz="4" w:space="0" w:color="auto"/>
              <w:right w:val="nil"/>
            </w:tcBorders>
            <w:shd w:val="clear" w:color="000000" w:fill="FFFFFF"/>
            <w:noWrap/>
            <w:vAlign w:val="center"/>
            <w:hideMark/>
          </w:tcPr>
          <w:p w14:paraId="136ADAEE" w14:textId="77777777" w:rsidR="008200FF" w:rsidRPr="00E14060" w:rsidRDefault="008200FF" w:rsidP="00E40CF3">
            <w:pPr>
              <w:rPr>
                <w:b/>
                <w:bCs/>
                <w:lang w:val="en-GB"/>
              </w:rPr>
            </w:pPr>
            <w:r w:rsidRPr="00E14060">
              <w:rPr>
                <w:b/>
                <w:bCs/>
                <w:lang w:val="en-GB"/>
              </w:rPr>
              <w:t> </w:t>
            </w:r>
          </w:p>
        </w:tc>
        <w:tc>
          <w:tcPr>
            <w:tcW w:w="1564" w:type="dxa"/>
            <w:tcBorders>
              <w:top w:val="single" w:sz="4" w:space="0" w:color="auto"/>
              <w:left w:val="nil"/>
              <w:bottom w:val="single" w:sz="4" w:space="0" w:color="auto"/>
              <w:right w:val="nil"/>
            </w:tcBorders>
            <w:shd w:val="clear" w:color="000000" w:fill="FFFFFF"/>
            <w:vAlign w:val="bottom"/>
            <w:hideMark/>
          </w:tcPr>
          <w:p w14:paraId="055D9F9A" w14:textId="77777777" w:rsidR="008200FF" w:rsidRPr="00E14060" w:rsidRDefault="008200FF" w:rsidP="00E40CF3">
            <w:pPr>
              <w:jc w:val="center"/>
              <w:rPr>
                <w:b/>
                <w:bCs/>
                <w:lang w:val="en-GB"/>
              </w:rPr>
            </w:pPr>
            <w:r w:rsidRPr="00E14060">
              <w:rPr>
                <w:b/>
                <w:bCs/>
                <w:lang w:val="en-GB"/>
              </w:rPr>
              <w:t>Actual ADHD-RS-IV change</w:t>
            </w:r>
            <w:r w:rsidRPr="00E14060">
              <w:rPr>
                <w:b/>
                <w:bCs/>
                <w:lang w:val="en-GB"/>
              </w:rPr>
              <w:br/>
              <w:t>mean (SD)</w:t>
            </w:r>
          </w:p>
        </w:tc>
        <w:tc>
          <w:tcPr>
            <w:tcW w:w="1565" w:type="dxa"/>
            <w:tcBorders>
              <w:top w:val="single" w:sz="4" w:space="0" w:color="auto"/>
              <w:left w:val="nil"/>
              <w:bottom w:val="single" w:sz="4" w:space="0" w:color="auto"/>
              <w:right w:val="nil"/>
            </w:tcBorders>
            <w:shd w:val="clear" w:color="000000" w:fill="FFFFFF"/>
            <w:vAlign w:val="bottom"/>
            <w:hideMark/>
          </w:tcPr>
          <w:p w14:paraId="73C080D4" w14:textId="77777777" w:rsidR="008200FF" w:rsidRPr="00E14060" w:rsidRDefault="008200FF" w:rsidP="00E40CF3">
            <w:pPr>
              <w:jc w:val="center"/>
              <w:rPr>
                <w:b/>
                <w:bCs/>
                <w:lang w:val="en-GB"/>
              </w:rPr>
            </w:pPr>
            <w:r w:rsidRPr="00E14060">
              <w:rPr>
                <w:b/>
                <w:bCs/>
                <w:lang w:val="en-GB"/>
              </w:rPr>
              <w:t>Actual % CGI-I response</w:t>
            </w:r>
          </w:p>
        </w:tc>
        <w:tc>
          <w:tcPr>
            <w:tcW w:w="1564" w:type="dxa"/>
            <w:tcBorders>
              <w:top w:val="single" w:sz="4" w:space="0" w:color="auto"/>
              <w:left w:val="nil"/>
              <w:bottom w:val="single" w:sz="4" w:space="0" w:color="auto"/>
              <w:right w:val="nil"/>
            </w:tcBorders>
            <w:shd w:val="clear" w:color="000000" w:fill="FFFFFF"/>
            <w:vAlign w:val="bottom"/>
            <w:hideMark/>
          </w:tcPr>
          <w:p w14:paraId="3B1B3376" w14:textId="77777777" w:rsidR="008200FF" w:rsidRPr="00E14060" w:rsidRDefault="008200FF" w:rsidP="00E40CF3">
            <w:pPr>
              <w:jc w:val="center"/>
              <w:rPr>
                <w:b/>
                <w:bCs/>
                <w:lang w:val="en-GB"/>
              </w:rPr>
            </w:pPr>
            <w:r w:rsidRPr="00E14060">
              <w:rPr>
                <w:b/>
                <w:bCs/>
                <w:lang w:val="en-GB"/>
              </w:rPr>
              <w:t>Extrapolated % CGI-I response</w:t>
            </w:r>
          </w:p>
        </w:tc>
        <w:tc>
          <w:tcPr>
            <w:tcW w:w="1565" w:type="dxa"/>
            <w:tcBorders>
              <w:top w:val="single" w:sz="4" w:space="0" w:color="auto"/>
              <w:left w:val="nil"/>
              <w:bottom w:val="single" w:sz="4" w:space="0" w:color="auto"/>
              <w:right w:val="nil"/>
            </w:tcBorders>
            <w:shd w:val="clear" w:color="000000" w:fill="FFFFFF"/>
            <w:vAlign w:val="bottom"/>
            <w:hideMark/>
          </w:tcPr>
          <w:p w14:paraId="1D9205D1" w14:textId="77777777" w:rsidR="008200FF" w:rsidRPr="00E14060" w:rsidRDefault="008200FF" w:rsidP="00E40CF3">
            <w:pPr>
              <w:jc w:val="center"/>
              <w:rPr>
                <w:b/>
                <w:bCs/>
                <w:lang w:val="en-GB"/>
              </w:rPr>
            </w:pPr>
            <w:r w:rsidRPr="00E14060">
              <w:rPr>
                <w:b/>
                <w:bCs/>
                <w:lang w:val="en-GB"/>
              </w:rPr>
              <w:t>Bias (Extrapolated - Actual)</w:t>
            </w:r>
          </w:p>
        </w:tc>
        <w:tc>
          <w:tcPr>
            <w:tcW w:w="312" w:type="dxa"/>
            <w:tcBorders>
              <w:top w:val="single" w:sz="4" w:space="0" w:color="auto"/>
              <w:left w:val="nil"/>
              <w:bottom w:val="single" w:sz="4" w:space="0" w:color="auto"/>
              <w:right w:val="nil"/>
            </w:tcBorders>
            <w:shd w:val="clear" w:color="000000" w:fill="FFFFFF"/>
            <w:vAlign w:val="bottom"/>
            <w:hideMark/>
          </w:tcPr>
          <w:p w14:paraId="05F5F580" w14:textId="77777777" w:rsidR="008200FF" w:rsidRPr="00E14060" w:rsidRDefault="008200FF" w:rsidP="00E40CF3">
            <w:pPr>
              <w:jc w:val="center"/>
              <w:rPr>
                <w:b/>
                <w:bCs/>
                <w:lang w:val="en-GB"/>
              </w:rPr>
            </w:pPr>
            <w:r w:rsidRPr="00E14060">
              <w:rPr>
                <w:b/>
                <w:bCs/>
                <w:lang w:val="en-GB"/>
              </w:rPr>
              <w:t> </w:t>
            </w:r>
          </w:p>
        </w:tc>
      </w:tr>
      <w:tr w:rsidR="006F2A62" w:rsidRPr="00E14060" w14:paraId="1BF50961" w14:textId="77777777" w:rsidTr="006F2A62">
        <w:trPr>
          <w:trHeight w:val="300"/>
        </w:trPr>
        <w:tc>
          <w:tcPr>
            <w:tcW w:w="2790" w:type="dxa"/>
            <w:gridSpan w:val="2"/>
            <w:tcBorders>
              <w:top w:val="single" w:sz="4" w:space="0" w:color="auto"/>
              <w:left w:val="nil"/>
              <w:bottom w:val="nil"/>
              <w:right w:val="nil"/>
            </w:tcBorders>
            <w:shd w:val="clear" w:color="000000" w:fill="D9D9D9"/>
            <w:noWrap/>
            <w:vAlign w:val="center"/>
            <w:hideMark/>
          </w:tcPr>
          <w:p w14:paraId="4122975F" w14:textId="77777777" w:rsidR="008200FF" w:rsidRPr="00E14060" w:rsidRDefault="008200FF" w:rsidP="00E40CF3">
            <w:pPr>
              <w:rPr>
                <w:sz w:val="22"/>
                <w:szCs w:val="22"/>
                <w:lang w:val="en-GB"/>
              </w:rPr>
            </w:pPr>
            <w:r w:rsidRPr="00E14060">
              <w:rPr>
                <w:sz w:val="22"/>
                <w:szCs w:val="22"/>
                <w:lang w:val="en-GB"/>
              </w:rPr>
              <w:t>Quadratic regression (Goodman)</w:t>
            </w:r>
            <w:r w:rsidRPr="00E14060">
              <w:rPr>
                <w:sz w:val="22"/>
                <w:szCs w:val="22"/>
                <w:vertAlign w:val="superscript"/>
                <w:lang w:val="en-GB"/>
              </w:rPr>
              <w:t>[1]</w:t>
            </w:r>
          </w:p>
        </w:tc>
        <w:tc>
          <w:tcPr>
            <w:tcW w:w="1564" w:type="dxa"/>
            <w:tcBorders>
              <w:top w:val="single" w:sz="4" w:space="0" w:color="auto"/>
              <w:left w:val="nil"/>
              <w:bottom w:val="nil"/>
              <w:right w:val="nil"/>
            </w:tcBorders>
            <w:shd w:val="clear" w:color="000000" w:fill="D9D9D9"/>
            <w:noWrap/>
            <w:vAlign w:val="center"/>
            <w:hideMark/>
          </w:tcPr>
          <w:p w14:paraId="6715E7C2" w14:textId="77777777" w:rsidR="008200FF" w:rsidRPr="00E14060" w:rsidRDefault="008200FF" w:rsidP="00E40CF3">
            <w:pPr>
              <w:rPr>
                <w:sz w:val="22"/>
                <w:szCs w:val="22"/>
                <w:lang w:val="en-GB"/>
              </w:rPr>
            </w:pPr>
            <w:r w:rsidRPr="00E14060">
              <w:rPr>
                <w:sz w:val="22"/>
                <w:szCs w:val="22"/>
                <w:lang w:val="en-GB"/>
              </w:rPr>
              <w:t>-16.4 (11.6)</w:t>
            </w:r>
          </w:p>
        </w:tc>
        <w:tc>
          <w:tcPr>
            <w:tcW w:w="1565" w:type="dxa"/>
            <w:tcBorders>
              <w:top w:val="single" w:sz="4" w:space="0" w:color="auto"/>
              <w:left w:val="nil"/>
              <w:bottom w:val="nil"/>
              <w:right w:val="nil"/>
            </w:tcBorders>
            <w:shd w:val="clear" w:color="000000" w:fill="D9D9D9"/>
            <w:noWrap/>
            <w:vAlign w:val="center"/>
            <w:hideMark/>
          </w:tcPr>
          <w:p w14:paraId="4E68EBEC" w14:textId="77777777" w:rsidR="008200FF" w:rsidRPr="00E14060" w:rsidRDefault="008200FF" w:rsidP="00E40CF3">
            <w:pPr>
              <w:jc w:val="center"/>
              <w:rPr>
                <w:sz w:val="22"/>
                <w:szCs w:val="22"/>
                <w:lang w:val="en-GB"/>
              </w:rPr>
            </w:pPr>
            <w:r w:rsidRPr="00E14060">
              <w:rPr>
                <w:sz w:val="22"/>
                <w:szCs w:val="22"/>
                <w:lang w:val="en-GB"/>
              </w:rPr>
              <w:t>0.563</w:t>
            </w:r>
          </w:p>
        </w:tc>
        <w:tc>
          <w:tcPr>
            <w:tcW w:w="1564" w:type="dxa"/>
            <w:tcBorders>
              <w:top w:val="single" w:sz="4" w:space="0" w:color="auto"/>
              <w:left w:val="nil"/>
              <w:bottom w:val="nil"/>
              <w:right w:val="nil"/>
            </w:tcBorders>
            <w:shd w:val="clear" w:color="000000" w:fill="D9D9D9"/>
            <w:noWrap/>
            <w:vAlign w:val="bottom"/>
            <w:hideMark/>
          </w:tcPr>
          <w:p w14:paraId="2A2F8C89" w14:textId="77777777" w:rsidR="008200FF" w:rsidRPr="00E14060" w:rsidRDefault="008200FF" w:rsidP="00E40CF3">
            <w:pPr>
              <w:jc w:val="center"/>
              <w:rPr>
                <w:sz w:val="22"/>
                <w:szCs w:val="22"/>
                <w:lang w:val="en-GB"/>
              </w:rPr>
            </w:pPr>
            <w:r w:rsidRPr="00E14060">
              <w:rPr>
                <w:sz w:val="22"/>
                <w:szCs w:val="22"/>
                <w:lang w:val="en-GB"/>
              </w:rPr>
              <w:t>0.595</w:t>
            </w:r>
          </w:p>
        </w:tc>
        <w:tc>
          <w:tcPr>
            <w:tcW w:w="1565" w:type="dxa"/>
            <w:tcBorders>
              <w:top w:val="single" w:sz="4" w:space="0" w:color="auto"/>
              <w:left w:val="nil"/>
              <w:bottom w:val="nil"/>
              <w:right w:val="nil"/>
            </w:tcBorders>
            <w:shd w:val="clear" w:color="000000" w:fill="D9D9D9"/>
            <w:noWrap/>
            <w:vAlign w:val="bottom"/>
            <w:hideMark/>
          </w:tcPr>
          <w:p w14:paraId="7D2F2867" w14:textId="77777777" w:rsidR="008200FF" w:rsidRPr="00E14060" w:rsidRDefault="008200FF" w:rsidP="00E40CF3">
            <w:pPr>
              <w:jc w:val="center"/>
              <w:rPr>
                <w:sz w:val="22"/>
                <w:szCs w:val="22"/>
                <w:lang w:val="en-GB"/>
              </w:rPr>
            </w:pPr>
            <w:r w:rsidRPr="00E14060">
              <w:rPr>
                <w:sz w:val="22"/>
                <w:szCs w:val="22"/>
                <w:lang w:val="en-GB"/>
              </w:rPr>
              <w:t>0.032</w:t>
            </w:r>
          </w:p>
        </w:tc>
        <w:tc>
          <w:tcPr>
            <w:tcW w:w="312" w:type="dxa"/>
            <w:tcBorders>
              <w:top w:val="single" w:sz="4" w:space="0" w:color="auto"/>
              <w:left w:val="nil"/>
              <w:bottom w:val="nil"/>
              <w:right w:val="nil"/>
            </w:tcBorders>
            <w:shd w:val="clear" w:color="000000" w:fill="D9D9D9"/>
            <w:noWrap/>
            <w:vAlign w:val="center"/>
            <w:hideMark/>
          </w:tcPr>
          <w:p w14:paraId="152DDFF2" w14:textId="77777777" w:rsidR="008200FF" w:rsidRPr="00E14060" w:rsidRDefault="008200FF" w:rsidP="00E40CF3">
            <w:pPr>
              <w:jc w:val="center"/>
              <w:rPr>
                <w:sz w:val="22"/>
                <w:szCs w:val="22"/>
                <w:lang w:val="en-GB"/>
              </w:rPr>
            </w:pPr>
            <w:r w:rsidRPr="00E14060">
              <w:rPr>
                <w:sz w:val="22"/>
                <w:szCs w:val="22"/>
                <w:lang w:val="en-GB"/>
              </w:rPr>
              <w:t> </w:t>
            </w:r>
          </w:p>
        </w:tc>
      </w:tr>
      <w:tr w:rsidR="006F2A62" w:rsidRPr="00E14060" w14:paraId="188CAC3B" w14:textId="77777777" w:rsidTr="006F2A62">
        <w:trPr>
          <w:trHeight w:val="300"/>
        </w:trPr>
        <w:tc>
          <w:tcPr>
            <w:tcW w:w="2790" w:type="dxa"/>
            <w:gridSpan w:val="2"/>
            <w:tcBorders>
              <w:top w:val="nil"/>
              <w:left w:val="nil"/>
              <w:bottom w:val="single" w:sz="4" w:space="0" w:color="auto"/>
              <w:right w:val="nil"/>
            </w:tcBorders>
            <w:shd w:val="clear" w:color="000000" w:fill="FFFFFF"/>
            <w:noWrap/>
            <w:vAlign w:val="center"/>
            <w:hideMark/>
          </w:tcPr>
          <w:p w14:paraId="22758623" w14:textId="77777777" w:rsidR="008200FF" w:rsidRPr="00E14060" w:rsidRDefault="008200FF" w:rsidP="00E40CF3">
            <w:pPr>
              <w:rPr>
                <w:sz w:val="22"/>
                <w:szCs w:val="22"/>
                <w:lang w:val="en-GB"/>
              </w:rPr>
            </w:pPr>
            <w:r w:rsidRPr="00E14060">
              <w:rPr>
                <w:sz w:val="22"/>
                <w:szCs w:val="22"/>
                <w:lang w:val="en-GB"/>
              </w:rPr>
              <w:t>Direct estimation</w:t>
            </w:r>
            <w:r w:rsidRPr="00E14060">
              <w:rPr>
                <w:sz w:val="22"/>
                <w:szCs w:val="22"/>
                <w:vertAlign w:val="superscript"/>
                <w:lang w:val="en-GB"/>
              </w:rPr>
              <w:t>[2]</w:t>
            </w:r>
          </w:p>
        </w:tc>
        <w:tc>
          <w:tcPr>
            <w:tcW w:w="1564" w:type="dxa"/>
            <w:tcBorders>
              <w:top w:val="nil"/>
              <w:left w:val="nil"/>
              <w:bottom w:val="single" w:sz="4" w:space="0" w:color="auto"/>
              <w:right w:val="nil"/>
            </w:tcBorders>
            <w:shd w:val="clear" w:color="000000" w:fill="FFFFFF"/>
            <w:noWrap/>
            <w:vAlign w:val="center"/>
            <w:hideMark/>
          </w:tcPr>
          <w:p w14:paraId="11A7B386" w14:textId="77777777" w:rsidR="008200FF" w:rsidRPr="00E14060" w:rsidRDefault="008200FF" w:rsidP="00E40CF3">
            <w:pPr>
              <w:rPr>
                <w:sz w:val="22"/>
                <w:szCs w:val="22"/>
                <w:lang w:val="en-GB"/>
              </w:rPr>
            </w:pPr>
            <w:r w:rsidRPr="00E14060">
              <w:rPr>
                <w:sz w:val="22"/>
                <w:szCs w:val="22"/>
                <w:lang w:val="en-GB"/>
              </w:rPr>
              <w:t>-16.4 (11.6)</w:t>
            </w:r>
          </w:p>
        </w:tc>
        <w:tc>
          <w:tcPr>
            <w:tcW w:w="1565" w:type="dxa"/>
            <w:tcBorders>
              <w:top w:val="nil"/>
              <w:left w:val="nil"/>
              <w:bottom w:val="single" w:sz="4" w:space="0" w:color="auto"/>
              <w:right w:val="nil"/>
            </w:tcBorders>
            <w:shd w:val="clear" w:color="000000" w:fill="FFFFFF"/>
            <w:noWrap/>
            <w:vAlign w:val="center"/>
            <w:hideMark/>
          </w:tcPr>
          <w:p w14:paraId="699EE81B" w14:textId="77777777" w:rsidR="008200FF" w:rsidRPr="00E14060" w:rsidRDefault="008200FF" w:rsidP="00E40CF3">
            <w:pPr>
              <w:jc w:val="center"/>
              <w:rPr>
                <w:sz w:val="22"/>
                <w:szCs w:val="22"/>
                <w:lang w:val="en-GB"/>
              </w:rPr>
            </w:pPr>
            <w:r w:rsidRPr="00E14060">
              <w:rPr>
                <w:sz w:val="22"/>
                <w:szCs w:val="22"/>
                <w:lang w:val="en-GB"/>
              </w:rPr>
              <w:t>0.563</w:t>
            </w:r>
          </w:p>
        </w:tc>
        <w:tc>
          <w:tcPr>
            <w:tcW w:w="1564" w:type="dxa"/>
            <w:tcBorders>
              <w:top w:val="nil"/>
              <w:left w:val="nil"/>
              <w:bottom w:val="single" w:sz="4" w:space="0" w:color="auto"/>
              <w:right w:val="nil"/>
            </w:tcBorders>
            <w:shd w:val="clear" w:color="000000" w:fill="FFFFFF"/>
            <w:noWrap/>
            <w:vAlign w:val="bottom"/>
            <w:hideMark/>
          </w:tcPr>
          <w:p w14:paraId="103B3824" w14:textId="77777777" w:rsidR="008200FF" w:rsidRPr="00E14060" w:rsidRDefault="008200FF" w:rsidP="00E40CF3">
            <w:pPr>
              <w:jc w:val="center"/>
              <w:rPr>
                <w:sz w:val="22"/>
                <w:szCs w:val="22"/>
                <w:lang w:val="en-GB"/>
              </w:rPr>
            </w:pPr>
            <w:r w:rsidRPr="00E14060">
              <w:rPr>
                <w:sz w:val="22"/>
                <w:szCs w:val="22"/>
                <w:lang w:val="en-GB"/>
              </w:rPr>
              <w:t>0.569</w:t>
            </w:r>
          </w:p>
        </w:tc>
        <w:tc>
          <w:tcPr>
            <w:tcW w:w="1565" w:type="dxa"/>
            <w:tcBorders>
              <w:top w:val="nil"/>
              <w:left w:val="nil"/>
              <w:bottom w:val="single" w:sz="4" w:space="0" w:color="auto"/>
              <w:right w:val="nil"/>
            </w:tcBorders>
            <w:shd w:val="clear" w:color="000000" w:fill="FFFFFF"/>
            <w:noWrap/>
            <w:vAlign w:val="bottom"/>
            <w:hideMark/>
          </w:tcPr>
          <w:p w14:paraId="4AE578DF" w14:textId="77777777" w:rsidR="008200FF" w:rsidRPr="00E14060" w:rsidRDefault="008200FF" w:rsidP="00E40CF3">
            <w:pPr>
              <w:jc w:val="center"/>
              <w:rPr>
                <w:sz w:val="22"/>
                <w:szCs w:val="22"/>
                <w:lang w:val="en-GB"/>
              </w:rPr>
            </w:pPr>
            <w:r w:rsidRPr="00E14060">
              <w:rPr>
                <w:sz w:val="22"/>
                <w:szCs w:val="22"/>
                <w:lang w:val="en-GB"/>
              </w:rPr>
              <w:t>0.006</w:t>
            </w:r>
          </w:p>
        </w:tc>
        <w:tc>
          <w:tcPr>
            <w:tcW w:w="312" w:type="dxa"/>
            <w:tcBorders>
              <w:top w:val="nil"/>
              <w:left w:val="nil"/>
              <w:bottom w:val="single" w:sz="4" w:space="0" w:color="auto"/>
              <w:right w:val="nil"/>
            </w:tcBorders>
            <w:shd w:val="clear" w:color="000000" w:fill="FFFFFF"/>
            <w:noWrap/>
            <w:vAlign w:val="center"/>
            <w:hideMark/>
          </w:tcPr>
          <w:p w14:paraId="605ADAE7" w14:textId="77777777" w:rsidR="008200FF" w:rsidRPr="00E14060" w:rsidRDefault="008200FF" w:rsidP="00E40CF3">
            <w:pPr>
              <w:jc w:val="center"/>
              <w:rPr>
                <w:sz w:val="22"/>
                <w:szCs w:val="22"/>
                <w:lang w:val="en-GB"/>
              </w:rPr>
            </w:pPr>
            <w:r w:rsidRPr="00E14060">
              <w:rPr>
                <w:sz w:val="22"/>
                <w:szCs w:val="22"/>
                <w:lang w:val="en-GB"/>
              </w:rPr>
              <w:t> </w:t>
            </w:r>
          </w:p>
        </w:tc>
      </w:tr>
    </w:tbl>
    <w:p w14:paraId="67B824E1" w14:textId="77777777" w:rsidR="008200FF" w:rsidRPr="00E14060" w:rsidRDefault="008200FF" w:rsidP="008200FF">
      <w:pPr>
        <w:rPr>
          <w:sz w:val="24"/>
          <w:szCs w:val="24"/>
          <w:lang w:val="en-GB"/>
        </w:rPr>
      </w:pPr>
    </w:p>
    <w:p w14:paraId="1E6BB697" w14:textId="77777777" w:rsidR="008200FF" w:rsidRPr="00E14060" w:rsidRDefault="008200FF" w:rsidP="008200FF">
      <w:pPr>
        <w:ind w:left="720"/>
        <w:rPr>
          <w:b/>
          <w:lang w:val="en-GB"/>
        </w:rPr>
      </w:pPr>
    </w:p>
    <w:p w14:paraId="25487315" w14:textId="77777777" w:rsidR="008200FF" w:rsidRPr="00E14060" w:rsidRDefault="008200FF" w:rsidP="008200FF">
      <w:pPr>
        <w:ind w:left="720"/>
        <w:rPr>
          <w:lang w:val="en-GB"/>
        </w:rPr>
      </w:pPr>
      <w:r w:rsidRPr="00E14060">
        <w:rPr>
          <w:b/>
          <w:lang w:val="en-GB"/>
        </w:rPr>
        <w:t>Notes</w:t>
      </w:r>
      <w:r w:rsidRPr="00E14060">
        <w:rPr>
          <w:lang w:val="en-GB"/>
        </w:rPr>
        <w:t>:</w:t>
      </w:r>
    </w:p>
    <w:p w14:paraId="6773B741" w14:textId="77777777" w:rsidR="008200FF" w:rsidRPr="00E14060" w:rsidRDefault="008200FF" w:rsidP="008200FF">
      <w:pPr>
        <w:pStyle w:val="ListParagraph"/>
        <w:numPr>
          <w:ilvl w:val="0"/>
          <w:numId w:val="39"/>
        </w:numPr>
        <w:ind w:left="1440"/>
        <w:rPr>
          <w:rFonts w:ascii="Times New Roman" w:hAnsi="Times New Roman"/>
          <w:i w:val="0"/>
          <w:lang w:val="en-GB"/>
        </w:rPr>
      </w:pPr>
      <w:r w:rsidRPr="00E14060">
        <w:rPr>
          <w:rFonts w:ascii="Times New Roman" w:hAnsi="Times New Roman"/>
          <w:i w:val="0"/>
          <w:lang w:val="en-GB"/>
        </w:rPr>
        <w:t>The quadratic regression fits a quadratic model between CGI-I and ADHD-RS-IV change from baseline, uses a cut-off of predicted CGI-I ≤ 2.5 to find the corresponding cut-off in terms of ADHD-RS-IV change. Two thirds of the observations from SPD489-303 trial (both active and placebo arms) were used.</w:t>
      </w:r>
    </w:p>
    <w:p w14:paraId="5D4A3584" w14:textId="77777777" w:rsidR="008200FF" w:rsidRPr="00E14060" w:rsidRDefault="008200FF" w:rsidP="008200FF">
      <w:pPr>
        <w:pStyle w:val="ListParagraph"/>
        <w:numPr>
          <w:ilvl w:val="0"/>
          <w:numId w:val="39"/>
        </w:numPr>
        <w:ind w:left="1440"/>
        <w:rPr>
          <w:rFonts w:ascii="Times New Roman" w:hAnsi="Times New Roman"/>
          <w:i w:val="0"/>
          <w:lang w:val="en-GB"/>
        </w:rPr>
      </w:pPr>
      <w:r w:rsidRPr="00E14060">
        <w:rPr>
          <w:rFonts w:ascii="Times New Roman" w:hAnsi="Times New Roman"/>
          <w:i w:val="0"/>
          <w:lang w:val="en-GB"/>
        </w:rPr>
        <w:t>The direct estimation method finds a cutoff using ADHD-RS-IV change from baseline that gives the percentage of CGI-I response corresponding to what was observed. Two thirds of the observations from SPD489-303 trial (both active and placebo arms) were used.</w:t>
      </w:r>
    </w:p>
    <w:p w14:paraId="02F4014B" w14:textId="77777777" w:rsidR="008200FF" w:rsidRPr="00E14060" w:rsidRDefault="008200FF" w:rsidP="008200FF">
      <w:pPr>
        <w:pStyle w:val="ListParagraph"/>
        <w:numPr>
          <w:ilvl w:val="0"/>
          <w:numId w:val="39"/>
        </w:numPr>
        <w:ind w:left="1440"/>
        <w:rPr>
          <w:rFonts w:ascii="Times New Roman" w:hAnsi="Times New Roman"/>
          <w:i w:val="0"/>
          <w:lang w:val="en-GB"/>
        </w:rPr>
      </w:pPr>
      <w:r w:rsidRPr="00E14060">
        <w:rPr>
          <w:rFonts w:ascii="Times New Roman" w:hAnsi="Times New Roman"/>
          <w:i w:val="0"/>
          <w:lang w:val="en-GB"/>
        </w:rPr>
        <w:t>The SPD489-303 trial validation dataset consisted of the remaining one third of the observations (from both active and placebo arms), which were not used to train the model.</w:t>
      </w:r>
    </w:p>
    <w:p w14:paraId="65E242C8" w14:textId="77777777" w:rsidR="008200FF" w:rsidRPr="00E14060" w:rsidRDefault="008200FF" w:rsidP="008200FF">
      <w:pPr>
        <w:rPr>
          <w:sz w:val="28"/>
          <w:lang w:val="en-GB"/>
        </w:rPr>
      </w:pPr>
      <w:r w:rsidRPr="00E14060">
        <w:rPr>
          <w:lang w:val="en-GB"/>
        </w:rPr>
        <w:br w:type="page"/>
      </w:r>
    </w:p>
    <w:p w14:paraId="3428D6C4" w14:textId="32B8FBB2" w:rsidR="008200FF" w:rsidRPr="00E14060" w:rsidRDefault="008200FF" w:rsidP="008200FF">
      <w:pPr>
        <w:ind w:left="720"/>
        <w:rPr>
          <w:sz w:val="24"/>
          <w:szCs w:val="24"/>
          <w:lang w:val="en-GB"/>
        </w:rPr>
      </w:pPr>
      <w:r w:rsidRPr="00E14060">
        <w:rPr>
          <w:b/>
          <w:sz w:val="24"/>
          <w:szCs w:val="24"/>
          <w:lang w:val="en-GB"/>
        </w:rPr>
        <w:lastRenderedPageBreak/>
        <w:t>Step 3 (continued).</w:t>
      </w:r>
      <w:r w:rsidRPr="00E14060">
        <w:rPr>
          <w:sz w:val="24"/>
          <w:szCs w:val="24"/>
          <w:lang w:val="en-GB"/>
        </w:rPr>
        <w:t xml:space="preserve"> Validation against the validation set of the SPD489-303 trial and other studies</w:t>
      </w:r>
    </w:p>
    <w:p w14:paraId="1DC3DB19" w14:textId="77777777" w:rsidR="008200FF" w:rsidRPr="00E14060" w:rsidRDefault="008200FF" w:rsidP="008200FF">
      <w:pPr>
        <w:ind w:left="720"/>
        <w:rPr>
          <w:sz w:val="24"/>
          <w:szCs w:val="24"/>
          <w:lang w:val="en-GB"/>
        </w:rPr>
      </w:pPr>
    </w:p>
    <w:tbl>
      <w:tblPr>
        <w:tblW w:w="5000" w:type="pct"/>
        <w:tblLayout w:type="fixed"/>
        <w:tblLook w:val="04A0" w:firstRow="1" w:lastRow="0" w:firstColumn="1" w:lastColumn="0" w:noHBand="0" w:noVBand="1"/>
      </w:tblPr>
      <w:tblGrid>
        <w:gridCol w:w="1189"/>
        <w:gridCol w:w="962"/>
        <w:gridCol w:w="1449"/>
        <w:gridCol w:w="1260"/>
        <w:gridCol w:w="1125"/>
        <w:gridCol w:w="1125"/>
        <w:gridCol w:w="1125"/>
        <w:gridCol w:w="1125"/>
      </w:tblGrid>
      <w:tr w:rsidR="008200FF" w:rsidRPr="00E14060" w14:paraId="3DB15A4B" w14:textId="77777777" w:rsidTr="006F2A62">
        <w:trPr>
          <w:trHeight w:val="300"/>
        </w:trPr>
        <w:tc>
          <w:tcPr>
            <w:tcW w:w="5000" w:type="pct"/>
            <w:gridSpan w:val="8"/>
            <w:tcBorders>
              <w:top w:val="nil"/>
              <w:left w:val="nil"/>
              <w:bottom w:val="single" w:sz="4" w:space="0" w:color="auto"/>
              <w:right w:val="nil"/>
            </w:tcBorders>
            <w:shd w:val="clear" w:color="000000" w:fill="FFFFFF"/>
            <w:noWrap/>
            <w:vAlign w:val="center"/>
            <w:hideMark/>
          </w:tcPr>
          <w:p w14:paraId="7DB902E7" w14:textId="77777777" w:rsidR="008200FF" w:rsidRPr="00E14060" w:rsidRDefault="008200FF" w:rsidP="00E40CF3">
            <w:pPr>
              <w:jc w:val="center"/>
              <w:rPr>
                <w:b/>
                <w:bCs/>
                <w:sz w:val="22"/>
                <w:szCs w:val="22"/>
                <w:lang w:val="en-GB"/>
              </w:rPr>
            </w:pPr>
            <w:r w:rsidRPr="00E14060">
              <w:rPr>
                <w:b/>
                <w:bCs/>
                <w:sz w:val="22"/>
                <w:szCs w:val="22"/>
                <w:lang w:val="en-GB"/>
              </w:rPr>
              <w:t>Table 9c. Extrapolation in trials reporting both CGI-I and ADHD-RS-IV outcomes</w:t>
            </w:r>
          </w:p>
        </w:tc>
      </w:tr>
      <w:tr w:rsidR="006F2A62" w:rsidRPr="00E14060" w14:paraId="2AF48FB8" w14:textId="77777777" w:rsidTr="006F2A62">
        <w:trPr>
          <w:trHeight w:val="300"/>
        </w:trPr>
        <w:tc>
          <w:tcPr>
            <w:tcW w:w="635" w:type="pct"/>
            <w:vMerge w:val="restart"/>
            <w:tcBorders>
              <w:top w:val="nil"/>
              <w:left w:val="nil"/>
              <w:right w:val="nil"/>
            </w:tcBorders>
            <w:shd w:val="clear" w:color="000000" w:fill="FFFFFF"/>
            <w:noWrap/>
            <w:vAlign w:val="center"/>
            <w:hideMark/>
          </w:tcPr>
          <w:p w14:paraId="57E1CB2F" w14:textId="14FD32D8" w:rsidR="006F2A62" w:rsidRPr="00E14060" w:rsidRDefault="006F2A62" w:rsidP="00E40CF3">
            <w:pPr>
              <w:jc w:val="center"/>
              <w:rPr>
                <w:b/>
                <w:bCs/>
                <w:lang w:val="en-GB"/>
              </w:rPr>
            </w:pPr>
            <w:r w:rsidRPr="00E14060">
              <w:rPr>
                <w:b/>
                <w:bCs/>
                <w:lang w:val="en-GB"/>
              </w:rPr>
              <w:t>Author year</w:t>
            </w:r>
            <w:r w:rsidRPr="00E14060">
              <w:rPr>
                <w:b/>
                <w:bCs/>
                <w:vertAlign w:val="superscript"/>
                <w:lang w:val="en-GB"/>
              </w:rPr>
              <w:t>[3]</w:t>
            </w:r>
          </w:p>
        </w:tc>
        <w:tc>
          <w:tcPr>
            <w:tcW w:w="514" w:type="pct"/>
            <w:vMerge w:val="restart"/>
            <w:tcBorders>
              <w:top w:val="nil"/>
              <w:left w:val="nil"/>
              <w:right w:val="nil"/>
            </w:tcBorders>
            <w:shd w:val="clear" w:color="000000" w:fill="FFFFFF"/>
            <w:noWrap/>
            <w:vAlign w:val="center"/>
            <w:hideMark/>
          </w:tcPr>
          <w:p w14:paraId="0C3C9F0C" w14:textId="6879DF97" w:rsidR="006F2A62" w:rsidRPr="00E14060" w:rsidRDefault="006F2A62" w:rsidP="00E40CF3">
            <w:pPr>
              <w:jc w:val="center"/>
              <w:rPr>
                <w:b/>
                <w:bCs/>
                <w:lang w:val="en-GB"/>
              </w:rPr>
            </w:pPr>
            <w:r w:rsidRPr="00E14060">
              <w:rPr>
                <w:b/>
                <w:bCs/>
                <w:lang w:val="en-GB"/>
              </w:rPr>
              <w:t>Arm</w:t>
            </w:r>
          </w:p>
        </w:tc>
        <w:tc>
          <w:tcPr>
            <w:tcW w:w="774" w:type="pct"/>
            <w:vMerge w:val="restart"/>
            <w:tcBorders>
              <w:top w:val="nil"/>
              <w:left w:val="nil"/>
              <w:right w:val="nil"/>
            </w:tcBorders>
            <w:shd w:val="clear" w:color="000000" w:fill="FFFFFF"/>
            <w:noWrap/>
            <w:vAlign w:val="center"/>
            <w:hideMark/>
          </w:tcPr>
          <w:p w14:paraId="0CAE4217" w14:textId="5E537977" w:rsidR="006F2A62" w:rsidRPr="00E14060" w:rsidRDefault="006F2A62" w:rsidP="00E40CF3">
            <w:pPr>
              <w:jc w:val="center"/>
              <w:rPr>
                <w:b/>
                <w:bCs/>
                <w:lang w:val="en-GB"/>
              </w:rPr>
            </w:pPr>
            <w:r w:rsidRPr="00E14060">
              <w:rPr>
                <w:b/>
                <w:bCs/>
                <w:lang w:val="en-GB"/>
              </w:rPr>
              <w:t>Actual ADHD-RS-IV change,</w:t>
            </w:r>
            <w:r w:rsidRPr="00E14060">
              <w:rPr>
                <w:b/>
                <w:bCs/>
                <w:lang w:val="en-GB"/>
              </w:rPr>
              <w:br/>
              <w:t>mean (SD)</w:t>
            </w:r>
          </w:p>
        </w:tc>
        <w:tc>
          <w:tcPr>
            <w:tcW w:w="673" w:type="pct"/>
            <w:vMerge w:val="restart"/>
            <w:tcBorders>
              <w:top w:val="nil"/>
              <w:left w:val="nil"/>
              <w:right w:val="nil"/>
            </w:tcBorders>
            <w:shd w:val="clear" w:color="000000" w:fill="FFFFFF"/>
            <w:noWrap/>
            <w:vAlign w:val="center"/>
            <w:hideMark/>
          </w:tcPr>
          <w:p w14:paraId="142A1EB6" w14:textId="53C6A2FF" w:rsidR="006F2A62" w:rsidRPr="00E14060" w:rsidRDefault="006F2A62" w:rsidP="00E40CF3">
            <w:pPr>
              <w:jc w:val="center"/>
              <w:rPr>
                <w:b/>
                <w:bCs/>
                <w:lang w:val="en-GB"/>
              </w:rPr>
            </w:pPr>
            <w:r w:rsidRPr="00E14060">
              <w:rPr>
                <w:b/>
                <w:bCs/>
                <w:lang w:val="en-GB"/>
              </w:rPr>
              <w:t>Actual % CGI-I response</w:t>
            </w:r>
          </w:p>
        </w:tc>
        <w:tc>
          <w:tcPr>
            <w:tcW w:w="1202" w:type="pct"/>
            <w:gridSpan w:val="2"/>
            <w:tcBorders>
              <w:top w:val="single" w:sz="4" w:space="0" w:color="auto"/>
              <w:left w:val="nil"/>
              <w:bottom w:val="single" w:sz="4" w:space="0" w:color="auto"/>
              <w:right w:val="nil"/>
            </w:tcBorders>
            <w:shd w:val="clear" w:color="000000" w:fill="FFFFFF"/>
            <w:noWrap/>
            <w:vAlign w:val="center"/>
            <w:hideMark/>
          </w:tcPr>
          <w:p w14:paraId="2EE8E1FE" w14:textId="77777777" w:rsidR="006F2A62" w:rsidRPr="00E14060" w:rsidRDefault="006F2A62" w:rsidP="00E40CF3">
            <w:pPr>
              <w:jc w:val="center"/>
              <w:rPr>
                <w:b/>
                <w:bCs/>
                <w:lang w:val="en-GB"/>
              </w:rPr>
            </w:pPr>
            <w:r w:rsidRPr="00E14060">
              <w:rPr>
                <w:b/>
                <w:bCs/>
                <w:lang w:val="en-GB"/>
              </w:rPr>
              <w:t>Quadratic regression (Goodman)</w:t>
            </w:r>
            <w:r w:rsidRPr="00E14060">
              <w:rPr>
                <w:b/>
                <w:bCs/>
                <w:vertAlign w:val="superscript"/>
                <w:lang w:val="en-GB"/>
              </w:rPr>
              <w:t>[1]</w:t>
            </w:r>
          </w:p>
        </w:tc>
        <w:tc>
          <w:tcPr>
            <w:tcW w:w="1202" w:type="pct"/>
            <w:gridSpan w:val="2"/>
            <w:tcBorders>
              <w:top w:val="single" w:sz="4" w:space="0" w:color="auto"/>
              <w:left w:val="nil"/>
              <w:bottom w:val="single" w:sz="4" w:space="0" w:color="auto"/>
              <w:right w:val="nil"/>
            </w:tcBorders>
            <w:shd w:val="clear" w:color="000000" w:fill="FFFFFF"/>
            <w:noWrap/>
            <w:vAlign w:val="center"/>
            <w:hideMark/>
          </w:tcPr>
          <w:p w14:paraId="373297C1" w14:textId="77777777" w:rsidR="006F2A62" w:rsidRPr="00E14060" w:rsidRDefault="006F2A62" w:rsidP="00E40CF3">
            <w:pPr>
              <w:jc w:val="center"/>
              <w:rPr>
                <w:b/>
                <w:bCs/>
                <w:lang w:val="en-GB"/>
              </w:rPr>
            </w:pPr>
            <w:r w:rsidRPr="00E14060">
              <w:rPr>
                <w:b/>
                <w:bCs/>
                <w:lang w:val="en-GB"/>
              </w:rPr>
              <w:t>Direct estimation</w:t>
            </w:r>
            <w:r w:rsidRPr="00E14060">
              <w:rPr>
                <w:b/>
                <w:bCs/>
                <w:vertAlign w:val="superscript"/>
                <w:lang w:val="en-GB"/>
              </w:rPr>
              <w:t>[2]</w:t>
            </w:r>
          </w:p>
        </w:tc>
      </w:tr>
      <w:tr w:rsidR="006F2A62" w:rsidRPr="00E14060" w14:paraId="46CD6D06" w14:textId="77777777" w:rsidTr="006F2A62">
        <w:trPr>
          <w:trHeight w:val="765"/>
        </w:trPr>
        <w:tc>
          <w:tcPr>
            <w:tcW w:w="635" w:type="pct"/>
            <w:vMerge/>
            <w:tcBorders>
              <w:left w:val="nil"/>
              <w:bottom w:val="single" w:sz="4" w:space="0" w:color="auto"/>
              <w:right w:val="nil"/>
            </w:tcBorders>
            <w:shd w:val="clear" w:color="000000" w:fill="FFFFFF"/>
            <w:noWrap/>
            <w:vAlign w:val="bottom"/>
            <w:hideMark/>
          </w:tcPr>
          <w:p w14:paraId="033A6010" w14:textId="30F630BD" w:rsidR="006F2A62" w:rsidRPr="00E14060" w:rsidRDefault="006F2A62" w:rsidP="00E40CF3">
            <w:pPr>
              <w:jc w:val="center"/>
              <w:rPr>
                <w:b/>
                <w:bCs/>
                <w:lang w:val="en-GB"/>
              </w:rPr>
            </w:pPr>
          </w:p>
        </w:tc>
        <w:tc>
          <w:tcPr>
            <w:tcW w:w="514" w:type="pct"/>
            <w:vMerge/>
            <w:tcBorders>
              <w:left w:val="nil"/>
              <w:bottom w:val="single" w:sz="4" w:space="0" w:color="auto"/>
              <w:right w:val="nil"/>
            </w:tcBorders>
            <w:shd w:val="clear" w:color="000000" w:fill="FFFFFF"/>
            <w:noWrap/>
            <w:vAlign w:val="bottom"/>
            <w:hideMark/>
          </w:tcPr>
          <w:p w14:paraId="7183ED99" w14:textId="6AB1F4C2" w:rsidR="006F2A62" w:rsidRPr="00E14060" w:rsidRDefault="006F2A62" w:rsidP="00E40CF3">
            <w:pPr>
              <w:jc w:val="center"/>
              <w:rPr>
                <w:b/>
                <w:bCs/>
                <w:lang w:val="en-GB"/>
              </w:rPr>
            </w:pPr>
          </w:p>
        </w:tc>
        <w:tc>
          <w:tcPr>
            <w:tcW w:w="774" w:type="pct"/>
            <w:vMerge/>
            <w:tcBorders>
              <w:left w:val="nil"/>
              <w:bottom w:val="single" w:sz="4" w:space="0" w:color="auto"/>
              <w:right w:val="nil"/>
            </w:tcBorders>
            <w:shd w:val="clear" w:color="000000" w:fill="FFFFFF"/>
            <w:vAlign w:val="bottom"/>
            <w:hideMark/>
          </w:tcPr>
          <w:p w14:paraId="6D3EF1BB" w14:textId="537BEDE6" w:rsidR="006F2A62" w:rsidRPr="00E14060" w:rsidRDefault="006F2A62" w:rsidP="00E40CF3">
            <w:pPr>
              <w:jc w:val="center"/>
              <w:rPr>
                <w:b/>
                <w:bCs/>
                <w:lang w:val="en-GB"/>
              </w:rPr>
            </w:pPr>
          </w:p>
        </w:tc>
        <w:tc>
          <w:tcPr>
            <w:tcW w:w="673" w:type="pct"/>
            <w:vMerge/>
            <w:tcBorders>
              <w:left w:val="nil"/>
              <w:bottom w:val="single" w:sz="4" w:space="0" w:color="auto"/>
              <w:right w:val="nil"/>
            </w:tcBorders>
            <w:shd w:val="clear" w:color="000000" w:fill="FFFFFF"/>
            <w:vAlign w:val="bottom"/>
            <w:hideMark/>
          </w:tcPr>
          <w:p w14:paraId="22CC7A1D" w14:textId="57F5F6EC" w:rsidR="006F2A62" w:rsidRPr="00E14060" w:rsidRDefault="006F2A62" w:rsidP="00E40CF3">
            <w:pPr>
              <w:jc w:val="center"/>
              <w:rPr>
                <w:b/>
                <w:bCs/>
                <w:lang w:val="en-GB"/>
              </w:rPr>
            </w:pPr>
          </w:p>
        </w:tc>
        <w:tc>
          <w:tcPr>
            <w:tcW w:w="601" w:type="pct"/>
            <w:tcBorders>
              <w:top w:val="nil"/>
              <w:left w:val="nil"/>
              <w:bottom w:val="single" w:sz="4" w:space="0" w:color="auto"/>
              <w:right w:val="nil"/>
            </w:tcBorders>
            <w:shd w:val="clear" w:color="000000" w:fill="FFFFFF"/>
            <w:vAlign w:val="bottom"/>
            <w:hideMark/>
          </w:tcPr>
          <w:p w14:paraId="197562A9" w14:textId="77777777" w:rsidR="006F2A62" w:rsidRPr="00E14060" w:rsidRDefault="006F2A62" w:rsidP="00E40CF3">
            <w:pPr>
              <w:jc w:val="center"/>
              <w:rPr>
                <w:b/>
                <w:bCs/>
                <w:lang w:val="en-GB"/>
              </w:rPr>
            </w:pPr>
            <w:r w:rsidRPr="00E14060">
              <w:rPr>
                <w:b/>
                <w:bCs/>
                <w:lang w:val="en-GB"/>
              </w:rPr>
              <w:t>Extrapolated % CGI-I response</w:t>
            </w:r>
          </w:p>
        </w:tc>
        <w:tc>
          <w:tcPr>
            <w:tcW w:w="601" w:type="pct"/>
            <w:tcBorders>
              <w:top w:val="nil"/>
              <w:left w:val="nil"/>
              <w:bottom w:val="single" w:sz="4" w:space="0" w:color="auto"/>
              <w:right w:val="nil"/>
            </w:tcBorders>
            <w:shd w:val="clear" w:color="000000" w:fill="FFFFFF"/>
            <w:vAlign w:val="bottom"/>
            <w:hideMark/>
          </w:tcPr>
          <w:p w14:paraId="4756A2BE" w14:textId="77777777" w:rsidR="006F2A62" w:rsidRPr="00E14060" w:rsidRDefault="006F2A62" w:rsidP="00E40CF3">
            <w:pPr>
              <w:jc w:val="center"/>
              <w:rPr>
                <w:b/>
                <w:bCs/>
                <w:lang w:val="en-GB"/>
              </w:rPr>
            </w:pPr>
            <w:r w:rsidRPr="00E14060">
              <w:rPr>
                <w:b/>
                <w:bCs/>
                <w:lang w:val="en-GB"/>
              </w:rPr>
              <w:t>Bias (Extrapolated - Actual)</w:t>
            </w:r>
          </w:p>
        </w:tc>
        <w:tc>
          <w:tcPr>
            <w:tcW w:w="601" w:type="pct"/>
            <w:tcBorders>
              <w:top w:val="nil"/>
              <w:left w:val="nil"/>
              <w:bottom w:val="single" w:sz="4" w:space="0" w:color="auto"/>
              <w:right w:val="nil"/>
            </w:tcBorders>
            <w:shd w:val="clear" w:color="000000" w:fill="FFFFFF"/>
            <w:vAlign w:val="bottom"/>
            <w:hideMark/>
          </w:tcPr>
          <w:p w14:paraId="61AE3973" w14:textId="77777777" w:rsidR="006F2A62" w:rsidRPr="00E14060" w:rsidRDefault="006F2A62" w:rsidP="00E40CF3">
            <w:pPr>
              <w:jc w:val="center"/>
              <w:rPr>
                <w:b/>
                <w:bCs/>
                <w:lang w:val="en-GB"/>
              </w:rPr>
            </w:pPr>
            <w:r w:rsidRPr="00E14060">
              <w:rPr>
                <w:b/>
                <w:bCs/>
                <w:lang w:val="en-GB"/>
              </w:rPr>
              <w:t>Extrapolated % CGI-I response</w:t>
            </w:r>
          </w:p>
        </w:tc>
        <w:tc>
          <w:tcPr>
            <w:tcW w:w="601" w:type="pct"/>
            <w:tcBorders>
              <w:top w:val="nil"/>
              <w:left w:val="nil"/>
              <w:bottom w:val="single" w:sz="4" w:space="0" w:color="auto"/>
              <w:right w:val="nil"/>
            </w:tcBorders>
            <w:shd w:val="clear" w:color="000000" w:fill="FFFFFF"/>
            <w:vAlign w:val="bottom"/>
            <w:hideMark/>
          </w:tcPr>
          <w:p w14:paraId="73DED63A" w14:textId="77777777" w:rsidR="006F2A62" w:rsidRPr="00E14060" w:rsidRDefault="006F2A62" w:rsidP="00E40CF3">
            <w:pPr>
              <w:jc w:val="center"/>
              <w:rPr>
                <w:b/>
                <w:bCs/>
                <w:lang w:val="en-GB"/>
              </w:rPr>
            </w:pPr>
            <w:r w:rsidRPr="00E14060">
              <w:rPr>
                <w:b/>
                <w:bCs/>
                <w:lang w:val="en-GB"/>
              </w:rPr>
              <w:t>Bias (Extrapolated - Actual)</w:t>
            </w:r>
          </w:p>
        </w:tc>
      </w:tr>
      <w:tr w:rsidR="006F2A62" w:rsidRPr="00E14060" w14:paraId="74E87997" w14:textId="77777777" w:rsidTr="006F2A62">
        <w:trPr>
          <w:trHeight w:val="300"/>
        </w:trPr>
        <w:tc>
          <w:tcPr>
            <w:tcW w:w="635" w:type="pct"/>
            <w:tcBorders>
              <w:top w:val="nil"/>
              <w:left w:val="nil"/>
              <w:bottom w:val="nil"/>
              <w:right w:val="nil"/>
            </w:tcBorders>
            <w:shd w:val="clear" w:color="000000" w:fill="FFFFFF"/>
            <w:noWrap/>
            <w:vAlign w:val="bottom"/>
            <w:hideMark/>
          </w:tcPr>
          <w:p w14:paraId="51DC660E" w14:textId="77777777" w:rsidR="008200FF" w:rsidRPr="00E14060" w:rsidRDefault="008200FF" w:rsidP="00E40CF3">
            <w:pPr>
              <w:jc w:val="center"/>
              <w:rPr>
                <w:sz w:val="22"/>
                <w:szCs w:val="22"/>
                <w:lang w:val="en-GB"/>
              </w:rPr>
            </w:pPr>
            <w:r w:rsidRPr="00E14060">
              <w:rPr>
                <w:sz w:val="22"/>
                <w:szCs w:val="22"/>
                <w:lang w:val="en-GB"/>
              </w:rPr>
              <w:t>Adler 2008</w:t>
            </w:r>
          </w:p>
        </w:tc>
        <w:tc>
          <w:tcPr>
            <w:tcW w:w="514" w:type="pct"/>
            <w:tcBorders>
              <w:top w:val="nil"/>
              <w:left w:val="nil"/>
              <w:bottom w:val="nil"/>
              <w:right w:val="nil"/>
            </w:tcBorders>
            <w:shd w:val="clear" w:color="000000" w:fill="FFFFFF"/>
            <w:noWrap/>
            <w:vAlign w:val="bottom"/>
            <w:hideMark/>
          </w:tcPr>
          <w:p w14:paraId="0F440FFD" w14:textId="77777777" w:rsidR="008200FF" w:rsidRPr="00E14060" w:rsidRDefault="008200FF" w:rsidP="00E40CF3">
            <w:pPr>
              <w:jc w:val="center"/>
              <w:rPr>
                <w:sz w:val="22"/>
                <w:szCs w:val="22"/>
                <w:lang w:val="en-GB"/>
              </w:rPr>
            </w:pPr>
            <w:r w:rsidRPr="00E14060">
              <w:rPr>
                <w:sz w:val="22"/>
                <w:szCs w:val="22"/>
                <w:lang w:val="en-GB"/>
              </w:rPr>
              <w:t>LDX30</w:t>
            </w:r>
          </w:p>
        </w:tc>
        <w:tc>
          <w:tcPr>
            <w:tcW w:w="774" w:type="pct"/>
            <w:tcBorders>
              <w:top w:val="nil"/>
              <w:left w:val="nil"/>
              <w:bottom w:val="nil"/>
              <w:right w:val="nil"/>
            </w:tcBorders>
            <w:shd w:val="clear" w:color="000000" w:fill="FFFFFF"/>
            <w:noWrap/>
            <w:vAlign w:val="bottom"/>
            <w:hideMark/>
          </w:tcPr>
          <w:p w14:paraId="41261BC6" w14:textId="77777777" w:rsidR="008200FF" w:rsidRPr="00E14060" w:rsidRDefault="008200FF" w:rsidP="00E40CF3">
            <w:pPr>
              <w:jc w:val="center"/>
              <w:rPr>
                <w:sz w:val="22"/>
                <w:szCs w:val="22"/>
                <w:lang w:val="en-GB"/>
              </w:rPr>
            </w:pPr>
            <w:r w:rsidRPr="00E14060">
              <w:rPr>
                <w:sz w:val="22"/>
                <w:szCs w:val="22"/>
                <w:lang w:val="en-GB"/>
              </w:rPr>
              <w:t>-16.2 (11.6)</w:t>
            </w:r>
          </w:p>
        </w:tc>
        <w:tc>
          <w:tcPr>
            <w:tcW w:w="673" w:type="pct"/>
            <w:tcBorders>
              <w:top w:val="nil"/>
              <w:left w:val="nil"/>
              <w:bottom w:val="nil"/>
              <w:right w:val="nil"/>
            </w:tcBorders>
            <w:shd w:val="clear" w:color="000000" w:fill="FFFFFF"/>
            <w:noWrap/>
            <w:vAlign w:val="bottom"/>
            <w:hideMark/>
          </w:tcPr>
          <w:p w14:paraId="6E0463FA" w14:textId="77777777" w:rsidR="008200FF" w:rsidRPr="00E14060" w:rsidRDefault="008200FF" w:rsidP="00E40CF3">
            <w:pPr>
              <w:jc w:val="center"/>
              <w:rPr>
                <w:sz w:val="22"/>
                <w:szCs w:val="22"/>
                <w:lang w:val="en-GB"/>
              </w:rPr>
            </w:pPr>
            <w:r w:rsidRPr="00E14060">
              <w:rPr>
                <w:sz w:val="22"/>
                <w:szCs w:val="22"/>
                <w:lang w:val="en-GB"/>
              </w:rPr>
              <w:t>0.570</w:t>
            </w:r>
          </w:p>
        </w:tc>
        <w:tc>
          <w:tcPr>
            <w:tcW w:w="601" w:type="pct"/>
            <w:tcBorders>
              <w:top w:val="nil"/>
              <w:left w:val="nil"/>
              <w:bottom w:val="nil"/>
              <w:right w:val="nil"/>
            </w:tcBorders>
            <w:shd w:val="clear" w:color="000000" w:fill="FFFFFF"/>
            <w:noWrap/>
            <w:vAlign w:val="bottom"/>
            <w:hideMark/>
          </w:tcPr>
          <w:p w14:paraId="397C60FC" w14:textId="77777777" w:rsidR="008200FF" w:rsidRPr="00E14060" w:rsidRDefault="008200FF" w:rsidP="00E40CF3">
            <w:pPr>
              <w:jc w:val="center"/>
              <w:rPr>
                <w:sz w:val="22"/>
                <w:szCs w:val="22"/>
                <w:lang w:val="en-GB"/>
              </w:rPr>
            </w:pPr>
            <w:r w:rsidRPr="00E14060">
              <w:rPr>
                <w:sz w:val="22"/>
                <w:szCs w:val="22"/>
                <w:lang w:val="en-GB"/>
              </w:rPr>
              <w:t>0.588</w:t>
            </w:r>
          </w:p>
        </w:tc>
        <w:tc>
          <w:tcPr>
            <w:tcW w:w="601" w:type="pct"/>
            <w:tcBorders>
              <w:top w:val="nil"/>
              <w:left w:val="nil"/>
              <w:bottom w:val="nil"/>
              <w:right w:val="nil"/>
            </w:tcBorders>
            <w:shd w:val="clear" w:color="000000" w:fill="FFFFFF"/>
            <w:noWrap/>
            <w:vAlign w:val="bottom"/>
            <w:hideMark/>
          </w:tcPr>
          <w:p w14:paraId="73A1846D" w14:textId="77777777" w:rsidR="008200FF" w:rsidRPr="00E14060" w:rsidRDefault="008200FF" w:rsidP="00E40CF3">
            <w:pPr>
              <w:jc w:val="center"/>
              <w:rPr>
                <w:sz w:val="22"/>
                <w:szCs w:val="22"/>
                <w:lang w:val="en-GB"/>
              </w:rPr>
            </w:pPr>
            <w:r w:rsidRPr="00E14060">
              <w:rPr>
                <w:sz w:val="22"/>
                <w:szCs w:val="22"/>
                <w:lang w:val="en-GB"/>
              </w:rPr>
              <w:t>0.018</w:t>
            </w:r>
          </w:p>
        </w:tc>
        <w:tc>
          <w:tcPr>
            <w:tcW w:w="601" w:type="pct"/>
            <w:tcBorders>
              <w:top w:val="nil"/>
              <w:left w:val="nil"/>
              <w:bottom w:val="nil"/>
              <w:right w:val="nil"/>
            </w:tcBorders>
            <w:shd w:val="clear" w:color="000000" w:fill="FFFFFF"/>
            <w:noWrap/>
            <w:vAlign w:val="bottom"/>
            <w:hideMark/>
          </w:tcPr>
          <w:p w14:paraId="1662447C" w14:textId="77777777" w:rsidR="008200FF" w:rsidRPr="00E14060" w:rsidRDefault="008200FF" w:rsidP="00E40CF3">
            <w:pPr>
              <w:jc w:val="center"/>
              <w:rPr>
                <w:sz w:val="22"/>
                <w:szCs w:val="22"/>
                <w:lang w:val="en-GB"/>
              </w:rPr>
            </w:pPr>
            <w:r w:rsidRPr="00E14060">
              <w:rPr>
                <w:sz w:val="22"/>
                <w:szCs w:val="22"/>
                <w:lang w:val="en-GB"/>
              </w:rPr>
              <w:t>0.562</w:t>
            </w:r>
          </w:p>
        </w:tc>
        <w:tc>
          <w:tcPr>
            <w:tcW w:w="601" w:type="pct"/>
            <w:tcBorders>
              <w:top w:val="nil"/>
              <w:left w:val="nil"/>
              <w:bottom w:val="nil"/>
              <w:right w:val="nil"/>
            </w:tcBorders>
            <w:shd w:val="clear" w:color="000000" w:fill="FFFFFF"/>
            <w:noWrap/>
            <w:vAlign w:val="bottom"/>
            <w:hideMark/>
          </w:tcPr>
          <w:p w14:paraId="52E9F853" w14:textId="77777777" w:rsidR="008200FF" w:rsidRPr="00E14060" w:rsidRDefault="008200FF" w:rsidP="00E40CF3">
            <w:pPr>
              <w:jc w:val="center"/>
              <w:rPr>
                <w:sz w:val="22"/>
                <w:szCs w:val="22"/>
                <w:lang w:val="en-GB"/>
              </w:rPr>
            </w:pPr>
            <w:r w:rsidRPr="00E14060">
              <w:rPr>
                <w:sz w:val="22"/>
                <w:szCs w:val="22"/>
                <w:lang w:val="en-GB"/>
              </w:rPr>
              <w:t>-0.008</w:t>
            </w:r>
          </w:p>
        </w:tc>
      </w:tr>
      <w:tr w:rsidR="006F2A62" w:rsidRPr="00E14060" w14:paraId="58F9AE44" w14:textId="77777777" w:rsidTr="006F2A62">
        <w:trPr>
          <w:trHeight w:val="300"/>
        </w:trPr>
        <w:tc>
          <w:tcPr>
            <w:tcW w:w="635" w:type="pct"/>
            <w:tcBorders>
              <w:top w:val="nil"/>
              <w:left w:val="nil"/>
              <w:bottom w:val="nil"/>
              <w:right w:val="nil"/>
            </w:tcBorders>
            <w:shd w:val="clear" w:color="000000" w:fill="FFFFFF"/>
            <w:noWrap/>
            <w:vAlign w:val="bottom"/>
            <w:hideMark/>
          </w:tcPr>
          <w:p w14:paraId="158D9636" w14:textId="77777777" w:rsidR="008200FF" w:rsidRPr="00E14060" w:rsidRDefault="008200FF" w:rsidP="00E40CF3">
            <w:pPr>
              <w:jc w:val="center"/>
              <w:rPr>
                <w:sz w:val="22"/>
                <w:szCs w:val="22"/>
                <w:lang w:val="en-GB"/>
              </w:rPr>
            </w:pPr>
            <w:r w:rsidRPr="00E14060">
              <w:rPr>
                <w:sz w:val="22"/>
                <w:szCs w:val="22"/>
                <w:lang w:val="en-GB"/>
              </w:rPr>
              <w:t>Adler 2008</w:t>
            </w:r>
          </w:p>
        </w:tc>
        <w:tc>
          <w:tcPr>
            <w:tcW w:w="514" w:type="pct"/>
            <w:tcBorders>
              <w:top w:val="nil"/>
              <w:left w:val="nil"/>
              <w:bottom w:val="nil"/>
              <w:right w:val="nil"/>
            </w:tcBorders>
            <w:shd w:val="clear" w:color="000000" w:fill="FFFFFF"/>
            <w:noWrap/>
            <w:vAlign w:val="bottom"/>
            <w:hideMark/>
          </w:tcPr>
          <w:p w14:paraId="73C84EEF" w14:textId="77777777" w:rsidR="008200FF" w:rsidRPr="00E14060" w:rsidRDefault="008200FF" w:rsidP="00E40CF3">
            <w:pPr>
              <w:jc w:val="center"/>
              <w:rPr>
                <w:sz w:val="22"/>
                <w:szCs w:val="22"/>
                <w:lang w:val="en-GB"/>
              </w:rPr>
            </w:pPr>
            <w:r w:rsidRPr="00E14060">
              <w:rPr>
                <w:sz w:val="22"/>
                <w:szCs w:val="22"/>
                <w:lang w:val="en-GB"/>
              </w:rPr>
              <w:t>LDX50</w:t>
            </w:r>
          </w:p>
        </w:tc>
        <w:tc>
          <w:tcPr>
            <w:tcW w:w="774" w:type="pct"/>
            <w:tcBorders>
              <w:top w:val="nil"/>
              <w:left w:val="nil"/>
              <w:bottom w:val="nil"/>
              <w:right w:val="nil"/>
            </w:tcBorders>
            <w:shd w:val="clear" w:color="000000" w:fill="FFFFFF"/>
            <w:noWrap/>
            <w:vAlign w:val="bottom"/>
            <w:hideMark/>
          </w:tcPr>
          <w:p w14:paraId="6689254D" w14:textId="77777777" w:rsidR="008200FF" w:rsidRPr="00E14060" w:rsidRDefault="008200FF" w:rsidP="00E40CF3">
            <w:pPr>
              <w:jc w:val="center"/>
              <w:rPr>
                <w:sz w:val="22"/>
                <w:szCs w:val="22"/>
                <w:lang w:val="en-GB"/>
              </w:rPr>
            </w:pPr>
            <w:r w:rsidRPr="00E14060">
              <w:rPr>
                <w:sz w:val="22"/>
                <w:szCs w:val="22"/>
                <w:lang w:val="en-GB"/>
              </w:rPr>
              <w:t>-17.4 (11.4)</w:t>
            </w:r>
          </w:p>
        </w:tc>
        <w:tc>
          <w:tcPr>
            <w:tcW w:w="673" w:type="pct"/>
            <w:tcBorders>
              <w:top w:val="nil"/>
              <w:left w:val="nil"/>
              <w:bottom w:val="nil"/>
              <w:right w:val="nil"/>
            </w:tcBorders>
            <w:shd w:val="clear" w:color="000000" w:fill="FFFFFF"/>
            <w:noWrap/>
            <w:vAlign w:val="bottom"/>
            <w:hideMark/>
          </w:tcPr>
          <w:p w14:paraId="3668EC31" w14:textId="77777777" w:rsidR="008200FF" w:rsidRPr="00E14060" w:rsidRDefault="008200FF" w:rsidP="00E40CF3">
            <w:pPr>
              <w:jc w:val="center"/>
              <w:rPr>
                <w:sz w:val="22"/>
                <w:szCs w:val="22"/>
                <w:lang w:val="en-GB"/>
              </w:rPr>
            </w:pPr>
            <w:r w:rsidRPr="00E14060">
              <w:rPr>
                <w:sz w:val="22"/>
                <w:szCs w:val="22"/>
                <w:lang w:val="en-GB"/>
              </w:rPr>
              <w:t>0.620</w:t>
            </w:r>
          </w:p>
        </w:tc>
        <w:tc>
          <w:tcPr>
            <w:tcW w:w="601" w:type="pct"/>
            <w:tcBorders>
              <w:top w:val="nil"/>
              <w:left w:val="nil"/>
              <w:bottom w:val="nil"/>
              <w:right w:val="nil"/>
            </w:tcBorders>
            <w:shd w:val="clear" w:color="000000" w:fill="FFFFFF"/>
            <w:noWrap/>
            <w:vAlign w:val="bottom"/>
            <w:hideMark/>
          </w:tcPr>
          <w:p w14:paraId="7239D8E2" w14:textId="77777777" w:rsidR="008200FF" w:rsidRPr="00E14060" w:rsidRDefault="008200FF" w:rsidP="00E40CF3">
            <w:pPr>
              <w:jc w:val="center"/>
              <w:rPr>
                <w:sz w:val="22"/>
                <w:szCs w:val="22"/>
                <w:lang w:val="en-GB"/>
              </w:rPr>
            </w:pPr>
            <w:r w:rsidRPr="00E14060">
              <w:rPr>
                <w:sz w:val="22"/>
                <w:szCs w:val="22"/>
                <w:lang w:val="en-GB"/>
              </w:rPr>
              <w:t>0.630</w:t>
            </w:r>
          </w:p>
        </w:tc>
        <w:tc>
          <w:tcPr>
            <w:tcW w:w="601" w:type="pct"/>
            <w:tcBorders>
              <w:top w:val="nil"/>
              <w:left w:val="nil"/>
              <w:bottom w:val="nil"/>
              <w:right w:val="nil"/>
            </w:tcBorders>
            <w:shd w:val="clear" w:color="000000" w:fill="FFFFFF"/>
            <w:noWrap/>
            <w:vAlign w:val="bottom"/>
            <w:hideMark/>
          </w:tcPr>
          <w:p w14:paraId="30424213" w14:textId="77777777" w:rsidR="008200FF" w:rsidRPr="00E14060" w:rsidRDefault="008200FF" w:rsidP="00E40CF3">
            <w:pPr>
              <w:jc w:val="center"/>
              <w:rPr>
                <w:sz w:val="22"/>
                <w:szCs w:val="22"/>
                <w:lang w:val="en-GB"/>
              </w:rPr>
            </w:pPr>
            <w:r w:rsidRPr="00E14060">
              <w:rPr>
                <w:sz w:val="22"/>
                <w:szCs w:val="22"/>
                <w:lang w:val="en-GB"/>
              </w:rPr>
              <w:t>0.010</w:t>
            </w:r>
          </w:p>
        </w:tc>
        <w:tc>
          <w:tcPr>
            <w:tcW w:w="601" w:type="pct"/>
            <w:tcBorders>
              <w:top w:val="nil"/>
              <w:left w:val="nil"/>
              <w:bottom w:val="nil"/>
              <w:right w:val="nil"/>
            </w:tcBorders>
            <w:shd w:val="clear" w:color="000000" w:fill="FFFFFF"/>
            <w:noWrap/>
            <w:vAlign w:val="bottom"/>
            <w:hideMark/>
          </w:tcPr>
          <w:p w14:paraId="78EDA2FF" w14:textId="77777777" w:rsidR="008200FF" w:rsidRPr="00E14060" w:rsidRDefault="008200FF" w:rsidP="00E40CF3">
            <w:pPr>
              <w:jc w:val="center"/>
              <w:rPr>
                <w:sz w:val="22"/>
                <w:szCs w:val="22"/>
                <w:lang w:val="en-GB"/>
              </w:rPr>
            </w:pPr>
            <w:r w:rsidRPr="00E14060">
              <w:rPr>
                <w:sz w:val="22"/>
                <w:szCs w:val="22"/>
                <w:lang w:val="en-GB"/>
              </w:rPr>
              <w:t>0.604</w:t>
            </w:r>
          </w:p>
        </w:tc>
        <w:tc>
          <w:tcPr>
            <w:tcW w:w="601" w:type="pct"/>
            <w:tcBorders>
              <w:top w:val="nil"/>
              <w:left w:val="nil"/>
              <w:bottom w:val="nil"/>
              <w:right w:val="nil"/>
            </w:tcBorders>
            <w:shd w:val="clear" w:color="000000" w:fill="FFFFFF"/>
            <w:noWrap/>
            <w:vAlign w:val="bottom"/>
            <w:hideMark/>
          </w:tcPr>
          <w:p w14:paraId="4F931782" w14:textId="77777777" w:rsidR="008200FF" w:rsidRPr="00E14060" w:rsidRDefault="008200FF" w:rsidP="00E40CF3">
            <w:pPr>
              <w:jc w:val="center"/>
              <w:rPr>
                <w:sz w:val="22"/>
                <w:szCs w:val="22"/>
                <w:lang w:val="en-GB"/>
              </w:rPr>
            </w:pPr>
            <w:r w:rsidRPr="00E14060">
              <w:rPr>
                <w:sz w:val="22"/>
                <w:szCs w:val="22"/>
                <w:lang w:val="en-GB"/>
              </w:rPr>
              <w:t>-0.016</w:t>
            </w:r>
          </w:p>
        </w:tc>
      </w:tr>
      <w:tr w:rsidR="006F2A62" w:rsidRPr="00E14060" w14:paraId="6587F9B8" w14:textId="77777777" w:rsidTr="006F2A62">
        <w:trPr>
          <w:trHeight w:val="300"/>
        </w:trPr>
        <w:tc>
          <w:tcPr>
            <w:tcW w:w="635" w:type="pct"/>
            <w:tcBorders>
              <w:top w:val="nil"/>
              <w:left w:val="nil"/>
              <w:bottom w:val="nil"/>
              <w:right w:val="nil"/>
            </w:tcBorders>
            <w:shd w:val="clear" w:color="000000" w:fill="FFFFFF"/>
            <w:noWrap/>
            <w:vAlign w:val="bottom"/>
            <w:hideMark/>
          </w:tcPr>
          <w:p w14:paraId="7D9F50F3" w14:textId="77777777" w:rsidR="008200FF" w:rsidRPr="00E14060" w:rsidRDefault="008200FF" w:rsidP="00E40CF3">
            <w:pPr>
              <w:jc w:val="center"/>
              <w:rPr>
                <w:sz w:val="22"/>
                <w:szCs w:val="22"/>
                <w:lang w:val="en-GB"/>
              </w:rPr>
            </w:pPr>
            <w:r w:rsidRPr="00E14060">
              <w:rPr>
                <w:sz w:val="22"/>
                <w:szCs w:val="22"/>
                <w:lang w:val="en-GB"/>
              </w:rPr>
              <w:t>Adler 2008</w:t>
            </w:r>
          </w:p>
        </w:tc>
        <w:tc>
          <w:tcPr>
            <w:tcW w:w="514" w:type="pct"/>
            <w:tcBorders>
              <w:top w:val="nil"/>
              <w:left w:val="nil"/>
              <w:bottom w:val="nil"/>
              <w:right w:val="nil"/>
            </w:tcBorders>
            <w:shd w:val="clear" w:color="000000" w:fill="FFFFFF"/>
            <w:noWrap/>
            <w:vAlign w:val="bottom"/>
            <w:hideMark/>
          </w:tcPr>
          <w:p w14:paraId="63F169D8" w14:textId="77777777" w:rsidR="008200FF" w:rsidRPr="00E14060" w:rsidRDefault="008200FF" w:rsidP="00E40CF3">
            <w:pPr>
              <w:jc w:val="center"/>
              <w:rPr>
                <w:sz w:val="22"/>
                <w:szCs w:val="22"/>
                <w:lang w:val="en-GB"/>
              </w:rPr>
            </w:pPr>
            <w:r w:rsidRPr="00E14060">
              <w:rPr>
                <w:sz w:val="22"/>
                <w:szCs w:val="22"/>
                <w:lang w:val="en-GB"/>
              </w:rPr>
              <w:t>LDX70</w:t>
            </w:r>
          </w:p>
        </w:tc>
        <w:tc>
          <w:tcPr>
            <w:tcW w:w="774" w:type="pct"/>
            <w:tcBorders>
              <w:top w:val="nil"/>
              <w:left w:val="nil"/>
              <w:bottom w:val="nil"/>
              <w:right w:val="nil"/>
            </w:tcBorders>
            <w:shd w:val="clear" w:color="000000" w:fill="FFFFFF"/>
            <w:noWrap/>
            <w:vAlign w:val="bottom"/>
            <w:hideMark/>
          </w:tcPr>
          <w:p w14:paraId="3F766F24" w14:textId="77777777" w:rsidR="008200FF" w:rsidRPr="00E14060" w:rsidRDefault="008200FF" w:rsidP="00E40CF3">
            <w:pPr>
              <w:jc w:val="center"/>
              <w:rPr>
                <w:sz w:val="22"/>
                <w:szCs w:val="22"/>
                <w:lang w:val="en-GB"/>
              </w:rPr>
            </w:pPr>
            <w:r w:rsidRPr="00E14060">
              <w:rPr>
                <w:sz w:val="22"/>
                <w:szCs w:val="22"/>
                <w:lang w:val="en-GB"/>
              </w:rPr>
              <w:t>-18.6 (11.4)</w:t>
            </w:r>
          </w:p>
        </w:tc>
        <w:tc>
          <w:tcPr>
            <w:tcW w:w="673" w:type="pct"/>
            <w:tcBorders>
              <w:top w:val="nil"/>
              <w:left w:val="nil"/>
              <w:bottom w:val="nil"/>
              <w:right w:val="nil"/>
            </w:tcBorders>
            <w:shd w:val="clear" w:color="000000" w:fill="FFFFFF"/>
            <w:noWrap/>
            <w:vAlign w:val="bottom"/>
            <w:hideMark/>
          </w:tcPr>
          <w:p w14:paraId="3D929298" w14:textId="77777777" w:rsidR="008200FF" w:rsidRPr="00E14060" w:rsidRDefault="008200FF" w:rsidP="00E40CF3">
            <w:pPr>
              <w:jc w:val="center"/>
              <w:rPr>
                <w:sz w:val="22"/>
                <w:szCs w:val="22"/>
                <w:lang w:val="en-GB"/>
              </w:rPr>
            </w:pPr>
            <w:r w:rsidRPr="00E14060">
              <w:rPr>
                <w:sz w:val="22"/>
                <w:szCs w:val="22"/>
                <w:lang w:val="en-GB"/>
              </w:rPr>
              <w:t>0.610</w:t>
            </w:r>
          </w:p>
        </w:tc>
        <w:tc>
          <w:tcPr>
            <w:tcW w:w="601" w:type="pct"/>
            <w:tcBorders>
              <w:top w:val="nil"/>
              <w:left w:val="nil"/>
              <w:bottom w:val="nil"/>
              <w:right w:val="nil"/>
            </w:tcBorders>
            <w:shd w:val="clear" w:color="000000" w:fill="FFFFFF"/>
            <w:noWrap/>
            <w:vAlign w:val="bottom"/>
            <w:hideMark/>
          </w:tcPr>
          <w:p w14:paraId="3B0E94E1" w14:textId="77777777" w:rsidR="008200FF" w:rsidRPr="00E14060" w:rsidRDefault="008200FF" w:rsidP="00E40CF3">
            <w:pPr>
              <w:jc w:val="center"/>
              <w:rPr>
                <w:sz w:val="22"/>
                <w:szCs w:val="22"/>
                <w:lang w:val="en-GB"/>
              </w:rPr>
            </w:pPr>
            <w:r w:rsidRPr="00E14060">
              <w:rPr>
                <w:sz w:val="22"/>
                <w:szCs w:val="22"/>
                <w:lang w:val="en-GB"/>
              </w:rPr>
              <w:t>0.669</w:t>
            </w:r>
          </w:p>
        </w:tc>
        <w:tc>
          <w:tcPr>
            <w:tcW w:w="601" w:type="pct"/>
            <w:tcBorders>
              <w:top w:val="nil"/>
              <w:left w:val="nil"/>
              <w:bottom w:val="nil"/>
              <w:right w:val="nil"/>
            </w:tcBorders>
            <w:shd w:val="clear" w:color="000000" w:fill="FFFFFF"/>
            <w:noWrap/>
            <w:vAlign w:val="bottom"/>
            <w:hideMark/>
          </w:tcPr>
          <w:p w14:paraId="39725667" w14:textId="77777777" w:rsidR="008200FF" w:rsidRPr="00E14060" w:rsidRDefault="008200FF" w:rsidP="00E40CF3">
            <w:pPr>
              <w:jc w:val="center"/>
              <w:rPr>
                <w:sz w:val="22"/>
                <w:szCs w:val="22"/>
                <w:lang w:val="en-GB"/>
              </w:rPr>
            </w:pPr>
            <w:r w:rsidRPr="00E14060">
              <w:rPr>
                <w:sz w:val="22"/>
                <w:szCs w:val="22"/>
                <w:lang w:val="en-GB"/>
              </w:rPr>
              <w:t>0.059</w:t>
            </w:r>
          </w:p>
        </w:tc>
        <w:tc>
          <w:tcPr>
            <w:tcW w:w="601" w:type="pct"/>
            <w:tcBorders>
              <w:top w:val="nil"/>
              <w:left w:val="nil"/>
              <w:bottom w:val="nil"/>
              <w:right w:val="nil"/>
            </w:tcBorders>
            <w:shd w:val="clear" w:color="000000" w:fill="FFFFFF"/>
            <w:noWrap/>
            <w:vAlign w:val="bottom"/>
            <w:hideMark/>
          </w:tcPr>
          <w:p w14:paraId="72697F03" w14:textId="77777777" w:rsidR="008200FF" w:rsidRPr="00E14060" w:rsidRDefault="008200FF" w:rsidP="00E40CF3">
            <w:pPr>
              <w:jc w:val="center"/>
              <w:rPr>
                <w:sz w:val="22"/>
                <w:szCs w:val="22"/>
                <w:lang w:val="en-GB"/>
              </w:rPr>
            </w:pPr>
            <w:r w:rsidRPr="00E14060">
              <w:rPr>
                <w:sz w:val="22"/>
                <w:szCs w:val="22"/>
                <w:lang w:val="en-GB"/>
              </w:rPr>
              <w:t>0.644</w:t>
            </w:r>
          </w:p>
        </w:tc>
        <w:tc>
          <w:tcPr>
            <w:tcW w:w="601" w:type="pct"/>
            <w:tcBorders>
              <w:top w:val="nil"/>
              <w:left w:val="nil"/>
              <w:bottom w:val="nil"/>
              <w:right w:val="nil"/>
            </w:tcBorders>
            <w:shd w:val="clear" w:color="000000" w:fill="FFFFFF"/>
            <w:noWrap/>
            <w:vAlign w:val="bottom"/>
            <w:hideMark/>
          </w:tcPr>
          <w:p w14:paraId="543A8EE0" w14:textId="77777777" w:rsidR="008200FF" w:rsidRPr="00E14060" w:rsidRDefault="008200FF" w:rsidP="00E40CF3">
            <w:pPr>
              <w:jc w:val="center"/>
              <w:rPr>
                <w:sz w:val="22"/>
                <w:szCs w:val="22"/>
                <w:lang w:val="en-GB"/>
              </w:rPr>
            </w:pPr>
            <w:r w:rsidRPr="00E14060">
              <w:rPr>
                <w:sz w:val="22"/>
                <w:szCs w:val="22"/>
                <w:lang w:val="en-GB"/>
              </w:rPr>
              <w:t>0.034</w:t>
            </w:r>
          </w:p>
        </w:tc>
      </w:tr>
      <w:tr w:rsidR="006F2A62" w:rsidRPr="00E14060" w14:paraId="3600B4FE" w14:textId="77777777" w:rsidTr="006F2A62">
        <w:trPr>
          <w:trHeight w:val="300"/>
        </w:trPr>
        <w:tc>
          <w:tcPr>
            <w:tcW w:w="635" w:type="pct"/>
            <w:tcBorders>
              <w:top w:val="nil"/>
              <w:left w:val="nil"/>
              <w:bottom w:val="nil"/>
              <w:right w:val="nil"/>
            </w:tcBorders>
            <w:shd w:val="clear" w:color="000000" w:fill="FFFFFF"/>
            <w:noWrap/>
            <w:vAlign w:val="bottom"/>
            <w:hideMark/>
          </w:tcPr>
          <w:p w14:paraId="2C83F996" w14:textId="77777777" w:rsidR="008200FF" w:rsidRPr="00E14060" w:rsidRDefault="008200FF" w:rsidP="00E40CF3">
            <w:pPr>
              <w:jc w:val="center"/>
              <w:rPr>
                <w:sz w:val="22"/>
                <w:szCs w:val="22"/>
                <w:lang w:val="en-GB"/>
              </w:rPr>
            </w:pPr>
            <w:r w:rsidRPr="00E14060">
              <w:rPr>
                <w:sz w:val="22"/>
                <w:szCs w:val="22"/>
                <w:lang w:val="en-GB"/>
              </w:rPr>
              <w:t>Adler 2008</w:t>
            </w:r>
          </w:p>
        </w:tc>
        <w:tc>
          <w:tcPr>
            <w:tcW w:w="514" w:type="pct"/>
            <w:tcBorders>
              <w:top w:val="nil"/>
              <w:left w:val="nil"/>
              <w:bottom w:val="nil"/>
              <w:right w:val="nil"/>
            </w:tcBorders>
            <w:shd w:val="clear" w:color="000000" w:fill="FFFFFF"/>
            <w:noWrap/>
            <w:vAlign w:val="bottom"/>
            <w:hideMark/>
          </w:tcPr>
          <w:p w14:paraId="5E0ABEFD" w14:textId="77777777" w:rsidR="008200FF" w:rsidRPr="00E14060" w:rsidRDefault="008200FF" w:rsidP="00E40CF3">
            <w:pPr>
              <w:jc w:val="center"/>
              <w:rPr>
                <w:sz w:val="22"/>
                <w:szCs w:val="22"/>
                <w:lang w:val="en-GB"/>
              </w:rPr>
            </w:pPr>
            <w:r w:rsidRPr="00E14060">
              <w:rPr>
                <w:sz w:val="22"/>
                <w:szCs w:val="22"/>
                <w:lang w:val="en-GB"/>
              </w:rPr>
              <w:t>Placebo</w:t>
            </w:r>
          </w:p>
        </w:tc>
        <w:tc>
          <w:tcPr>
            <w:tcW w:w="774" w:type="pct"/>
            <w:tcBorders>
              <w:top w:val="nil"/>
              <w:left w:val="nil"/>
              <w:bottom w:val="nil"/>
              <w:right w:val="nil"/>
            </w:tcBorders>
            <w:shd w:val="clear" w:color="000000" w:fill="FFFFFF"/>
            <w:noWrap/>
            <w:vAlign w:val="bottom"/>
            <w:hideMark/>
          </w:tcPr>
          <w:p w14:paraId="5D4DE565" w14:textId="77777777" w:rsidR="008200FF" w:rsidRPr="00E14060" w:rsidRDefault="008200FF" w:rsidP="00E40CF3">
            <w:pPr>
              <w:jc w:val="center"/>
              <w:rPr>
                <w:sz w:val="22"/>
                <w:szCs w:val="22"/>
                <w:lang w:val="en-GB"/>
              </w:rPr>
            </w:pPr>
            <w:r w:rsidRPr="00E14060">
              <w:rPr>
                <w:sz w:val="22"/>
                <w:szCs w:val="22"/>
                <w:lang w:val="en-GB"/>
              </w:rPr>
              <w:t>-8.2 (11.3)</w:t>
            </w:r>
          </w:p>
        </w:tc>
        <w:tc>
          <w:tcPr>
            <w:tcW w:w="673" w:type="pct"/>
            <w:tcBorders>
              <w:top w:val="nil"/>
              <w:left w:val="nil"/>
              <w:bottom w:val="nil"/>
              <w:right w:val="nil"/>
            </w:tcBorders>
            <w:shd w:val="clear" w:color="000000" w:fill="FFFFFF"/>
            <w:noWrap/>
            <w:vAlign w:val="bottom"/>
            <w:hideMark/>
          </w:tcPr>
          <w:p w14:paraId="10664CB4" w14:textId="77777777" w:rsidR="008200FF" w:rsidRPr="00E14060" w:rsidRDefault="008200FF" w:rsidP="00E40CF3">
            <w:pPr>
              <w:jc w:val="center"/>
              <w:rPr>
                <w:sz w:val="22"/>
                <w:szCs w:val="22"/>
                <w:lang w:val="en-GB"/>
              </w:rPr>
            </w:pPr>
            <w:r w:rsidRPr="00E14060">
              <w:rPr>
                <w:sz w:val="22"/>
                <w:szCs w:val="22"/>
                <w:lang w:val="en-GB"/>
              </w:rPr>
              <w:t>0.290</w:t>
            </w:r>
          </w:p>
        </w:tc>
        <w:tc>
          <w:tcPr>
            <w:tcW w:w="601" w:type="pct"/>
            <w:tcBorders>
              <w:top w:val="nil"/>
              <w:left w:val="nil"/>
              <w:bottom w:val="nil"/>
              <w:right w:val="nil"/>
            </w:tcBorders>
            <w:shd w:val="clear" w:color="000000" w:fill="FFFFFF"/>
            <w:noWrap/>
            <w:vAlign w:val="bottom"/>
            <w:hideMark/>
          </w:tcPr>
          <w:p w14:paraId="3F995647" w14:textId="77777777" w:rsidR="008200FF" w:rsidRPr="00E14060" w:rsidRDefault="008200FF" w:rsidP="00E40CF3">
            <w:pPr>
              <w:jc w:val="center"/>
              <w:rPr>
                <w:sz w:val="22"/>
                <w:szCs w:val="22"/>
                <w:lang w:val="en-GB"/>
              </w:rPr>
            </w:pPr>
            <w:r w:rsidRPr="00E14060">
              <w:rPr>
                <w:sz w:val="22"/>
                <w:szCs w:val="22"/>
                <w:lang w:val="en-GB"/>
              </w:rPr>
              <w:t>0.315</w:t>
            </w:r>
          </w:p>
        </w:tc>
        <w:tc>
          <w:tcPr>
            <w:tcW w:w="601" w:type="pct"/>
            <w:tcBorders>
              <w:top w:val="nil"/>
              <w:left w:val="nil"/>
              <w:bottom w:val="nil"/>
              <w:right w:val="nil"/>
            </w:tcBorders>
            <w:shd w:val="clear" w:color="000000" w:fill="FFFFFF"/>
            <w:noWrap/>
            <w:vAlign w:val="bottom"/>
            <w:hideMark/>
          </w:tcPr>
          <w:p w14:paraId="788FC72B" w14:textId="77777777" w:rsidR="008200FF" w:rsidRPr="00E14060" w:rsidRDefault="008200FF" w:rsidP="00E40CF3">
            <w:pPr>
              <w:jc w:val="center"/>
              <w:rPr>
                <w:sz w:val="22"/>
                <w:szCs w:val="22"/>
                <w:lang w:val="en-GB"/>
              </w:rPr>
            </w:pPr>
            <w:r w:rsidRPr="00E14060">
              <w:rPr>
                <w:sz w:val="22"/>
                <w:szCs w:val="22"/>
                <w:lang w:val="en-GB"/>
              </w:rPr>
              <w:t>0.025</w:t>
            </w:r>
          </w:p>
        </w:tc>
        <w:tc>
          <w:tcPr>
            <w:tcW w:w="601" w:type="pct"/>
            <w:tcBorders>
              <w:top w:val="nil"/>
              <w:left w:val="nil"/>
              <w:bottom w:val="nil"/>
              <w:right w:val="nil"/>
            </w:tcBorders>
            <w:shd w:val="clear" w:color="000000" w:fill="FFFFFF"/>
            <w:noWrap/>
            <w:vAlign w:val="bottom"/>
            <w:hideMark/>
          </w:tcPr>
          <w:p w14:paraId="3ED8B39C" w14:textId="77777777" w:rsidR="008200FF" w:rsidRPr="00E14060" w:rsidRDefault="008200FF" w:rsidP="00E40CF3">
            <w:pPr>
              <w:jc w:val="center"/>
              <w:rPr>
                <w:sz w:val="22"/>
                <w:szCs w:val="22"/>
                <w:lang w:val="en-GB"/>
              </w:rPr>
            </w:pPr>
            <w:r w:rsidRPr="00E14060">
              <w:rPr>
                <w:sz w:val="22"/>
                <w:szCs w:val="22"/>
                <w:lang w:val="en-GB"/>
              </w:rPr>
              <w:t>0.291</w:t>
            </w:r>
          </w:p>
        </w:tc>
        <w:tc>
          <w:tcPr>
            <w:tcW w:w="601" w:type="pct"/>
            <w:tcBorders>
              <w:top w:val="nil"/>
              <w:left w:val="nil"/>
              <w:bottom w:val="nil"/>
              <w:right w:val="nil"/>
            </w:tcBorders>
            <w:shd w:val="clear" w:color="000000" w:fill="FFFFFF"/>
            <w:noWrap/>
            <w:vAlign w:val="bottom"/>
            <w:hideMark/>
          </w:tcPr>
          <w:p w14:paraId="1A6F2C3C" w14:textId="77777777" w:rsidR="008200FF" w:rsidRPr="00E14060" w:rsidRDefault="008200FF" w:rsidP="00E40CF3">
            <w:pPr>
              <w:jc w:val="center"/>
              <w:rPr>
                <w:sz w:val="22"/>
                <w:szCs w:val="22"/>
                <w:lang w:val="en-GB"/>
              </w:rPr>
            </w:pPr>
            <w:r w:rsidRPr="00E14060">
              <w:rPr>
                <w:sz w:val="22"/>
                <w:szCs w:val="22"/>
                <w:lang w:val="en-GB"/>
              </w:rPr>
              <w:t>0.001</w:t>
            </w:r>
          </w:p>
        </w:tc>
      </w:tr>
      <w:tr w:rsidR="006F2A62" w:rsidRPr="00E14060" w14:paraId="0DECE012" w14:textId="77777777" w:rsidTr="006F2A62">
        <w:trPr>
          <w:trHeight w:val="300"/>
        </w:trPr>
        <w:tc>
          <w:tcPr>
            <w:tcW w:w="635" w:type="pct"/>
            <w:tcBorders>
              <w:top w:val="nil"/>
              <w:left w:val="nil"/>
              <w:bottom w:val="nil"/>
              <w:right w:val="nil"/>
            </w:tcBorders>
            <w:shd w:val="clear" w:color="000000" w:fill="D9D9D9"/>
            <w:noWrap/>
            <w:vAlign w:val="bottom"/>
            <w:hideMark/>
          </w:tcPr>
          <w:p w14:paraId="542C3AC8" w14:textId="77777777" w:rsidR="008200FF" w:rsidRPr="00E14060" w:rsidRDefault="008200FF" w:rsidP="00E40CF3">
            <w:pPr>
              <w:jc w:val="center"/>
              <w:rPr>
                <w:sz w:val="22"/>
                <w:szCs w:val="22"/>
                <w:lang w:val="en-GB"/>
              </w:rPr>
            </w:pPr>
            <w:r w:rsidRPr="00E14060">
              <w:rPr>
                <w:sz w:val="22"/>
                <w:szCs w:val="22"/>
                <w:lang w:val="en-GB"/>
              </w:rPr>
              <w:t>Adler 2013</w:t>
            </w:r>
          </w:p>
        </w:tc>
        <w:tc>
          <w:tcPr>
            <w:tcW w:w="514" w:type="pct"/>
            <w:tcBorders>
              <w:top w:val="nil"/>
              <w:left w:val="nil"/>
              <w:bottom w:val="nil"/>
              <w:right w:val="nil"/>
            </w:tcBorders>
            <w:shd w:val="clear" w:color="000000" w:fill="D9D9D9"/>
            <w:noWrap/>
            <w:vAlign w:val="bottom"/>
            <w:hideMark/>
          </w:tcPr>
          <w:p w14:paraId="3FD7E193" w14:textId="77777777" w:rsidR="008200FF" w:rsidRPr="00E14060" w:rsidRDefault="008200FF" w:rsidP="00E40CF3">
            <w:pPr>
              <w:jc w:val="center"/>
              <w:rPr>
                <w:sz w:val="22"/>
                <w:szCs w:val="22"/>
                <w:lang w:val="en-GB"/>
              </w:rPr>
            </w:pPr>
            <w:r w:rsidRPr="00E14060">
              <w:rPr>
                <w:sz w:val="22"/>
                <w:szCs w:val="22"/>
                <w:lang w:val="en-GB"/>
              </w:rPr>
              <w:t>LDX</w:t>
            </w:r>
          </w:p>
        </w:tc>
        <w:tc>
          <w:tcPr>
            <w:tcW w:w="774" w:type="pct"/>
            <w:tcBorders>
              <w:top w:val="nil"/>
              <w:left w:val="nil"/>
              <w:bottom w:val="nil"/>
              <w:right w:val="nil"/>
            </w:tcBorders>
            <w:shd w:val="clear" w:color="000000" w:fill="D9D9D9"/>
            <w:noWrap/>
            <w:vAlign w:val="bottom"/>
            <w:hideMark/>
          </w:tcPr>
          <w:p w14:paraId="57F592DA" w14:textId="77777777" w:rsidR="008200FF" w:rsidRPr="00E14060" w:rsidRDefault="008200FF" w:rsidP="00E40CF3">
            <w:pPr>
              <w:jc w:val="center"/>
              <w:rPr>
                <w:sz w:val="22"/>
                <w:szCs w:val="22"/>
                <w:lang w:val="en-GB"/>
              </w:rPr>
            </w:pPr>
            <w:r w:rsidRPr="00E14060">
              <w:rPr>
                <w:sz w:val="22"/>
                <w:szCs w:val="22"/>
                <w:lang w:val="en-GB"/>
              </w:rPr>
              <w:t>-21.4 (12.0)</w:t>
            </w:r>
          </w:p>
        </w:tc>
        <w:tc>
          <w:tcPr>
            <w:tcW w:w="673" w:type="pct"/>
            <w:tcBorders>
              <w:top w:val="nil"/>
              <w:left w:val="nil"/>
              <w:bottom w:val="nil"/>
              <w:right w:val="nil"/>
            </w:tcBorders>
            <w:shd w:val="clear" w:color="000000" w:fill="D9D9D9"/>
            <w:noWrap/>
            <w:vAlign w:val="bottom"/>
            <w:hideMark/>
          </w:tcPr>
          <w:p w14:paraId="030F95DB" w14:textId="77777777" w:rsidR="008200FF" w:rsidRPr="00E14060" w:rsidRDefault="008200FF" w:rsidP="00E40CF3">
            <w:pPr>
              <w:jc w:val="center"/>
              <w:rPr>
                <w:sz w:val="22"/>
                <w:szCs w:val="22"/>
                <w:lang w:val="en-GB"/>
              </w:rPr>
            </w:pPr>
            <w:r w:rsidRPr="00E14060">
              <w:rPr>
                <w:sz w:val="22"/>
                <w:szCs w:val="22"/>
                <w:lang w:val="en-GB"/>
              </w:rPr>
              <w:t>0.696</w:t>
            </w:r>
          </w:p>
        </w:tc>
        <w:tc>
          <w:tcPr>
            <w:tcW w:w="601" w:type="pct"/>
            <w:tcBorders>
              <w:top w:val="nil"/>
              <w:left w:val="nil"/>
              <w:bottom w:val="nil"/>
              <w:right w:val="nil"/>
            </w:tcBorders>
            <w:shd w:val="clear" w:color="000000" w:fill="D9D9D9"/>
            <w:noWrap/>
            <w:vAlign w:val="bottom"/>
            <w:hideMark/>
          </w:tcPr>
          <w:p w14:paraId="07F4B22D" w14:textId="77777777" w:rsidR="008200FF" w:rsidRPr="00E14060" w:rsidRDefault="008200FF" w:rsidP="00E40CF3">
            <w:pPr>
              <w:jc w:val="center"/>
              <w:rPr>
                <w:sz w:val="22"/>
                <w:szCs w:val="22"/>
                <w:lang w:val="en-GB"/>
              </w:rPr>
            </w:pPr>
            <w:r w:rsidRPr="00E14060">
              <w:rPr>
                <w:sz w:val="22"/>
                <w:szCs w:val="22"/>
                <w:lang w:val="en-GB"/>
              </w:rPr>
              <w:t>0.741</w:t>
            </w:r>
          </w:p>
        </w:tc>
        <w:tc>
          <w:tcPr>
            <w:tcW w:w="601" w:type="pct"/>
            <w:tcBorders>
              <w:top w:val="nil"/>
              <w:left w:val="nil"/>
              <w:bottom w:val="nil"/>
              <w:right w:val="nil"/>
            </w:tcBorders>
            <w:shd w:val="clear" w:color="000000" w:fill="D9D9D9"/>
            <w:noWrap/>
            <w:vAlign w:val="bottom"/>
            <w:hideMark/>
          </w:tcPr>
          <w:p w14:paraId="516423FE" w14:textId="77777777" w:rsidR="008200FF" w:rsidRPr="00E14060" w:rsidRDefault="008200FF" w:rsidP="00E40CF3">
            <w:pPr>
              <w:jc w:val="center"/>
              <w:rPr>
                <w:sz w:val="22"/>
                <w:szCs w:val="22"/>
                <w:lang w:val="en-GB"/>
              </w:rPr>
            </w:pPr>
            <w:r w:rsidRPr="00E14060">
              <w:rPr>
                <w:sz w:val="22"/>
                <w:szCs w:val="22"/>
                <w:lang w:val="en-GB"/>
              </w:rPr>
              <w:t>0.045</w:t>
            </w:r>
          </w:p>
        </w:tc>
        <w:tc>
          <w:tcPr>
            <w:tcW w:w="601" w:type="pct"/>
            <w:tcBorders>
              <w:top w:val="nil"/>
              <w:left w:val="nil"/>
              <w:bottom w:val="nil"/>
              <w:right w:val="nil"/>
            </w:tcBorders>
            <w:shd w:val="clear" w:color="000000" w:fill="D9D9D9"/>
            <w:noWrap/>
            <w:vAlign w:val="bottom"/>
            <w:hideMark/>
          </w:tcPr>
          <w:p w14:paraId="09C5A83A" w14:textId="77777777" w:rsidR="008200FF" w:rsidRPr="00E14060" w:rsidRDefault="008200FF" w:rsidP="00E40CF3">
            <w:pPr>
              <w:jc w:val="center"/>
              <w:rPr>
                <w:sz w:val="22"/>
                <w:szCs w:val="22"/>
                <w:lang w:val="en-GB"/>
              </w:rPr>
            </w:pPr>
            <w:r w:rsidRPr="00E14060">
              <w:rPr>
                <w:sz w:val="22"/>
                <w:szCs w:val="22"/>
                <w:lang w:val="en-GB"/>
              </w:rPr>
              <w:t>0.720</w:t>
            </w:r>
          </w:p>
        </w:tc>
        <w:tc>
          <w:tcPr>
            <w:tcW w:w="601" w:type="pct"/>
            <w:tcBorders>
              <w:top w:val="nil"/>
              <w:left w:val="nil"/>
              <w:bottom w:val="nil"/>
              <w:right w:val="nil"/>
            </w:tcBorders>
            <w:shd w:val="clear" w:color="000000" w:fill="D9D9D9"/>
            <w:noWrap/>
            <w:vAlign w:val="bottom"/>
            <w:hideMark/>
          </w:tcPr>
          <w:p w14:paraId="7ED35EE8" w14:textId="77777777" w:rsidR="008200FF" w:rsidRPr="00E14060" w:rsidRDefault="008200FF" w:rsidP="00E40CF3">
            <w:pPr>
              <w:jc w:val="center"/>
              <w:rPr>
                <w:sz w:val="22"/>
                <w:szCs w:val="22"/>
                <w:lang w:val="en-GB"/>
              </w:rPr>
            </w:pPr>
            <w:r w:rsidRPr="00E14060">
              <w:rPr>
                <w:sz w:val="22"/>
                <w:szCs w:val="22"/>
                <w:lang w:val="en-GB"/>
              </w:rPr>
              <w:t>0.024</w:t>
            </w:r>
          </w:p>
        </w:tc>
      </w:tr>
      <w:tr w:rsidR="006F2A62" w:rsidRPr="00E14060" w14:paraId="3A026D24" w14:textId="77777777" w:rsidTr="006F2A62">
        <w:trPr>
          <w:trHeight w:val="300"/>
        </w:trPr>
        <w:tc>
          <w:tcPr>
            <w:tcW w:w="635" w:type="pct"/>
            <w:tcBorders>
              <w:top w:val="nil"/>
              <w:left w:val="nil"/>
              <w:bottom w:val="nil"/>
              <w:right w:val="nil"/>
            </w:tcBorders>
            <w:shd w:val="clear" w:color="000000" w:fill="D9D9D9"/>
            <w:noWrap/>
            <w:vAlign w:val="bottom"/>
            <w:hideMark/>
          </w:tcPr>
          <w:p w14:paraId="535CDAB2" w14:textId="77777777" w:rsidR="008200FF" w:rsidRPr="00E14060" w:rsidRDefault="008200FF" w:rsidP="00E40CF3">
            <w:pPr>
              <w:jc w:val="center"/>
              <w:rPr>
                <w:sz w:val="22"/>
                <w:szCs w:val="22"/>
                <w:lang w:val="en-GB"/>
              </w:rPr>
            </w:pPr>
            <w:r w:rsidRPr="00E14060">
              <w:rPr>
                <w:sz w:val="22"/>
                <w:szCs w:val="22"/>
                <w:lang w:val="en-GB"/>
              </w:rPr>
              <w:t>Adler 2013</w:t>
            </w:r>
          </w:p>
        </w:tc>
        <w:tc>
          <w:tcPr>
            <w:tcW w:w="514" w:type="pct"/>
            <w:tcBorders>
              <w:top w:val="nil"/>
              <w:left w:val="nil"/>
              <w:bottom w:val="nil"/>
              <w:right w:val="nil"/>
            </w:tcBorders>
            <w:shd w:val="clear" w:color="000000" w:fill="D9D9D9"/>
            <w:noWrap/>
            <w:vAlign w:val="bottom"/>
            <w:hideMark/>
          </w:tcPr>
          <w:p w14:paraId="2C3EB56F" w14:textId="77777777" w:rsidR="008200FF" w:rsidRPr="00E14060" w:rsidRDefault="008200FF" w:rsidP="00E40CF3">
            <w:pPr>
              <w:jc w:val="center"/>
              <w:rPr>
                <w:sz w:val="22"/>
                <w:szCs w:val="22"/>
                <w:lang w:val="en-GB"/>
              </w:rPr>
            </w:pPr>
            <w:r w:rsidRPr="00E14060">
              <w:rPr>
                <w:sz w:val="22"/>
                <w:szCs w:val="22"/>
                <w:lang w:val="en-GB"/>
              </w:rPr>
              <w:t>Placebo</w:t>
            </w:r>
          </w:p>
        </w:tc>
        <w:tc>
          <w:tcPr>
            <w:tcW w:w="774" w:type="pct"/>
            <w:tcBorders>
              <w:top w:val="nil"/>
              <w:left w:val="nil"/>
              <w:bottom w:val="nil"/>
              <w:right w:val="nil"/>
            </w:tcBorders>
            <w:shd w:val="clear" w:color="000000" w:fill="D9D9D9"/>
            <w:noWrap/>
            <w:vAlign w:val="bottom"/>
            <w:hideMark/>
          </w:tcPr>
          <w:p w14:paraId="7CC323D6" w14:textId="77777777" w:rsidR="008200FF" w:rsidRPr="00E14060" w:rsidRDefault="008200FF" w:rsidP="00E40CF3">
            <w:pPr>
              <w:jc w:val="center"/>
              <w:rPr>
                <w:sz w:val="22"/>
                <w:szCs w:val="22"/>
                <w:lang w:val="en-GB"/>
              </w:rPr>
            </w:pPr>
            <w:r w:rsidRPr="00E14060">
              <w:rPr>
                <w:sz w:val="22"/>
                <w:szCs w:val="22"/>
                <w:lang w:val="en-GB"/>
              </w:rPr>
              <w:t>-10.3 (12.3)</w:t>
            </w:r>
          </w:p>
        </w:tc>
        <w:tc>
          <w:tcPr>
            <w:tcW w:w="673" w:type="pct"/>
            <w:tcBorders>
              <w:top w:val="nil"/>
              <w:left w:val="nil"/>
              <w:bottom w:val="nil"/>
              <w:right w:val="nil"/>
            </w:tcBorders>
            <w:shd w:val="clear" w:color="000000" w:fill="D9D9D9"/>
            <w:noWrap/>
            <w:vAlign w:val="bottom"/>
            <w:hideMark/>
          </w:tcPr>
          <w:p w14:paraId="6542B1A4" w14:textId="77777777" w:rsidR="008200FF" w:rsidRPr="00E14060" w:rsidRDefault="008200FF" w:rsidP="00E40CF3">
            <w:pPr>
              <w:jc w:val="center"/>
              <w:rPr>
                <w:sz w:val="22"/>
                <w:szCs w:val="22"/>
                <w:lang w:val="en-GB"/>
              </w:rPr>
            </w:pPr>
            <w:r w:rsidRPr="00E14060">
              <w:rPr>
                <w:sz w:val="22"/>
                <w:szCs w:val="22"/>
                <w:lang w:val="en-GB"/>
              </w:rPr>
              <w:t>0.293</w:t>
            </w:r>
          </w:p>
        </w:tc>
        <w:tc>
          <w:tcPr>
            <w:tcW w:w="601" w:type="pct"/>
            <w:tcBorders>
              <w:top w:val="nil"/>
              <w:left w:val="nil"/>
              <w:bottom w:val="nil"/>
              <w:right w:val="nil"/>
            </w:tcBorders>
            <w:shd w:val="clear" w:color="000000" w:fill="D9D9D9"/>
            <w:noWrap/>
            <w:vAlign w:val="bottom"/>
            <w:hideMark/>
          </w:tcPr>
          <w:p w14:paraId="4AA5C5CE" w14:textId="77777777" w:rsidR="008200FF" w:rsidRPr="00E14060" w:rsidRDefault="008200FF" w:rsidP="00E40CF3">
            <w:pPr>
              <w:jc w:val="center"/>
              <w:rPr>
                <w:sz w:val="22"/>
                <w:szCs w:val="22"/>
                <w:lang w:val="en-GB"/>
              </w:rPr>
            </w:pPr>
            <w:r w:rsidRPr="00E14060">
              <w:rPr>
                <w:sz w:val="22"/>
                <w:szCs w:val="22"/>
                <w:lang w:val="en-GB"/>
              </w:rPr>
              <w:t>0.393</w:t>
            </w:r>
          </w:p>
        </w:tc>
        <w:tc>
          <w:tcPr>
            <w:tcW w:w="601" w:type="pct"/>
            <w:tcBorders>
              <w:top w:val="nil"/>
              <w:left w:val="nil"/>
              <w:bottom w:val="nil"/>
              <w:right w:val="nil"/>
            </w:tcBorders>
            <w:shd w:val="clear" w:color="000000" w:fill="D9D9D9"/>
            <w:noWrap/>
            <w:vAlign w:val="bottom"/>
            <w:hideMark/>
          </w:tcPr>
          <w:p w14:paraId="54A258E2" w14:textId="77777777" w:rsidR="008200FF" w:rsidRPr="00E14060" w:rsidRDefault="008200FF" w:rsidP="00E40CF3">
            <w:pPr>
              <w:jc w:val="center"/>
              <w:rPr>
                <w:sz w:val="22"/>
                <w:szCs w:val="22"/>
                <w:lang w:val="en-GB"/>
              </w:rPr>
            </w:pPr>
            <w:r w:rsidRPr="00E14060">
              <w:rPr>
                <w:sz w:val="22"/>
                <w:szCs w:val="22"/>
                <w:lang w:val="en-GB"/>
              </w:rPr>
              <w:t>0.100</w:t>
            </w:r>
          </w:p>
        </w:tc>
        <w:tc>
          <w:tcPr>
            <w:tcW w:w="601" w:type="pct"/>
            <w:tcBorders>
              <w:top w:val="nil"/>
              <w:left w:val="nil"/>
              <w:bottom w:val="nil"/>
              <w:right w:val="nil"/>
            </w:tcBorders>
            <w:shd w:val="clear" w:color="000000" w:fill="D9D9D9"/>
            <w:noWrap/>
            <w:vAlign w:val="bottom"/>
            <w:hideMark/>
          </w:tcPr>
          <w:p w14:paraId="7338C943" w14:textId="77777777" w:rsidR="008200FF" w:rsidRPr="00E14060" w:rsidRDefault="008200FF" w:rsidP="00E40CF3">
            <w:pPr>
              <w:jc w:val="center"/>
              <w:rPr>
                <w:sz w:val="22"/>
                <w:szCs w:val="22"/>
                <w:lang w:val="en-GB"/>
              </w:rPr>
            </w:pPr>
            <w:r w:rsidRPr="00E14060">
              <w:rPr>
                <w:sz w:val="22"/>
                <w:szCs w:val="22"/>
                <w:lang w:val="en-GB"/>
              </w:rPr>
              <w:t>0.370</w:t>
            </w:r>
          </w:p>
        </w:tc>
        <w:tc>
          <w:tcPr>
            <w:tcW w:w="601" w:type="pct"/>
            <w:tcBorders>
              <w:top w:val="nil"/>
              <w:left w:val="nil"/>
              <w:bottom w:val="nil"/>
              <w:right w:val="nil"/>
            </w:tcBorders>
            <w:shd w:val="clear" w:color="000000" w:fill="D9D9D9"/>
            <w:noWrap/>
            <w:vAlign w:val="bottom"/>
            <w:hideMark/>
          </w:tcPr>
          <w:p w14:paraId="648E1682" w14:textId="77777777" w:rsidR="008200FF" w:rsidRPr="00E14060" w:rsidRDefault="008200FF" w:rsidP="00E40CF3">
            <w:pPr>
              <w:jc w:val="center"/>
              <w:rPr>
                <w:sz w:val="22"/>
                <w:szCs w:val="22"/>
                <w:lang w:val="en-GB"/>
              </w:rPr>
            </w:pPr>
            <w:r w:rsidRPr="00E14060">
              <w:rPr>
                <w:sz w:val="22"/>
                <w:szCs w:val="22"/>
                <w:lang w:val="en-GB"/>
              </w:rPr>
              <w:t>0.076</w:t>
            </w:r>
          </w:p>
        </w:tc>
      </w:tr>
      <w:tr w:rsidR="006F2A62" w:rsidRPr="00E14060" w14:paraId="3DB6FBB7" w14:textId="77777777" w:rsidTr="006F2A62">
        <w:trPr>
          <w:trHeight w:val="300"/>
        </w:trPr>
        <w:tc>
          <w:tcPr>
            <w:tcW w:w="635" w:type="pct"/>
            <w:tcBorders>
              <w:top w:val="nil"/>
              <w:left w:val="nil"/>
              <w:bottom w:val="nil"/>
              <w:right w:val="nil"/>
            </w:tcBorders>
            <w:shd w:val="clear" w:color="000000" w:fill="FFFFFF"/>
            <w:noWrap/>
            <w:vAlign w:val="bottom"/>
            <w:hideMark/>
          </w:tcPr>
          <w:p w14:paraId="0A21D7D9" w14:textId="77777777" w:rsidR="008200FF" w:rsidRPr="00E14060" w:rsidRDefault="008200FF" w:rsidP="00E40CF3">
            <w:pPr>
              <w:jc w:val="center"/>
              <w:rPr>
                <w:sz w:val="22"/>
                <w:szCs w:val="22"/>
                <w:lang w:val="en-GB"/>
              </w:rPr>
            </w:pPr>
            <w:r w:rsidRPr="00E14060">
              <w:rPr>
                <w:sz w:val="22"/>
                <w:szCs w:val="22"/>
                <w:lang w:val="en-GB"/>
              </w:rPr>
              <w:t>Spencer 2007</w:t>
            </w:r>
          </w:p>
        </w:tc>
        <w:tc>
          <w:tcPr>
            <w:tcW w:w="514" w:type="pct"/>
            <w:tcBorders>
              <w:top w:val="nil"/>
              <w:left w:val="nil"/>
              <w:bottom w:val="nil"/>
              <w:right w:val="nil"/>
            </w:tcBorders>
            <w:shd w:val="clear" w:color="000000" w:fill="FFFFFF"/>
            <w:noWrap/>
            <w:vAlign w:val="bottom"/>
            <w:hideMark/>
          </w:tcPr>
          <w:p w14:paraId="4F62442C" w14:textId="77777777" w:rsidR="008200FF" w:rsidRPr="00E14060" w:rsidRDefault="008200FF" w:rsidP="00E40CF3">
            <w:pPr>
              <w:jc w:val="center"/>
              <w:rPr>
                <w:sz w:val="22"/>
                <w:szCs w:val="22"/>
                <w:lang w:val="en-GB"/>
              </w:rPr>
            </w:pPr>
            <w:r w:rsidRPr="00E14060">
              <w:rPr>
                <w:sz w:val="22"/>
                <w:szCs w:val="22"/>
                <w:lang w:val="en-GB"/>
              </w:rPr>
              <w:t>d-MPH-ER20</w:t>
            </w:r>
          </w:p>
        </w:tc>
        <w:tc>
          <w:tcPr>
            <w:tcW w:w="774" w:type="pct"/>
            <w:tcBorders>
              <w:top w:val="nil"/>
              <w:left w:val="nil"/>
              <w:bottom w:val="nil"/>
              <w:right w:val="nil"/>
            </w:tcBorders>
            <w:shd w:val="clear" w:color="000000" w:fill="FFFFFF"/>
            <w:noWrap/>
            <w:vAlign w:val="bottom"/>
            <w:hideMark/>
          </w:tcPr>
          <w:p w14:paraId="07DE2980" w14:textId="77777777" w:rsidR="008200FF" w:rsidRPr="00E14060" w:rsidRDefault="008200FF" w:rsidP="00E40CF3">
            <w:pPr>
              <w:jc w:val="center"/>
              <w:rPr>
                <w:sz w:val="22"/>
                <w:szCs w:val="22"/>
                <w:lang w:val="en-GB"/>
              </w:rPr>
            </w:pPr>
            <w:r w:rsidRPr="00E14060">
              <w:rPr>
                <w:sz w:val="22"/>
                <w:szCs w:val="22"/>
                <w:lang w:val="en-GB"/>
              </w:rPr>
              <w:t>-13.7 (9.0)</w:t>
            </w:r>
          </w:p>
        </w:tc>
        <w:tc>
          <w:tcPr>
            <w:tcW w:w="673" w:type="pct"/>
            <w:tcBorders>
              <w:top w:val="nil"/>
              <w:left w:val="nil"/>
              <w:bottom w:val="nil"/>
              <w:right w:val="nil"/>
            </w:tcBorders>
            <w:shd w:val="clear" w:color="000000" w:fill="FFFFFF"/>
            <w:noWrap/>
            <w:vAlign w:val="bottom"/>
            <w:hideMark/>
          </w:tcPr>
          <w:p w14:paraId="70EABAFC" w14:textId="77777777" w:rsidR="008200FF" w:rsidRPr="00E14060" w:rsidRDefault="008200FF" w:rsidP="00E40CF3">
            <w:pPr>
              <w:jc w:val="center"/>
              <w:rPr>
                <w:sz w:val="22"/>
                <w:szCs w:val="22"/>
                <w:lang w:val="en-GB"/>
              </w:rPr>
            </w:pPr>
            <w:r w:rsidRPr="00E14060">
              <w:rPr>
                <w:sz w:val="22"/>
                <w:szCs w:val="22"/>
                <w:lang w:val="en-GB"/>
              </w:rPr>
              <w:t>0.474</w:t>
            </w:r>
          </w:p>
        </w:tc>
        <w:tc>
          <w:tcPr>
            <w:tcW w:w="601" w:type="pct"/>
            <w:tcBorders>
              <w:top w:val="nil"/>
              <w:left w:val="nil"/>
              <w:bottom w:val="nil"/>
              <w:right w:val="nil"/>
            </w:tcBorders>
            <w:shd w:val="clear" w:color="000000" w:fill="FFFFFF"/>
            <w:noWrap/>
            <w:vAlign w:val="bottom"/>
            <w:hideMark/>
          </w:tcPr>
          <w:p w14:paraId="78144B2E" w14:textId="77777777" w:rsidR="008200FF" w:rsidRPr="00E14060" w:rsidRDefault="008200FF" w:rsidP="00E40CF3">
            <w:pPr>
              <w:jc w:val="center"/>
              <w:rPr>
                <w:sz w:val="22"/>
                <w:szCs w:val="22"/>
                <w:lang w:val="en-GB"/>
              </w:rPr>
            </w:pPr>
            <w:r w:rsidRPr="00E14060">
              <w:rPr>
                <w:sz w:val="22"/>
                <w:szCs w:val="22"/>
                <w:lang w:val="en-GB"/>
              </w:rPr>
              <w:t>0.503</w:t>
            </w:r>
          </w:p>
        </w:tc>
        <w:tc>
          <w:tcPr>
            <w:tcW w:w="601" w:type="pct"/>
            <w:tcBorders>
              <w:top w:val="nil"/>
              <w:left w:val="nil"/>
              <w:bottom w:val="nil"/>
              <w:right w:val="nil"/>
            </w:tcBorders>
            <w:shd w:val="clear" w:color="000000" w:fill="FFFFFF"/>
            <w:noWrap/>
            <w:vAlign w:val="bottom"/>
            <w:hideMark/>
          </w:tcPr>
          <w:p w14:paraId="3D952ACF" w14:textId="77777777" w:rsidR="008200FF" w:rsidRPr="00E14060" w:rsidRDefault="008200FF" w:rsidP="00E40CF3">
            <w:pPr>
              <w:jc w:val="center"/>
              <w:rPr>
                <w:sz w:val="22"/>
                <w:szCs w:val="22"/>
                <w:lang w:val="en-GB"/>
              </w:rPr>
            </w:pPr>
            <w:r w:rsidRPr="00E14060">
              <w:rPr>
                <w:sz w:val="22"/>
                <w:szCs w:val="22"/>
                <w:lang w:val="en-GB"/>
              </w:rPr>
              <w:t>0.029</w:t>
            </w:r>
          </w:p>
        </w:tc>
        <w:tc>
          <w:tcPr>
            <w:tcW w:w="601" w:type="pct"/>
            <w:tcBorders>
              <w:top w:val="nil"/>
              <w:left w:val="nil"/>
              <w:bottom w:val="nil"/>
              <w:right w:val="nil"/>
            </w:tcBorders>
            <w:shd w:val="clear" w:color="000000" w:fill="FFFFFF"/>
            <w:noWrap/>
            <w:vAlign w:val="bottom"/>
            <w:hideMark/>
          </w:tcPr>
          <w:p w14:paraId="1E980DDC" w14:textId="77777777" w:rsidR="008200FF" w:rsidRPr="00E14060" w:rsidRDefault="008200FF" w:rsidP="00E40CF3">
            <w:pPr>
              <w:jc w:val="center"/>
              <w:rPr>
                <w:sz w:val="22"/>
                <w:szCs w:val="22"/>
                <w:lang w:val="en-GB"/>
              </w:rPr>
            </w:pPr>
            <w:r w:rsidRPr="00E14060">
              <w:rPr>
                <w:sz w:val="22"/>
                <w:szCs w:val="22"/>
                <w:lang w:val="en-GB"/>
              </w:rPr>
              <w:t>0.469</w:t>
            </w:r>
          </w:p>
        </w:tc>
        <w:tc>
          <w:tcPr>
            <w:tcW w:w="601" w:type="pct"/>
            <w:tcBorders>
              <w:top w:val="nil"/>
              <w:left w:val="nil"/>
              <w:bottom w:val="nil"/>
              <w:right w:val="nil"/>
            </w:tcBorders>
            <w:shd w:val="clear" w:color="000000" w:fill="FFFFFF"/>
            <w:noWrap/>
            <w:vAlign w:val="bottom"/>
            <w:hideMark/>
          </w:tcPr>
          <w:p w14:paraId="4A586F69" w14:textId="77777777" w:rsidR="008200FF" w:rsidRPr="00E14060" w:rsidRDefault="008200FF" w:rsidP="00E40CF3">
            <w:pPr>
              <w:jc w:val="center"/>
              <w:rPr>
                <w:sz w:val="22"/>
                <w:szCs w:val="22"/>
                <w:lang w:val="en-GB"/>
              </w:rPr>
            </w:pPr>
            <w:r w:rsidRPr="00E14060">
              <w:rPr>
                <w:sz w:val="22"/>
                <w:szCs w:val="22"/>
                <w:lang w:val="en-GB"/>
              </w:rPr>
              <w:t>-0.005</w:t>
            </w:r>
          </w:p>
        </w:tc>
      </w:tr>
      <w:tr w:rsidR="006F2A62" w:rsidRPr="00E14060" w14:paraId="43D95599" w14:textId="77777777" w:rsidTr="006F2A62">
        <w:trPr>
          <w:trHeight w:val="300"/>
        </w:trPr>
        <w:tc>
          <w:tcPr>
            <w:tcW w:w="635" w:type="pct"/>
            <w:tcBorders>
              <w:top w:val="nil"/>
              <w:left w:val="nil"/>
              <w:bottom w:val="nil"/>
              <w:right w:val="nil"/>
            </w:tcBorders>
            <w:shd w:val="clear" w:color="000000" w:fill="FFFFFF"/>
            <w:noWrap/>
            <w:vAlign w:val="bottom"/>
            <w:hideMark/>
          </w:tcPr>
          <w:p w14:paraId="2FE37CE3" w14:textId="77777777" w:rsidR="008200FF" w:rsidRPr="00E14060" w:rsidRDefault="008200FF" w:rsidP="00E40CF3">
            <w:pPr>
              <w:jc w:val="center"/>
              <w:rPr>
                <w:sz w:val="22"/>
                <w:szCs w:val="22"/>
                <w:lang w:val="en-GB"/>
              </w:rPr>
            </w:pPr>
            <w:r w:rsidRPr="00E14060">
              <w:rPr>
                <w:sz w:val="22"/>
                <w:szCs w:val="22"/>
                <w:lang w:val="en-GB"/>
              </w:rPr>
              <w:t>Spencer 2007</w:t>
            </w:r>
          </w:p>
        </w:tc>
        <w:tc>
          <w:tcPr>
            <w:tcW w:w="514" w:type="pct"/>
            <w:tcBorders>
              <w:top w:val="nil"/>
              <w:left w:val="nil"/>
              <w:bottom w:val="nil"/>
              <w:right w:val="nil"/>
            </w:tcBorders>
            <w:shd w:val="clear" w:color="000000" w:fill="FFFFFF"/>
            <w:noWrap/>
            <w:vAlign w:val="bottom"/>
            <w:hideMark/>
          </w:tcPr>
          <w:p w14:paraId="453AEF66" w14:textId="77777777" w:rsidR="008200FF" w:rsidRPr="00E14060" w:rsidRDefault="008200FF" w:rsidP="00E40CF3">
            <w:pPr>
              <w:jc w:val="center"/>
              <w:rPr>
                <w:sz w:val="22"/>
                <w:szCs w:val="22"/>
                <w:lang w:val="en-GB"/>
              </w:rPr>
            </w:pPr>
            <w:r w:rsidRPr="00E14060">
              <w:rPr>
                <w:sz w:val="22"/>
                <w:szCs w:val="22"/>
                <w:lang w:val="en-GB"/>
              </w:rPr>
              <w:t>d-MPH-ER30</w:t>
            </w:r>
          </w:p>
        </w:tc>
        <w:tc>
          <w:tcPr>
            <w:tcW w:w="774" w:type="pct"/>
            <w:tcBorders>
              <w:top w:val="nil"/>
              <w:left w:val="nil"/>
              <w:bottom w:val="nil"/>
              <w:right w:val="nil"/>
            </w:tcBorders>
            <w:shd w:val="clear" w:color="000000" w:fill="FFFFFF"/>
            <w:noWrap/>
            <w:vAlign w:val="bottom"/>
            <w:hideMark/>
          </w:tcPr>
          <w:p w14:paraId="00FEFB38" w14:textId="77777777" w:rsidR="008200FF" w:rsidRPr="00E14060" w:rsidRDefault="008200FF" w:rsidP="00E40CF3">
            <w:pPr>
              <w:jc w:val="center"/>
              <w:rPr>
                <w:sz w:val="22"/>
                <w:szCs w:val="22"/>
                <w:lang w:val="en-GB"/>
              </w:rPr>
            </w:pPr>
            <w:r w:rsidRPr="00E14060">
              <w:rPr>
                <w:sz w:val="22"/>
                <w:szCs w:val="22"/>
                <w:lang w:val="en-GB"/>
              </w:rPr>
              <w:t>-13.4 (9.4)</w:t>
            </w:r>
          </w:p>
        </w:tc>
        <w:tc>
          <w:tcPr>
            <w:tcW w:w="673" w:type="pct"/>
            <w:tcBorders>
              <w:top w:val="nil"/>
              <w:left w:val="nil"/>
              <w:bottom w:val="nil"/>
              <w:right w:val="nil"/>
            </w:tcBorders>
            <w:shd w:val="clear" w:color="000000" w:fill="FFFFFF"/>
            <w:noWrap/>
            <w:vAlign w:val="bottom"/>
            <w:hideMark/>
          </w:tcPr>
          <w:p w14:paraId="50F83AAE" w14:textId="77777777" w:rsidR="008200FF" w:rsidRPr="00E14060" w:rsidRDefault="008200FF" w:rsidP="00E40CF3">
            <w:pPr>
              <w:jc w:val="center"/>
              <w:rPr>
                <w:sz w:val="22"/>
                <w:szCs w:val="22"/>
                <w:lang w:val="en-GB"/>
              </w:rPr>
            </w:pPr>
            <w:r w:rsidRPr="00E14060">
              <w:rPr>
                <w:sz w:val="22"/>
                <w:szCs w:val="22"/>
                <w:lang w:val="en-GB"/>
              </w:rPr>
              <w:t>0.370</w:t>
            </w:r>
          </w:p>
        </w:tc>
        <w:tc>
          <w:tcPr>
            <w:tcW w:w="601" w:type="pct"/>
            <w:tcBorders>
              <w:top w:val="nil"/>
              <w:left w:val="nil"/>
              <w:bottom w:val="nil"/>
              <w:right w:val="nil"/>
            </w:tcBorders>
            <w:shd w:val="clear" w:color="000000" w:fill="FFFFFF"/>
            <w:noWrap/>
            <w:vAlign w:val="bottom"/>
            <w:hideMark/>
          </w:tcPr>
          <w:p w14:paraId="5DF00CE9" w14:textId="77777777" w:rsidR="008200FF" w:rsidRPr="00E14060" w:rsidRDefault="008200FF" w:rsidP="00E40CF3">
            <w:pPr>
              <w:jc w:val="center"/>
              <w:rPr>
                <w:sz w:val="22"/>
                <w:szCs w:val="22"/>
                <w:lang w:val="en-GB"/>
              </w:rPr>
            </w:pPr>
            <w:r w:rsidRPr="00E14060">
              <w:rPr>
                <w:sz w:val="22"/>
                <w:szCs w:val="22"/>
                <w:lang w:val="en-GB"/>
              </w:rPr>
              <w:t>0.490</w:t>
            </w:r>
          </w:p>
        </w:tc>
        <w:tc>
          <w:tcPr>
            <w:tcW w:w="601" w:type="pct"/>
            <w:tcBorders>
              <w:top w:val="nil"/>
              <w:left w:val="nil"/>
              <w:bottom w:val="nil"/>
              <w:right w:val="nil"/>
            </w:tcBorders>
            <w:shd w:val="clear" w:color="000000" w:fill="FFFFFF"/>
            <w:noWrap/>
            <w:vAlign w:val="bottom"/>
            <w:hideMark/>
          </w:tcPr>
          <w:p w14:paraId="5D2C3AEF" w14:textId="77777777" w:rsidR="008200FF" w:rsidRPr="00E14060" w:rsidRDefault="008200FF" w:rsidP="00E40CF3">
            <w:pPr>
              <w:jc w:val="center"/>
              <w:rPr>
                <w:sz w:val="22"/>
                <w:szCs w:val="22"/>
                <w:lang w:val="en-GB"/>
              </w:rPr>
            </w:pPr>
            <w:r w:rsidRPr="00E14060">
              <w:rPr>
                <w:sz w:val="22"/>
                <w:szCs w:val="22"/>
                <w:lang w:val="en-GB"/>
              </w:rPr>
              <w:t>0.120</w:t>
            </w:r>
          </w:p>
        </w:tc>
        <w:tc>
          <w:tcPr>
            <w:tcW w:w="601" w:type="pct"/>
            <w:tcBorders>
              <w:top w:val="nil"/>
              <w:left w:val="nil"/>
              <w:bottom w:val="nil"/>
              <w:right w:val="nil"/>
            </w:tcBorders>
            <w:shd w:val="clear" w:color="000000" w:fill="FFFFFF"/>
            <w:noWrap/>
            <w:vAlign w:val="bottom"/>
            <w:hideMark/>
          </w:tcPr>
          <w:p w14:paraId="04DDB912" w14:textId="77777777" w:rsidR="008200FF" w:rsidRPr="00E14060" w:rsidRDefault="008200FF" w:rsidP="00E40CF3">
            <w:pPr>
              <w:jc w:val="center"/>
              <w:rPr>
                <w:sz w:val="22"/>
                <w:szCs w:val="22"/>
                <w:lang w:val="en-GB"/>
              </w:rPr>
            </w:pPr>
            <w:r w:rsidRPr="00E14060">
              <w:rPr>
                <w:sz w:val="22"/>
                <w:szCs w:val="22"/>
                <w:lang w:val="en-GB"/>
              </w:rPr>
              <w:t>0.458</w:t>
            </w:r>
          </w:p>
        </w:tc>
        <w:tc>
          <w:tcPr>
            <w:tcW w:w="601" w:type="pct"/>
            <w:tcBorders>
              <w:top w:val="nil"/>
              <w:left w:val="nil"/>
              <w:bottom w:val="nil"/>
              <w:right w:val="nil"/>
            </w:tcBorders>
            <w:shd w:val="clear" w:color="000000" w:fill="FFFFFF"/>
            <w:noWrap/>
            <w:vAlign w:val="bottom"/>
            <w:hideMark/>
          </w:tcPr>
          <w:p w14:paraId="49119DA3" w14:textId="77777777" w:rsidR="008200FF" w:rsidRPr="00E14060" w:rsidRDefault="008200FF" w:rsidP="00E40CF3">
            <w:pPr>
              <w:jc w:val="center"/>
              <w:rPr>
                <w:sz w:val="22"/>
                <w:szCs w:val="22"/>
                <w:lang w:val="en-GB"/>
              </w:rPr>
            </w:pPr>
            <w:r w:rsidRPr="00E14060">
              <w:rPr>
                <w:sz w:val="22"/>
                <w:szCs w:val="22"/>
                <w:lang w:val="en-GB"/>
              </w:rPr>
              <w:t>0.088</w:t>
            </w:r>
          </w:p>
        </w:tc>
      </w:tr>
      <w:tr w:rsidR="006F2A62" w:rsidRPr="00E14060" w14:paraId="5E325C94" w14:textId="77777777" w:rsidTr="006F2A62">
        <w:trPr>
          <w:trHeight w:val="300"/>
        </w:trPr>
        <w:tc>
          <w:tcPr>
            <w:tcW w:w="635" w:type="pct"/>
            <w:tcBorders>
              <w:top w:val="nil"/>
              <w:left w:val="nil"/>
              <w:bottom w:val="nil"/>
              <w:right w:val="nil"/>
            </w:tcBorders>
            <w:shd w:val="clear" w:color="000000" w:fill="FFFFFF"/>
            <w:noWrap/>
            <w:vAlign w:val="bottom"/>
            <w:hideMark/>
          </w:tcPr>
          <w:p w14:paraId="03B5B131" w14:textId="77777777" w:rsidR="008200FF" w:rsidRPr="00E14060" w:rsidRDefault="008200FF" w:rsidP="00E40CF3">
            <w:pPr>
              <w:jc w:val="center"/>
              <w:rPr>
                <w:sz w:val="22"/>
                <w:szCs w:val="22"/>
                <w:lang w:val="en-GB"/>
              </w:rPr>
            </w:pPr>
            <w:r w:rsidRPr="00E14060">
              <w:rPr>
                <w:sz w:val="22"/>
                <w:szCs w:val="22"/>
                <w:lang w:val="en-GB"/>
              </w:rPr>
              <w:t>Spencer 2007</w:t>
            </w:r>
          </w:p>
        </w:tc>
        <w:tc>
          <w:tcPr>
            <w:tcW w:w="514" w:type="pct"/>
            <w:tcBorders>
              <w:top w:val="nil"/>
              <w:left w:val="nil"/>
              <w:bottom w:val="nil"/>
              <w:right w:val="nil"/>
            </w:tcBorders>
            <w:shd w:val="clear" w:color="000000" w:fill="FFFFFF"/>
            <w:noWrap/>
            <w:vAlign w:val="bottom"/>
            <w:hideMark/>
          </w:tcPr>
          <w:p w14:paraId="6C5B59C6" w14:textId="77777777" w:rsidR="008200FF" w:rsidRPr="00E14060" w:rsidRDefault="008200FF" w:rsidP="00E40CF3">
            <w:pPr>
              <w:jc w:val="center"/>
              <w:rPr>
                <w:sz w:val="22"/>
                <w:szCs w:val="22"/>
                <w:lang w:val="en-GB"/>
              </w:rPr>
            </w:pPr>
            <w:r w:rsidRPr="00E14060">
              <w:rPr>
                <w:sz w:val="22"/>
                <w:szCs w:val="22"/>
                <w:lang w:val="en-GB"/>
              </w:rPr>
              <w:t>d-MPH-ER40</w:t>
            </w:r>
          </w:p>
        </w:tc>
        <w:tc>
          <w:tcPr>
            <w:tcW w:w="774" w:type="pct"/>
            <w:tcBorders>
              <w:top w:val="nil"/>
              <w:left w:val="nil"/>
              <w:bottom w:val="nil"/>
              <w:right w:val="nil"/>
            </w:tcBorders>
            <w:shd w:val="clear" w:color="000000" w:fill="FFFFFF"/>
            <w:noWrap/>
            <w:vAlign w:val="bottom"/>
            <w:hideMark/>
          </w:tcPr>
          <w:p w14:paraId="078FEAE2" w14:textId="77777777" w:rsidR="008200FF" w:rsidRPr="00E14060" w:rsidRDefault="008200FF" w:rsidP="00E40CF3">
            <w:pPr>
              <w:jc w:val="center"/>
              <w:rPr>
                <w:sz w:val="22"/>
                <w:szCs w:val="22"/>
                <w:lang w:val="en-GB"/>
              </w:rPr>
            </w:pPr>
            <w:r w:rsidRPr="00E14060">
              <w:rPr>
                <w:sz w:val="22"/>
                <w:szCs w:val="22"/>
                <w:lang w:val="en-GB"/>
              </w:rPr>
              <w:t>-16.9 (9.4)</w:t>
            </w:r>
          </w:p>
        </w:tc>
        <w:tc>
          <w:tcPr>
            <w:tcW w:w="673" w:type="pct"/>
            <w:tcBorders>
              <w:top w:val="nil"/>
              <w:left w:val="nil"/>
              <w:bottom w:val="nil"/>
              <w:right w:val="nil"/>
            </w:tcBorders>
            <w:shd w:val="clear" w:color="000000" w:fill="FFFFFF"/>
            <w:noWrap/>
            <w:vAlign w:val="bottom"/>
            <w:hideMark/>
          </w:tcPr>
          <w:p w14:paraId="37328D95" w14:textId="77777777" w:rsidR="008200FF" w:rsidRPr="00E14060" w:rsidRDefault="008200FF" w:rsidP="00E40CF3">
            <w:pPr>
              <w:jc w:val="center"/>
              <w:rPr>
                <w:sz w:val="22"/>
                <w:szCs w:val="22"/>
                <w:lang w:val="en-GB"/>
              </w:rPr>
            </w:pPr>
            <w:r w:rsidRPr="00E14060">
              <w:rPr>
                <w:sz w:val="22"/>
                <w:szCs w:val="22"/>
                <w:lang w:val="en-GB"/>
              </w:rPr>
              <w:t>0.556</w:t>
            </w:r>
          </w:p>
        </w:tc>
        <w:tc>
          <w:tcPr>
            <w:tcW w:w="601" w:type="pct"/>
            <w:tcBorders>
              <w:top w:val="nil"/>
              <w:left w:val="nil"/>
              <w:bottom w:val="nil"/>
              <w:right w:val="nil"/>
            </w:tcBorders>
            <w:shd w:val="clear" w:color="000000" w:fill="FFFFFF"/>
            <w:noWrap/>
            <w:vAlign w:val="bottom"/>
            <w:hideMark/>
          </w:tcPr>
          <w:p w14:paraId="296E70C9" w14:textId="77777777" w:rsidR="008200FF" w:rsidRPr="00E14060" w:rsidRDefault="008200FF" w:rsidP="00E40CF3">
            <w:pPr>
              <w:jc w:val="center"/>
              <w:rPr>
                <w:sz w:val="22"/>
                <w:szCs w:val="22"/>
                <w:lang w:val="en-GB"/>
              </w:rPr>
            </w:pPr>
            <w:r w:rsidRPr="00E14060">
              <w:rPr>
                <w:sz w:val="22"/>
                <w:szCs w:val="22"/>
                <w:lang w:val="en-GB"/>
              </w:rPr>
              <w:t>0.636</w:t>
            </w:r>
          </w:p>
        </w:tc>
        <w:tc>
          <w:tcPr>
            <w:tcW w:w="601" w:type="pct"/>
            <w:tcBorders>
              <w:top w:val="nil"/>
              <w:left w:val="nil"/>
              <w:bottom w:val="nil"/>
              <w:right w:val="nil"/>
            </w:tcBorders>
            <w:shd w:val="clear" w:color="000000" w:fill="FFFFFF"/>
            <w:noWrap/>
            <w:vAlign w:val="bottom"/>
            <w:hideMark/>
          </w:tcPr>
          <w:p w14:paraId="0CE998D4" w14:textId="77777777" w:rsidR="008200FF" w:rsidRPr="00E14060" w:rsidRDefault="008200FF" w:rsidP="00E40CF3">
            <w:pPr>
              <w:jc w:val="center"/>
              <w:rPr>
                <w:sz w:val="22"/>
                <w:szCs w:val="22"/>
                <w:lang w:val="en-GB"/>
              </w:rPr>
            </w:pPr>
            <w:r w:rsidRPr="00E14060">
              <w:rPr>
                <w:sz w:val="22"/>
                <w:szCs w:val="22"/>
                <w:lang w:val="en-GB"/>
              </w:rPr>
              <w:t>0.080</w:t>
            </w:r>
          </w:p>
        </w:tc>
        <w:tc>
          <w:tcPr>
            <w:tcW w:w="601" w:type="pct"/>
            <w:tcBorders>
              <w:top w:val="nil"/>
              <w:left w:val="nil"/>
              <w:bottom w:val="nil"/>
              <w:right w:val="nil"/>
            </w:tcBorders>
            <w:shd w:val="clear" w:color="000000" w:fill="FFFFFF"/>
            <w:noWrap/>
            <w:vAlign w:val="bottom"/>
            <w:hideMark/>
          </w:tcPr>
          <w:p w14:paraId="7898AD44" w14:textId="77777777" w:rsidR="008200FF" w:rsidRPr="00E14060" w:rsidRDefault="008200FF" w:rsidP="00E40CF3">
            <w:pPr>
              <w:jc w:val="center"/>
              <w:rPr>
                <w:sz w:val="22"/>
                <w:szCs w:val="22"/>
                <w:lang w:val="en-GB"/>
              </w:rPr>
            </w:pPr>
            <w:r w:rsidRPr="00E14060">
              <w:rPr>
                <w:sz w:val="22"/>
                <w:szCs w:val="22"/>
                <w:lang w:val="en-GB"/>
              </w:rPr>
              <w:t>0.604</w:t>
            </w:r>
          </w:p>
        </w:tc>
        <w:tc>
          <w:tcPr>
            <w:tcW w:w="601" w:type="pct"/>
            <w:tcBorders>
              <w:top w:val="nil"/>
              <w:left w:val="nil"/>
              <w:bottom w:val="nil"/>
              <w:right w:val="nil"/>
            </w:tcBorders>
            <w:shd w:val="clear" w:color="000000" w:fill="FFFFFF"/>
            <w:noWrap/>
            <w:vAlign w:val="bottom"/>
            <w:hideMark/>
          </w:tcPr>
          <w:p w14:paraId="143C0902" w14:textId="77777777" w:rsidR="008200FF" w:rsidRPr="00E14060" w:rsidRDefault="008200FF" w:rsidP="00E40CF3">
            <w:pPr>
              <w:jc w:val="center"/>
              <w:rPr>
                <w:sz w:val="22"/>
                <w:szCs w:val="22"/>
                <w:lang w:val="en-GB"/>
              </w:rPr>
            </w:pPr>
            <w:r w:rsidRPr="00E14060">
              <w:rPr>
                <w:sz w:val="22"/>
                <w:szCs w:val="22"/>
                <w:lang w:val="en-GB"/>
              </w:rPr>
              <w:t>0.048</w:t>
            </w:r>
          </w:p>
        </w:tc>
      </w:tr>
      <w:tr w:rsidR="006F2A62" w:rsidRPr="00E14060" w14:paraId="2611C502" w14:textId="77777777" w:rsidTr="006F2A62">
        <w:trPr>
          <w:trHeight w:val="300"/>
        </w:trPr>
        <w:tc>
          <w:tcPr>
            <w:tcW w:w="635" w:type="pct"/>
            <w:tcBorders>
              <w:top w:val="nil"/>
              <w:left w:val="nil"/>
              <w:bottom w:val="nil"/>
              <w:right w:val="nil"/>
            </w:tcBorders>
            <w:shd w:val="clear" w:color="000000" w:fill="FFFFFF"/>
            <w:noWrap/>
            <w:vAlign w:val="bottom"/>
            <w:hideMark/>
          </w:tcPr>
          <w:p w14:paraId="4D168536" w14:textId="77777777" w:rsidR="008200FF" w:rsidRPr="00E14060" w:rsidRDefault="008200FF" w:rsidP="00E40CF3">
            <w:pPr>
              <w:jc w:val="center"/>
              <w:rPr>
                <w:sz w:val="22"/>
                <w:szCs w:val="22"/>
                <w:lang w:val="en-GB"/>
              </w:rPr>
            </w:pPr>
            <w:r w:rsidRPr="00E14060">
              <w:rPr>
                <w:sz w:val="22"/>
                <w:szCs w:val="22"/>
                <w:lang w:val="en-GB"/>
              </w:rPr>
              <w:t>Spencer 2007</w:t>
            </w:r>
          </w:p>
        </w:tc>
        <w:tc>
          <w:tcPr>
            <w:tcW w:w="514" w:type="pct"/>
            <w:tcBorders>
              <w:top w:val="nil"/>
              <w:left w:val="nil"/>
              <w:bottom w:val="nil"/>
              <w:right w:val="nil"/>
            </w:tcBorders>
            <w:shd w:val="clear" w:color="000000" w:fill="FFFFFF"/>
            <w:noWrap/>
            <w:vAlign w:val="bottom"/>
            <w:hideMark/>
          </w:tcPr>
          <w:p w14:paraId="74015496" w14:textId="77777777" w:rsidR="008200FF" w:rsidRPr="00E14060" w:rsidRDefault="008200FF" w:rsidP="00E40CF3">
            <w:pPr>
              <w:jc w:val="center"/>
              <w:rPr>
                <w:sz w:val="22"/>
                <w:szCs w:val="22"/>
                <w:lang w:val="en-GB"/>
              </w:rPr>
            </w:pPr>
            <w:r w:rsidRPr="00E14060">
              <w:rPr>
                <w:sz w:val="22"/>
                <w:szCs w:val="22"/>
                <w:lang w:val="en-GB"/>
              </w:rPr>
              <w:t>Placebo</w:t>
            </w:r>
          </w:p>
        </w:tc>
        <w:tc>
          <w:tcPr>
            <w:tcW w:w="774" w:type="pct"/>
            <w:tcBorders>
              <w:top w:val="nil"/>
              <w:left w:val="nil"/>
              <w:bottom w:val="nil"/>
              <w:right w:val="nil"/>
            </w:tcBorders>
            <w:shd w:val="clear" w:color="000000" w:fill="FFFFFF"/>
            <w:noWrap/>
            <w:vAlign w:val="bottom"/>
            <w:hideMark/>
          </w:tcPr>
          <w:p w14:paraId="7216F4E0" w14:textId="77777777" w:rsidR="008200FF" w:rsidRPr="00E14060" w:rsidRDefault="008200FF" w:rsidP="00E40CF3">
            <w:pPr>
              <w:jc w:val="center"/>
              <w:rPr>
                <w:sz w:val="22"/>
                <w:szCs w:val="22"/>
                <w:lang w:val="en-GB"/>
              </w:rPr>
            </w:pPr>
            <w:r w:rsidRPr="00E14060">
              <w:rPr>
                <w:sz w:val="22"/>
                <w:szCs w:val="22"/>
                <w:lang w:val="en-GB"/>
              </w:rPr>
              <w:t>-7.9 (10.2)</w:t>
            </w:r>
          </w:p>
        </w:tc>
        <w:tc>
          <w:tcPr>
            <w:tcW w:w="673" w:type="pct"/>
            <w:tcBorders>
              <w:top w:val="nil"/>
              <w:left w:val="nil"/>
              <w:bottom w:val="nil"/>
              <w:right w:val="nil"/>
            </w:tcBorders>
            <w:shd w:val="clear" w:color="000000" w:fill="FFFFFF"/>
            <w:noWrap/>
            <w:vAlign w:val="bottom"/>
            <w:hideMark/>
          </w:tcPr>
          <w:p w14:paraId="75BD3546" w14:textId="77777777" w:rsidR="008200FF" w:rsidRPr="00E14060" w:rsidRDefault="008200FF" w:rsidP="00E40CF3">
            <w:pPr>
              <w:jc w:val="center"/>
              <w:rPr>
                <w:sz w:val="22"/>
                <w:szCs w:val="22"/>
                <w:lang w:val="en-GB"/>
              </w:rPr>
            </w:pPr>
            <w:r w:rsidRPr="00E14060">
              <w:rPr>
                <w:sz w:val="22"/>
                <w:szCs w:val="22"/>
                <w:lang w:val="en-GB"/>
              </w:rPr>
              <w:t>0.264</w:t>
            </w:r>
          </w:p>
        </w:tc>
        <w:tc>
          <w:tcPr>
            <w:tcW w:w="601" w:type="pct"/>
            <w:tcBorders>
              <w:top w:val="nil"/>
              <w:left w:val="nil"/>
              <w:bottom w:val="nil"/>
              <w:right w:val="nil"/>
            </w:tcBorders>
            <w:shd w:val="clear" w:color="000000" w:fill="FFFFFF"/>
            <w:noWrap/>
            <w:vAlign w:val="bottom"/>
            <w:hideMark/>
          </w:tcPr>
          <w:p w14:paraId="76B1C107" w14:textId="77777777" w:rsidR="008200FF" w:rsidRPr="00E14060" w:rsidRDefault="008200FF" w:rsidP="00E40CF3">
            <w:pPr>
              <w:jc w:val="center"/>
              <w:rPr>
                <w:sz w:val="22"/>
                <w:szCs w:val="22"/>
                <w:lang w:val="en-GB"/>
              </w:rPr>
            </w:pPr>
            <w:r w:rsidRPr="00E14060">
              <w:rPr>
                <w:sz w:val="22"/>
                <w:szCs w:val="22"/>
                <w:lang w:val="en-GB"/>
              </w:rPr>
              <w:t>0.287</w:t>
            </w:r>
          </w:p>
        </w:tc>
        <w:tc>
          <w:tcPr>
            <w:tcW w:w="601" w:type="pct"/>
            <w:tcBorders>
              <w:top w:val="nil"/>
              <w:left w:val="nil"/>
              <w:bottom w:val="nil"/>
              <w:right w:val="nil"/>
            </w:tcBorders>
            <w:shd w:val="clear" w:color="000000" w:fill="FFFFFF"/>
            <w:noWrap/>
            <w:vAlign w:val="bottom"/>
            <w:hideMark/>
          </w:tcPr>
          <w:p w14:paraId="1C471A76" w14:textId="77777777" w:rsidR="008200FF" w:rsidRPr="00E14060" w:rsidRDefault="008200FF" w:rsidP="00E40CF3">
            <w:pPr>
              <w:jc w:val="center"/>
              <w:rPr>
                <w:sz w:val="22"/>
                <w:szCs w:val="22"/>
                <w:lang w:val="en-GB"/>
              </w:rPr>
            </w:pPr>
            <w:r w:rsidRPr="00E14060">
              <w:rPr>
                <w:sz w:val="22"/>
                <w:szCs w:val="22"/>
                <w:lang w:val="en-GB"/>
              </w:rPr>
              <w:t>0.023</w:t>
            </w:r>
          </w:p>
        </w:tc>
        <w:tc>
          <w:tcPr>
            <w:tcW w:w="601" w:type="pct"/>
            <w:tcBorders>
              <w:top w:val="nil"/>
              <w:left w:val="nil"/>
              <w:bottom w:val="nil"/>
              <w:right w:val="nil"/>
            </w:tcBorders>
            <w:shd w:val="clear" w:color="000000" w:fill="FFFFFF"/>
            <w:noWrap/>
            <w:vAlign w:val="bottom"/>
            <w:hideMark/>
          </w:tcPr>
          <w:p w14:paraId="6ECEF083" w14:textId="77777777" w:rsidR="008200FF" w:rsidRPr="00E14060" w:rsidRDefault="008200FF" w:rsidP="00E40CF3">
            <w:pPr>
              <w:jc w:val="center"/>
              <w:rPr>
                <w:sz w:val="22"/>
                <w:szCs w:val="22"/>
                <w:lang w:val="en-GB"/>
              </w:rPr>
            </w:pPr>
            <w:r w:rsidRPr="00E14060">
              <w:rPr>
                <w:sz w:val="22"/>
                <w:szCs w:val="22"/>
                <w:lang w:val="en-GB"/>
              </w:rPr>
              <w:t>0.262</w:t>
            </w:r>
          </w:p>
        </w:tc>
        <w:tc>
          <w:tcPr>
            <w:tcW w:w="601" w:type="pct"/>
            <w:tcBorders>
              <w:top w:val="nil"/>
              <w:left w:val="nil"/>
              <w:bottom w:val="nil"/>
              <w:right w:val="nil"/>
            </w:tcBorders>
            <w:shd w:val="clear" w:color="000000" w:fill="FFFFFF"/>
            <w:noWrap/>
            <w:vAlign w:val="bottom"/>
            <w:hideMark/>
          </w:tcPr>
          <w:p w14:paraId="13EDD504" w14:textId="77777777" w:rsidR="008200FF" w:rsidRPr="00E14060" w:rsidRDefault="008200FF" w:rsidP="00E40CF3">
            <w:pPr>
              <w:jc w:val="center"/>
              <w:rPr>
                <w:sz w:val="22"/>
                <w:szCs w:val="22"/>
                <w:lang w:val="en-GB"/>
              </w:rPr>
            </w:pPr>
            <w:r w:rsidRPr="00E14060">
              <w:rPr>
                <w:sz w:val="22"/>
                <w:szCs w:val="22"/>
                <w:lang w:val="en-GB"/>
              </w:rPr>
              <w:t>-0.002</w:t>
            </w:r>
          </w:p>
        </w:tc>
      </w:tr>
      <w:tr w:rsidR="006F2A62" w:rsidRPr="00E14060" w14:paraId="52319450" w14:textId="77777777" w:rsidTr="006F2A62">
        <w:trPr>
          <w:trHeight w:val="300"/>
        </w:trPr>
        <w:tc>
          <w:tcPr>
            <w:tcW w:w="635" w:type="pct"/>
            <w:tcBorders>
              <w:top w:val="nil"/>
              <w:left w:val="nil"/>
              <w:bottom w:val="nil"/>
              <w:right w:val="nil"/>
            </w:tcBorders>
            <w:shd w:val="clear" w:color="000000" w:fill="D9D9D9"/>
            <w:noWrap/>
            <w:vAlign w:val="bottom"/>
            <w:hideMark/>
          </w:tcPr>
          <w:p w14:paraId="12BFAD4E" w14:textId="77777777" w:rsidR="008200FF" w:rsidRPr="00E14060" w:rsidRDefault="008200FF" w:rsidP="00E40CF3">
            <w:pPr>
              <w:jc w:val="center"/>
              <w:rPr>
                <w:sz w:val="22"/>
                <w:szCs w:val="22"/>
                <w:lang w:val="en-GB"/>
              </w:rPr>
            </w:pPr>
            <w:r w:rsidRPr="00E14060">
              <w:rPr>
                <w:sz w:val="22"/>
                <w:szCs w:val="22"/>
                <w:lang w:val="en-GB"/>
              </w:rPr>
              <w:t>SPD489-317 CSR</w:t>
            </w:r>
          </w:p>
        </w:tc>
        <w:tc>
          <w:tcPr>
            <w:tcW w:w="514" w:type="pct"/>
            <w:tcBorders>
              <w:top w:val="nil"/>
              <w:left w:val="nil"/>
              <w:bottom w:val="nil"/>
              <w:right w:val="nil"/>
            </w:tcBorders>
            <w:shd w:val="clear" w:color="000000" w:fill="D9D9D9"/>
            <w:noWrap/>
            <w:vAlign w:val="bottom"/>
            <w:hideMark/>
          </w:tcPr>
          <w:p w14:paraId="5E683910" w14:textId="77777777" w:rsidR="008200FF" w:rsidRPr="00E14060" w:rsidRDefault="008200FF" w:rsidP="00E40CF3">
            <w:pPr>
              <w:jc w:val="center"/>
              <w:rPr>
                <w:sz w:val="22"/>
                <w:szCs w:val="22"/>
                <w:lang w:val="en-GB"/>
              </w:rPr>
            </w:pPr>
            <w:r w:rsidRPr="00E14060">
              <w:rPr>
                <w:sz w:val="22"/>
                <w:szCs w:val="22"/>
                <w:lang w:val="en-GB"/>
              </w:rPr>
              <w:t>ATX</w:t>
            </w:r>
          </w:p>
        </w:tc>
        <w:tc>
          <w:tcPr>
            <w:tcW w:w="774" w:type="pct"/>
            <w:tcBorders>
              <w:top w:val="nil"/>
              <w:left w:val="nil"/>
              <w:bottom w:val="nil"/>
              <w:right w:val="nil"/>
            </w:tcBorders>
            <w:shd w:val="clear" w:color="000000" w:fill="D9D9D9"/>
            <w:noWrap/>
            <w:vAlign w:val="bottom"/>
            <w:hideMark/>
          </w:tcPr>
          <w:p w14:paraId="5F620FB3" w14:textId="77777777" w:rsidR="008200FF" w:rsidRPr="00E14060" w:rsidRDefault="008200FF" w:rsidP="00E40CF3">
            <w:pPr>
              <w:jc w:val="center"/>
              <w:rPr>
                <w:sz w:val="22"/>
                <w:szCs w:val="22"/>
                <w:lang w:val="en-GB"/>
              </w:rPr>
            </w:pPr>
            <w:r w:rsidRPr="00E14060">
              <w:rPr>
                <w:sz w:val="22"/>
                <w:szCs w:val="22"/>
                <w:lang w:val="en-GB"/>
              </w:rPr>
              <w:t>-19.4 (12.9)</w:t>
            </w:r>
          </w:p>
        </w:tc>
        <w:tc>
          <w:tcPr>
            <w:tcW w:w="673" w:type="pct"/>
            <w:tcBorders>
              <w:top w:val="nil"/>
              <w:left w:val="nil"/>
              <w:bottom w:val="nil"/>
              <w:right w:val="nil"/>
            </w:tcBorders>
            <w:shd w:val="clear" w:color="000000" w:fill="D9D9D9"/>
            <w:noWrap/>
            <w:vAlign w:val="bottom"/>
            <w:hideMark/>
          </w:tcPr>
          <w:p w14:paraId="50012DA7" w14:textId="77777777" w:rsidR="008200FF" w:rsidRPr="00E14060" w:rsidRDefault="008200FF" w:rsidP="00E40CF3">
            <w:pPr>
              <w:jc w:val="center"/>
              <w:rPr>
                <w:sz w:val="22"/>
                <w:szCs w:val="22"/>
                <w:lang w:val="en-GB"/>
              </w:rPr>
            </w:pPr>
            <w:r w:rsidRPr="00E14060">
              <w:rPr>
                <w:sz w:val="22"/>
                <w:szCs w:val="22"/>
                <w:lang w:val="en-GB"/>
              </w:rPr>
              <w:t>0.636</w:t>
            </w:r>
          </w:p>
        </w:tc>
        <w:tc>
          <w:tcPr>
            <w:tcW w:w="601" w:type="pct"/>
            <w:tcBorders>
              <w:top w:val="nil"/>
              <w:left w:val="nil"/>
              <w:bottom w:val="nil"/>
              <w:right w:val="nil"/>
            </w:tcBorders>
            <w:shd w:val="clear" w:color="000000" w:fill="D9D9D9"/>
            <w:noWrap/>
            <w:vAlign w:val="bottom"/>
            <w:hideMark/>
          </w:tcPr>
          <w:p w14:paraId="58414186" w14:textId="77777777" w:rsidR="008200FF" w:rsidRPr="00E14060" w:rsidRDefault="008200FF" w:rsidP="00E40CF3">
            <w:pPr>
              <w:jc w:val="center"/>
              <w:rPr>
                <w:sz w:val="22"/>
                <w:szCs w:val="22"/>
                <w:lang w:val="en-GB"/>
              </w:rPr>
            </w:pPr>
            <w:r w:rsidRPr="00E14060">
              <w:rPr>
                <w:sz w:val="22"/>
                <w:szCs w:val="22"/>
                <w:lang w:val="en-GB"/>
              </w:rPr>
              <w:t>0.673</w:t>
            </w:r>
          </w:p>
        </w:tc>
        <w:tc>
          <w:tcPr>
            <w:tcW w:w="601" w:type="pct"/>
            <w:tcBorders>
              <w:top w:val="nil"/>
              <w:left w:val="nil"/>
              <w:bottom w:val="nil"/>
              <w:right w:val="nil"/>
            </w:tcBorders>
            <w:shd w:val="clear" w:color="000000" w:fill="D9D9D9"/>
            <w:noWrap/>
            <w:vAlign w:val="bottom"/>
            <w:hideMark/>
          </w:tcPr>
          <w:p w14:paraId="5A7B940F" w14:textId="77777777" w:rsidR="008200FF" w:rsidRPr="00E14060" w:rsidRDefault="008200FF" w:rsidP="00E40CF3">
            <w:pPr>
              <w:jc w:val="center"/>
              <w:rPr>
                <w:sz w:val="22"/>
                <w:szCs w:val="22"/>
                <w:lang w:val="en-GB"/>
              </w:rPr>
            </w:pPr>
            <w:r w:rsidRPr="00E14060">
              <w:rPr>
                <w:sz w:val="22"/>
                <w:szCs w:val="22"/>
                <w:lang w:val="en-GB"/>
              </w:rPr>
              <w:t>0.037</w:t>
            </w:r>
          </w:p>
        </w:tc>
        <w:tc>
          <w:tcPr>
            <w:tcW w:w="601" w:type="pct"/>
            <w:tcBorders>
              <w:top w:val="nil"/>
              <w:left w:val="nil"/>
              <w:bottom w:val="nil"/>
              <w:right w:val="nil"/>
            </w:tcBorders>
            <w:shd w:val="clear" w:color="000000" w:fill="D9D9D9"/>
            <w:noWrap/>
            <w:vAlign w:val="bottom"/>
            <w:hideMark/>
          </w:tcPr>
          <w:p w14:paraId="51EBF03F" w14:textId="77777777" w:rsidR="008200FF" w:rsidRPr="00E14060" w:rsidRDefault="008200FF" w:rsidP="00E40CF3">
            <w:pPr>
              <w:jc w:val="center"/>
              <w:rPr>
                <w:sz w:val="22"/>
                <w:szCs w:val="22"/>
                <w:lang w:val="en-GB"/>
              </w:rPr>
            </w:pPr>
            <w:r w:rsidRPr="00E14060">
              <w:rPr>
                <w:sz w:val="22"/>
                <w:szCs w:val="22"/>
                <w:lang w:val="en-GB"/>
              </w:rPr>
              <w:t>0.651</w:t>
            </w:r>
          </w:p>
        </w:tc>
        <w:tc>
          <w:tcPr>
            <w:tcW w:w="601" w:type="pct"/>
            <w:tcBorders>
              <w:top w:val="nil"/>
              <w:left w:val="nil"/>
              <w:bottom w:val="nil"/>
              <w:right w:val="nil"/>
            </w:tcBorders>
            <w:shd w:val="clear" w:color="000000" w:fill="D9D9D9"/>
            <w:noWrap/>
            <w:vAlign w:val="bottom"/>
            <w:hideMark/>
          </w:tcPr>
          <w:p w14:paraId="636C70D5" w14:textId="77777777" w:rsidR="008200FF" w:rsidRPr="00E14060" w:rsidRDefault="008200FF" w:rsidP="00E40CF3">
            <w:pPr>
              <w:jc w:val="center"/>
              <w:rPr>
                <w:sz w:val="22"/>
                <w:szCs w:val="22"/>
                <w:lang w:val="en-GB"/>
              </w:rPr>
            </w:pPr>
            <w:r w:rsidRPr="00E14060">
              <w:rPr>
                <w:sz w:val="22"/>
                <w:szCs w:val="22"/>
                <w:lang w:val="en-GB"/>
              </w:rPr>
              <w:t>0.015</w:t>
            </w:r>
          </w:p>
        </w:tc>
      </w:tr>
      <w:tr w:rsidR="006F2A62" w:rsidRPr="00E14060" w14:paraId="3A992A30" w14:textId="77777777" w:rsidTr="006F2A62">
        <w:trPr>
          <w:trHeight w:val="300"/>
        </w:trPr>
        <w:tc>
          <w:tcPr>
            <w:tcW w:w="635" w:type="pct"/>
            <w:tcBorders>
              <w:top w:val="nil"/>
              <w:left w:val="nil"/>
              <w:bottom w:val="single" w:sz="4" w:space="0" w:color="auto"/>
              <w:right w:val="nil"/>
            </w:tcBorders>
            <w:shd w:val="clear" w:color="000000" w:fill="D9D9D9"/>
            <w:noWrap/>
            <w:vAlign w:val="bottom"/>
            <w:hideMark/>
          </w:tcPr>
          <w:p w14:paraId="5313A158" w14:textId="77777777" w:rsidR="008200FF" w:rsidRPr="00E14060" w:rsidRDefault="008200FF" w:rsidP="00E40CF3">
            <w:pPr>
              <w:jc w:val="center"/>
              <w:rPr>
                <w:sz w:val="22"/>
                <w:szCs w:val="22"/>
                <w:lang w:val="en-GB"/>
              </w:rPr>
            </w:pPr>
            <w:r w:rsidRPr="00E14060">
              <w:rPr>
                <w:sz w:val="22"/>
                <w:szCs w:val="22"/>
                <w:lang w:val="en-GB"/>
              </w:rPr>
              <w:t>SPD489-317 CSR</w:t>
            </w:r>
          </w:p>
        </w:tc>
        <w:tc>
          <w:tcPr>
            <w:tcW w:w="514" w:type="pct"/>
            <w:tcBorders>
              <w:top w:val="nil"/>
              <w:left w:val="nil"/>
              <w:bottom w:val="single" w:sz="4" w:space="0" w:color="auto"/>
              <w:right w:val="nil"/>
            </w:tcBorders>
            <w:shd w:val="clear" w:color="000000" w:fill="D9D9D9"/>
            <w:noWrap/>
            <w:vAlign w:val="bottom"/>
            <w:hideMark/>
          </w:tcPr>
          <w:p w14:paraId="33219678" w14:textId="77777777" w:rsidR="008200FF" w:rsidRPr="00E14060" w:rsidRDefault="008200FF" w:rsidP="00E40CF3">
            <w:pPr>
              <w:jc w:val="center"/>
              <w:rPr>
                <w:sz w:val="22"/>
                <w:szCs w:val="22"/>
                <w:lang w:val="en-GB"/>
              </w:rPr>
            </w:pPr>
            <w:r w:rsidRPr="00E14060">
              <w:rPr>
                <w:sz w:val="22"/>
                <w:szCs w:val="22"/>
                <w:lang w:val="en-GB"/>
              </w:rPr>
              <w:t>LDX</w:t>
            </w:r>
          </w:p>
        </w:tc>
        <w:tc>
          <w:tcPr>
            <w:tcW w:w="774" w:type="pct"/>
            <w:tcBorders>
              <w:top w:val="nil"/>
              <w:left w:val="nil"/>
              <w:bottom w:val="single" w:sz="4" w:space="0" w:color="auto"/>
              <w:right w:val="nil"/>
            </w:tcBorders>
            <w:shd w:val="clear" w:color="000000" w:fill="D9D9D9"/>
            <w:noWrap/>
            <w:vAlign w:val="bottom"/>
            <w:hideMark/>
          </w:tcPr>
          <w:p w14:paraId="2A9649D8" w14:textId="77777777" w:rsidR="008200FF" w:rsidRPr="00E14060" w:rsidRDefault="008200FF" w:rsidP="00E40CF3">
            <w:pPr>
              <w:jc w:val="center"/>
              <w:rPr>
                <w:sz w:val="22"/>
                <w:szCs w:val="22"/>
                <w:lang w:val="en-GB"/>
              </w:rPr>
            </w:pPr>
            <w:r w:rsidRPr="00E14060">
              <w:rPr>
                <w:sz w:val="22"/>
                <w:szCs w:val="22"/>
                <w:lang w:val="en-GB"/>
              </w:rPr>
              <w:t>-26.2 (11.9)</w:t>
            </w:r>
          </w:p>
        </w:tc>
        <w:tc>
          <w:tcPr>
            <w:tcW w:w="673" w:type="pct"/>
            <w:tcBorders>
              <w:top w:val="nil"/>
              <w:left w:val="nil"/>
              <w:bottom w:val="single" w:sz="4" w:space="0" w:color="auto"/>
              <w:right w:val="nil"/>
            </w:tcBorders>
            <w:shd w:val="clear" w:color="000000" w:fill="D9D9D9"/>
            <w:noWrap/>
            <w:vAlign w:val="bottom"/>
            <w:hideMark/>
          </w:tcPr>
          <w:p w14:paraId="629BAB8C" w14:textId="77777777" w:rsidR="008200FF" w:rsidRPr="00E14060" w:rsidRDefault="008200FF" w:rsidP="00E40CF3">
            <w:pPr>
              <w:jc w:val="center"/>
              <w:rPr>
                <w:sz w:val="22"/>
                <w:szCs w:val="22"/>
                <w:lang w:val="en-GB"/>
              </w:rPr>
            </w:pPr>
            <w:r w:rsidRPr="00E14060">
              <w:rPr>
                <w:sz w:val="22"/>
                <w:szCs w:val="22"/>
                <w:lang w:val="en-GB"/>
              </w:rPr>
              <w:t>0.817</w:t>
            </w:r>
          </w:p>
        </w:tc>
        <w:tc>
          <w:tcPr>
            <w:tcW w:w="601" w:type="pct"/>
            <w:tcBorders>
              <w:top w:val="nil"/>
              <w:left w:val="nil"/>
              <w:bottom w:val="single" w:sz="4" w:space="0" w:color="auto"/>
              <w:right w:val="nil"/>
            </w:tcBorders>
            <w:shd w:val="clear" w:color="000000" w:fill="D9D9D9"/>
            <w:noWrap/>
            <w:vAlign w:val="bottom"/>
            <w:hideMark/>
          </w:tcPr>
          <w:p w14:paraId="09111006" w14:textId="77777777" w:rsidR="008200FF" w:rsidRPr="00E14060" w:rsidRDefault="008200FF" w:rsidP="00E40CF3">
            <w:pPr>
              <w:jc w:val="center"/>
              <w:rPr>
                <w:sz w:val="22"/>
                <w:szCs w:val="22"/>
                <w:lang w:val="en-GB"/>
              </w:rPr>
            </w:pPr>
            <w:r w:rsidRPr="00E14060">
              <w:rPr>
                <w:sz w:val="22"/>
                <w:szCs w:val="22"/>
                <w:lang w:val="en-GB"/>
              </w:rPr>
              <w:t>0.854</w:t>
            </w:r>
          </w:p>
        </w:tc>
        <w:tc>
          <w:tcPr>
            <w:tcW w:w="601" w:type="pct"/>
            <w:tcBorders>
              <w:top w:val="nil"/>
              <w:left w:val="nil"/>
              <w:bottom w:val="single" w:sz="4" w:space="0" w:color="auto"/>
              <w:right w:val="nil"/>
            </w:tcBorders>
            <w:shd w:val="clear" w:color="000000" w:fill="D9D9D9"/>
            <w:noWrap/>
            <w:vAlign w:val="bottom"/>
            <w:hideMark/>
          </w:tcPr>
          <w:p w14:paraId="6EA07AD0" w14:textId="77777777" w:rsidR="008200FF" w:rsidRPr="00E14060" w:rsidRDefault="008200FF" w:rsidP="00E40CF3">
            <w:pPr>
              <w:jc w:val="center"/>
              <w:rPr>
                <w:sz w:val="22"/>
                <w:szCs w:val="22"/>
                <w:lang w:val="en-GB"/>
              </w:rPr>
            </w:pPr>
            <w:r w:rsidRPr="00E14060">
              <w:rPr>
                <w:sz w:val="22"/>
                <w:szCs w:val="22"/>
                <w:lang w:val="en-GB"/>
              </w:rPr>
              <w:t>0.037</w:t>
            </w:r>
          </w:p>
        </w:tc>
        <w:tc>
          <w:tcPr>
            <w:tcW w:w="601" w:type="pct"/>
            <w:tcBorders>
              <w:top w:val="nil"/>
              <w:left w:val="nil"/>
              <w:bottom w:val="single" w:sz="4" w:space="0" w:color="auto"/>
              <w:right w:val="nil"/>
            </w:tcBorders>
            <w:shd w:val="clear" w:color="000000" w:fill="D9D9D9"/>
            <w:noWrap/>
            <w:vAlign w:val="bottom"/>
            <w:hideMark/>
          </w:tcPr>
          <w:p w14:paraId="1D946617" w14:textId="77777777" w:rsidR="008200FF" w:rsidRPr="00E14060" w:rsidRDefault="008200FF" w:rsidP="00E40CF3">
            <w:pPr>
              <w:jc w:val="center"/>
              <w:rPr>
                <w:sz w:val="22"/>
                <w:szCs w:val="22"/>
                <w:lang w:val="en-GB"/>
              </w:rPr>
            </w:pPr>
            <w:r w:rsidRPr="00E14060">
              <w:rPr>
                <w:sz w:val="22"/>
                <w:szCs w:val="22"/>
                <w:lang w:val="en-GB"/>
              </w:rPr>
              <w:t>0.839</w:t>
            </w:r>
          </w:p>
        </w:tc>
        <w:tc>
          <w:tcPr>
            <w:tcW w:w="601" w:type="pct"/>
            <w:tcBorders>
              <w:top w:val="nil"/>
              <w:left w:val="nil"/>
              <w:bottom w:val="single" w:sz="4" w:space="0" w:color="auto"/>
              <w:right w:val="nil"/>
            </w:tcBorders>
            <w:shd w:val="clear" w:color="000000" w:fill="D9D9D9"/>
            <w:noWrap/>
            <w:vAlign w:val="bottom"/>
            <w:hideMark/>
          </w:tcPr>
          <w:p w14:paraId="611D42D1" w14:textId="77777777" w:rsidR="008200FF" w:rsidRPr="00E14060" w:rsidRDefault="008200FF" w:rsidP="00E40CF3">
            <w:pPr>
              <w:jc w:val="center"/>
              <w:rPr>
                <w:sz w:val="22"/>
                <w:szCs w:val="22"/>
                <w:lang w:val="en-GB"/>
              </w:rPr>
            </w:pPr>
            <w:r w:rsidRPr="00E14060">
              <w:rPr>
                <w:sz w:val="22"/>
                <w:szCs w:val="22"/>
                <w:lang w:val="en-GB"/>
              </w:rPr>
              <w:t>0.021</w:t>
            </w:r>
          </w:p>
        </w:tc>
      </w:tr>
    </w:tbl>
    <w:p w14:paraId="20F43A3F" w14:textId="77777777" w:rsidR="008200FF" w:rsidRPr="00E14060" w:rsidRDefault="008200FF" w:rsidP="008200FF">
      <w:pPr>
        <w:rPr>
          <w:b/>
          <w:lang w:val="en-GB"/>
        </w:rPr>
      </w:pPr>
    </w:p>
    <w:p w14:paraId="546B4F50" w14:textId="77777777" w:rsidR="008200FF" w:rsidRPr="00E14060" w:rsidRDefault="008200FF" w:rsidP="008200FF">
      <w:pPr>
        <w:rPr>
          <w:b/>
          <w:lang w:val="en-GB"/>
        </w:rPr>
      </w:pPr>
    </w:p>
    <w:tbl>
      <w:tblPr>
        <w:tblW w:w="5000" w:type="pct"/>
        <w:tblLayout w:type="fixed"/>
        <w:tblLook w:val="04A0" w:firstRow="1" w:lastRow="0" w:firstColumn="1" w:lastColumn="0" w:noHBand="0" w:noVBand="1"/>
      </w:tblPr>
      <w:tblGrid>
        <w:gridCol w:w="1164"/>
        <w:gridCol w:w="953"/>
        <w:gridCol w:w="1303"/>
        <w:gridCol w:w="1440"/>
        <w:gridCol w:w="1125"/>
        <w:gridCol w:w="1125"/>
        <w:gridCol w:w="1125"/>
        <w:gridCol w:w="1125"/>
      </w:tblGrid>
      <w:tr w:rsidR="008200FF" w:rsidRPr="00E14060" w14:paraId="171FA27D" w14:textId="77777777" w:rsidTr="006F2A62">
        <w:trPr>
          <w:trHeight w:val="300"/>
        </w:trPr>
        <w:tc>
          <w:tcPr>
            <w:tcW w:w="5000" w:type="pct"/>
            <w:gridSpan w:val="8"/>
            <w:tcBorders>
              <w:top w:val="nil"/>
              <w:left w:val="nil"/>
              <w:bottom w:val="single" w:sz="4" w:space="0" w:color="auto"/>
              <w:right w:val="nil"/>
            </w:tcBorders>
            <w:shd w:val="clear" w:color="000000" w:fill="FFFFFF"/>
            <w:noWrap/>
            <w:vAlign w:val="center"/>
            <w:hideMark/>
          </w:tcPr>
          <w:p w14:paraId="33CE9464" w14:textId="77777777" w:rsidR="008200FF" w:rsidRPr="00E14060" w:rsidRDefault="008200FF" w:rsidP="00E40CF3">
            <w:pPr>
              <w:jc w:val="center"/>
              <w:rPr>
                <w:b/>
                <w:bCs/>
                <w:sz w:val="22"/>
                <w:szCs w:val="22"/>
                <w:lang w:val="en-GB"/>
              </w:rPr>
            </w:pPr>
            <w:r w:rsidRPr="00E14060">
              <w:rPr>
                <w:b/>
                <w:bCs/>
                <w:sz w:val="22"/>
                <w:szCs w:val="22"/>
                <w:lang w:val="en-GB"/>
              </w:rPr>
              <w:t>Extrapolation in trials reporting both CGI-I and AISRS outcomes</w:t>
            </w:r>
          </w:p>
        </w:tc>
      </w:tr>
      <w:tr w:rsidR="006F2A62" w:rsidRPr="00E14060" w14:paraId="47060E26" w14:textId="77777777" w:rsidTr="006F2A62">
        <w:trPr>
          <w:trHeight w:val="300"/>
        </w:trPr>
        <w:tc>
          <w:tcPr>
            <w:tcW w:w="622" w:type="pct"/>
            <w:vMerge w:val="restart"/>
            <w:tcBorders>
              <w:top w:val="nil"/>
              <w:left w:val="nil"/>
              <w:right w:val="nil"/>
            </w:tcBorders>
            <w:shd w:val="clear" w:color="000000" w:fill="FFFFFF"/>
            <w:noWrap/>
            <w:vAlign w:val="center"/>
            <w:hideMark/>
          </w:tcPr>
          <w:p w14:paraId="33A946F0" w14:textId="031D95AE" w:rsidR="006F2A62" w:rsidRPr="00E14060" w:rsidRDefault="006F2A62" w:rsidP="00E40CF3">
            <w:pPr>
              <w:jc w:val="center"/>
              <w:rPr>
                <w:b/>
                <w:bCs/>
                <w:lang w:val="en-GB"/>
              </w:rPr>
            </w:pPr>
            <w:r w:rsidRPr="00E14060">
              <w:rPr>
                <w:b/>
                <w:bCs/>
                <w:lang w:val="en-GB"/>
              </w:rPr>
              <w:t>Author year</w:t>
            </w:r>
            <w:r w:rsidRPr="00E14060">
              <w:rPr>
                <w:b/>
                <w:bCs/>
                <w:vertAlign w:val="superscript"/>
                <w:lang w:val="en-GB"/>
              </w:rPr>
              <w:t>[3]</w:t>
            </w:r>
          </w:p>
        </w:tc>
        <w:tc>
          <w:tcPr>
            <w:tcW w:w="509" w:type="pct"/>
            <w:vMerge w:val="restart"/>
            <w:tcBorders>
              <w:top w:val="nil"/>
              <w:left w:val="nil"/>
              <w:right w:val="nil"/>
            </w:tcBorders>
            <w:shd w:val="clear" w:color="000000" w:fill="FFFFFF"/>
            <w:noWrap/>
            <w:vAlign w:val="center"/>
            <w:hideMark/>
          </w:tcPr>
          <w:p w14:paraId="00134181" w14:textId="0E1F1ED5" w:rsidR="006F2A62" w:rsidRPr="00E14060" w:rsidRDefault="006F2A62" w:rsidP="00E40CF3">
            <w:pPr>
              <w:jc w:val="center"/>
              <w:rPr>
                <w:b/>
                <w:bCs/>
                <w:lang w:val="en-GB"/>
              </w:rPr>
            </w:pPr>
            <w:r w:rsidRPr="00E14060">
              <w:rPr>
                <w:b/>
                <w:bCs/>
                <w:lang w:val="en-GB"/>
              </w:rPr>
              <w:t>Arm</w:t>
            </w:r>
          </w:p>
        </w:tc>
        <w:tc>
          <w:tcPr>
            <w:tcW w:w="696" w:type="pct"/>
            <w:vMerge w:val="restart"/>
            <w:tcBorders>
              <w:top w:val="nil"/>
              <w:left w:val="nil"/>
              <w:right w:val="nil"/>
            </w:tcBorders>
            <w:shd w:val="clear" w:color="000000" w:fill="FFFFFF"/>
            <w:noWrap/>
            <w:vAlign w:val="center"/>
            <w:hideMark/>
          </w:tcPr>
          <w:p w14:paraId="7DC49CF2" w14:textId="329B62EE" w:rsidR="006F2A62" w:rsidRPr="00E14060" w:rsidRDefault="006F2A62" w:rsidP="00E40CF3">
            <w:pPr>
              <w:jc w:val="center"/>
              <w:rPr>
                <w:b/>
                <w:bCs/>
                <w:lang w:val="en-GB"/>
              </w:rPr>
            </w:pPr>
            <w:r w:rsidRPr="00E14060">
              <w:rPr>
                <w:b/>
                <w:bCs/>
                <w:lang w:val="en-GB"/>
              </w:rPr>
              <w:t>Actual AISRS change,</w:t>
            </w:r>
            <w:r w:rsidRPr="00E14060">
              <w:rPr>
                <w:b/>
                <w:bCs/>
                <w:lang w:val="en-GB"/>
              </w:rPr>
              <w:br/>
              <w:t>mean (SD)</w:t>
            </w:r>
          </w:p>
        </w:tc>
        <w:tc>
          <w:tcPr>
            <w:tcW w:w="769" w:type="pct"/>
            <w:vMerge w:val="restart"/>
            <w:tcBorders>
              <w:top w:val="nil"/>
              <w:left w:val="nil"/>
              <w:right w:val="nil"/>
            </w:tcBorders>
            <w:shd w:val="clear" w:color="000000" w:fill="FFFFFF"/>
            <w:noWrap/>
            <w:vAlign w:val="center"/>
            <w:hideMark/>
          </w:tcPr>
          <w:p w14:paraId="7AC5DAC3" w14:textId="5861AE8F" w:rsidR="006F2A62" w:rsidRPr="00E14060" w:rsidRDefault="006F2A62" w:rsidP="00E40CF3">
            <w:pPr>
              <w:jc w:val="center"/>
              <w:rPr>
                <w:b/>
                <w:bCs/>
                <w:lang w:val="en-GB"/>
              </w:rPr>
            </w:pPr>
            <w:r w:rsidRPr="00E14060">
              <w:rPr>
                <w:b/>
                <w:bCs/>
                <w:lang w:val="en-GB"/>
              </w:rPr>
              <w:t>Actual % CGI-I response</w:t>
            </w:r>
          </w:p>
        </w:tc>
        <w:tc>
          <w:tcPr>
            <w:tcW w:w="1202" w:type="pct"/>
            <w:gridSpan w:val="2"/>
            <w:tcBorders>
              <w:top w:val="single" w:sz="4" w:space="0" w:color="auto"/>
              <w:left w:val="nil"/>
              <w:bottom w:val="single" w:sz="4" w:space="0" w:color="auto"/>
              <w:right w:val="nil"/>
            </w:tcBorders>
            <w:shd w:val="clear" w:color="000000" w:fill="FFFFFF"/>
            <w:noWrap/>
            <w:vAlign w:val="center"/>
            <w:hideMark/>
          </w:tcPr>
          <w:p w14:paraId="13665338" w14:textId="77777777" w:rsidR="006F2A62" w:rsidRPr="00E14060" w:rsidRDefault="006F2A62" w:rsidP="00E40CF3">
            <w:pPr>
              <w:jc w:val="center"/>
              <w:rPr>
                <w:b/>
                <w:bCs/>
                <w:lang w:val="en-GB"/>
              </w:rPr>
            </w:pPr>
            <w:r w:rsidRPr="00E14060">
              <w:rPr>
                <w:b/>
                <w:bCs/>
                <w:lang w:val="en-GB"/>
              </w:rPr>
              <w:t>Quadratic regression (Goodman)</w:t>
            </w:r>
            <w:r w:rsidRPr="00E14060">
              <w:rPr>
                <w:b/>
                <w:bCs/>
                <w:vertAlign w:val="superscript"/>
                <w:lang w:val="en-GB"/>
              </w:rPr>
              <w:t>[1]</w:t>
            </w:r>
          </w:p>
        </w:tc>
        <w:tc>
          <w:tcPr>
            <w:tcW w:w="1202" w:type="pct"/>
            <w:gridSpan w:val="2"/>
            <w:tcBorders>
              <w:top w:val="single" w:sz="4" w:space="0" w:color="auto"/>
              <w:left w:val="nil"/>
              <w:bottom w:val="single" w:sz="4" w:space="0" w:color="auto"/>
              <w:right w:val="nil"/>
            </w:tcBorders>
            <w:shd w:val="clear" w:color="000000" w:fill="FFFFFF"/>
            <w:noWrap/>
            <w:vAlign w:val="center"/>
            <w:hideMark/>
          </w:tcPr>
          <w:p w14:paraId="57933FDE" w14:textId="77777777" w:rsidR="006F2A62" w:rsidRPr="00E14060" w:rsidRDefault="006F2A62" w:rsidP="00E40CF3">
            <w:pPr>
              <w:jc w:val="center"/>
              <w:rPr>
                <w:b/>
                <w:bCs/>
                <w:lang w:val="en-GB"/>
              </w:rPr>
            </w:pPr>
            <w:r w:rsidRPr="00E14060">
              <w:rPr>
                <w:b/>
                <w:bCs/>
                <w:lang w:val="en-GB"/>
              </w:rPr>
              <w:t>Direct estimation</w:t>
            </w:r>
            <w:r w:rsidRPr="00E14060">
              <w:rPr>
                <w:b/>
                <w:bCs/>
                <w:vertAlign w:val="superscript"/>
                <w:lang w:val="en-GB"/>
              </w:rPr>
              <w:t>[2]</w:t>
            </w:r>
          </w:p>
        </w:tc>
      </w:tr>
      <w:tr w:rsidR="006F2A62" w:rsidRPr="00E14060" w14:paraId="1C28430F" w14:textId="77777777" w:rsidTr="006F2A62">
        <w:trPr>
          <w:trHeight w:val="765"/>
        </w:trPr>
        <w:tc>
          <w:tcPr>
            <w:tcW w:w="622" w:type="pct"/>
            <w:vMerge/>
            <w:tcBorders>
              <w:left w:val="nil"/>
              <w:bottom w:val="single" w:sz="4" w:space="0" w:color="auto"/>
              <w:right w:val="nil"/>
            </w:tcBorders>
            <w:shd w:val="clear" w:color="000000" w:fill="FFFFFF"/>
            <w:noWrap/>
            <w:vAlign w:val="bottom"/>
            <w:hideMark/>
          </w:tcPr>
          <w:p w14:paraId="4E59B43A" w14:textId="28AC139D" w:rsidR="006F2A62" w:rsidRPr="00E14060" w:rsidRDefault="006F2A62" w:rsidP="00E40CF3">
            <w:pPr>
              <w:jc w:val="center"/>
              <w:rPr>
                <w:b/>
                <w:bCs/>
                <w:lang w:val="en-GB"/>
              </w:rPr>
            </w:pPr>
          </w:p>
        </w:tc>
        <w:tc>
          <w:tcPr>
            <w:tcW w:w="509" w:type="pct"/>
            <w:vMerge/>
            <w:tcBorders>
              <w:left w:val="nil"/>
              <w:bottom w:val="single" w:sz="4" w:space="0" w:color="auto"/>
              <w:right w:val="nil"/>
            </w:tcBorders>
            <w:shd w:val="clear" w:color="000000" w:fill="FFFFFF"/>
            <w:noWrap/>
            <w:vAlign w:val="bottom"/>
            <w:hideMark/>
          </w:tcPr>
          <w:p w14:paraId="6263E88A" w14:textId="12682487" w:rsidR="006F2A62" w:rsidRPr="00E14060" w:rsidRDefault="006F2A62" w:rsidP="00E40CF3">
            <w:pPr>
              <w:jc w:val="center"/>
              <w:rPr>
                <w:b/>
                <w:bCs/>
                <w:lang w:val="en-GB"/>
              </w:rPr>
            </w:pPr>
          </w:p>
        </w:tc>
        <w:tc>
          <w:tcPr>
            <w:tcW w:w="696" w:type="pct"/>
            <w:vMerge/>
            <w:tcBorders>
              <w:left w:val="nil"/>
              <w:bottom w:val="single" w:sz="4" w:space="0" w:color="auto"/>
              <w:right w:val="nil"/>
            </w:tcBorders>
            <w:shd w:val="clear" w:color="000000" w:fill="FFFFFF"/>
            <w:vAlign w:val="bottom"/>
            <w:hideMark/>
          </w:tcPr>
          <w:p w14:paraId="2DDCDD4F" w14:textId="78043FF4" w:rsidR="006F2A62" w:rsidRPr="00E14060" w:rsidRDefault="006F2A62" w:rsidP="00E40CF3">
            <w:pPr>
              <w:jc w:val="center"/>
              <w:rPr>
                <w:b/>
                <w:bCs/>
                <w:lang w:val="en-GB"/>
              </w:rPr>
            </w:pPr>
          </w:p>
        </w:tc>
        <w:tc>
          <w:tcPr>
            <w:tcW w:w="769" w:type="pct"/>
            <w:vMerge/>
            <w:tcBorders>
              <w:left w:val="nil"/>
              <w:bottom w:val="single" w:sz="4" w:space="0" w:color="auto"/>
              <w:right w:val="nil"/>
            </w:tcBorders>
            <w:shd w:val="clear" w:color="000000" w:fill="FFFFFF"/>
            <w:vAlign w:val="bottom"/>
            <w:hideMark/>
          </w:tcPr>
          <w:p w14:paraId="0D22FE1D" w14:textId="4687801A" w:rsidR="006F2A62" w:rsidRPr="00E14060" w:rsidRDefault="006F2A62" w:rsidP="00E40CF3">
            <w:pPr>
              <w:jc w:val="center"/>
              <w:rPr>
                <w:b/>
                <w:bCs/>
                <w:lang w:val="en-GB"/>
              </w:rPr>
            </w:pPr>
          </w:p>
        </w:tc>
        <w:tc>
          <w:tcPr>
            <w:tcW w:w="601" w:type="pct"/>
            <w:tcBorders>
              <w:top w:val="nil"/>
              <w:left w:val="nil"/>
              <w:bottom w:val="single" w:sz="4" w:space="0" w:color="auto"/>
              <w:right w:val="nil"/>
            </w:tcBorders>
            <w:shd w:val="clear" w:color="000000" w:fill="FFFFFF"/>
            <w:vAlign w:val="bottom"/>
            <w:hideMark/>
          </w:tcPr>
          <w:p w14:paraId="127B4CEB" w14:textId="77777777" w:rsidR="006F2A62" w:rsidRPr="00E14060" w:rsidRDefault="006F2A62" w:rsidP="00E40CF3">
            <w:pPr>
              <w:jc w:val="center"/>
              <w:rPr>
                <w:b/>
                <w:bCs/>
                <w:lang w:val="en-GB"/>
              </w:rPr>
            </w:pPr>
            <w:r w:rsidRPr="00E14060">
              <w:rPr>
                <w:b/>
                <w:bCs/>
                <w:lang w:val="en-GB"/>
              </w:rPr>
              <w:t>Extrapolated % CGI-I response</w:t>
            </w:r>
          </w:p>
        </w:tc>
        <w:tc>
          <w:tcPr>
            <w:tcW w:w="601" w:type="pct"/>
            <w:tcBorders>
              <w:top w:val="nil"/>
              <w:left w:val="nil"/>
              <w:bottom w:val="single" w:sz="4" w:space="0" w:color="auto"/>
              <w:right w:val="nil"/>
            </w:tcBorders>
            <w:shd w:val="clear" w:color="000000" w:fill="FFFFFF"/>
            <w:vAlign w:val="bottom"/>
            <w:hideMark/>
          </w:tcPr>
          <w:p w14:paraId="1F42978F" w14:textId="77777777" w:rsidR="006F2A62" w:rsidRPr="00E14060" w:rsidRDefault="006F2A62" w:rsidP="00E40CF3">
            <w:pPr>
              <w:jc w:val="center"/>
              <w:rPr>
                <w:b/>
                <w:bCs/>
                <w:lang w:val="en-GB"/>
              </w:rPr>
            </w:pPr>
            <w:r w:rsidRPr="00E14060">
              <w:rPr>
                <w:b/>
                <w:bCs/>
                <w:lang w:val="en-GB"/>
              </w:rPr>
              <w:t>Bias (Extrapolated - Actual)</w:t>
            </w:r>
          </w:p>
        </w:tc>
        <w:tc>
          <w:tcPr>
            <w:tcW w:w="601" w:type="pct"/>
            <w:tcBorders>
              <w:top w:val="nil"/>
              <w:left w:val="nil"/>
              <w:bottom w:val="single" w:sz="4" w:space="0" w:color="auto"/>
              <w:right w:val="nil"/>
            </w:tcBorders>
            <w:shd w:val="clear" w:color="000000" w:fill="FFFFFF"/>
            <w:vAlign w:val="bottom"/>
            <w:hideMark/>
          </w:tcPr>
          <w:p w14:paraId="58BD07AA" w14:textId="77777777" w:rsidR="006F2A62" w:rsidRPr="00E14060" w:rsidRDefault="006F2A62" w:rsidP="00E40CF3">
            <w:pPr>
              <w:jc w:val="center"/>
              <w:rPr>
                <w:b/>
                <w:bCs/>
                <w:lang w:val="en-GB"/>
              </w:rPr>
            </w:pPr>
            <w:r w:rsidRPr="00E14060">
              <w:rPr>
                <w:b/>
                <w:bCs/>
                <w:lang w:val="en-GB"/>
              </w:rPr>
              <w:t>Extrapolated % CGI-I response</w:t>
            </w:r>
          </w:p>
        </w:tc>
        <w:tc>
          <w:tcPr>
            <w:tcW w:w="601" w:type="pct"/>
            <w:tcBorders>
              <w:top w:val="nil"/>
              <w:left w:val="nil"/>
              <w:bottom w:val="single" w:sz="4" w:space="0" w:color="auto"/>
              <w:right w:val="nil"/>
            </w:tcBorders>
            <w:shd w:val="clear" w:color="000000" w:fill="FFFFFF"/>
            <w:vAlign w:val="bottom"/>
            <w:hideMark/>
          </w:tcPr>
          <w:p w14:paraId="66DBDFDE" w14:textId="77777777" w:rsidR="006F2A62" w:rsidRPr="00E14060" w:rsidRDefault="006F2A62" w:rsidP="00E40CF3">
            <w:pPr>
              <w:jc w:val="center"/>
              <w:rPr>
                <w:b/>
                <w:bCs/>
                <w:lang w:val="en-GB"/>
              </w:rPr>
            </w:pPr>
            <w:r w:rsidRPr="00E14060">
              <w:rPr>
                <w:b/>
                <w:bCs/>
                <w:lang w:val="en-GB"/>
              </w:rPr>
              <w:t>Bias (Extrapolated - Actual)</w:t>
            </w:r>
          </w:p>
        </w:tc>
      </w:tr>
      <w:tr w:rsidR="006F2A62" w:rsidRPr="00E14060" w14:paraId="2A6F8F80" w14:textId="77777777" w:rsidTr="006F2A62">
        <w:trPr>
          <w:trHeight w:val="300"/>
        </w:trPr>
        <w:tc>
          <w:tcPr>
            <w:tcW w:w="622" w:type="pct"/>
            <w:tcBorders>
              <w:top w:val="nil"/>
              <w:left w:val="nil"/>
              <w:bottom w:val="nil"/>
              <w:right w:val="nil"/>
            </w:tcBorders>
            <w:shd w:val="clear" w:color="000000" w:fill="FFFFFF"/>
            <w:noWrap/>
            <w:vAlign w:val="bottom"/>
            <w:hideMark/>
          </w:tcPr>
          <w:p w14:paraId="4FA15025" w14:textId="77777777" w:rsidR="008200FF" w:rsidRPr="00E14060" w:rsidRDefault="008200FF" w:rsidP="00E40CF3">
            <w:pPr>
              <w:jc w:val="center"/>
              <w:rPr>
                <w:sz w:val="22"/>
                <w:szCs w:val="22"/>
                <w:lang w:val="en-GB"/>
              </w:rPr>
            </w:pPr>
            <w:r w:rsidRPr="00E14060">
              <w:rPr>
                <w:sz w:val="22"/>
                <w:szCs w:val="22"/>
                <w:lang w:val="en-GB"/>
              </w:rPr>
              <w:t>Biederman 2006</w:t>
            </w:r>
          </w:p>
        </w:tc>
        <w:tc>
          <w:tcPr>
            <w:tcW w:w="509" w:type="pct"/>
            <w:tcBorders>
              <w:top w:val="nil"/>
              <w:left w:val="nil"/>
              <w:bottom w:val="nil"/>
              <w:right w:val="nil"/>
            </w:tcBorders>
            <w:shd w:val="clear" w:color="000000" w:fill="FFFFFF"/>
            <w:noWrap/>
            <w:vAlign w:val="bottom"/>
            <w:hideMark/>
          </w:tcPr>
          <w:p w14:paraId="7A8C7008" w14:textId="77777777" w:rsidR="008200FF" w:rsidRPr="00E14060" w:rsidRDefault="008200FF" w:rsidP="00E40CF3">
            <w:pPr>
              <w:jc w:val="center"/>
              <w:rPr>
                <w:sz w:val="22"/>
                <w:szCs w:val="22"/>
                <w:lang w:val="en-GB"/>
              </w:rPr>
            </w:pPr>
            <w:r w:rsidRPr="00E14060">
              <w:rPr>
                <w:sz w:val="22"/>
                <w:szCs w:val="22"/>
                <w:lang w:val="en-GB"/>
              </w:rPr>
              <w:t>MPH-OROS</w:t>
            </w:r>
          </w:p>
        </w:tc>
        <w:tc>
          <w:tcPr>
            <w:tcW w:w="696" w:type="pct"/>
            <w:tcBorders>
              <w:top w:val="nil"/>
              <w:left w:val="nil"/>
              <w:bottom w:val="nil"/>
              <w:right w:val="nil"/>
            </w:tcBorders>
            <w:shd w:val="clear" w:color="000000" w:fill="FFFFFF"/>
            <w:noWrap/>
            <w:vAlign w:val="bottom"/>
            <w:hideMark/>
          </w:tcPr>
          <w:p w14:paraId="78B2E5E1" w14:textId="77777777" w:rsidR="008200FF" w:rsidRPr="00E14060" w:rsidRDefault="008200FF" w:rsidP="00E40CF3">
            <w:pPr>
              <w:jc w:val="center"/>
              <w:rPr>
                <w:sz w:val="22"/>
                <w:szCs w:val="22"/>
                <w:lang w:val="en-GB"/>
              </w:rPr>
            </w:pPr>
            <w:r w:rsidRPr="00E14060">
              <w:rPr>
                <w:sz w:val="22"/>
                <w:szCs w:val="22"/>
                <w:lang w:val="en-GB"/>
              </w:rPr>
              <w:t>-18.8 (9.4)</w:t>
            </w:r>
          </w:p>
        </w:tc>
        <w:tc>
          <w:tcPr>
            <w:tcW w:w="769" w:type="pct"/>
            <w:tcBorders>
              <w:top w:val="nil"/>
              <w:left w:val="nil"/>
              <w:bottom w:val="nil"/>
              <w:right w:val="nil"/>
            </w:tcBorders>
            <w:shd w:val="clear" w:color="000000" w:fill="FFFFFF"/>
            <w:noWrap/>
            <w:vAlign w:val="bottom"/>
            <w:hideMark/>
          </w:tcPr>
          <w:p w14:paraId="0229D610" w14:textId="77777777" w:rsidR="008200FF" w:rsidRPr="00E14060" w:rsidRDefault="008200FF" w:rsidP="00E40CF3">
            <w:pPr>
              <w:jc w:val="center"/>
              <w:rPr>
                <w:sz w:val="22"/>
                <w:szCs w:val="22"/>
                <w:lang w:val="en-GB"/>
              </w:rPr>
            </w:pPr>
            <w:r w:rsidRPr="00E14060">
              <w:rPr>
                <w:sz w:val="22"/>
                <w:szCs w:val="22"/>
                <w:lang w:val="en-GB"/>
              </w:rPr>
              <w:t>0.687</w:t>
            </w:r>
          </w:p>
        </w:tc>
        <w:tc>
          <w:tcPr>
            <w:tcW w:w="601" w:type="pct"/>
            <w:tcBorders>
              <w:top w:val="nil"/>
              <w:left w:val="nil"/>
              <w:bottom w:val="nil"/>
              <w:right w:val="nil"/>
            </w:tcBorders>
            <w:shd w:val="clear" w:color="000000" w:fill="FFFFFF"/>
            <w:noWrap/>
            <w:vAlign w:val="bottom"/>
            <w:hideMark/>
          </w:tcPr>
          <w:p w14:paraId="1A05D7E4" w14:textId="77777777" w:rsidR="008200FF" w:rsidRPr="00E14060" w:rsidRDefault="008200FF" w:rsidP="00E40CF3">
            <w:pPr>
              <w:jc w:val="center"/>
              <w:rPr>
                <w:sz w:val="22"/>
                <w:szCs w:val="22"/>
                <w:lang w:val="en-GB"/>
              </w:rPr>
            </w:pPr>
            <w:r w:rsidRPr="00E14060">
              <w:rPr>
                <w:sz w:val="22"/>
                <w:szCs w:val="22"/>
                <w:lang w:val="en-GB"/>
              </w:rPr>
              <w:t>0.708</w:t>
            </w:r>
          </w:p>
        </w:tc>
        <w:tc>
          <w:tcPr>
            <w:tcW w:w="601" w:type="pct"/>
            <w:tcBorders>
              <w:top w:val="nil"/>
              <w:left w:val="nil"/>
              <w:bottom w:val="nil"/>
              <w:right w:val="nil"/>
            </w:tcBorders>
            <w:shd w:val="clear" w:color="000000" w:fill="FFFFFF"/>
            <w:noWrap/>
            <w:vAlign w:val="bottom"/>
            <w:hideMark/>
          </w:tcPr>
          <w:p w14:paraId="6D380285" w14:textId="77777777" w:rsidR="008200FF" w:rsidRPr="00E14060" w:rsidRDefault="008200FF" w:rsidP="00E40CF3">
            <w:pPr>
              <w:jc w:val="center"/>
              <w:rPr>
                <w:sz w:val="22"/>
                <w:szCs w:val="22"/>
                <w:lang w:val="en-GB"/>
              </w:rPr>
            </w:pPr>
            <w:r w:rsidRPr="00E14060">
              <w:rPr>
                <w:sz w:val="22"/>
                <w:szCs w:val="22"/>
                <w:lang w:val="en-GB"/>
              </w:rPr>
              <w:t>0.022</w:t>
            </w:r>
          </w:p>
        </w:tc>
        <w:tc>
          <w:tcPr>
            <w:tcW w:w="601" w:type="pct"/>
            <w:tcBorders>
              <w:top w:val="nil"/>
              <w:left w:val="nil"/>
              <w:bottom w:val="nil"/>
              <w:right w:val="nil"/>
            </w:tcBorders>
            <w:shd w:val="clear" w:color="000000" w:fill="FFFFFF"/>
            <w:noWrap/>
            <w:vAlign w:val="bottom"/>
            <w:hideMark/>
          </w:tcPr>
          <w:p w14:paraId="18C59E1B" w14:textId="77777777" w:rsidR="008200FF" w:rsidRPr="00E14060" w:rsidRDefault="008200FF" w:rsidP="00E40CF3">
            <w:pPr>
              <w:jc w:val="center"/>
              <w:rPr>
                <w:sz w:val="22"/>
                <w:szCs w:val="22"/>
                <w:lang w:val="en-GB"/>
              </w:rPr>
            </w:pPr>
            <w:r w:rsidRPr="00E14060">
              <w:rPr>
                <w:sz w:val="22"/>
                <w:szCs w:val="22"/>
                <w:lang w:val="en-GB"/>
              </w:rPr>
              <w:t>0.680</w:t>
            </w:r>
          </w:p>
        </w:tc>
        <w:tc>
          <w:tcPr>
            <w:tcW w:w="601" w:type="pct"/>
            <w:tcBorders>
              <w:top w:val="nil"/>
              <w:left w:val="nil"/>
              <w:bottom w:val="nil"/>
              <w:right w:val="nil"/>
            </w:tcBorders>
            <w:shd w:val="clear" w:color="000000" w:fill="FFFFFF"/>
            <w:noWrap/>
            <w:vAlign w:val="bottom"/>
            <w:hideMark/>
          </w:tcPr>
          <w:p w14:paraId="704F39F6" w14:textId="77777777" w:rsidR="008200FF" w:rsidRPr="00E14060" w:rsidRDefault="008200FF" w:rsidP="00E40CF3">
            <w:pPr>
              <w:jc w:val="center"/>
              <w:rPr>
                <w:sz w:val="22"/>
                <w:szCs w:val="22"/>
                <w:lang w:val="en-GB"/>
              </w:rPr>
            </w:pPr>
            <w:r w:rsidRPr="00E14060">
              <w:rPr>
                <w:sz w:val="22"/>
                <w:szCs w:val="22"/>
                <w:lang w:val="en-GB"/>
              </w:rPr>
              <w:t>-0.007</w:t>
            </w:r>
          </w:p>
        </w:tc>
      </w:tr>
      <w:tr w:rsidR="006F2A62" w:rsidRPr="00E14060" w14:paraId="5737F245" w14:textId="77777777" w:rsidTr="006F2A62">
        <w:trPr>
          <w:trHeight w:val="300"/>
        </w:trPr>
        <w:tc>
          <w:tcPr>
            <w:tcW w:w="622" w:type="pct"/>
            <w:tcBorders>
              <w:top w:val="nil"/>
              <w:left w:val="nil"/>
              <w:bottom w:val="nil"/>
              <w:right w:val="nil"/>
            </w:tcBorders>
            <w:shd w:val="clear" w:color="000000" w:fill="FFFFFF"/>
            <w:noWrap/>
            <w:vAlign w:val="bottom"/>
            <w:hideMark/>
          </w:tcPr>
          <w:p w14:paraId="14E0E22B" w14:textId="77777777" w:rsidR="008200FF" w:rsidRPr="00E14060" w:rsidRDefault="008200FF" w:rsidP="00E40CF3">
            <w:pPr>
              <w:jc w:val="center"/>
              <w:rPr>
                <w:sz w:val="22"/>
                <w:szCs w:val="22"/>
                <w:lang w:val="en-GB"/>
              </w:rPr>
            </w:pPr>
            <w:r w:rsidRPr="00E14060">
              <w:rPr>
                <w:sz w:val="22"/>
                <w:szCs w:val="22"/>
                <w:lang w:val="en-GB"/>
              </w:rPr>
              <w:t>Biederman 2006</w:t>
            </w:r>
          </w:p>
        </w:tc>
        <w:tc>
          <w:tcPr>
            <w:tcW w:w="509" w:type="pct"/>
            <w:tcBorders>
              <w:top w:val="nil"/>
              <w:left w:val="nil"/>
              <w:bottom w:val="nil"/>
              <w:right w:val="nil"/>
            </w:tcBorders>
            <w:shd w:val="clear" w:color="000000" w:fill="FFFFFF"/>
            <w:noWrap/>
            <w:vAlign w:val="bottom"/>
            <w:hideMark/>
          </w:tcPr>
          <w:p w14:paraId="125135BC" w14:textId="77777777" w:rsidR="008200FF" w:rsidRPr="00E14060" w:rsidRDefault="008200FF" w:rsidP="00E40CF3">
            <w:pPr>
              <w:jc w:val="center"/>
              <w:rPr>
                <w:sz w:val="22"/>
                <w:szCs w:val="22"/>
                <w:lang w:val="en-GB"/>
              </w:rPr>
            </w:pPr>
            <w:r w:rsidRPr="00E14060">
              <w:rPr>
                <w:sz w:val="22"/>
                <w:szCs w:val="22"/>
                <w:lang w:val="en-GB"/>
              </w:rPr>
              <w:t>Placebo</w:t>
            </w:r>
          </w:p>
        </w:tc>
        <w:tc>
          <w:tcPr>
            <w:tcW w:w="696" w:type="pct"/>
            <w:tcBorders>
              <w:top w:val="nil"/>
              <w:left w:val="nil"/>
              <w:bottom w:val="nil"/>
              <w:right w:val="nil"/>
            </w:tcBorders>
            <w:shd w:val="clear" w:color="000000" w:fill="FFFFFF"/>
            <w:noWrap/>
            <w:vAlign w:val="bottom"/>
            <w:hideMark/>
          </w:tcPr>
          <w:p w14:paraId="508723EB" w14:textId="77777777" w:rsidR="008200FF" w:rsidRPr="00E14060" w:rsidRDefault="008200FF" w:rsidP="00E40CF3">
            <w:pPr>
              <w:jc w:val="center"/>
              <w:rPr>
                <w:sz w:val="22"/>
                <w:szCs w:val="22"/>
                <w:lang w:val="en-GB"/>
              </w:rPr>
            </w:pPr>
            <w:r w:rsidRPr="00E14060">
              <w:rPr>
                <w:sz w:val="22"/>
                <w:szCs w:val="22"/>
                <w:lang w:val="en-GB"/>
              </w:rPr>
              <w:t>-12.9 (9.6)</w:t>
            </w:r>
          </w:p>
        </w:tc>
        <w:tc>
          <w:tcPr>
            <w:tcW w:w="769" w:type="pct"/>
            <w:tcBorders>
              <w:top w:val="nil"/>
              <w:left w:val="nil"/>
              <w:bottom w:val="nil"/>
              <w:right w:val="nil"/>
            </w:tcBorders>
            <w:shd w:val="clear" w:color="000000" w:fill="FFFFFF"/>
            <w:noWrap/>
            <w:vAlign w:val="bottom"/>
            <w:hideMark/>
          </w:tcPr>
          <w:p w14:paraId="6B79D82B" w14:textId="77777777" w:rsidR="008200FF" w:rsidRPr="00E14060" w:rsidRDefault="008200FF" w:rsidP="00E40CF3">
            <w:pPr>
              <w:jc w:val="center"/>
              <w:rPr>
                <w:sz w:val="22"/>
                <w:szCs w:val="22"/>
                <w:lang w:val="en-GB"/>
              </w:rPr>
            </w:pPr>
            <w:r w:rsidRPr="00E14060">
              <w:rPr>
                <w:sz w:val="22"/>
                <w:szCs w:val="22"/>
                <w:lang w:val="en-GB"/>
              </w:rPr>
              <w:t>0.405</w:t>
            </w:r>
          </w:p>
        </w:tc>
        <w:tc>
          <w:tcPr>
            <w:tcW w:w="601" w:type="pct"/>
            <w:tcBorders>
              <w:top w:val="nil"/>
              <w:left w:val="nil"/>
              <w:bottom w:val="nil"/>
              <w:right w:val="nil"/>
            </w:tcBorders>
            <w:shd w:val="clear" w:color="000000" w:fill="FFFFFF"/>
            <w:noWrap/>
            <w:vAlign w:val="bottom"/>
            <w:hideMark/>
          </w:tcPr>
          <w:p w14:paraId="3C66D5BE" w14:textId="77777777" w:rsidR="008200FF" w:rsidRPr="00E14060" w:rsidRDefault="008200FF" w:rsidP="00E40CF3">
            <w:pPr>
              <w:jc w:val="center"/>
              <w:rPr>
                <w:sz w:val="22"/>
                <w:szCs w:val="22"/>
                <w:lang w:val="en-GB"/>
              </w:rPr>
            </w:pPr>
            <w:r w:rsidRPr="00E14060">
              <w:rPr>
                <w:sz w:val="22"/>
                <w:szCs w:val="22"/>
                <w:lang w:val="en-GB"/>
              </w:rPr>
              <w:t>0.470</w:t>
            </w:r>
          </w:p>
        </w:tc>
        <w:tc>
          <w:tcPr>
            <w:tcW w:w="601" w:type="pct"/>
            <w:tcBorders>
              <w:top w:val="nil"/>
              <w:left w:val="nil"/>
              <w:bottom w:val="nil"/>
              <w:right w:val="nil"/>
            </w:tcBorders>
            <w:shd w:val="clear" w:color="000000" w:fill="FFFFFF"/>
            <w:noWrap/>
            <w:vAlign w:val="bottom"/>
            <w:hideMark/>
          </w:tcPr>
          <w:p w14:paraId="5022B80F" w14:textId="77777777" w:rsidR="008200FF" w:rsidRPr="00E14060" w:rsidRDefault="008200FF" w:rsidP="00E40CF3">
            <w:pPr>
              <w:jc w:val="center"/>
              <w:rPr>
                <w:sz w:val="22"/>
                <w:szCs w:val="22"/>
                <w:lang w:val="en-GB"/>
              </w:rPr>
            </w:pPr>
            <w:r w:rsidRPr="00E14060">
              <w:rPr>
                <w:sz w:val="22"/>
                <w:szCs w:val="22"/>
                <w:lang w:val="en-GB"/>
              </w:rPr>
              <w:t>0.065</w:t>
            </w:r>
          </w:p>
        </w:tc>
        <w:tc>
          <w:tcPr>
            <w:tcW w:w="601" w:type="pct"/>
            <w:tcBorders>
              <w:top w:val="nil"/>
              <w:left w:val="nil"/>
              <w:bottom w:val="nil"/>
              <w:right w:val="nil"/>
            </w:tcBorders>
            <w:shd w:val="clear" w:color="000000" w:fill="FFFFFF"/>
            <w:noWrap/>
            <w:vAlign w:val="bottom"/>
            <w:hideMark/>
          </w:tcPr>
          <w:p w14:paraId="5EFBEFB7" w14:textId="77777777" w:rsidR="008200FF" w:rsidRPr="00E14060" w:rsidRDefault="008200FF" w:rsidP="00E40CF3">
            <w:pPr>
              <w:jc w:val="center"/>
              <w:rPr>
                <w:sz w:val="22"/>
                <w:szCs w:val="22"/>
                <w:lang w:val="en-GB"/>
              </w:rPr>
            </w:pPr>
            <w:r w:rsidRPr="00E14060">
              <w:rPr>
                <w:sz w:val="22"/>
                <w:szCs w:val="22"/>
                <w:lang w:val="en-GB"/>
              </w:rPr>
              <w:t>0.439</w:t>
            </w:r>
          </w:p>
        </w:tc>
        <w:tc>
          <w:tcPr>
            <w:tcW w:w="601" w:type="pct"/>
            <w:tcBorders>
              <w:top w:val="nil"/>
              <w:left w:val="nil"/>
              <w:bottom w:val="nil"/>
              <w:right w:val="nil"/>
            </w:tcBorders>
            <w:shd w:val="clear" w:color="000000" w:fill="FFFFFF"/>
            <w:noWrap/>
            <w:vAlign w:val="bottom"/>
            <w:hideMark/>
          </w:tcPr>
          <w:p w14:paraId="02281846" w14:textId="77777777" w:rsidR="008200FF" w:rsidRPr="00E14060" w:rsidRDefault="008200FF" w:rsidP="00E40CF3">
            <w:pPr>
              <w:jc w:val="center"/>
              <w:rPr>
                <w:sz w:val="22"/>
                <w:szCs w:val="22"/>
                <w:lang w:val="en-GB"/>
              </w:rPr>
            </w:pPr>
            <w:r w:rsidRPr="00E14060">
              <w:rPr>
                <w:sz w:val="22"/>
                <w:szCs w:val="22"/>
                <w:lang w:val="en-GB"/>
              </w:rPr>
              <w:t>0.033</w:t>
            </w:r>
          </w:p>
        </w:tc>
      </w:tr>
    </w:tbl>
    <w:p w14:paraId="18562DCB" w14:textId="77777777" w:rsidR="008200FF" w:rsidRPr="00E14060" w:rsidRDefault="008200FF" w:rsidP="008200FF">
      <w:pPr>
        <w:rPr>
          <w:b/>
          <w:lang w:val="en-GB"/>
        </w:rPr>
      </w:pPr>
    </w:p>
    <w:p w14:paraId="3D277E5E" w14:textId="77777777" w:rsidR="008200FF" w:rsidRPr="00E14060" w:rsidRDefault="008200FF" w:rsidP="008200FF">
      <w:pPr>
        <w:rPr>
          <w:b/>
          <w:lang w:val="en-GB"/>
        </w:rPr>
      </w:pPr>
    </w:p>
    <w:p w14:paraId="2F27A9C7" w14:textId="77777777" w:rsidR="008200FF" w:rsidRPr="00E14060" w:rsidRDefault="008200FF" w:rsidP="008200FF">
      <w:pPr>
        <w:rPr>
          <w:b/>
          <w:lang w:val="en-GB"/>
        </w:rPr>
      </w:pPr>
    </w:p>
    <w:p w14:paraId="1FA8F1AA" w14:textId="77777777" w:rsidR="008200FF" w:rsidRPr="00E14060" w:rsidRDefault="008200FF" w:rsidP="008200FF">
      <w:pPr>
        <w:rPr>
          <w:lang w:val="en-GB"/>
        </w:rPr>
      </w:pPr>
      <w:r w:rsidRPr="00E14060">
        <w:rPr>
          <w:b/>
          <w:lang w:val="en-GB"/>
        </w:rPr>
        <w:t>Notes</w:t>
      </w:r>
      <w:r w:rsidRPr="00E14060">
        <w:rPr>
          <w:lang w:val="en-GB"/>
        </w:rPr>
        <w:t>:</w:t>
      </w:r>
    </w:p>
    <w:p w14:paraId="2F4BCD57" w14:textId="77777777" w:rsidR="008200FF" w:rsidRPr="00E14060" w:rsidRDefault="008200FF" w:rsidP="00241DBD">
      <w:pPr>
        <w:pStyle w:val="ListParagraph"/>
        <w:numPr>
          <w:ilvl w:val="0"/>
          <w:numId w:val="40"/>
        </w:numPr>
        <w:rPr>
          <w:rFonts w:ascii="Times New Roman" w:hAnsi="Times New Roman"/>
          <w:i w:val="0"/>
          <w:lang w:val="en-GB"/>
        </w:rPr>
      </w:pPr>
      <w:r w:rsidRPr="00E14060">
        <w:rPr>
          <w:rFonts w:ascii="Times New Roman" w:hAnsi="Times New Roman"/>
          <w:i w:val="0"/>
          <w:lang w:val="en-GB"/>
        </w:rPr>
        <w:lastRenderedPageBreak/>
        <w:t>The linear regression fits a quadratic model between CGI-I and ADHD-RS-IV change from baseline, uses a cut-off of predicted CGI-I ≤ 2.5 to find the corresponding cut-off in terms of ADHD-RS-IV change. Two thirds of the observations from SPD489-303 trial (both active and placebo arms) were used.</w:t>
      </w:r>
    </w:p>
    <w:p w14:paraId="0A11607F" w14:textId="77777777" w:rsidR="008200FF" w:rsidRPr="00E14060" w:rsidRDefault="008200FF" w:rsidP="00241DBD">
      <w:pPr>
        <w:pStyle w:val="ListParagraph"/>
        <w:numPr>
          <w:ilvl w:val="0"/>
          <w:numId w:val="40"/>
        </w:numPr>
        <w:rPr>
          <w:rFonts w:ascii="Times New Roman" w:hAnsi="Times New Roman"/>
          <w:i w:val="0"/>
          <w:lang w:val="en-GB"/>
        </w:rPr>
      </w:pPr>
      <w:r w:rsidRPr="00E14060">
        <w:rPr>
          <w:rFonts w:ascii="Times New Roman" w:hAnsi="Times New Roman"/>
          <w:i w:val="0"/>
          <w:lang w:val="en-GB"/>
        </w:rPr>
        <w:t>The direct estimation method finds a cutoff using ADHD-RS-IV change from baseline that gives the percentage of CGI-I response corresponding to what was observed. Two thirds of the observations from SPD489-303 trial (both active and placebo arms) were used.</w:t>
      </w:r>
    </w:p>
    <w:p w14:paraId="0354C007" w14:textId="77777777" w:rsidR="006F2A62" w:rsidRPr="00E14060" w:rsidRDefault="008200FF" w:rsidP="00241DBD">
      <w:pPr>
        <w:pStyle w:val="ListParagraph"/>
        <w:numPr>
          <w:ilvl w:val="0"/>
          <w:numId w:val="40"/>
        </w:numPr>
        <w:rPr>
          <w:rFonts w:ascii="Times New Roman" w:hAnsi="Times New Roman"/>
          <w:b/>
          <w:sz w:val="28"/>
          <w:szCs w:val="28"/>
          <w:lang w:val="en-GB"/>
        </w:rPr>
      </w:pPr>
      <w:r w:rsidRPr="00E14060">
        <w:rPr>
          <w:rFonts w:ascii="Times New Roman" w:hAnsi="Times New Roman"/>
          <w:iCs w:val="0"/>
          <w:lang w:val="en-GB"/>
        </w:rPr>
        <w:t>The Adler 2008 study corresponds to the SPD489-303 trial, and the Adler 2013 study corresponds to the SPD489-403 trial. SPD489-317 is an adolescent trial.</w:t>
      </w:r>
      <w:bookmarkStart w:id="342" w:name="_Toc384683072"/>
    </w:p>
    <w:p w14:paraId="57AF8C1A" w14:textId="65577FF1" w:rsidR="008200FF" w:rsidRPr="00E14060" w:rsidRDefault="008200FF" w:rsidP="008200FF">
      <w:pPr>
        <w:pStyle w:val="ListParagraph"/>
        <w:numPr>
          <w:ilvl w:val="0"/>
          <w:numId w:val="40"/>
        </w:numPr>
        <w:rPr>
          <w:b/>
          <w:sz w:val="28"/>
          <w:szCs w:val="28"/>
          <w:lang w:val="en-GB"/>
        </w:rPr>
      </w:pPr>
      <w:r w:rsidRPr="00E14060">
        <w:rPr>
          <w:rFonts w:ascii="Times New Roman" w:hAnsi="Times New Roman"/>
          <w:szCs w:val="28"/>
          <w:lang w:val="en-GB"/>
        </w:rPr>
        <w:br w:type="page"/>
      </w:r>
    </w:p>
    <w:p w14:paraId="049EA27B" w14:textId="77777777" w:rsidR="008200FF" w:rsidRPr="00E14060" w:rsidRDefault="008200FF" w:rsidP="008200FF">
      <w:pPr>
        <w:pStyle w:val="AGbodytext0"/>
        <w:ind w:left="720"/>
        <w:rPr>
          <w:szCs w:val="28"/>
        </w:rPr>
      </w:pPr>
    </w:p>
    <w:bookmarkEnd w:id="342"/>
    <w:p w14:paraId="54CC04C6" w14:textId="7D9CBD11" w:rsidR="008200FF" w:rsidRPr="00E14060" w:rsidRDefault="008200FF" w:rsidP="008200FF">
      <w:pPr>
        <w:pStyle w:val="AGbodytext0"/>
        <w:ind w:left="720"/>
        <w:rPr>
          <w:sz w:val="24"/>
          <w:szCs w:val="24"/>
        </w:rPr>
      </w:pPr>
      <w:r w:rsidRPr="00E14060">
        <w:rPr>
          <w:b/>
          <w:sz w:val="24"/>
          <w:szCs w:val="24"/>
        </w:rPr>
        <w:t>Step 4.</w:t>
      </w:r>
      <w:r w:rsidRPr="00E14060">
        <w:rPr>
          <w:sz w:val="24"/>
          <w:szCs w:val="24"/>
        </w:rPr>
        <w:t xml:space="preserve"> Prediction of CGI-I response</w:t>
      </w:r>
    </w:p>
    <w:tbl>
      <w:tblPr>
        <w:tblW w:w="5000" w:type="pct"/>
        <w:tblLayout w:type="fixed"/>
        <w:tblLook w:val="04A0" w:firstRow="1" w:lastRow="0" w:firstColumn="1" w:lastColumn="0" w:noHBand="0" w:noVBand="1"/>
      </w:tblPr>
      <w:tblGrid>
        <w:gridCol w:w="899"/>
        <w:gridCol w:w="1133"/>
        <w:gridCol w:w="1028"/>
        <w:gridCol w:w="1080"/>
        <w:gridCol w:w="1078"/>
        <w:gridCol w:w="1350"/>
        <w:gridCol w:w="721"/>
        <w:gridCol w:w="1350"/>
        <w:gridCol w:w="721"/>
      </w:tblGrid>
      <w:tr w:rsidR="008200FF" w:rsidRPr="00E14060" w14:paraId="7C605F7D" w14:textId="77777777" w:rsidTr="006F2A62">
        <w:trPr>
          <w:trHeight w:val="300"/>
        </w:trPr>
        <w:tc>
          <w:tcPr>
            <w:tcW w:w="5000" w:type="pct"/>
            <w:gridSpan w:val="9"/>
            <w:tcBorders>
              <w:top w:val="nil"/>
              <w:left w:val="nil"/>
              <w:bottom w:val="single" w:sz="4" w:space="0" w:color="auto"/>
              <w:right w:val="nil"/>
            </w:tcBorders>
            <w:shd w:val="clear" w:color="000000" w:fill="FFFFFF"/>
            <w:noWrap/>
            <w:vAlign w:val="center"/>
            <w:hideMark/>
          </w:tcPr>
          <w:p w14:paraId="31E013B2" w14:textId="77777777" w:rsidR="008200FF" w:rsidRPr="00E14060" w:rsidRDefault="008200FF" w:rsidP="00E40CF3">
            <w:pPr>
              <w:jc w:val="center"/>
              <w:rPr>
                <w:b/>
                <w:bCs/>
                <w:sz w:val="22"/>
                <w:szCs w:val="22"/>
                <w:lang w:val="en-GB"/>
              </w:rPr>
            </w:pPr>
            <w:r w:rsidRPr="00E14060">
              <w:rPr>
                <w:b/>
                <w:bCs/>
                <w:sz w:val="22"/>
                <w:szCs w:val="22"/>
                <w:lang w:val="en-GB"/>
              </w:rPr>
              <w:t>Table M-4. Impute CGI-I response for ATX based on ADHD-RS-IV change</w:t>
            </w:r>
          </w:p>
        </w:tc>
      </w:tr>
      <w:tr w:rsidR="006F2A62" w:rsidRPr="00E14060" w14:paraId="65595B26" w14:textId="77777777" w:rsidTr="006F2A62">
        <w:trPr>
          <w:trHeight w:val="1185"/>
        </w:trPr>
        <w:tc>
          <w:tcPr>
            <w:tcW w:w="481" w:type="pct"/>
            <w:tcBorders>
              <w:top w:val="nil"/>
              <w:left w:val="nil"/>
              <w:bottom w:val="single" w:sz="4" w:space="0" w:color="auto"/>
              <w:right w:val="nil"/>
            </w:tcBorders>
            <w:shd w:val="clear" w:color="000000" w:fill="FFFFFF"/>
            <w:vAlign w:val="bottom"/>
            <w:hideMark/>
          </w:tcPr>
          <w:p w14:paraId="183C37B9" w14:textId="77777777" w:rsidR="006F2A62" w:rsidRPr="00E14060" w:rsidRDefault="006F2A62" w:rsidP="00E40CF3">
            <w:pPr>
              <w:rPr>
                <w:b/>
                <w:bCs/>
                <w:lang w:val="en-GB"/>
              </w:rPr>
            </w:pPr>
            <w:r w:rsidRPr="00E14060">
              <w:rPr>
                <w:b/>
                <w:bCs/>
                <w:lang w:val="en-GB"/>
              </w:rPr>
              <w:t>AGID</w:t>
            </w:r>
          </w:p>
        </w:tc>
        <w:tc>
          <w:tcPr>
            <w:tcW w:w="605" w:type="pct"/>
            <w:tcBorders>
              <w:top w:val="nil"/>
              <w:left w:val="nil"/>
              <w:bottom w:val="single" w:sz="4" w:space="0" w:color="auto"/>
              <w:right w:val="nil"/>
            </w:tcBorders>
            <w:shd w:val="clear" w:color="000000" w:fill="FFFFFF"/>
            <w:vAlign w:val="bottom"/>
            <w:hideMark/>
          </w:tcPr>
          <w:p w14:paraId="59326AAE" w14:textId="77777777" w:rsidR="006F2A62" w:rsidRPr="00E14060" w:rsidRDefault="006F2A62" w:rsidP="00E40CF3">
            <w:pPr>
              <w:jc w:val="center"/>
              <w:rPr>
                <w:b/>
                <w:bCs/>
                <w:lang w:val="en-GB"/>
              </w:rPr>
            </w:pPr>
            <w:r w:rsidRPr="00E14060">
              <w:rPr>
                <w:b/>
                <w:bCs/>
                <w:lang w:val="en-GB"/>
              </w:rPr>
              <w:t>Author year</w:t>
            </w:r>
          </w:p>
        </w:tc>
        <w:tc>
          <w:tcPr>
            <w:tcW w:w="549" w:type="pct"/>
            <w:tcBorders>
              <w:top w:val="nil"/>
              <w:left w:val="nil"/>
              <w:bottom w:val="single" w:sz="4" w:space="0" w:color="auto"/>
              <w:right w:val="nil"/>
            </w:tcBorders>
            <w:shd w:val="clear" w:color="000000" w:fill="FFFFFF"/>
            <w:vAlign w:val="bottom"/>
            <w:hideMark/>
          </w:tcPr>
          <w:p w14:paraId="1685B3E8" w14:textId="41363C06" w:rsidR="006F2A62" w:rsidRPr="00E14060" w:rsidRDefault="006F2A62" w:rsidP="006F2A62">
            <w:pPr>
              <w:jc w:val="center"/>
              <w:rPr>
                <w:b/>
                <w:bCs/>
                <w:lang w:val="en-GB"/>
              </w:rPr>
            </w:pPr>
            <w:r w:rsidRPr="00E14060">
              <w:rPr>
                <w:b/>
                <w:bCs/>
                <w:lang w:val="en-GB"/>
              </w:rPr>
              <w:t>Arm</w:t>
            </w:r>
          </w:p>
        </w:tc>
        <w:tc>
          <w:tcPr>
            <w:tcW w:w="577" w:type="pct"/>
            <w:tcBorders>
              <w:top w:val="nil"/>
              <w:left w:val="nil"/>
              <w:bottom w:val="single" w:sz="4" w:space="0" w:color="auto"/>
              <w:right w:val="nil"/>
            </w:tcBorders>
            <w:shd w:val="clear" w:color="000000" w:fill="FFFFFF"/>
            <w:vAlign w:val="bottom"/>
            <w:hideMark/>
          </w:tcPr>
          <w:p w14:paraId="22538235" w14:textId="77777777" w:rsidR="006F2A62" w:rsidRPr="00E14060" w:rsidRDefault="006F2A62" w:rsidP="00E40CF3">
            <w:pPr>
              <w:jc w:val="center"/>
              <w:rPr>
                <w:b/>
                <w:bCs/>
                <w:lang w:val="en-GB"/>
              </w:rPr>
            </w:pPr>
            <w:r w:rsidRPr="00E14060">
              <w:rPr>
                <w:b/>
                <w:bCs/>
                <w:lang w:val="en-GB"/>
              </w:rPr>
              <w:t>Actual Change in ADHD-RS-IV (mean)</w:t>
            </w:r>
          </w:p>
        </w:tc>
        <w:tc>
          <w:tcPr>
            <w:tcW w:w="576" w:type="pct"/>
            <w:tcBorders>
              <w:top w:val="nil"/>
              <w:left w:val="nil"/>
              <w:bottom w:val="single" w:sz="4" w:space="0" w:color="auto"/>
              <w:right w:val="nil"/>
            </w:tcBorders>
            <w:shd w:val="clear" w:color="000000" w:fill="FFFFFF"/>
            <w:vAlign w:val="bottom"/>
            <w:hideMark/>
          </w:tcPr>
          <w:p w14:paraId="1B5D542B" w14:textId="327A1850" w:rsidR="006F2A62" w:rsidRPr="00E14060" w:rsidRDefault="006F2A62" w:rsidP="006F2A62">
            <w:pPr>
              <w:jc w:val="center"/>
              <w:rPr>
                <w:b/>
                <w:bCs/>
                <w:lang w:val="en-GB"/>
              </w:rPr>
            </w:pPr>
            <w:r w:rsidRPr="00E14060">
              <w:rPr>
                <w:b/>
                <w:bCs/>
                <w:lang w:val="en-GB"/>
              </w:rPr>
              <w:t>Actual Change in ADHD-RS-IV (SD)</w:t>
            </w:r>
          </w:p>
        </w:tc>
        <w:tc>
          <w:tcPr>
            <w:tcW w:w="721" w:type="pct"/>
            <w:tcBorders>
              <w:top w:val="nil"/>
              <w:left w:val="nil"/>
              <w:bottom w:val="single" w:sz="4" w:space="0" w:color="auto"/>
              <w:right w:val="nil"/>
            </w:tcBorders>
            <w:shd w:val="clear" w:color="000000" w:fill="FFFFFF"/>
            <w:vAlign w:val="bottom"/>
            <w:hideMark/>
          </w:tcPr>
          <w:p w14:paraId="6672AECA" w14:textId="77777777" w:rsidR="006F2A62" w:rsidRPr="00E14060" w:rsidRDefault="006F2A62" w:rsidP="00E40CF3">
            <w:pPr>
              <w:jc w:val="center"/>
              <w:rPr>
                <w:b/>
                <w:bCs/>
                <w:lang w:val="en-GB"/>
              </w:rPr>
            </w:pPr>
            <w:r w:rsidRPr="00E14060">
              <w:rPr>
                <w:b/>
                <w:bCs/>
                <w:lang w:val="en-GB"/>
              </w:rPr>
              <w:t>Extrapolated % CGI-I response, quadratic regression (Goodman)</w:t>
            </w:r>
          </w:p>
        </w:tc>
        <w:tc>
          <w:tcPr>
            <w:tcW w:w="385" w:type="pct"/>
            <w:tcBorders>
              <w:top w:val="nil"/>
              <w:left w:val="nil"/>
              <w:bottom w:val="single" w:sz="4" w:space="0" w:color="auto"/>
              <w:right w:val="nil"/>
            </w:tcBorders>
            <w:shd w:val="clear" w:color="000000" w:fill="FFFFFF"/>
            <w:vAlign w:val="bottom"/>
            <w:hideMark/>
          </w:tcPr>
          <w:p w14:paraId="58A86BED" w14:textId="77777777" w:rsidR="006F2A62" w:rsidRPr="00E14060" w:rsidRDefault="006F2A62" w:rsidP="00E40CF3">
            <w:pPr>
              <w:jc w:val="center"/>
              <w:rPr>
                <w:b/>
                <w:bCs/>
                <w:lang w:val="en-GB"/>
              </w:rPr>
            </w:pPr>
            <w:r w:rsidRPr="00E14060">
              <w:rPr>
                <w:b/>
                <w:bCs/>
                <w:lang w:val="en-GB"/>
              </w:rPr>
              <w:t>r / n</w:t>
            </w:r>
          </w:p>
        </w:tc>
        <w:tc>
          <w:tcPr>
            <w:tcW w:w="721" w:type="pct"/>
            <w:tcBorders>
              <w:top w:val="nil"/>
              <w:left w:val="nil"/>
              <w:bottom w:val="single" w:sz="4" w:space="0" w:color="auto"/>
              <w:right w:val="nil"/>
            </w:tcBorders>
            <w:shd w:val="clear" w:color="000000" w:fill="FFFFFF"/>
            <w:vAlign w:val="bottom"/>
            <w:hideMark/>
          </w:tcPr>
          <w:p w14:paraId="50413631" w14:textId="77777777" w:rsidR="006F2A62" w:rsidRPr="00E14060" w:rsidRDefault="006F2A62" w:rsidP="00E40CF3">
            <w:pPr>
              <w:jc w:val="center"/>
              <w:rPr>
                <w:b/>
                <w:bCs/>
                <w:lang w:val="en-GB"/>
              </w:rPr>
            </w:pPr>
            <w:r w:rsidRPr="00E14060">
              <w:rPr>
                <w:b/>
                <w:bCs/>
                <w:lang w:val="en-GB"/>
              </w:rPr>
              <w:t>Extrapolated % CGI-I response, direct estimations</w:t>
            </w:r>
          </w:p>
        </w:tc>
        <w:tc>
          <w:tcPr>
            <w:tcW w:w="385" w:type="pct"/>
            <w:tcBorders>
              <w:top w:val="nil"/>
              <w:left w:val="nil"/>
              <w:bottom w:val="single" w:sz="4" w:space="0" w:color="auto"/>
              <w:right w:val="nil"/>
            </w:tcBorders>
            <w:shd w:val="clear" w:color="000000" w:fill="FFFFFF"/>
            <w:vAlign w:val="bottom"/>
            <w:hideMark/>
          </w:tcPr>
          <w:p w14:paraId="70C8E07F" w14:textId="77777777" w:rsidR="006F2A62" w:rsidRPr="00E14060" w:rsidRDefault="006F2A62" w:rsidP="00E40CF3">
            <w:pPr>
              <w:jc w:val="center"/>
              <w:rPr>
                <w:b/>
                <w:bCs/>
                <w:lang w:val="en-GB"/>
              </w:rPr>
            </w:pPr>
            <w:r w:rsidRPr="00E14060">
              <w:rPr>
                <w:b/>
                <w:bCs/>
                <w:lang w:val="en-GB"/>
              </w:rPr>
              <w:t>r / n</w:t>
            </w:r>
          </w:p>
        </w:tc>
      </w:tr>
      <w:tr w:rsidR="006F2A62" w:rsidRPr="00E14060" w14:paraId="1F55EF58" w14:textId="77777777" w:rsidTr="006F2A62">
        <w:trPr>
          <w:trHeight w:val="300"/>
        </w:trPr>
        <w:tc>
          <w:tcPr>
            <w:tcW w:w="481" w:type="pct"/>
            <w:tcBorders>
              <w:top w:val="nil"/>
              <w:left w:val="nil"/>
              <w:bottom w:val="nil"/>
              <w:right w:val="nil"/>
            </w:tcBorders>
            <w:shd w:val="clear" w:color="000000" w:fill="FFFFFF"/>
            <w:noWrap/>
            <w:vAlign w:val="bottom"/>
            <w:hideMark/>
          </w:tcPr>
          <w:p w14:paraId="300ABA1D" w14:textId="77777777" w:rsidR="006F2A62" w:rsidRPr="00E14060" w:rsidRDefault="006F2A62" w:rsidP="00E40CF3">
            <w:pPr>
              <w:rPr>
                <w:sz w:val="22"/>
                <w:szCs w:val="22"/>
                <w:lang w:val="en-GB"/>
              </w:rPr>
            </w:pPr>
            <w:r w:rsidRPr="00E14060">
              <w:rPr>
                <w:sz w:val="22"/>
                <w:szCs w:val="22"/>
                <w:lang w:val="en-GB"/>
              </w:rPr>
              <w:t>F25</w:t>
            </w:r>
          </w:p>
        </w:tc>
        <w:tc>
          <w:tcPr>
            <w:tcW w:w="605" w:type="pct"/>
            <w:tcBorders>
              <w:top w:val="nil"/>
              <w:left w:val="nil"/>
              <w:bottom w:val="nil"/>
              <w:right w:val="nil"/>
            </w:tcBorders>
            <w:shd w:val="clear" w:color="000000" w:fill="FFFFFF"/>
            <w:noWrap/>
            <w:vAlign w:val="bottom"/>
            <w:hideMark/>
          </w:tcPr>
          <w:p w14:paraId="2692C74C" w14:textId="77777777" w:rsidR="006F2A62" w:rsidRPr="00E14060" w:rsidRDefault="006F2A62" w:rsidP="00E40CF3">
            <w:pPr>
              <w:jc w:val="center"/>
              <w:rPr>
                <w:sz w:val="22"/>
                <w:szCs w:val="22"/>
                <w:lang w:val="en-GB"/>
              </w:rPr>
            </w:pPr>
            <w:r w:rsidRPr="00E14060">
              <w:rPr>
                <w:sz w:val="22"/>
                <w:szCs w:val="22"/>
                <w:lang w:val="en-GB"/>
              </w:rPr>
              <w:t>Weisler 2012</w:t>
            </w:r>
          </w:p>
        </w:tc>
        <w:tc>
          <w:tcPr>
            <w:tcW w:w="549" w:type="pct"/>
            <w:tcBorders>
              <w:top w:val="nil"/>
              <w:left w:val="nil"/>
              <w:bottom w:val="nil"/>
              <w:right w:val="nil"/>
            </w:tcBorders>
            <w:shd w:val="clear" w:color="000000" w:fill="FFFFFF"/>
            <w:noWrap/>
            <w:vAlign w:val="bottom"/>
            <w:hideMark/>
          </w:tcPr>
          <w:p w14:paraId="2A65BDFD" w14:textId="58A98EF1" w:rsidR="006F2A62" w:rsidRPr="00E14060" w:rsidRDefault="006F2A62" w:rsidP="006F2A62">
            <w:pPr>
              <w:jc w:val="center"/>
              <w:rPr>
                <w:sz w:val="22"/>
                <w:szCs w:val="22"/>
                <w:lang w:val="en-GB"/>
              </w:rPr>
            </w:pPr>
            <w:r w:rsidRPr="00E14060">
              <w:rPr>
                <w:sz w:val="22"/>
                <w:szCs w:val="22"/>
                <w:lang w:val="en-GB"/>
              </w:rPr>
              <w:t>ATX </w:t>
            </w:r>
          </w:p>
        </w:tc>
        <w:tc>
          <w:tcPr>
            <w:tcW w:w="577" w:type="pct"/>
            <w:tcBorders>
              <w:top w:val="nil"/>
              <w:left w:val="nil"/>
              <w:bottom w:val="nil"/>
              <w:right w:val="nil"/>
            </w:tcBorders>
            <w:shd w:val="clear" w:color="000000" w:fill="FFFFFF"/>
            <w:noWrap/>
            <w:vAlign w:val="bottom"/>
            <w:hideMark/>
          </w:tcPr>
          <w:p w14:paraId="1C364963" w14:textId="77777777" w:rsidR="006F2A62" w:rsidRPr="00E14060" w:rsidRDefault="006F2A62" w:rsidP="00E40CF3">
            <w:pPr>
              <w:jc w:val="center"/>
              <w:rPr>
                <w:sz w:val="22"/>
                <w:szCs w:val="22"/>
                <w:lang w:val="en-GB"/>
              </w:rPr>
            </w:pPr>
            <w:r w:rsidRPr="00E14060">
              <w:rPr>
                <w:sz w:val="22"/>
                <w:szCs w:val="22"/>
                <w:lang w:val="en-GB"/>
              </w:rPr>
              <w:t>-15.300</w:t>
            </w:r>
          </w:p>
        </w:tc>
        <w:tc>
          <w:tcPr>
            <w:tcW w:w="576" w:type="pct"/>
            <w:tcBorders>
              <w:top w:val="nil"/>
              <w:left w:val="nil"/>
              <w:bottom w:val="nil"/>
              <w:right w:val="nil"/>
            </w:tcBorders>
            <w:shd w:val="clear" w:color="000000" w:fill="FFFFFF"/>
            <w:noWrap/>
            <w:vAlign w:val="bottom"/>
            <w:hideMark/>
          </w:tcPr>
          <w:p w14:paraId="3C46733B" w14:textId="4E889CDE" w:rsidR="006F2A62" w:rsidRPr="00E14060" w:rsidRDefault="006F2A62" w:rsidP="006F2A62">
            <w:pPr>
              <w:jc w:val="center"/>
              <w:rPr>
                <w:sz w:val="22"/>
                <w:szCs w:val="22"/>
                <w:lang w:val="en-GB"/>
              </w:rPr>
            </w:pPr>
            <w:r w:rsidRPr="00E14060">
              <w:rPr>
                <w:sz w:val="22"/>
                <w:szCs w:val="22"/>
                <w:lang w:val="en-GB"/>
              </w:rPr>
              <w:t>14.520</w:t>
            </w:r>
          </w:p>
        </w:tc>
        <w:tc>
          <w:tcPr>
            <w:tcW w:w="721" w:type="pct"/>
            <w:tcBorders>
              <w:top w:val="nil"/>
              <w:left w:val="nil"/>
              <w:bottom w:val="nil"/>
              <w:right w:val="nil"/>
            </w:tcBorders>
            <w:shd w:val="clear" w:color="000000" w:fill="FFFFFF"/>
            <w:noWrap/>
            <w:vAlign w:val="bottom"/>
            <w:hideMark/>
          </w:tcPr>
          <w:p w14:paraId="75BF7BA4" w14:textId="77777777" w:rsidR="006F2A62" w:rsidRPr="00E14060" w:rsidRDefault="006F2A62" w:rsidP="00E40CF3">
            <w:pPr>
              <w:jc w:val="center"/>
              <w:rPr>
                <w:sz w:val="22"/>
                <w:szCs w:val="22"/>
                <w:lang w:val="en-GB"/>
              </w:rPr>
            </w:pPr>
            <w:r w:rsidRPr="00E14060">
              <w:rPr>
                <w:sz w:val="22"/>
                <w:szCs w:val="22"/>
                <w:lang w:val="en-GB"/>
              </w:rPr>
              <w:t>54.6%</w:t>
            </w:r>
          </w:p>
        </w:tc>
        <w:tc>
          <w:tcPr>
            <w:tcW w:w="385" w:type="pct"/>
            <w:tcBorders>
              <w:top w:val="nil"/>
              <w:left w:val="nil"/>
              <w:bottom w:val="nil"/>
              <w:right w:val="nil"/>
            </w:tcBorders>
            <w:shd w:val="clear" w:color="000000" w:fill="FFFFFF"/>
            <w:noWrap/>
            <w:vAlign w:val="bottom"/>
            <w:hideMark/>
          </w:tcPr>
          <w:p w14:paraId="4DF74148" w14:textId="77777777" w:rsidR="006F2A62" w:rsidRPr="00E14060" w:rsidRDefault="006F2A62" w:rsidP="00E40CF3">
            <w:pPr>
              <w:jc w:val="center"/>
              <w:rPr>
                <w:sz w:val="22"/>
                <w:szCs w:val="22"/>
                <w:lang w:val="en-GB"/>
              </w:rPr>
            </w:pPr>
            <w:r w:rsidRPr="00E14060">
              <w:rPr>
                <w:sz w:val="22"/>
                <w:szCs w:val="22"/>
                <w:lang w:val="en-GB"/>
              </w:rPr>
              <w:t>40/73</w:t>
            </w:r>
          </w:p>
        </w:tc>
        <w:tc>
          <w:tcPr>
            <w:tcW w:w="721" w:type="pct"/>
            <w:tcBorders>
              <w:top w:val="nil"/>
              <w:left w:val="nil"/>
              <w:bottom w:val="nil"/>
              <w:right w:val="nil"/>
            </w:tcBorders>
            <w:shd w:val="clear" w:color="000000" w:fill="FFFFFF"/>
            <w:noWrap/>
            <w:vAlign w:val="bottom"/>
            <w:hideMark/>
          </w:tcPr>
          <w:p w14:paraId="219046FE" w14:textId="77777777" w:rsidR="006F2A62" w:rsidRPr="00E14060" w:rsidRDefault="006F2A62" w:rsidP="00E40CF3">
            <w:pPr>
              <w:jc w:val="center"/>
              <w:rPr>
                <w:sz w:val="22"/>
                <w:szCs w:val="22"/>
                <w:lang w:val="en-GB"/>
              </w:rPr>
            </w:pPr>
            <w:r w:rsidRPr="00E14060">
              <w:rPr>
                <w:sz w:val="22"/>
                <w:szCs w:val="22"/>
                <w:lang w:val="en-GB"/>
              </w:rPr>
              <w:t>52.5%</w:t>
            </w:r>
          </w:p>
        </w:tc>
        <w:tc>
          <w:tcPr>
            <w:tcW w:w="385" w:type="pct"/>
            <w:tcBorders>
              <w:top w:val="nil"/>
              <w:left w:val="nil"/>
              <w:bottom w:val="nil"/>
              <w:right w:val="nil"/>
            </w:tcBorders>
            <w:shd w:val="clear" w:color="000000" w:fill="FFFFFF"/>
            <w:noWrap/>
            <w:vAlign w:val="bottom"/>
            <w:hideMark/>
          </w:tcPr>
          <w:p w14:paraId="37003DF7" w14:textId="77777777" w:rsidR="006F2A62" w:rsidRPr="00E14060" w:rsidRDefault="006F2A62" w:rsidP="00E40CF3">
            <w:pPr>
              <w:jc w:val="center"/>
              <w:rPr>
                <w:sz w:val="22"/>
                <w:szCs w:val="22"/>
                <w:lang w:val="en-GB"/>
              </w:rPr>
            </w:pPr>
            <w:r w:rsidRPr="00E14060">
              <w:rPr>
                <w:sz w:val="22"/>
                <w:szCs w:val="22"/>
                <w:lang w:val="en-GB"/>
              </w:rPr>
              <w:t>38/73</w:t>
            </w:r>
          </w:p>
        </w:tc>
      </w:tr>
      <w:tr w:rsidR="006F2A62" w:rsidRPr="00E14060" w14:paraId="686F478E" w14:textId="77777777" w:rsidTr="006F2A62">
        <w:trPr>
          <w:trHeight w:val="300"/>
        </w:trPr>
        <w:tc>
          <w:tcPr>
            <w:tcW w:w="481" w:type="pct"/>
            <w:tcBorders>
              <w:top w:val="nil"/>
              <w:left w:val="nil"/>
              <w:bottom w:val="single" w:sz="4" w:space="0" w:color="auto"/>
              <w:right w:val="nil"/>
            </w:tcBorders>
            <w:shd w:val="clear" w:color="000000" w:fill="FFFFFF"/>
            <w:noWrap/>
            <w:vAlign w:val="bottom"/>
            <w:hideMark/>
          </w:tcPr>
          <w:p w14:paraId="3ECBC8CD" w14:textId="77777777" w:rsidR="006F2A62" w:rsidRPr="00E14060" w:rsidRDefault="006F2A62" w:rsidP="00E40CF3">
            <w:pPr>
              <w:rPr>
                <w:sz w:val="22"/>
                <w:szCs w:val="22"/>
                <w:lang w:val="en-GB"/>
              </w:rPr>
            </w:pPr>
            <w:r w:rsidRPr="00E14060">
              <w:rPr>
                <w:sz w:val="22"/>
                <w:szCs w:val="22"/>
                <w:lang w:val="en-GB"/>
              </w:rPr>
              <w:t>F25</w:t>
            </w:r>
          </w:p>
        </w:tc>
        <w:tc>
          <w:tcPr>
            <w:tcW w:w="605" w:type="pct"/>
            <w:tcBorders>
              <w:top w:val="nil"/>
              <w:left w:val="nil"/>
              <w:bottom w:val="single" w:sz="4" w:space="0" w:color="auto"/>
              <w:right w:val="nil"/>
            </w:tcBorders>
            <w:shd w:val="clear" w:color="000000" w:fill="FFFFFF"/>
            <w:noWrap/>
            <w:vAlign w:val="bottom"/>
            <w:hideMark/>
          </w:tcPr>
          <w:p w14:paraId="2AE34567" w14:textId="77777777" w:rsidR="006F2A62" w:rsidRPr="00E14060" w:rsidRDefault="006F2A62" w:rsidP="00E40CF3">
            <w:pPr>
              <w:jc w:val="center"/>
              <w:rPr>
                <w:sz w:val="22"/>
                <w:szCs w:val="22"/>
                <w:lang w:val="en-GB"/>
              </w:rPr>
            </w:pPr>
            <w:r w:rsidRPr="00E14060">
              <w:rPr>
                <w:sz w:val="22"/>
                <w:szCs w:val="22"/>
                <w:lang w:val="en-GB"/>
              </w:rPr>
              <w:t>Weisler 2012</w:t>
            </w:r>
          </w:p>
        </w:tc>
        <w:tc>
          <w:tcPr>
            <w:tcW w:w="549" w:type="pct"/>
            <w:tcBorders>
              <w:top w:val="nil"/>
              <w:left w:val="nil"/>
              <w:bottom w:val="single" w:sz="4" w:space="0" w:color="auto"/>
              <w:right w:val="nil"/>
            </w:tcBorders>
            <w:shd w:val="clear" w:color="000000" w:fill="FFFFFF"/>
            <w:noWrap/>
            <w:vAlign w:val="bottom"/>
            <w:hideMark/>
          </w:tcPr>
          <w:p w14:paraId="16AF9D82" w14:textId="7CC84F88" w:rsidR="006F2A62" w:rsidRPr="00E14060" w:rsidRDefault="006F2A62" w:rsidP="006F2A62">
            <w:pPr>
              <w:jc w:val="center"/>
              <w:rPr>
                <w:sz w:val="22"/>
                <w:szCs w:val="22"/>
                <w:lang w:val="en-GB"/>
              </w:rPr>
            </w:pPr>
            <w:r w:rsidRPr="00E14060">
              <w:rPr>
                <w:sz w:val="22"/>
                <w:szCs w:val="22"/>
                <w:lang w:val="en-GB"/>
              </w:rPr>
              <w:t>Placebo</w:t>
            </w:r>
          </w:p>
        </w:tc>
        <w:tc>
          <w:tcPr>
            <w:tcW w:w="577" w:type="pct"/>
            <w:tcBorders>
              <w:top w:val="nil"/>
              <w:left w:val="nil"/>
              <w:bottom w:val="single" w:sz="4" w:space="0" w:color="auto"/>
              <w:right w:val="nil"/>
            </w:tcBorders>
            <w:shd w:val="clear" w:color="000000" w:fill="FFFFFF"/>
            <w:noWrap/>
            <w:vAlign w:val="bottom"/>
            <w:hideMark/>
          </w:tcPr>
          <w:p w14:paraId="6A3A3D3F" w14:textId="77777777" w:rsidR="006F2A62" w:rsidRPr="00E14060" w:rsidRDefault="006F2A62" w:rsidP="00E40CF3">
            <w:pPr>
              <w:jc w:val="center"/>
              <w:rPr>
                <w:sz w:val="22"/>
                <w:szCs w:val="22"/>
                <w:lang w:val="en-GB"/>
              </w:rPr>
            </w:pPr>
            <w:r w:rsidRPr="00E14060">
              <w:rPr>
                <w:sz w:val="22"/>
                <w:szCs w:val="22"/>
                <w:lang w:val="en-GB"/>
              </w:rPr>
              <w:t>-8.800</w:t>
            </w:r>
          </w:p>
        </w:tc>
        <w:tc>
          <w:tcPr>
            <w:tcW w:w="576" w:type="pct"/>
            <w:tcBorders>
              <w:top w:val="nil"/>
              <w:left w:val="nil"/>
              <w:bottom w:val="single" w:sz="4" w:space="0" w:color="auto"/>
              <w:right w:val="nil"/>
            </w:tcBorders>
            <w:shd w:val="clear" w:color="000000" w:fill="FFFFFF"/>
            <w:noWrap/>
            <w:vAlign w:val="bottom"/>
            <w:hideMark/>
          </w:tcPr>
          <w:p w14:paraId="2C50C91D" w14:textId="3DA0199D" w:rsidR="006F2A62" w:rsidRPr="00E14060" w:rsidRDefault="006F2A62" w:rsidP="006F2A62">
            <w:pPr>
              <w:jc w:val="center"/>
              <w:rPr>
                <w:sz w:val="22"/>
                <w:szCs w:val="22"/>
                <w:lang w:val="en-GB"/>
              </w:rPr>
            </w:pPr>
            <w:r w:rsidRPr="00E14060">
              <w:rPr>
                <w:sz w:val="22"/>
                <w:szCs w:val="22"/>
                <w:lang w:val="en-GB"/>
              </w:rPr>
              <w:t>11.740</w:t>
            </w:r>
          </w:p>
        </w:tc>
        <w:tc>
          <w:tcPr>
            <w:tcW w:w="721" w:type="pct"/>
            <w:tcBorders>
              <w:top w:val="nil"/>
              <w:left w:val="nil"/>
              <w:bottom w:val="single" w:sz="4" w:space="0" w:color="auto"/>
              <w:right w:val="nil"/>
            </w:tcBorders>
            <w:shd w:val="clear" w:color="000000" w:fill="FFFFFF"/>
            <w:noWrap/>
            <w:vAlign w:val="bottom"/>
            <w:hideMark/>
          </w:tcPr>
          <w:p w14:paraId="3240211F" w14:textId="77777777" w:rsidR="006F2A62" w:rsidRPr="00E14060" w:rsidRDefault="006F2A62" w:rsidP="00E40CF3">
            <w:pPr>
              <w:jc w:val="center"/>
              <w:rPr>
                <w:sz w:val="22"/>
                <w:szCs w:val="22"/>
                <w:lang w:val="en-GB"/>
              </w:rPr>
            </w:pPr>
            <w:r w:rsidRPr="00E14060">
              <w:rPr>
                <w:sz w:val="22"/>
                <w:szCs w:val="22"/>
                <w:lang w:val="en-GB"/>
              </w:rPr>
              <w:t>34.0%</w:t>
            </w:r>
          </w:p>
        </w:tc>
        <w:tc>
          <w:tcPr>
            <w:tcW w:w="385" w:type="pct"/>
            <w:tcBorders>
              <w:top w:val="nil"/>
              <w:left w:val="nil"/>
              <w:bottom w:val="single" w:sz="4" w:space="0" w:color="auto"/>
              <w:right w:val="nil"/>
            </w:tcBorders>
            <w:shd w:val="clear" w:color="000000" w:fill="FFFFFF"/>
            <w:noWrap/>
            <w:vAlign w:val="bottom"/>
            <w:hideMark/>
          </w:tcPr>
          <w:p w14:paraId="614375F4" w14:textId="77777777" w:rsidR="006F2A62" w:rsidRPr="00E14060" w:rsidRDefault="006F2A62" w:rsidP="00E40CF3">
            <w:pPr>
              <w:jc w:val="center"/>
              <w:rPr>
                <w:sz w:val="22"/>
                <w:szCs w:val="22"/>
                <w:lang w:val="en-GB"/>
              </w:rPr>
            </w:pPr>
            <w:r w:rsidRPr="00E14060">
              <w:rPr>
                <w:sz w:val="22"/>
                <w:szCs w:val="22"/>
                <w:lang w:val="en-GB"/>
              </w:rPr>
              <w:t>25/73</w:t>
            </w:r>
          </w:p>
        </w:tc>
        <w:tc>
          <w:tcPr>
            <w:tcW w:w="721" w:type="pct"/>
            <w:tcBorders>
              <w:top w:val="nil"/>
              <w:left w:val="nil"/>
              <w:bottom w:val="single" w:sz="4" w:space="0" w:color="auto"/>
              <w:right w:val="nil"/>
            </w:tcBorders>
            <w:shd w:val="clear" w:color="000000" w:fill="FFFFFF"/>
            <w:noWrap/>
            <w:vAlign w:val="bottom"/>
            <w:hideMark/>
          </w:tcPr>
          <w:p w14:paraId="74110DB8" w14:textId="77777777" w:rsidR="006F2A62" w:rsidRPr="00E14060" w:rsidRDefault="006F2A62" w:rsidP="00E40CF3">
            <w:pPr>
              <w:jc w:val="center"/>
              <w:rPr>
                <w:sz w:val="22"/>
                <w:szCs w:val="22"/>
                <w:lang w:val="en-GB"/>
              </w:rPr>
            </w:pPr>
            <w:r w:rsidRPr="00E14060">
              <w:rPr>
                <w:sz w:val="22"/>
                <w:szCs w:val="22"/>
                <w:lang w:val="en-GB"/>
              </w:rPr>
              <w:t>31.7%</w:t>
            </w:r>
          </w:p>
        </w:tc>
        <w:tc>
          <w:tcPr>
            <w:tcW w:w="385" w:type="pct"/>
            <w:tcBorders>
              <w:top w:val="nil"/>
              <w:left w:val="nil"/>
              <w:bottom w:val="single" w:sz="4" w:space="0" w:color="auto"/>
              <w:right w:val="nil"/>
            </w:tcBorders>
            <w:shd w:val="clear" w:color="000000" w:fill="FFFFFF"/>
            <w:noWrap/>
            <w:vAlign w:val="bottom"/>
            <w:hideMark/>
          </w:tcPr>
          <w:p w14:paraId="4D484441" w14:textId="77777777" w:rsidR="006F2A62" w:rsidRPr="00E14060" w:rsidRDefault="006F2A62" w:rsidP="00E40CF3">
            <w:pPr>
              <w:jc w:val="center"/>
              <w:rPr>
                <w:sz w:val="22"/>
                <w:szCs w:val="22"/>
                <w:lang w:val="en-GB"/>
              </w:rPr>
            </w:pPr>
            <w:r w:rsidRPr="00E14060">
              <w:rPr>
                <w:sz w:val="22"/>
                <w:szCs w:val="22"/>
                <w:lang w:val="en-GB"/>
              </w:rPr>
              <w:t>23/73</w:t>
            </w:r>
          </w:p>
        </w:tc>
      </w:tr>
      <w:tr w:rsidR="006F2A62" w:rsidRPr="00E14060" w14:paraId="21998399" w14:textId="77777777" w:rsidTr="006F2A62">
        <w:trPr>
          <w:trHeight w:val="300"/>
        </w:trPr>
        <w:tc>
          <w:tcPr>
            <w:tcW w:w="481" w:type="pct"/>
            <w:tcBorders>
              <w:top w:val="nil"/>
              <w:left w:val="nil"/>
              <w:bottom w:val="nil"/>
              <w:right w:val="nil"/>
            </w:tcBorders>
            <w:shd w:val="clear" w:color="auto" w:fill="auto"/>
            <w:noWrap/>
            <w:vAlign w:val="bottom"/>
            <w:hideMark/>
          </w:tcPr>
          <w:p w14:paraId="1018F98A" w14:textId="77777777" w:rsidR="006F2A62" w:rsidRPr="00E14060" w:rsidRDefault="006F2A62" w:rsidP="00E40CF3">
            <w:pPr>
              <w:rPr>
                <w:sz w:val="22"/>
                <w:szCs w:val="22"/>
                <w:lang w:val="en-GB"/>
              </w:rPr>
            </w:pPr>
            <w:r w:rsidRPr="00E14060">
              <w:rPr>
                <w:sz w:val="22"/>
                <w:szCs w:val="22"/>
                <w:lang w:val="en-GB"/>
              </w:rPr>
              <w:t> </w:t>
            </w:r>
          </w:p>
        </w:tc>
        <w:tc>
          <w:tcPr>
            <w:tcW w:w="1731" w:type="pct"/>
            <w:gridSpan w:val="3"/>
            <w:tcBorders>
              <w:top w:val="single" w:sz="4" w:space="0" w:color="auto"/>
              <w:left w:val="nil"/>
              <w:bottom w:val="nil"/>
              <w:right w:val="nil"/>
            </w:tcBorders>
            <w:shd w:val="clear" w:color="auto" w:fill="auto"/>
            <w:noWrap/>
            <w:vAlign w:val="bottom"/>
            <w:hideMark/>
          </w:tcPr>
          <w:p w14:paraId="2929ECA4" w14:textId="77777777" w:rsidR="006F2A62" w:rsidRPr="00E14060" w:rsidRDefault="006F2A62" w:rsidP="00E40CF3">
            <w:pPr>
              <w:ind w:firstLineChars="200" w:firstLine="440"/>
              <w:rPr>
                <w:sz w:val="22"/>
                <w:szCs w:val="22"/>
                <w:lang w:val="en-GB"/>
              </w:rPr>
            </w:pPr>
            <w:r w:rsidRPr="00E14060">
              <w:rPr>
                <w:sz w:val="22"/>
                <w:szCs w:val="22"/>
                <w:lang w:val="en-GB"/>
              </w:rPr>
              <w:t>Relative risk (ATX vs. placebo):</w:t>
            </w:r>
          </w:p>
        </w:tc>
        <w:tc>
          <w:tcPr>
            <w:tcW w:w="576" w:type="pct"/>
            <w:tcBorders>
              <w:top w:val="nil"/>
              <w:left w:val="nil"/>
              <w:bottom w:val="nil"/>
              <w:right w:val="nil"/>
            </w:tcBorders>
            <w:shd w:val="clear" w:color="auto" w:fill="auto"/>
            <w:noWrap/>
            <w:vAlign w:val="bottom"/>
            <w:hideMark/>
          </w:tcPr>
          <w:p w14:paraId="5A60D536" w14:textId="2640FBEF" w:rsidR="006F2A62" w:rsidRPr="00E14060" w:rsidRDefault="006F2A62" w:rsidP="006F2A62">
            <w:pPr>
              <w:rPr>
                <w:sz w:val="22"/>
                <w:szCs w:val="22"/>
                <w:lang w:val="en-GB"/>
              </w:rPr>
            </w:pPr>
            <w:r w:rsidRPr="00E14060">
              <w:rPr>
                <w:sz w:val="22"/>
                <w:szCs w:val="22"/>
                <w:lang w:val="en-GB"/>
              </w:rPr>
              <w:t> </w:t>
            </w:r>
          </w:p>
        </w:tc>
        <w:tc>
          <w:tcPr>
            <w:tcW w:w="721" w:type="pct"/>
            <w:tcBorders>
              <w:top w:val="nil"/>
              <w:left w:val="nil"/>
              <w:bottom w:val="nil"/>
              <w:right w:val="nil"/>
            </w:tcBorders>
            <w:shd w:val="clear" w:color="auto" w:fill="auto"/>
            <w:noWrap/>
            <w:vAlign w:val="bottom"/>
            <w:hideMark/>
          </w:tcPr>
          <w:p w14:paraId="4FE06842" w14:textId="77777777" w:rsidR="006F2A62" w:rsidRPr="00E14060" w:rsidRDefault="006F2A62" w:rsidP="00E40CF3">
            <w:pPr>
              <w:jc w:val="center"/>
              <w:rPr>
                <w:sz w:val="22"/>
                <w:szCs w:val="22"/>
                <w:lang w:val="en-GB"/>
              </w:rPr>
            </w:pPr>
            <w:r w:rsidRPr="00E14060">
              <w:rPr>
                <w:sz w:val="22"/>
                <w:szCs w:val="22"/>
                <w:lang w:val="en-GB"/>
              </w:rPr>
              <w:t>1.60</w:t>
            </w:r>
          </w:p>
        </w:tc>
        <w:tc>
          <w:tcPr>
            <w:tcW w:w="385" w:type="pct"/>
            <w:tcBorders>
              <w:top w:val="nil"/>
              <w:left w:val="nil"/>
              <w:bottom w:val="nil"/>
              <w:right w:val="nil"/>
            </w:tcBorders>
            <w:shd w:val="clear" w:color="auto" w:fill="auto"/>
            <w:noWrap/>
            <w:vAlign w:val="bottom"/>
            <w:hideMark/>
          </w:tcPr>
          <w:p w14:paraId="6F0C9E8A" w14:textId="77777777" w:rsidR="006F2A62" w:rsidRPr="00E14060" w:rsidRDefault="006F2A62" w:rsidP="00E40CF3">
            <w:pPr>
              <w:rPr>
                <w:sz w:val="22"/>
                <w:szCs w:val="22"/>
                <w:lang w:val="en-GB"/>
              </w:rPr>
            </w:pPr>
            <w:r w:rsidRPr="00E14060">
              <w:rPr>
                <w:sz w:val="22"/>
                <w:szCs w:val="22"/>
                <w:lang w:val="en-GB"/>
              </w:rPr>
              <w:t> </w:t>
            </w:r>
          </w:p>
        </w:tc>
        <w:tc>
          <w:tcPr>
            <w:tcW w:w="721" w:type="pct"/>
            <w:tcBorders>
              <w:top w:val="nil"/>
              <w:left w:val="nil"/>
              <w:bottom w:val="nil"/>
              <w:right w:val="nil"/>
            </w:tcBorders>
            <w:shd w:val="clear" w:color="auto" w:fill="auto"/>
            <w:noWrap/>
            <w:vAlign w:val="bottom"/>
            <w:hideMark/>
          </w:tcPr>
          <w:p w14:paraId="522B09EB" w14:textId="77777777" w:rsidR="006F2A62" w:rsidRPr="00E14060" w:rsidRDefault="006F2A62" w:rsidP="00E40CF3">
            <w:pPr>
              <w:jc w:val="center"/>
              <w:rPr>
                <w:sz w:val="22"/>
                <w:szCs w:val="22"/>
                <w:lang w:val="en-GB"/>
              </w:rPr>
            </w:pPr>
            <w:r w:rsidRPr="00E14060">
              <w:rPr>
                <w:sz w:val="22"/>
                <w:szCs w:val="22"/>
                <w:lang w:val="en-GB"/>
              </w:rPr>
              <w:t>1.66</w:t>
            </w:r>
          </w:p>
        </w:tc>
        <w:tc>
          <w:tcPr>
            <w:tcW w:w="385" w:type="pct"/>
            <w:tcBorders>
              <w:top w:val="nil"/>
              <w:left w:val="nil"/>
              <w:bottom w:val="nil"/>
              <w:right w:val="nil"/>
            </w:tcBorders>
            <w:shd w:val="clear" w:color="auto" w:fill="auto"/>
            <w:noWrap/>
            <w:vAlign w:val="bottom"/>
            <w:hideMark/>
          </w:tcPr>
          <w:p w14:paraId="58286AE4" w14:textId="77777777" w:rsidR="006F2A62" w:rsidRPr="00E14060" w:rsidRDefault="006F2A62" w:rsidP="00E40CF3">
            <w:pPr>
              <w:rPr>
                <w:sz w:val="22"/>
                <w:szCs w:val="22"/>
                <w:lang w:val="en-GB"/>
              </w:rPr>
            </w:pPr>
            <w:r w:rsidRPr="00E14060">
              <w:rPr>
                <w:sz w:val="22"/>
                <w:szCs w:val="22"/>
                <w:lang w:val="en-GB"/>
              </w:rPr>
              <w:t> </w:t>
            </w:r>
          </w:p>
        </w:tc>
      </w:tr>
      <w:tr w:rsidR="006F2A62" w:rsidRPr="00E14060" w14:paraId="6CFDDD9E" w14:textId="77777777" w:rsidTr="006F2A62">
        <w:trPr>
          <w:trHeight w:val="300"/>
        </w:trPr>
        <w:tc>
          <w:tcPr>
            <w:tcW w:w="481" w:type="pct"/>
            <w:tcBorders>
              <w:top w:val="nil"/>
              <w:left w:val="nil"/>
              <w:bottom w:val="single" w:sz="4" w:space="0" w:color="auto"/>
              <w:right w:val="nil"/>
            </w:tcBorders>
            <w:shd w:val="clear" w:color="auto" w:fill="auto"/>
            <w:noWrap/>
            <w:vAlign w:val="bottom"/>
            <w:hideMark/>
          </w:tcPr>
          <w:p w14:paraId="195A4519" w14:textId="77777777" w:rsidR="006F2A62" w:rsidRPr="00E14060" w:rsidRDefault="006F2A62" w:rsidP="00E40CF3">
            <w:pPr>
              <w:rPr>
                <w:sz w:val="22"/>
                <w:szCs w:val="22"/>
                <w:lang w:val="en-GB"/>
              </w:rPr>
            </w:pPr>
            <w:r w:rsidRPr="00E14060">
              <w:rPr>
                <w:sz w:val="22"/>
                <w:szCs w:val="22"/>
                <w:lang w:val="en-GB"/>
              </w:rPr>
              <w:t> </w:t>
            </w:r>
          </w:p>
        </w:tc>
        <w:tc>
          <w:tcPr>
            <w:tcW w:w="1731" w:type="pct"/>
            <w:gridSpan w:val="3"/>
            <w:tcBorders>
              <w:top w:val="nil"/>
              <w:left w:val="nil"/>
              <w:bottom w:val="single" w:sz="4" w:space="0" w:color="auto"/>
              <w:right w:val="nil"/>
            </w:tcBorders>
            <w:shd w:val="clear" w:color="auto" w:fill="auto"/>
            <w:noWrap/>
            <w:vAlign w:val="bottom"/>
            <w:hideMark/>
          </w:tcPr>
          <w:p w14:paraId="3719929F" w14:textId="77777777" w:rsidR="006F2A62" w:rsidRPr="00E14060" w:rsidRDefault="006F2A62" w:rsidP="00E40CF3">
            <w:pPr>
              <w:ind w:firstLineChars="200" w:firstLine="440"/>
              <w:rPr>
                <w:sz w:val="22"/>
                <w:szCs w:val="22"/>
                <w:lang w:val="en-GB"/>
              </w:rPr>
            </w:pPr>
            <w:r w:rsidRPr="00E14060">
              <w:rPr>
                <w:sz w:val="22"/>
                <w:szCs w:val="22"/>
                <w:lang w:val="en-GB"/>
              </w:rPr>
              <w:t>Odds ratio (ATX vs. placebo):</w:t>
            </w:r>
          </w:p>
        </w:tc>
        <w:tc>
          <w:tcPr>
            <w:tcW w:w="576" w:type="pct"/>
            <w:tcBorders>
              <w:top w:val="nil"/>
              <w:left w:val="nil"/>
              <w:bottom w:val="single" w:sz="4" w:space="0" w:color="auto"/>
              <w:right w:val="nil"/>
            </w:tcBorders>
            <w:shd w:val="clear" w:color="auto" w:fill="auto"/>
            <w:noWrap/>
            <w:vAlign w:val="bottom"/>
            <w:hideMark/>
          </w:tcPr>
          <w:p w14:paraId="76F78F2C" w14:textId="6D79B591" w:rsidR="006F2A62" w:rsidRPr="00E14060" w:rsidRDefault="006F2A62" w:rsidP="00E40CF3">
            <w:pPr>
              <w:rPr>
                <w:sz w:val="22"/>
                <w:szCs w:val="22"/>
                <w:lang w:val="en-GB"/>
              </w:rPr>
            </w:pPr>
            <w:r w:rsidRPr="00E14060">
              <w:rPr>
                <w:sz w:val="22"/>
                <w:szCs w:val="22"/>
                <w:lang w:val="en-GB"/>
              </w:rPr>
              <w:t> </w:t>
            </w:r>
          </w:p>
        </w:tc>
        <w:tc>
          <w:tcPr>
            <w:tcW w:w="721" w:type="pct"/>
            <w:tcBorders>
              <w:top w:val="nil"/>
              <w:left w:val="nil"/>
              <w:bottom w:val="single" w:sz="4" w:space="0" w:color="auto"/>
              <w:right w:val="nil"/>
            </w:tcBorders>
            <w:shd w:val="clear" w:color="auto" w:fill="auto"/>
            <w:noWrap/>
            <w:vAlign w:val="bottom"/>
            <w:hideMark/>
          </w:tcPr>
          <w:p w14:paraId="123C7E4D" w14:textId="77777777" w:rsidR="006F2A62" w:rsidRPr="00E14060" w:rsidRDefault="006F2A62" w:rsidP="00E40CF3">
            <w:pPr>
              <w:jc w:val="center"/>
              <w:rPr>
                <w:sz w:val="22"/>
                <w:szCs w:val="22"/>
                <w:lang w:val="en-GB"/>
              </w:rPr>
            </w:pPr>
            <w:r w:rsidRPr="00E14060">
              <w:rPr>
                <w:sz w:val="22"/>
                <w:szCs w:val="22"/>
                <w:lang w:val="en-GB"/>
              </w:rPr>
              <w:t>2.33</w:t>
            </w:r>
          </w:p>
        </w:tc>
        <w:tc>
          <w:tcPr>
            <w:tcW w:w="385" w:type="pct"/>
            <w:tcBorders>
              <w:top w:val="nil"/>
              <w:left w:val="nil"/>
              <w:bottom w:val="single" w:sz="4" w:space="0" w:color="auto"/>
              <w:right w:val="nil"/>
            </w:tcBorders>
            <w:shd w:val="clear" w:color="auto" w:fill="auto"/>
            <w:noWrap/>
            <w:vAlign w:val="bottom"/>
            <w:hideMark/>
          </w:tcPr>
          <w:p w14:paraId="35C6186E" w14:textId="77777777" w:rsidR="006F2A62" w:rsidRPr="00E14060" w:rsidRDefault="006F2A62" w:rsidP="00E40CF3">
            <w:pPr>
              <w:rPr>
                <w:sz w:val="22"/>
                <w:szCs w:val="22"/>
                <w:lang w:val="en-GB"/>
              </w:rPr>
            </w:pPr>
            <w:r w:rsidRPr="00E14060">
              <w:rPr>
                <w:sz w:val="22"/>
                <w:szCs w:val="22"/>
                <w:lang w:val="en-GB"/>
              </w:rPr>
              <w:t> </w:t>
            </w:r>
          </w:p>
        </w:tc>
        <w:tc>
          <w:tcPr>
            <w:tcW w:w="721" w:type="pct"/>
            <w:tcBorders>
              <w:top w:val="nil"/>
              <w:left w:val="nil"/>
              <w:bottom w:val="single" w:sz="4" w:space="0" w:color="auto"/>
              <w:right w:val="nil"/>
            </w:tcBorders>
            <w:shd w:val="clear" w:color="auto" w:fill="auto"/>
            <w:noWrap/>
            <w:vAlign w:val="bottom"/>
            <w:hideMark/>
          </w:tcPr>
          <w:p w14:paraId="0BA4003E" w14:textId="77777777" w:rsidR="006F2A62" w:rsidRPr="00E14060" w:rsidRDefault="006F2A62" w:rsidP="00E40CF3">
            <w:pPr>
              <w:jc w:val="center"/>
              <w:rPr>
                <w:sz w:val="22"/>
                <w:szCs w:val="22"/>
                <w:lang w:val="en-GB"/>
              </w:rPr>
            </w:pPr>
            <w:r w:rsidRPr="00E14060">
              <w:rPr>
                <w:sz w:val="22"/>
                <w:szCs w:val="22"/>
                <w:lang w:val="en-GB"/>
              </w:rPr>
              <w:t>2.38</w:t>
            </w:r>
          </w:p>
        </w:tc>
        <w:tc>
          <w:tcPr>
            <w:tcW w:w="385" w:type="pct"/>
            <w:tcBorders>
              <w:top w:val="nil"/>
              <w:left w:val="nil"/>
              <w:bottom w:val="single" w:sz="4" w:space="0" w:color="auto"/>
              <w:right w:val="nil"/>
            </w:tcBorders>
            <w:shd w:val="clear" w:color="auto" w:fill="auto"/>
            <w:noWrap/>
            <w:vAlign w:val="bottom"/>
            <w:hideMark/>
          </w:tcPr>
          <w:p w14:paraId="2DA9FA8E" w14:textId="77777777" w:rsidR="006F2A62" w:rsidRPr="00E14060" w:rsidRDefault="006F2A62" w:rsidP="00E40CF3">
            <w:pPr>
              <w:rPr>
                <w:sz w:val="22"/>
                <w:szCs w:val="22"/>
                <w:lang w:val="en-GB"/>
              </w:rPr>
            </w:pPr>
            <w:r w:rsidRPr="00E14060">
              <w:rPr>
                <w:sz w:val="22"/>
                <w:szCs w:val="22"/>
                <w:lang w:val="en-GB"/>
              </w:rPr>
              <w:t> </w:t>
            </w:r>
          </w:p>
        </w:tc>
      </w:tr>
    </w:tbl>
    <w:p w14:paraId="622BF3E7" w14:textId="77777777" w:rsidR="008200FF" w:rsidRPr="00E14060" w:rsidRDefault="008200FF" w:rsidP="008200FF">
      <w:pPr>
        <w:pStyle w:val="AGbodytext0"/>
      </w:pPr>
    </w:p>
    <w:p w14:paraId="4B38C859" w14:textId="32F68913" w:rsidR="008200FF" w:rsidRPr="00E14060" w:rsidRDefault="008200FF" w:rsidP="008200FF">
      <w:pPr>
        <w:rPr>
          <w:sz w:val="22"/>
          <w:szCs w:val="22"/>
          <w:lang w:val="en-GB"/>
        </w:rPr>
      </w:pPr>
    </w:p>
    <w:p w14:paraId="0E4CF8C7" w14:textId="77777777" w:rsidR="006F2A62" w:rsidRPr="00E14060" w:rsidRDefault="006F2A62">
      <w:pPr>
        <w:rPr>
          <w:b/>
          <w:sz w:val="24"/>
          <w:szCs w:val="24"/>
          <w:lang w:val="en-GB"/>
        </w:rPr>
      </w:pPr>
      <w:r w:rsidRPr="00E14060">
        <w:rPr>
          <w:b/>
          <w:sz w:val="24"/>
          <w:szCs w:val="24"/>
          <w:lang w:val="en-GB"/>
        </w:rPr>
        <w:br w:type="page"/>
      </w:r>
    </w:p>
    <w:p w14:paraId="5C6AD998" w14:textId="69196538" w:rsidR="008200FF" w:rsidRPr="00E14060" w:rsidRDefault="008200FF" w:rsidP="008200FF">
      <w:pPr>
        <w:pStyle w:val="AGbodytext0"/>
        <w:ind w:left="720"/>
        <w:rPr>
          <w:sz w:val="24"/>
          <w:szCs w:val="24"/>
        </w:rPr>
      </w:pPr>
      <w:r w:rsidRPr="00E14060">
        <w:rPr>
          <w:b/>
          <w:sz w:val="24"/>
          <w:szCs w:val="24"/>
        </w:rPr>
        <w:lastRenderedPageBreak/>
        <w:t>Table 4, continued</w:t>
      </w:r>
    </w:p>
    <w:tbl>
      <w:tblPr>
        <w:tblW w:w="5000" w:type="pct"/>
        <w:tblLook w:val="04A0" w:firstRow="1" w:lastRow="0" w:firstColumn="1" w:lastColumn="0" w:noHBand="0" w:noVBand="1"/>
      </w:tblPr>
      <w:tblGrid>
        <w:gridCol w:w="715"/>
        <w:gridCol w:w="1600"/>
        <w:gridCol w:w="962"/>
        <w:gridCol w:w="850"/>
        <w:gridCol w:w="843"/>
        <w:gridCol w:w="1289"/>
        <w:gridCol w:w="906"/>
        <w:gridCol w:w="1289"/>
        <w:gridCol w:w="906"/>
      </w:tblGrid>
      <w:tr w:rsidR="008200FF" w:rsidRPr="00E14060" w14:paraId="1B5E9F59" w14:textId="77777777" w:rsidTr="006F2A62">
        <w:trPr>
          <w:trHeight w:val="300"/>
        </w:trPr>
        <w:tc>
          <w:tcPr>
            <w:tcW w:w="5000" w:type="pct"/>
            <w:gridSpan w:val="9"/>
            <w:tcBorders>
              <w:top w:val="nil"/>
              <w:left w:val="nil"/>
              <w:bottom w:val="single" w:sz="4" w:space="0" w:color="auto"/>
              <w:right w:val="nil"/>
            </w:tcBorders>
            <w:shd w:val="clear" w:color="000000" w:fill="FFFFFF"/>
            <w:noWrap/>
            <w:vAlign w:val="center"/>
            <w:hideMark/>
          </w:tcPr>
          <w:p w14:paraId="0A2A7F34" w14:textId="77777777" w:rsidR="008200FF" w:rsidRPr="00E14060" w:rsidRDefault="008200FF" w:rsidP="00E40CF3">
            <w:pPr>
              <w:jc w:val="center"/>
              <w:rPr>
                <w:b/>
                <w:bCs/>
                <w:sz w:val="22"/>
                <w:szCs w:val="22"/>
                <w:lang w:val="en-GB"/>
              </w:rPr>
            </w:pPr>
            <w:r w:rsidRPr="00E14060">
              <w:rPr>
                <w:b/>
                <w:bCs/>
                <w:sz w:val="22"/>
                <w:szCs w:val="22"/>
                <w:lang w:val="en-GB"/>
              </w:rPr>
              <w:t>Impute CGI-I response for ATX based on AISRS change</w:t>
            </w:r>
          </w:p>
        </w:tc>
      </w:tr>
      <w:tr w:rsidR="006F2A62" w:rsidRPr="00E14060" w14:paraId="26600783" w14:textId="77777777" w:rsidTr="006F2A62">
        <w:trPr>
          <w:trHeight w:val="1185"/>
        </w:trPr>
        <w:tc>
          <w:tcPr>
            <w:tcW w:w="382" w:type="pct"/>
            <w:tcBorders>
              <w:top w:val="nil"/>
              <w:left w:val="nil"/>
              <w:bottom w:val="single" w:sz="4" w:space="0" w:color="auto"/>
              <w:right w:val="nil"/>
            </w:tcBorders>
            <w:shd w:val="clear" w:color="000000" w:fill="FFFFFF"/>
            <w:vAlign w:val="bottom"/>
            <w:hideMark/>
          </w:tcPr>
          <w:p w14:paraId="1813C851" w14:textId="77777777" w:rsidR="006F2A62" w:rsidRPr="00E14060" w:rsidRDefault="006F2A62" w:rsidP="00E40CF3">
            <w:pPr>
              <w:rPr>
                <w:b/>
                <w:bCs/>
                <w:lang w:val="en-GB"/>
              </w:rPr>
            </w:pPr>
            <w:r w:rsidRPr="00E14060">
              <w:rPr>
                <w:b/>
                <w:bCs/>
                <w:lang w:val="en-GB"/>
              </w:rPr>
              <w:t>AGID</w:t>
            </w:r>
          </w:p>
        </w:tc>
        <w:tc>
          <w:tcPr>
            <w:tcW w:w="854" w:type="pct"/>
            <w:tcBorders>
              <w:top w:val="nil"/>
              <w:left w:val="nil"/>
              <w:bottom w:val="single" w:sz="4" w:space="0" w:color="auto"/>
              <w:right w:val="nil"/>
            </w:tcBorders>
            <w:shd w:val="clear" w:color="000000" w:fill="FFFFFF"/>
            <w:vAlign w:val="bottom"/>
            <w:hideMark/>
          </w:tcPr>
          <w:p w14:paraId="49F87AA1" w14:textId="77777777" w:rsidR="006F2A62" w:rsidRPr="00E14060" w:rsidRDefault="006F2A62" w:rsidP="00E40CF3">
            <w:pPr>
              <w:jc w:val="center"/>
              <w:rPr>
                <w:b/>
                <w:bCs/>
                <w:lang w:val="en-GB"/>
              </w:rPr>
            </w:pPr>
            <w:r w:rsidRPr="00E14060">
              <w:rPr>
                <w:b/>
                <w:bCs/>
                <w:lang w:val="en-GB"/>
              </w:rPr>
              <w:t>Author year</w:t>
            </w:r>
          </w:p>
        </w:tc>
        <w:tc>
          <w:tcPr>
            <w:tcW w:w="514" w:type="pct"/>
            <w:tcBorders>
              <w:top w:val="nil"/>
              <w:left w:val="nil"/>
              <w:bottom w:val="single" w:sz="4" w:space="0" w:color="auto"/>
              <w:right w:val="nil"/>
            </w:tcBorders>
            <w:shd w:val="clear" w:color="000000" w:fill="FFFFFF"/>
            <w:vAlign w:val="bottom"/>
            <w:hideMark/>
          </w:tcPr>
          <w:p w14:paraId="034C277B" w14:textId="5ACA85A6" w:rsidR="006F2A62" w:rsidRPr="00E14060" w:rsidRDefault="006F2A62" w:rsidP="006F2A62">
            <w:pPr>
              <w:jc w:val="center"/>
              <w:rPr>
                <w:b/>
                <w:bCs/>
                <w:lang w:val="en-GB"/>
              </w:rPr>
            </w:pPr>
            <w:r w:rsidRPr="00E14060">
              <w:rPr>
                <w:b/>
                <w:bCs/>
                <w:lang w:val="en-GB"/>
              </w:rPr>
              <w:t>Arm</w:t>
            </w:r>
          </w:p>
        </w:tc>
        <w:tc>
          <w:tcPr>
            <w:tcW w:w="453" w:type="pct"/>
            <w:tcBorders>
              <w:top w:val="nil"/>
              <w:left w:val="nil"/>
              <w:bottom w:val="single" w:sz="4" w:space="0" w:color="auto"/>
              <w:right w:val="nil"/>
            </w:tcBorders>
            <w:shd w:val="clear" w:color="000000" w:fill="FFFFFF"/>
            <w:vAlign w:val="bottom"/>
            <w:hideMark/>
          </w:tcPr>
          <w:p w14:paraId="1B93528F" w14:textId="77777777" w:rsidR="006F2A62" w:rsidRPr="00E14060" w:rsidRDefault="006F2A62" w:rsidP="00E40CF3">
            <w:pPr>
              <w:jc w:val="center"/>
              <w:rPr>
                <w:b/>
                <w:bCs/>
                <w:lang w:val="en-GB"/>
              </w:rPr>
            </w:pPr>
            <w:r w:rsidRPr="00E14060">
              <w:rPr>
                <w:b/>
                <w:bCs/>
                <w:lang w:val="en-GB"/>
              </w:rPr>
              <w:t>Actual Change in AISRS (mean)</w:t>
            </w:r>
          </w:p>
        </w:tc>
        <w:tc>
          <w:tcPr>
            <w:tcW w:w="455" w:type="pct"/>
            <w:tcBorders>
              <w:top w:val="nil"/>
              <w:left w:val="nil"/>
              <w:bottom w:val="single" w:sz="4" w:space="0" w:color="auto"/>
              <w:right w:val="nil"/>
            </w:tcBorders>
            <w:shd w:val="clear" w:color="000000" w:fill="FFFFFF"/>
            <w:vAlign w:val="bottom"/>
            <w:hideMark/>
          </w:tcPr>
          <w:p w14:paraId="1ED84633" w14:textId="4FA57D15" w:rsidR="006F2A62" w:rsidRPr="00E14060" w:rsidRDefault="006F2A62" w:rsidP="006F2A62">
            <w:pPr>
              <w:jc w:val="center"/>
              <w:rPr>
                <w:b/>
                <w:bCs/>
                <w:lang w:val="en-GB"/>
              </w:rPr>
            </w:pPr>
            <w:r w:rsidRPr="00E14060">
              <w:rPr>
                <w:b/>
                <w:bCs/>
                <w:lang w:val="en-GB"/>
              </w:rPr>
              <w:t>Actual Change in AISRS (SD)</w:t>
            </w:r>
          </w:p>
        </w:tc>
        <w:tc>
          <w:tcPr>
            <w:tcW w:w="688" w:type="pct"/>
            <w:tcBorders>
              <w:top w:val="nil"/>
              <w:left w:val="nil"/>
              <w:bottom w:val="single" w:sz="4" w:space="0" w:color="auto"/>
              <w:right w:val="nil"/>
            </w:tcBorders>
            <w:shd w:val="clear" w:color="000000" w:fill="FFFFFF"/>
            <w:vAlign w:val="bottom"/>
            <w:hideMark/>
          </w:tcPr>
          <w:p w14:paraId="6A09CC4B" w14:textId="77777777" w:rsidR="006F2A62" w:rsidRPr="00E14060" w:rsidRDefault="006F2A62" w:rsidP="00E40CF3">
            <w:pPr>
              <w:jc w:val="center"/>
              <w:rPr>
                <w:b/>
                <w:bCs/>
                <w:lang w:val="en-GB"/>
              </w:rPr>
            </w:pPr>
            <w:r w:rsidRPr="00E14060">
              <w:rPr>
                <w:b/>
                <w:bCs/>
                <w:lang w:val="en-GB"/>
              </w:rPr>
              <w:t>Extrapolated % CGI-I response, quadratic regression (Goodman)</w:t>
            </w:r>
          </w:p>
        </w:tc>
        <w:tc>
          <w:tcPr>
            <w:tcW w:w="483" w:type="pct"/>
            <w:tcBorders>
              <w:top w:val="nil"/>
              <w:left w:val="nil"/>
              <w:bottom w:val="single" w:sz="4" w:space="0" w:color="auto"/>
              <w:right w:val="nil"/>
            </w:tcBorders>
            <w:shd w:val="clear" w:color="000000" w:fill="FFFFFF"/>
            <w:vAlign w:val="bottom"/>
            <w:hideMark/>
          </w:tcPr>
          <w:p w14:paraId="14EF5B2D" w14:textId="77777777" w:rsidR="006F2A62" w:rsidRPr="00E14060" w:rsidRDefault="006F2A62" w:rsidP="00E40CF3">
            <w:pPr>
              <w:jc w:val="center"/>
              <w:rPr>
                <w:b/>
                <w:bCs/>
                <w:lang w:val="en-GB"/>
              </w:rPr>
            </w:pPr>
            <w:r w:rsidRPr="00E14060">
              <w:rPr>
                <w:b/>
                <w:bCs/>
                <w:lang w:val="en-GB"/>
              </w:rPr>
              <w:t>r / n</w:t>
            </w:r>
          </w:p>
        </w:tc>
        <w:tc>
          <w:tcPr>
            <w:tcW w:w="688" w:type="pct"/>
            <w:tcBorders>
              <w:top w:val="nil"/>
              <w:left w:val="nil"/>
              <w:bottom w:val="single" w:sz="4" w:space="0" w:color="auto"/>
              <w:right w:val="nil"/>
            </w:tcBorders>
            <w:shd w:val="clear" w:color="000000" w:fill="FFFFFF"/>
            <w:vAlign w:val="bottom"/>
            <w:hideMark/>
          </w:tcPr>
          <w:p w14:paraId="3D897F7A" w14:textId="77777777" w:rsidR="006F2A62" w:rsidRPr="00E14060" w:rsidRDefault="006F2A62" w:rsidP="00E40CF3">
            <w:pPr>
              <w:jc w:val="center"/>
              <w:rPr>
                <w:b/>
                <w:bCs/>
                <w:lang w:val="en-GB"/>
              </w:rPr>
            </w:pPr>
            <w:r w:rsidRPr="00E14060">
              <w:rPr>
                <w:b/>
                <w:bCs/>
                <w:lang w:val="en-GB"/>
              </w:rPr>
              <w:t>Extrapolated % CGI-I response, direct estimations</w:t>
            </w:r>
          </w:p>
        </w:tc>
        <w:tc>
          <w:tcPr>
            <w:tcW w:w="483" w:type="pct"/>
            <w:tcBorders>
              <w:top w:val="nil"/>
              <w:left w:val="nil"/>
              <w:bottom w:val="single" w:sz="4" w:space="0" w:color="auto"/>
              <w:right w:val="nil"/>
            </w:tcBorders>
            <w:shd w:val="clear" w:color="000000" w:fill="FFFFFF"/>
            <w:vAlign w:val="bottom"/>
            <w:hideMark/>
          </w:tcPr>
          <w:p w14:paraId="5EEC32A7" w14:textId="77777777" w:rsidR="006F2A62" w:rsidRPr="00E14060" w:rsidRDefault="006F2A62" w:rsidP="00E40CF3">
            <w:pPr>
              <w:jc w:val="center"/>
              <w:rPr>
                <w:b/>
                <w:bCs/>
                <w:lang w:val="en-GB"/>
              </w:rPr>
            </w:pPr>
            <w:r w:rsidRPr="00E14060">
              <w:rPr>
                <w:b/>
                <w:bCs/>
                <w:lang w:val="en-GB"/>
              </w:rPr>
              <w:t>r / n</w:t>
            </w:r>
          </w:p>
        </w:tc>
      </w:tr>
      <w:tr w:rsidR="006F2A62" w:rsidRPr="00E14060" w14:paraId="392C48B9" w14:textId="77777777" w:rsidTr="006F2A62">
        <w:trPr>
          <w:trHeight w:val="300"/>
        </w:trPr>
        <w:tc>
          <w:tcPr>
            <w:tcW w:w="382" w:type="pct"/>
            <w:tcBorders>
              <w:top w:val="nil"/>
              <w:left w:val="nil"/>
              <w:bottom w:val="nil"/>
              <w:right w:val="nil"/>
            </w:tcBorders>
            <w:shd w:val="clear" w:color="000000" w:fill="FFFFFF"/>
            <w:noWrap/>
            <w:vAlign w:val="bottom"/>
            <w:hideMark/>
          </w:tcPr>
          <w:p w14:paraId="4D0CF412" w14:textId="77777777" w:rsidR="006F2A62" w:rsidRPr="00E14060" w:rsidRDefault="006F2A62" w:rsidP="00E40CF3">
            <w:pPr>
              <w:rPr>
                <w:sz w:val="22"/>
                <w:szCs w:val="22"/>
                <w:lang w:val="en-GB"/>
              </w:rPr>
            </w:pPr>
            <w:r w:rsidRPr="00E14060">
              <w:rPr>
                <w:sz w:val="22"/>
                <w:szCs w:val="22"/>
                <w:lang w:val="en-GB"/>
              </w:rPr>
              <w:t>B525</w:t>
            </w:r>
          </w:p>
        </w:tc>
        <w:tc>
          <w:tcPr>
            <w:tcW w:w="854" w:type="pct"/>
            <w:tcBorders>
              <w:top w:val="nil"/>
              <w:left w:val="nil"/>
              <w:bottom w:val="nil"/>
              <w:right w:val="nil"/>
            </w:tcBorders>
            <w:shd w:val="clear" w:color="000000" w:fill="FFFFFF"/>
            <w:noWrap/>
            <w:vAlign w:val="bottom"/>
            <w:hideMark/>
          </w:tcPr>
          <w:p w14:paraId="04FC3B52" w14:textId="77777777" w:rsidR="006F2A62" w:rsidRPr="00E14060" w:rsidRDefault="006F2A62" w:rsidP="00E40CF3">
            <w:pPr>
              <w:jc w:val="center"/>
              <w:rPr>
                <w:sz w:val="22"/>
                <w:szCs w:val="22"/>
                <w:lang w:val="en-GB"/>
              </w:rPr>
            </w:pPr>
            <w:r w:rsidRPr="00E14060">
              <w:rPr>
                <w:sz w:val="22"/>
                <w:szCs w:val="22"/>
                <w:lang w:val="en-GB"/>
              </w:rPr>
              <w:t>Adler 2009a</w:t>
            </w:r>
          </w:p>
        </w:tc>
        <w:tc>
          <w:tcPr>
            <w:tcW w:w="514" w:type="pct"/>
            <w:tcBorders>
              <w:top w:val="nil"/>
              <w:left w:val="nil"/>
              <w:bottom w:val="nil"/>
              <w:right w:val="nil"/>
            </w:tcBorders>
            <w:shd w:val="clear" w:color="000000" w:fill="FFFFFF"/>
            <w:noWrap/>
            <w:vAlign w:val="bottom"/>
            <w:hideMark/>
          </w:tcPr>
          <w:p w14:paraId="51158A12" w14:textId="1C791AE1" w:rsidR="006F2A62" w:rsidRPr="00E14060" w:rsidRDefault="006F2A62" w:rsidP="006F2A62">
            <w:pPr>
              <w:jc w:val="center"/>
              <w:rPr>
                <w:sz w:val="22"/>
                <w:szCs w:val="22"/>
                <w:lang w:val="en-GB"/>
              </w:rPr>
            </w:pPr>
            <w:r w:rsidRPr="00E14060">
              <w:rPr>
                <w:sz w:val="22"/>
                <w:szCs w:val="22"/>
                <w:lang w:val="en-GB"/>
              </w:rPr>
              <w:t>ATX</w:t>
            </w:r>
          </w:p>
        </w:tc>
        <w:tc>
          <w:tcPr>
            <w:tcW w:w="453" w:type="pct"/>
            <w:tcBorders>
              <w:top w:val="nil"/>
              <w:left w:val="nil"/>
              <w:bottom w:val="nil"/>
              <w:right w:val="nil"/>
            </w:tcBorders>
            <w:shd w:val="clear" w:color="000000" w:fill="FFFFFF"/>
            <w:noWrap/>
            <w:vAlign w:val="bottom"/>
            <w:hideMark/>
          </w:tcPr>
          <w:p w14:paraId="425EB319" w14:textId="77777777" w:rsidR="006F2A62" w:rsidRPr="00E14060" w:rsidRDefault="006F2A62" w:rsidP="00E40CF3">
            <w:pPr>
              <w:jc w:val="center"/>
              <w:rPr>
                <w:sz w:val="22"/>
                <w:szCs w:val="22"/>
                <w:lang w:val="en-GB"/>
              </w:rPr>
            </w:pPr>
            <w:r w:rsidRPr="00E14060">
              <w:rPr>
                <w:sz w:val="22"/>
                <w:szCs w:val="22"/>
                <w:lang w:val="en-GB"/>
              </w:rPr>
              <w:t>-16.47</w:t>
            </w:r>
          </w:p>
        </w:tc>
        <w:tc>
          <w:tcPr>
            <w:tcW w:w="455" w:type="pct"/>
            <w:tcBorders>
              <w:top w:val="nil"/>
              <w:left w:val="nil"/>
              <w:bottom w:val="nil"/>
              <w:right w:val="nil"/>
            </w:tcBorders>
            <w:shd w:val="clear" w:color="000000" w:fill="FFFFFF"/>
            <w:noWrap/>
            <w:vAlign w:val="bottom"/>
            <w:hideMark/>
          </w:tcPr>
          <w:p w14:paraId="7B9C2324" w14:textId="4C986BE2" w:rsidR="006F2A62" w:rsidRPr="00E14060" w:rsidRDefault="006F2A62" w:rsidP="006F2A62">
            <w:pPr>
              <w:jc w:val="center"/>
              <w:rPr>
                <w:sz w:val="22"/>
                <w:szCs w:val="22"/>
                <w:lang w:val="en-GB"/>
              </w:rPr>
            </w:pPr>
            <w:r w:rsidRPr="00E14060">
              <w:rPr>
                <w:sz w:val="22"/>
                <w:szCs w:val="22"/>
                <w:lang w:val="en-GB"/>
              </w:rPr>
              <w:t>18.46</w:t>
            </w:r>
          </w:p>
        </w:tc>
        <w:tc>
          <w:tcPr>
            <w:tcW w:w="688" w:type="pct"/>
            <w:tcBorders>
              <w:top w:val="nil"/>
              <w:left w:val="nil"/>
              <w:bottom w:val="nil"/>
              <w:right w:val="nil"/>
            </w:tcBorders>
            <w:shd w:val="clear" w:color="000000" w:fill="FFFFFF"/>
            <w:noWrap/>
            <w:vAlign w:val="bottom"/>
            <w:hideMark/>
          </w:tcPr>
          <w:p w14:paraId="2FFD2845" w14:textId="77777777" w:rsidR="006F2A62" w:rsidRPr="00E14060" w:rsidRDefault="006F2A62" w:rsidP="00E40CF3">
            <w:pPr>
              <w:jc w:val="center"/>
              <w:rPr>
                <w:sz w:val="22"/>
                <w:szCs w:val="22"/>
                <w:lang w:val="en-GB"/>
              </w:rPr>
            </w:pPr>
            <w:r w:rsidRPr="00E14060">
              <w:rPr>
                <w:sz w:val="22"/>
                <w:szCs w:val="22"/>
                <w:lang w:val="en-GB"/>
              </w:rPr>
              <w:t>56.1%</w:t>
            </w:r>
          </w:p>
        </w:tc>
        <w:tc>
          <w:tcPr>
            <w:tcW w:w="483" w:type="pct"/>
            <w:tcBorders>
              <w:top w:val="nil"/>
              <w:left w:val="nil"/>
              <w:bottom w:val="nil"/>
              <w:right w:val="nil"/>
            </w:tcBorders>
            <w:shd w:val="clear" w:color="000000" w:fill="FFFFFF"/>
            <w:noWrap/>
            <w:vAlign w:val="bottom"/>
            <w:hideMark/>
          </w:tcPr>
          <w:p w14:paraId="1DFEB337" w14:textId="77777777" w:rsidR="006F2A62" w:rsidRPr="00E14060" w:rsidRDefault="006F2A62" w:rsidP="00E40CF3">
            <w:pPr>
              <w:jc w:val="center"/>
              <w:rPr>
                <w:sz w:val="22"/>
                <w:szCs w:val="22"/>
                <w:lang w:val="en-GB"/>
              </w:rPr>
            </w:pPr>
            <w:r w:rsidRPr="00E14060">
              <w:rPr>
                <w:sz w:val="22"/>
                <w:szCs w:val="22"/>
                <w:lang w:val="en-GB"/>
              </w:rPr>
              <w:t>140/250</w:t>
            </w:r>
          </w:p>
        </w:tc>
        <w:tc>
          <w:tcPr>
            <w:tcW w:w="688" w:type="pct"/>
            <w:tcBorders>
              <w:top w:val="nil"/>
              <w:left w:val="nil"/>
              <w:bottom w:val="nil"/>
              <w:right w:val="nil"/>
            </w:tcBorders>
            <w:shd w:val="clear" w:color="000000" w:fill="FFFFFF"/>
            <w:noWrap/>
            <w:vAlign w:val="bottom"/>
            <w:hideMark/>
          </w:tcPr>
          <w:p w14:paraId="4F2DF7C8" w14:textId="77777777" w:rsidR="006F2A62" w:rsidRPr="00E14060" w:rsidRDefault="006F2A62" w:rsidP="00E40CF3">
            <w:pPr>
              <w:jc w:val="center"/>
              <w:rPr>
                <w:sz w:val="22"/>
                <w:szCs w:val="22"/>
                <w:lang w:val="en-GB"/>
              </w:rPr>
            </w:pPr>
            <w:r w:rsidRPr="00E14060">
              <w:rPr>
                <w:sz w:val="22"/>
                <w:szCs w:val="22"/>
                <w:lang w:val="en-GB"/>
              </w:rPr>
              <w:t>54.5%</w:t>
            </w:r>
          </w:p>
        </w:tc>
        <w:tc>
          <w:tcPr>
            <w:tcW w:w="483" w:type="pct"/>
            <w:tcBorders>
              <w:top w:val="nil"/>
              <w:left w:val="nil"/>
              <w:bottom w:val="nil"/>
              <w:right w:val="nil"/>
            </w:tcBorders>
            <w:shd w:val="clear" w:color="000000" w:fill="FFFFFF"/>
            <w:noWrap/>
            <w:vAlign w:val="bottom"/>
            <w:hideMark/>
          </w:tcPr>
          <w:p w14:paraId="31879357" w14:textId="77777777" w:rsidR="006F2A62" w:rsidRPr="00E14060" w:rsidRDefault="006F2A62" w:rsidP="00E40CF3">
            <w:pPr>
              <w:jc w:val="center"/>
              <w:rPr>
                <w:sz w:val="22"/>
                <w:szCs w:val="22"/>
                <w:lang w:val="en-GB"/>
              </w:rPr>
            </w:pPr>
            <w:r w:rsidRPr="00E14060">
              <w:rPr>
                <w:sz w:val="22"/>
                <w:szCs w:val="22"/>
                <w:lang w:val="en-GB"/>
              </w:rPr>
              <w:t>136/250</w:t>
            </w:r>
          </w:p>
        </w:tc>
      </w:tr>
      <w:tr w:rsidR="006F2A62" w:rsidRPr="00E14060" w14:paraId="0F426B6F" w14:textId="77777777" w:rsidTr="006F2A62">
        <w:trPr>
          <w:trHeight w:val="300"/>
        </w:trPr>
        <w:tc>
          <w:tcPr>
            <w:tcW w:w="382" w:type="pct"/>
            <w:tcBorders>
              <w:top w:val="nil"/>
              <w:left w:val="nil"/>
              <w:bottom w:val="single" w:sz="4" w:space="0" w:color="auto"/>
              <w:right w:val="nil"/>
            </w:tcBorders>
            <w:shd w:val="clear" w:color="000000" w:fill="FFFFFF"/>
            <w:noWrap/>
            <w:vAlign w:val="bottom"/>
            <w:hideMark/>
          </w:tcPr>
          <w:p w14:paraId="72EEAC0F" w14:textId="77777777" w:rsidR="006F2A62" w:rsidRPr="00E14060" w:rsidRDefault="006F2A62" w:rsidP="00E40CF3">
            <w:pPr>
              <w:rPr>
                <w:sz w:val="22"/>
                <w:szCs w:val="22"/>
                <w:lang w:val="en-GB"/>
              </w:rPr>
            </w:pPr>
            <w:r w:rsidRPr="00E14060">
              <w:rPr>
                <w:sz w:val="22"/>
                <w:szCs w:val="22"/>
                <w:lang w:val="en-GB"/>
              </w:rPr>
              <w:t>B525</w:t>
            </w:r>
          </w:p>
        </w:tc>
        <w:tc>
          <w:tcPr>
            <w:tcW w:w="854" w:type="pct"/>
            <w:tcBorders>
              <w:top w:val="nil"/>
              <w:left w:val="nil"/>
              <w:bottom w:val="single" w:sz="4" w:space="0" w:color="auto"/>
              <w:right w:val="nil"/>
            </w:tcBorders>
            <w:shd w:val="clear" w:color="000000" w:fill="FFFFFF"/>
            <w:noWrap/>
            <w:vAlign w:val="bottom"/>
            <w:hideMark/>
          </w:tcPr>
          <w:p w14:paraId="494BA6E5" w14:textId="77777777" w:rsidR="006F2A62" w:rsidRPr="00E14060" w:rsidRDefault="006F2A62" w:rsidP="00E40CF3">
            <w:pPr>
              <w:jc w:val="center"/>
              <w:rPr>
                <w:sz w:val="22"/>
                <w:szCs w:val="22"/>
                <w:lang w:val="en-GB"/>
              </w:rPr>
            </w:pPr>
            <w:r w:rsidRPr="00E14060">
              <w:rPr>
                <w:sz w:val="22"/>
                <w:szCs w:val="22"/>
                <w:lang w:val="en-GB"/>
              </w:rPr>
              <w:t>Adler 2009a</w:t>
            </w:r>
          </w:p>
        </w:tc>
        <w:tc>
          <w:tcPr>
            <w:tcW w:w="514" w:type="pct"/>
            <w:tcBorders>
              <w:top w:val="nil"/>
              <w:left w:val="nil"/>
              <w:bottom w:val="single" w:sz="4" w:space="0" w:color="auto"/>
              <w:right w:val="nil"/>
            </w:tcBorders>
            <w:shd w:val="clear" w:color="000000" w:fill="FFFFFF"/>
            <w:noWrap/>
            <w:vAlign w:val="bottom"/>
            <w:hideMark/>
          </w:tcPr>
          <w:p w14:paraId="3E435A06" w14:textId="0A4BDF70" w:rsidR="006F2A62" w:rsidRPr="00E14060" w:rsidRDefault="006F2A62" w:rsidP="006F2A62">
            <w:pPr>
              <w:jc w:val="center"/>
              <w:rPr>
                <w:sz w:val="22"/>
                <w:szCs w:val="22"/>
                <w:lang w:val="en-GB"/>
              </w:rPr>
            </w:pPr>
            <w:r w:rsidRPr="00E14060">
              <w:rPr>
                <w:sz w:val="22"/>
                <w:szCs w:val="22"/>
                <w:lang w:val="en-GB"/>
              </w:rPr>
              <w:t>Placebo</w:t>
            </w:r>
          </w:p>
        </w:tc>
        <w:tc>
          <w:tcPr>
            <w:tcW w:w="453" w:type="pct"/>
            <w:tcBorders>
              <w:top w:val="nil"/>
              <w:left w:val="nil"/>
              <w:bottom w:val="single" w:sz="4" w:space="0" w:color="auto"/>
              <w:right w:val="nil"/>
            </w:tcBorders>
            <w:shd w:val="clear" w:color="000000" w:fill="FFFFFF"/>
            <w:noWrap/>
            <w:vAlign w:val="bottom"/>
            <w:hideMark/>
          </w:tcPr>
          <w:p w14:paraId="38E169A1" w14:textId="77777777" w:rsidR="006F2A62" w:rsidRPr="00E14060" w:rsidRDefault="006F2A62" w:rsidP="00E40CF3">
            <w:pPr>
              <w:jc w:val="center"/>
              <w:rPr>
                <w:sz w:val="22"/>
                <w:szCs w:val="22"/>
                <w:lang w:val="en-GB"/>
              </w:rPr>
            </w:pPr>
            <w:r w:rsidRPr="00E14060">
              <w:rPr>
                <w:sz w:val="22"/>
                <w:szCs w:val="22"/>
                <w:lang w:val="en-GB"/>
              </w:rPr>
              <w:t>-11.61</w:t>
            </w:r>
          </w:p>
        </w:tc>
        <w:tc>
          <w:tcPr>
            <w:tcW w:w="455" w:type="pct"/>
            <w:tcBorders>
              <w:top w:val="nil"/>
              <w:left w:val="nil"/>
              <w:bottom w:val="single" w:sz="4" w:space="0" w:color="auto"/>
              <w:right w:val="nil"/>
            </w:tcBorders>
            <w:shd w:val="clear" w:color="000000" w:fill="FFFFFF"/>
            <w:noWrap/>
            <w:vAlign w:val="bottom"/>
            <w:hideMark/>
          </w:tcPr>
          <w:p w14:paraId="5BF1700B" w14:textId="67C546D4" w:rsidR="006F2A62" w:rsidRPr="00E14060" w:rsidRDefault="006F2A62" w:rsidP="006F2A62">
            <w:pPr>
              <w:jc w:val="center"/>
              <w:rPr>
                <w:sz w:val="22"/>
                <w:szCs w:val="22"/>
                <w:lang w:val="en-GB"/>
              </w:rPr>
            </w:pPr>
            <w:r w:rsidRPr="00E14060">
              <w:rPr>
                <w:sz w:val="22"/>
                <w:szCs w:val="22"/>
                <w:lang w:val="en-GB"/>
              </w:rPr>
              <w:t>17.49</w:t>
            </w:r>
          </w:p>
        </w:tc>
        <w:tc>
          <w:tcPr>
            <w:tcW w:w="688" w:type="pct"/>
            <w:tcBorders>
              <w:top w:val="nil"/>
              <w:left w:val="nil"/>
              <w:bottom w:val="single" w:sz="4" w:space="0" w:color="auto"/>
              <w:right w:val="nil"/>
            </w:tcBorders>
            <w:shd w:val="clear" w:color="000000" w:fill="FFFFFF"/>
            <w:noWrap/>
            <w:vAlign w:val="bottom"/>
            <w:hideMark/>
          </w:tcPr>
          <w:p w14:paraId="586446FD" w14:textId="77777777" w:rsidR="006F2A62" w:rsidRPr="00E14060" w:rsidRDefault="006F2A62" w:rsidP="00E40CF3">
            <w:pPr>
              <w:jc w:val="center"/>
              <w:rPr>
                <w:sz w:val="22"/>
                <w:szCs w:val="22"/>
                <w:lang w:val="en-GB"/>
              </w:rPr>
            </w:pPr>
            <w:r w:rsidRPr="00E14060">
              <w:rPr>
                <w:sz w:val="22"/>
                <w:szCs w:val="22"/>
                <w:lang w:val="en-GB"/>
              </w:rPr>
              <w:t>45.4%</w:t>
            </w:r>
          </w:p>
        </w:tc>
        <w:tc>
          <w:tcPr>
            <w:tcW w:w="483" w:type="pct"/>
            <w:tcBorders>
              <w:top w:val="nil"/>
              <w:left w:val="nil"/>
              <w:bottom w:val="single" w:sz="4" w:space="0" w:color="auto"/>
              <w:right w:val="nil"/>
            </w:tcBorders>
            <w:shd w:val="clear" w:color="000000" w:fill="FFFFFF"/>
            <w:noWrap/>
            <w:vAlign w:val="bottom"/>
            <w:hideMark/>
          </w:tcPr>
          <w:p w14:paraId="1A042E74" w14:textId="77777777" w:rsidR="006F2A62" w:rsidRPr="00E14060" w:rsidRDefault="006F2A62" w:rsidP="00E40CF3">
            <w:pPr>
              <w:jc w:val="center"/>
              <w:rPr>
                <w:sz w:val="22"/>
                <w:szCs w:val="22"/>
                <w:lang w:val="en-GB"/>
              </w:rPr>
            </w:pPr>
            <w:r w:rsidRPr="00E14060">
              <w:rPr>
                <w:sz w:val="22"/>
                <w:szCs w:val="22"/>
                <w:lang w:val="en-GB"/>
              </w:rPr>
              <w:t>114/251</w:t>
            </w:r>
          </w:p>
        </w:tc>
        <w:tc>
          <w:tcPr>
            <w:tcW w:w="688" w:type="pct"/>
            <w:tcBorders>
              <w:top w:val="nil"/>
              <w:left w:val="nil"/>
              <w:bottom w:val="single" w:sz="4" w:space="0" w:color="auto"/>
              <w:right w:val="nil"/>
            </w:tcBorders>
            <w:shd w:val="clear" w:color="000000" w:fill="FFFFFF"/>
            <w:noWrap/>
            <w:vAlign w:val="bottom"/>
            <w:hideMark/>
          </w:tcPr>
          <w:p w14:paraId="2D76EA1D" w14:textId="77777777" w:rsidR="006F2A62" w:rsidRPr="00E14060" w:rsidRDefault="006F2A62" w:rsidP="00E40CF3">
            <w:pPr>
              <w:jc w:val="center"/>
              <w:rPr>
                <w:sz w:val="22"/>
                <w:szCs w:val="22"/>
                <w:lang w:val="en-GB"/>
              </w:rPr>
            </w:pPr>
            <w:r w:rsidRPr="00E14060">
              <w:rPr>
                <w:sz w:val="22"/>
                <w:szCs w:val="22"/>
                <w:lang w:val="en-GB"/>
              </w:rPr>
              <w:t>43.7%</w:t>
            </w:r>
          </w:p>
        </w:tc>
        <w:tc>
          <w:tcPr>
            <w:tcW w:w="483" w:type="pct"/>
            <w:tcBorders>
              <w:top w:val="nil"/>
              <w:left w:val="nil"/>
              <w:bottom w:val="single" w:sz="4" w:space="0" w:color="auto"/>
              <w:right w:val="nil"/>
            </w:tcBorders>
            <w:shd w:val="clear" w:color="000000" w:fill="FFFFFF"/>
            <w:noWrap/>
            <w:vAlign w:val="bottom"/>
            <w:hideMark/>
          </w:tcPr>
          <w:p w14:paraId="4600296F" w14:textId="77777777" w:rsidR="006F2A62" w:rsidRPr="00E14060" w:rsidRDefault="006F2A62" w:rsidP="00E40CF3">
            <w:pPr>
              <w:jc w:val="center"/>
              <w:rPr>
                <w:sz w:val="22"/>
                <w:szCs w:val="22"/>
                <w:lang w:val="en-GB"/>
              </w:rPr>
            </w:pPr>
            <w:r w:rsidRPr="00E14060">
              <w:rPr>
                <w:sz w:val="22"/>
                <w:szCs w:val="22"/>
                <w:lang w:val="en-GB"/>
              </w:rPr>
              <w:t>110/251</w:t>
            </w:r>
          </w:p>
        </w:tc>
      </w:tr>
      <w:tr w:rsidR="00E14060" w:rsidRPr="00E14060" w14:paraId="1401DDD0" w14:textId="77777777" w:rsidTr="006F2A62">
        <w:trPr>
          <w:trHeight w:val="300"/>
        </w:trPr>
        <w:tc>
          <w:tcPr>
            <w:tcW w:w="382" w:type="pct"/>
            <w:tcBorders>
              <w:top w:val="nil"/>
              <w:left w:val="nil"/>
              <w:bottom w:val="nil"/>
              <w:right w:val="nil"/>
            </w:tcBorders>
            <w:shd w:val="clear" w:color="auto" w:fill="auto"/>
            <w:noWrap/>
            <w:vAlign w:val="bottom"/>
            <w:hideMark/>
          </w:tcPr>
          <w:p w14:paraId="02202837" w14:textId="77777777" w:rsidR="006F2A62" w:rsidRPr="00E14060" w:rsidRDefault="006F2A62" w:rsidP="00E40CF3">
            <w:pPr>
              <w:rPr>
                <w:sz w:val="22"/>
                <w:szCs w:val="22"/>
                <w:lang w:val="en-GB"/>
              </w:rPr>
            </w:pPr>
            <w:r w:rsidRPr="00E14060">
              <w:rPr>
                <w:sz w:val="22"/>
                <w:szCs w:val="22"/>
                <w:lang w:val="en-GB"/>
              </w:rPr>
              <w:t> </w:t>
            </w:r>
          </w:p>
        </w:tc>
        <w:tc>
          <w:tcPr>
            <w:tcW w:w="1821" w:type="pct"/>
            <w:gridSpan w:val="3"/>
            <w:tcBorders>
              <w:top w:val="single" w:sz="4" w:space="0" w:color="auto"/>
              <w:left w:val="nil"/>
              <w:bottom w:val="nil"/>
              <w:right w:val="nil"/>
            </w:tcBorders>
            <w:shd w:val="clear" w:color="auto" w:fill="auto"/>
            <w:noWrap/>
            <w:vAlign w:val="bottom"/>
            <w:hideMark/>
          </w:tcPr>
          <w:p w14:paraId="26B383E0" w14:textId="77777777" w:rsidR="006F2A62" w:rsidRPr="00E14060" w:rsidRDefault="006F2A62" w:rsidP="00E40CF3">
            <w:pPr>
              <w:ind w:firstLineChars="200" w:firstLine="440"/>
              <w:rPr>
                <w:sz w:val="22"/>
                <w:szCs w:val="22"/>
                <w:lang w:val="en-GB"/>
              </w:rPr>
            </w:pPr>
            <w:r w:rsidRPr="00E14060">
              <w:rPr>
                <w:sz w:val="22"/>
                <w:szCs w:val="22"/>
                <w:lang w:val="en-GB"/>
              </w:rPr>
              <w:t>Relative risk (ATX vs. placebo):</w:t>
            </w:r>
          </w:p>
        </w:tc>
        <w:tc>
          <w:tcPr>
            <w:tcW w:w="455" w:type="pct"/>
            <w:tcBorders>
              <w:top w:val="nil"/>
              <w:left w:val="nil"/>
              <w:bottom w:val="nil"/>
              <w:right w:val="nil"/>
            </w:tcBorders>
            <w:shd w:val="clear" w:color="auto" w:fill="auto"/>
            <w:noWrap/>
            <w:vAlign w:val="bottom"/>
            <w:hideMark/>
          </w:tcPr>
          <w:p w14:paraId="00F0E08C" w14:textId="73E46E28" w:rsidR="006F2A62" w:rsidRPr="00E14060" w:rsidRDefault="006F2A62" w:rsidP="006F2A62">
            <w:pPr>
              <w:rPr>
                <w:sz w:val="22"/>
                <w:szCs w:val="22"/>
                <w:lang w:val="en-GB"/>
              </w:rPr>
            </w:pPr>
            <w:r w:rsidRPr="00E14060">
              <w:rPr>
                <w:sz w:val="22"/>
                <w:szCs w:val="22"/>
                <w:lang w:val="en-GB"/>
              </w:rPr>
              <w:t> </w:t>
            </w:r>
          </w:p>
        </w:tc>
        <w:tc>
          <w:tcPr>
            <w:tcW w:w="688" w:type="pct"/>
            <w:tcBorders>
              <w:top w:val="nil"/>
              <w:left w:val="nil"/>
              <w:bottom w:val="nil"/>
              <w:right w:val="nil"/>
            </w:tcBorders>
            <w:shd w:val="clear" w:color="auto" w:fill="auto"/>
            <w:noWrap/>
            <w:vAlign w:val="bottom"/>
            <w:hideMark/>
          </w:tcPr>
          <w:p w14:paraId="33E3075E" w14:textId="77777777" w:rsidR="006F2A62" w:rsidRPr="00E14060" w:rsidRDefault="006F2A62" w:rsidP="00E40CF3">
            <w:pPr>
              <w:jc w:val="center"/>
              <w:rPr>
                <w:sz w:val="22"/>
                <w:szCs w:val="22"/>
                <w:lang w:val="en-GB"/>
              </w:rPr>
            </w:pPr>
            <w:r w:rsidRPr="00E14060">
              <w:rPr>
                <w:sz w:val="22"/>
                <w:szCs w:val="22"/>
                <w:lang w:val="en-GB"/>
              </w:rPr>
              <w:t>1.24</w:t>
            </w:r>
          </w:p>
        </w:tc>
        <w:tc>
          <w:tcPr>
            <w:tcW w:w="483" w:type="pct"/>
            <w:tcBorders>
              <w:top w:val="nil"/>
              <w:left w:val="nil"/>
              <w:bottom w:val="nil"/>
              <w:right w:val="nil"/>
            </w:tcBorders>
            <w:shd w:val="clear" w:color="auto" w:fill="auto"/>
            <w:noWrap/>
            <w:vAlign w:val="bottom"/>
            <w:hideMark/>
          </w:tcPr>
          <w:p w14:paraId="279E76F2" w14:textId="77777777" w:rsidR="006F2A62" w:rsidRPr="00E14060" w:rsidRDefault="006F2A62" w:rsidP="00E40CF3">
            <w:pPr>
              <w:rPr>
                <w:sz w:val="22"/>
                <w:szCs w:val="22"/>
                <w:lang w:val="en-GB"/>
              </w:rPr>
            </w:pPr>
            <w:r w:rsidRPr="00E14060">
              <w:rPr>
                <w:sz w:val="22"/>
                <w:szCs w:val="22"/>
                <w:lang w:val="en-GB"/>
              </w:rPr>
              <w:t> </w:t>
            </w:r>
          </w:p>
        </w:tc>
        <w:tc>
          <w:tcPr>
            <w:tcW w:w="688" w:type="pct"/>
            <w:tcBorders>
              <w:top w:val="nil"/>
              <w:left w:val="nil"/>
              <w:bottom w:val="nil"/>
              <w:right w:val="nil"/>
            </w:tcBorders>
            <w:shd w:val="clear" w:color="auto" w:fill="auto"/>
            <w:noWrap/>
            <w:vAlign w:val="bottom"/>
            <w:hideMark/>
          </w:tcPr>
          <w:p w14:paraId="0545E012" w14:textId="77777777" w:rsidR="006F2A62" w:rsidRPr="00E14060" w:rsidRDefault="006F2A62" w:rsidP="00E40CF3">
            <w:pPr>
              <w:jc w:val="center"/>
              <w:rPr>
                <w:sz w:val="22"/>
                <w:szCs w:val="22"/>
                <w:lang w:val="en-GB"/>
              </w:rPr>
            </w:pPr>
            <w:r w:rsidRPr="00E14060">
              <w:rPr>
                <w:sz w:val="22"/>
                <w:szCs w:val="22"/>
                <w:lang w:val="en-GB"/>
              </w:rPr>
              <w:t>1.25</w:t>
            </w:r>
          </w:p>
        </w:tc>
        <w:tc>
          <w:tcPr>
            <w:tcW w:w="483" w:type="pct"/>
            <w:tcBorders>
              <w:top w:val="nil"/>
              <w:left w:val="nil"/>
              <w:bottom w:val="nil"/>
              <w:right w:val="nil"/>
            </w:tcBorders>
            <w:shd w:val="clear" w:color="auto" w:fill="auto"/>
            <w:noWrap/>
            <w:vAlign w:val="bottom"/>
            <w:hideMark/>
          </w:tcPr>
          <w:p w14:paraId="64B1CC92" w14:textId="77777777" w:rsidR="006F2A62" w:rsidRPr="00E14060" w:rsidRDefault="006F2A62" w:rsidP="00E40CF3">
            <w:pPr>
              <w:rPr>
                <w:sz w:val="22"/>
                <w:szCs w:val="22"/>
                <w:lang w:val="en-GB"/>
              </w:rPr>
            </w:pPr>
            <w:r w:rsidRPr="00E14060">
              <w:rPr>
                <w:sz w:val="22"/>
                <w:szCs w:val="22"/>
                <w:lang w:val="en-GB"/>
              </w:rPr>
              <w:t> </w:t>
            </w:r>
          </w:p>
        </w:tc>
      </w:tr>
      <w:tr w:rsidR="006F2A62" w:rsidRPr="00E14060" w14:paraId="418E4D6E" w14:textId="77777777" w:rsidTr="006F2A62">
        <w:trPr>
          <w:trHeight w:val="300"/>
        </w:trPr>
        <w:tc>
          <w:tcPr>
            <w:tcW w:w="382" w:type="pct"/>
            <w:tcBorders>
              <w:top w:val="nil"/>
              <w:left w:val="nil"/>
              <w:bottom w:val="single" w:sz="4" w:space="0" w:color="auto"/>
              <w:right w:val="nil"/>
            </w:tcBorders>
            <w:shd w:val="clear" w:color="auto" w:fill="auto"/>
            <w:noWrap/>
            <w:vAlign w:val="bottom"/>
            <w:hideMark/>
          </w:tcPr>
          <w:p w14:paraId="26A72B69" w14:textId="77777777" w:rsidR="006F2A62" w:rsidRPr="00E14060" w:rsidRDefault="006F2A62" w:rsidP="00E40CF3">
            <w:pPr>
              <w:rPr>
                <w:sz w:val="22"/>
                <w:szCs w:val="22"/>
                <w:lang w:val="en-GB"/>
              </w:rPr>
            </w:pPr>
            <w:r w:rsidRPr="00E14060">
              <w:rPr>
                <w:sz w:val="22"/>
                <w:szCs w:val="22"/>
                <w:lang w:val="en-GB"/>
              </w:rPr>
              <w:t> </w:t>
            </w:r>
          </w:p>
        </w:tc>
        <w:tc>
          <w:tcPr>
            <w:tcW w:w="1821" w:type="pct"/>
            <w:gridSpan w:val="3"/>
            <w:tcBorders>
              <w:top w:val="nil"/>
              <w:left w:val="nil"/>
              <w:bottom w:val="single" w:sz="4" w:space="0" w:color="auto"/>
              <w:right w:val="nil"/>
            </w:tcBorders>
            <w:shd w:val="clear" w:color="auto" w:fill="auto"/>
            <w:noWrap/>
            <w:vAlign w:val="bottom"/>
            <w:hideMark/>
          </w:tcPr>
          <w:p w14:paraId="7639337B" w14:textId="77777777" w:rsidR="006F2A62" w:rsidRPr="00E14060" w:rsidRDefault="006F2A62" w:rsidP="00E40CF3">
            <w:pPr>
              <w:ind w:firstLineChars="200" w:firstLine="440"/>
              <w:rPr>
                <w:sz w:val="22"/>
                <w:szCs w:val="22"/>
                <w:lang w:val="en-GB"/>
              </w:rPr>
            </w:pPr>
            <w:r w:rsidRPr="00E14060">
              <w:rPr>
                <w:sz w:val="22"/>
                <w:szCs w:val="22"/>
                <w:lang w:val="en-GB"/>
              </w:rPr>
              <w:t>Odds ratio (ATX vs. placebo):</w:t>
            </w:r>
          </w:p>
        </w:tc>
        <w:tc>
          <w:tcPr>
            <w:tcW w:w="455" w:type="pct"/>
            <w:tcBorders>
              <w:top w:val="nil"/>
              <w:left w:val="nil"/>
              <w:bottom w:val="single" w:sz="4" w:space="0" w:color="auto"/>
              <w:right w:val="nil"/>
            </w:tcBorders>
            <w:shd w:val="clear" w:color="auto" w:fill="auto"/>
            <w:noWrap/>
            <w:vAlign w:val="bottom"/>
            <w:hideMark/>
          </w:tcPr>
          <w:p w14:paraId="3B60ED12" w14:textId="18BAC143" w:rsidR="006F2A62" w:rsidRPr="00E14060" w:rsidRDefault="00241DBD" w:rsidP="006F2A62">
            <w:pPr>
              <w:rPr>
                <w:sz w:val="22"/>
                <w:szCs w:val="22"/>
                <w:lang w:val="en-GB"/>
              </w:rPr>
            </w:pPr>
            <w:r w:rsidRPr="00E14060">
              <w:rPr>
                <w:sz w:val="22"/>
                <w:szCs w:val="22"/>
                <w:lang w:val="en-GB"/>
              </w:rPr>
              <w:t xml:space="preserve"> </w:t>
            </w:r>
          </w:p>
        </w:tc>
        <w:tc>
          <w:tcPr>
            <w:tcW w:w="688" w:type="pct"/>
            <w:tcBorders>
              <w:top w:val="nil"/>
              <w:left w:val="nil"/>
              <w:bottom w:val="single" w:sz="4" w:space="0" w:color="auto"/>
              <w:right w:val="nil"/>
            </w:tcBorders>
            <w:shd w:val="clear" w:color="auto" w:fill="auto"/>
            <w:noWrap/>
            <w:vAlign w:val="bottom"/>
            <w:hideMark/>
          </w:tcPr>
          <w:p w14:paraId="1073A036" w14:textId="77777777" w:rsidR="006F2A62" w:rsidRPr="00E14060" w:rsidRDefault="006F2A62" w:rsidP="00E40CF3">
            <w:pPr>
              <w:jc w:val="center"/>
              <w:rPr>
                <w:sz w:val="22"/>
                <w:szCs w:val="22"/>
                <w:lang w:val="en-GB"/>
              </w:rPr>
            </w:pPr>
            <w:r w:rsidRPr="00E14060">
              <w:rPr>
                <w:sz w:val="22"/>
                <w:szCs w:val="22"/>
                <w:lang w:val="en-GB"/>
              </w:rPr>
              <w:t>1.54</w:t>
            </w:r>
          </w:p>
        </w:tc>
        <w:tc>
          <w:tcPr>
            <w:tcW w:w="483" w:type="pct"/>
            <w:tcBorders>
              <w:top w:val="nil"/>
              <w:left w:val="nil"/>
              <w:bottom w:val="single" w:sz="4" w:space="0" w:color="auto"/>
              <w:right w:val="nil"/>
            </w:tcBorders>
            <w:shd w:val="clear" w:color="auto" w:fill="auto"/>
            <w:noWrap/>
            <w:vAlign w:val="bottom"/>
            <w:hideMark/>
          </w:tcPr>
          <w:p w14:paraId="3ED5F4D6" w14:textId="77777777" w:rsidR="006F2A62" w:rsidRPr="00E14060" w:rsidRDefault="006F2A62" w:rsidP="00E40CF3">
            <w:pPr>
              <w:rPr>
                <w:sz w:val="22"/>
                <w:szCs w:val="22"/>
                <w:lang w:val="en-GB"/>
              </w:rPr>
            </w:pPr>
            <w:r w:rsidRPr="00E14060">
              <w:rPr>
                <w:sz w:val="22"/>
                <w:szCs w:val="22"/>
                <w:lang w:val="en-GB"/>
              </w:rPr>
              <w:t> </w:t>
            </w:r>
          </w:p>
        </w:tc>
        <w:tc>
          <w:tcPr>
            <w:tcW w:w="688" w:type="pct"/>
            <w:tcBorders>
              <w:top w:val="nil"/>
              <w:left w:val="nil"/>
              <w:bottom w:val="single" w:sz="4" w:space="0" w:color="auto"/>
              <w:right w:val="nil"/>
            </w:tcBorders>
            <w:shd w:val="clear" w:color="auto" w:fill="auto"/>
            <w:noWrap/>
            <w:vAlign w:val="bottom"/>
            <w:hideMark/>
          </w:tcPr>
          <w:p w14:paraId="311E7894" w14:textId="77777777" w:rsidR="006F2A62" w:rsidRPr="00E14060" w:rsidRDefault="006F2A62" w:rsidP="00E40CF3">
            <w:pPr>
              <w:jc w:val="center"/>
              <w:rPr>
                <w:sz w:val="22"/>
                <w:szCs w:val="22"/>
                <w:lang w:val="en-GB"/>
              </w:rPr>
            </w:pPr>
            <w:r w:rsidRPr="00E14060">
              <w:rPr>
                <w:sz w:val="22"/>
                <w:szCs w:val="22"/>
                <w:lang w:val="en-GB"/>
              </w:rPr>
              <w:t>1.54</w:t>
            </w:r>
          </w:p>
        </w:tc>
        <w:tc>
          <w:tcPr>
            <w:tcW w:w="483" w:type="pct"/>
            <w:tcBorders>
              <w:top w:val="nil"/>
              <w:left w:val="nil"/>
              <w:bottom w:val="single" w:sz="4" w:space="0" w:color="auto"/>
              <w:right w:val="nil"/>
            </w:tcBorders>
            <w:shd w:val="clear" w:color="auto" w:fill="auto"/>
            <w:noWrap/>
            <w:vAlign w:val="bottom"/>
            <w:hideMark/>
          </w:tcPr>
          <w:p w14:paraId="7904A080" w14:textId="77777777" w:rsidR="006F2A62" w:rsidRPr="00E14060" w:rsidRDefault="006F2A62" w:rsidP="00E40CF3">
            <w:pPr>
              <w:rPr>
                <w:sz w:val="22"/>
                <w:szCs w:val="22"/>
                <w:lang w:val="en-GB"/>
              </w:rPr>
            </w:pPr>
            <w:r w:rsidRPr="00E14060">
              <w:rPr>
                <w:sz w:val="22"/>
                <w:szCs w:val="22"/>
                <w:lang w:val="en-GB"/>
              </w:rPr>
              <w:t> </w:t>
            </w:r>
          </w:p>
        </w:tc>
      </w:tr>
      <w:tr w:rsidR="006F2A62" w:rsidRPr="00E14060" w14:paraId="2262ED15" w14:textId="77777777" w:rsidTr="006F2A62">
        <w:trPr>
          <w:trHeight w:val="300"/>
        </w:trPr>
        <w:tc>
          <w:tcPr>
            <w:tcW w:w="382" w:type="pct"/>
            <w:tcBorders>
              <w:top w:val="nil"/>
              <w:left w:val="nil"/>
              <w:bottom w:val="nil"/>
              <w:right w:val="nil"/>
            </w:tcBorders>
            <w:shd w:val="clear" w:color="000000" w:fill="FFFFFF"/>
            <w:noWrap/>
            <w:vAlign w:val="bottom"/>
            <w:hideMark/>
          </w:tcPr>
          <w:p w14:paraId="0B3D436A" w14:textId="77777777" w:rsidR="006F2A62" w:rsidRPr="00E14060" w:rsidRDefault="006F2A62" w:rsidP="00E40CF3">
            <w:pPr>
              <w:rPr>
                <w:sz w:val="22"/>
                <w:szCs w:val="22"/>
                <w:lang w:val="en-GB"/>
              </w:rPr>
            </w:pPr>
            <w:r w:rsidRPr="00E14060">
              <w:rPr>
                <w:sz w:val="22"/>
                <w:szCs w:val="22"/>
                <w:lang w:val="en-GB"/>
              </w:rPr>
              <w:t>B198</w:t>
            </w:r>
          </w:p>
        </w:tc>
        <w:tc>
          <w:tcPr>
            <w:tcW w:w="854" w:type="pct"/>
            <w:tcBorders>
              <w:top w:val="nil"/>
              <w:left w:val="nil"/>
              <w:bottom w:val="nil"/>
              <w:right w:val="nil"/>
            </w:tcBorders>
            <w:shd w:val="clear" w:color="000000" w:fill="FFFFFF"/>
            <w:noWrap/>
            <w:vAlign w:val="bottom"/>
            <w:hideMark/>
          </w:tcPr>
          <w:p w14:paraId="484FF3CD" w14:textId="77777777" w:rsidR="006F2A62" w:rsidRPr="00E14060" w:rsidRDefault="006F2A62" w:rsidP="00E40CF3">
            <w:pPr>
              <w:jc w:val="center"/>
              <w:rPr>
                <w:sz w:val="22"/>
                <w:szCs w:val="22"/>
                <w:lang w:val="en-GB"/>
              </w:rPr>
            </w:pPr>
            <w:r w:rsidRPr="00E14060">
              <w:rPr>
                <w:sz w:val="22"/>
                <w:szCs w:val="22"/>
                <w:lang w:val="en-GB"/>
              </w:rPr>
              <w:t>Sutherland 2012</w:t>
            </w:r>
          </w:p>
        </w:tc>
        <w:tc>
          <w:tcPr>
            <w:tcW w:w="514" w:type="pct"/>
            <w:tcBorders>
              <w:top w:val="nil"/>
              <w:left w:val="nil"/>
              <w:bottom w:val="nil"/>
              <w:right w:val="nil"/>
            </w:tcBorders>
            <w:shd w:val="clear" w:color="000000" w:fill="FFFFFF"/>
            <w:noWrap/>
            <w:vAlign w:val="bottom"/>
            <w:hideMark/>
          </w:tcPr>
          <w:p w14:paraId="0D974EC9" w14:textId="11766274" w:rsidR="006F2A62" w:rsidRPr="00E14060" w:rsidRDefault="006F2A62" w:rsidP="006F2A62">
            <w:pPr>
              <w:jc w:val="center"/>
              <w:rPr>
                <w:sz w:val="22"/>
                <w:szCs w:val="22"/>
                <w:lang w:val="en-GB"/>
              </w:rPr>
            </w:pPr>
            <w:r w:rsidRPr="00E14060">
              <w:rPr>
                <w:sz w:val="22"/>
                <w:szCs w:val="22"/>
                <w:lang w:val="en-GB"/>
              </w:rPr>
              <w:t>ATX</w:t>
            </w:r>
          </w:p>
        </w:tc>
        <w:tc>
          <w:tcPr>
            <w:tcW w:w="453" w:type="pct"/>
            <w:tcBorders>
              <w:top w:val="nil"/>
              <w:left w:val="nil"/>
              <w:bottom w:val="nil"/>
              <w:right w:val="nil"/>
            </w:tcBorders>
            <w:shd w:val="clear" w:color="000000" w:fill="FFFFFF"/>
            <w:noWrap/>
            <w:vAlign w:val="bottom"/>
            <w:hideMark/>
          </w:tcPr>
          <w:p w14:paraId="00B63EFA" w14:textId="77777777" w:rsidR="006F2A62" w:rsidRPr="00E14060" w:rsidRDefault="006F2A62" w:rsidP="00E40CF3">
            <w:pPr>
              <w:jc w:val="center"/>
              <w:rPr>
                <w:sz w:val="22"/>
                <w:szCs w:val="22"/>
                <w:lang w:val="en-GB"/>
              </w:rPr>
            </w:pPr>
            <w:r w:rsidRPr="00E14060">
              <w:rPr>
                <w:sz w:val="22"/>
                <w:szCs w:val="22"/>
                <w:lang w:val="en-GB"/>
              </w:rPr>
              <w:t>-17.00</w:t>
            </w:r>
          </w:p>
        </w:tc>
        <w:tc>
          <w:tcPr>
            <w:tcW w:w="455" w:type="pct"/>
            <w:tcBorders>
              <w:top w:val="nil"/>
              <w:left w:val="nil"/>
              <w:bottom w:val="nil"/>
              <w:right w:val="nil"/>
            </w:tcBorders>
            <w:shd w:val="clear" w:color="000000" w:fill="FFFFFF"/>
            <w:noWrap/>
            <w:vAlign w:val="bottom"/>
            <w:hideMark/>
          </w:tcPr>
          <w:p w14:paraId="4D0532CA" w14:textId="0487D713" w:rsidR="006F2A62" w:rsidRPr="00E14060" w:rsidRDefault="006F2A62" w:rsidP="006F2A62">
            <w:pPr>
              <w:jc w:val="center"/>
              <w:rPr>
                <w:sz w:val="22"/>
                <w:szCs w:val="22"/>
                <w:lang w:val="en-GB"/>
              </w:rPr>
            </w:pPr>
            <w:r w:rsidRPr="00E14060">
              <w:rPr>
                <w:sz w:val="22"/>
                <w:szCs w:val="22"/>
                <w:lang w:val="en-GB"/>
              </w:rPr>
              <w:t>13.20</w:t>
            </w:r>
          </w:p>
        </w:tc>
        <w:tc>
          <w:tcPr>
            <w:tcW w:w="688" w:type="pct"/>
            <w:tcBorders>
              <w:top w:val="nil"/>
              <w:left w:val="nil"/>
              <w:bottom w:val="nil"/>
              <w:right w:val="nil"/>
            </w:tcBorders>
            <w:shd w:val="clear" w:color="000000" w:fill="FFFFFF"/>
            <w:noWrap/>
            <w:vAlign w:val="bottom"/>
            <w:hideMark/>
          </w:tcPr>
          <w:p w14:paraId="5B7A4660" w14:textId="77777777" w:rsidR="006F2A62" w:rsidRPr="00E14060" w:rsidRDefault="006F2A62" w:rsidP="00E40CF3">
            <w:pPr>
              <w:jc w:val="center"/>
              <w:rPr>
                <w:sz w:val="22"/>
                <w:szCs w:val="22"/>
                <w:lang w:val="en-GB"/>
              </w:rPr>
            </w:pPr>
            <w:r w:rsidRPr="00E14060">
              <w:rPr>
                <w:sz w:val="22"/>
                <w:szCs w:val="22"/>
                <w:lang w:val="en-GB"/>
              </w:rPr>
              <w:t>60.1%</w:t>
            </w:r>
          </w:p>
        </w:tc>
        <w:tc>
          <w:tcPr>
            <w:tcW w:w="483" w:type="pct"/>
            <w:tcBorders>
              <w:top w:val="nil"/>
              <w:left w:val="nil"/>
              <w:bottom w:val="nil"/>
              <w:right w:val="nil"/>
            </w:tcBorders>
            <w:shd w:val="clear" w:color="000000" w:fill="FFFFFF"/>
            <w:noWrap/>
            <w:vAlign w:val="bottom"/>
            <w:hideMark/>
          </w:tcPr>
          <w:p w14:paraId="7CEAA64A" w14:textId="77777777" w:rsidR="006F2A62" w:rsidRPr="00E14060" w:rsidRDefault="006F2A62" w:rsidP="00E40CF3">
            <w:pPr>
              <w:jc w:val="center"/>
              <w:rPr>
                <w:sz w:val="22"/>
                <w:szCs w:val="22"/>
                <w:lang w:val="en-GB"/>
              </w:rPr>
            </w:pPr>
            <w:r w:rsidRPr="00E14060">
              <w:rPr>
                <w:sz w:val="22"/>
                <w:szCs w:val="22"/>
                <w:lang w:val="en-GB"/>
              </w:rPr>
              <w:t>58/97</w:t>
            </w:r>
          </w:p>
        </w:tc>
        <w:tc>
          <w:tcPr>
            <w:tcW w:w="688" w:type="pct"/>
            <w:tcBorders>
              <w:top w:val="nil"/>
              <w:left w:val="nil"/>
              <w:bottom w:val="nil"/>
              <w:right w:val="nil"/>
            </w:tcBorders>
            <w:shd w:val="clear" w:color="000000" w:fill="FFFFFF"/>
            <w:noWrap/>
            <w:vAlign w:val="bottom"/>
            <w:hideMark/>
          </w:tcPr>
          <w:p w14:paraId="50FA67C8" w14:textId="77777777" w:rsidR="006F2A62" w:rsidRPr="00E14060" w:rsidRDefault="006F2A62" w:rsidP="00E40CF3">
            <w:pPr>
              <w:jc w:val="center"/>
              <w:rPr>
                <w:sz w:val="22"/>
                <w:szCs w:val="22"/>
                <w:lang w:val="en-GB"/>
              </w:rPr>
            </w:pPr>
            <w:r w:rsidRPr="00E14060">
              <w:rPr>
                <w:sz w:val="22"/>
                <w:szCs w:val="22"/>
                <w:lang w:val="en-GB"/>
              </w:rPr>
              <w:t>57.8%</w:t>
            </w:r>
          </w:p>
        </w:tc>
        <w:tc>
          <w:tcPr>
            <w:tcW w:w="483" w:type="pct"/>
            <w:tcBorders>
              <w:top w:val="nil"/>
              <w:left w:val="nil"/>
              <w:bottom w:val="nil"/>
              <w:right w:val="nil"/>
            </w:tcBorders>
            <w:shd w:val="clear" w:color="000000" w:fill="FFFFFF"/>
            <w:noWrap/>
            <w:vAlign w:val="bottom"/>
            <w:hideMark/>
          </w:tcPr>
          <w:p w14:paraId="316C4A16" w14:textId="77777777" w:rsidR="006F2A62" w:rsidRPr="00E14060" w:rsidRDefault="006F2A62" w:rsidP="00E40CF3">
            <w:pPr>
              <w:jc w:val="center"/>
              <w:rPr>
                <w:sz w:val="22"/>
                <w:szCs w:val="22"/>
                <w:lang w:val="en-GB"/>
              </w:rPr>
            </w:pPr>
            <w:r w:rsidRPr="00E14060">
              <w:rPr>
                <w:sz w:val="22"/>
                <w:szCs w:val="22"/>
                <w:lang w:val="en-GB"/>
              </w:rPr>
              <w:t>56/97</w:t>
            </w:r>
          </w:p>
        </w:tc>
      </w:tr>
      <w:tr w:rsidR="006F2A62" w:rsidRPr="00E14060" w14:paraId="69E6BD2D" w14:textId="77777777" w:rsidTr="006F2A62">
        <w:trPr>
          <w:trHeight w:val="300"/>
        </w:trPr>
        <w:tc>
          <w:tcPr>
            <w:tcW w:w="382" w:type="pct"/>
            <w:tcBorders>
              <w:top w:val="nil"/>
              <w:left w:val="nil"/>
              <w:bottom w:val="single" w:sz="4" w:space="0" w:color="auto"/>
              <w:right w:val="nil"/>
            </w:tcBorders>
            <w:shd w:val="clear" w:color="000000" w:fill="FFFFFF"/>
            <w:noWrap/>
            <w:vAlign w:val="bottom"/>
            <w:hideMark/>
          </w:tcPr>
          <w:p w14:paraId="482E1638" w14:textId="77777777" w:rsidR="006F2A62" w:rsidRPr="00E14060" w:rsidRDefault="006F2A62" w:rsidP="00E40CF3">
            <w:pPr>
              <w:rPr>
                <w:sz w:val="22"/>
                <w:szCs w:val="22"/>
                <w:lang w:val="en-GB"/>
              </w:rPr>
            </w:pPr>
            <w:r w:rsidRPr="00E14060">
              <w:rPr>
                <w:sz w:val="22"/>
                <w:szCs w:val="22"/>
                <w:lang w:val="en-GB"/>
              </w:rPr>
              <w:t>B198</w:t>
            </w:r>
          </w:p>
        </w:tc>
        <w:tc>
          <w:tcPr>
            <w:tcW w:w="854" w:type="pct"/>
            <w:tcBorders>
              <w:top w:val="nil"/>
              <w:left w:val="nil"/>
              <w:bottom w:val="single" w:sz="4" w:space="0" w:color="auto"/>
              <w:right w:val="nil"/>
            </w:tcBorders>
            <w:shd w:val="clear" w:color="000000" w:fill="FFFFFF"/>
            <w:noWrap/>
            <w:vAlign w:val="bottom"/>
            <w:hideMark/>
          </w:tcPr>
          <w:p w14:paraId="2B174926" w14:textId="77777777" w:rsidR="006F2A62" w:rsidRPr="00E14060" w:rsidRDefault="006F2A62" w:rsidP="00E40CF3">
            <w:pPr>
              <w:jc w:val="center"/>
              <w:rPr>
                <w:sz w:val="22"/>
                <w:szCs w:val="22"/>
                <w:lang w:val="en-GB"/>
              </w:rPr>
            </w:pPr>
            <w:r w:rsidRPr="00E14060">
              <w:rPr>
                <w:sz w:val="22"/>
                <w:szCs w:val="22"/>
                <w:lang w:val="en-GB"/>
              </w:rPr>
              <w:t>Sutherland 2012</w:t>
            </w:r>
          </w:p>
        </w:tc>
        <w:tc>
          <w:tcPr>
            <w:tcW w:w="514" w:type="pct"/>
            <w:tcBorders>
              <w:top w:val="nil"/>
              <w:left w:val="nil"/>
              <w:bottom w:val="single" w:sz="4" w:space="0" w:color="auto"/>
              <w:right w:val="nil"/>
            </w:tcBorders>
            <w:shd w:val="clear" w:color="000000" w:fill="FFFFFF"/>
            <w:noWrap/>
            <w:vAlign w:val="bottom"/>
            <w:hideMark/>
          </w:tcPr>
          <w:p w14:paraId="2A280FDD" w14:textId="26E76D49" w:rsidR="006F2A62" w:rsidRPr="00E14060" w:rsidRDefault="006F2A62" w:rsidP="006F2A62">
            <w:pPr>
              <w:jc w:val="center"/>
              <w:rPr>
                <w:sz w:val="22"/>
                <w:szCs w:val="22"/>
                <w:lang w:val="en-GB"/>
              </w:rPr>
            </w:pPr>
            <w:r w:rsidRPr="00E14060">
              <w:rPr>
                <w:sz w:val="22"/>
                <w:szCs w:val="22"/>
                <w:lang w:val="en-GB"/>
              </w:rPr>
              <w:t>Placebo</w:t>
            </w:r>
          </w:p>
        </w:tc>
        <w:tc>
          <w:tcPr>
            <w:tcW w:w="453" w:type="pct"/>
            <w:tcBorders>
              <w:top w:val="nil"/>
              <w:left w:val="nil"/>
              <w:bottom w:val="single" w:sz="4" w:space="0" w:color="auto"/>
              <w:right w:val="nil"/>
            </w:tcBorders>
            <w:shd w:val="clear" w:color="000000" w:fill="FFFFFF"/>
            <w:noWrap/>
            <w:vAlign w:val="bottom"/>
            <w:hideMark/>
          </w:tcPr>
          <w:p w14:paraId="5DF55398" w14:textId="77777777" w:rsidR="006F2A62" w:rsidRPr="00E14060" w:rsidRDefault="006F2A62" w:rsidP="00E40CF3">
            <w:pPr>
              <w:jc w:val="center"/>
              <w:rPr>
                <w:sz w:val="22"/>
                <w:szCs w:val="22"/>
                <w:lang w:val="en-GB"/>
              </w:rPr>
            </w:pPr>
            <w:r w:rsidRPr="00E14060">
              <w:rPr>
                <w:sz w:val="22"/>
                <w:szCs w:val="22"/>
                <w:lang w:val="en-GB"/>
              </w:rPr>
              <w:t>-12.39</w:t>
            </w:r>
          </w:p>
        </w:tc>
        <w:tc>
          <w:tcPr>
            <w:tcW w:w="455" w:type="pct"/>
            <w:tcBorders>
              <w:top w:val="nil"/>
              <w:left w:val="nil"/>
              <w:bottom w:val="single" w:sz="4" w:space="0" w:color="auto"/>
              <w:right w:val="nil"/>
            </w:tcBorders>
            <w:shd w:val="clear" w:color="000000" w:fill="FFFFFF"/>
            <w:noWrap/>
            <w:vAlign w:val="bottom"/>
            <w:hideMark/>
          </w:tcPr>
          <w:p w14:paraId="161E6755" w14:textId="7DCF9E38" w:rsidR="006F2A62" w:rsidRPr="00E14060" w:rsidRDefault="006F2A62" w:rsidP="006F2A62">
            <w:pPr>
              <w:jc w:val="center"/>
              <w:rPr>
                <w:sz w:val="22"/>
                <w:szCs w:val="22"/>
                <w:lang w:val="en-GB"/>
              </w:rPr>
            </w:pPr>
            <w:r w:rsidRPr="00E14060">
              <w:rPr>
                <w:sz w:val="22"/>
                <w:szCs w:val="22"/>
                <w:lang w:val="en-GB"/>
              </w:rPr>
              <w:t>16.36</w:t>
            </w:r>
          </w:p>
        </w:tc>
        <w:tc>
          <w:tcPr>
            <w:tcW w:w="688" w:type="pct"/>
            <w:tcBorders>
              <w:top w:val="nil"/>
              <w:left w:val="nil"/>
              <w:bottom w:val="single" w:sz="4" w:space="0" w:color="auto"/>
              <w:right w:val="nil"/>
            </w:tcBorders>
            <w:shd w:val="clear" w:color="000000" w:fill="FFFFFF"/>
            <w:noWrap/>
            <w:vAlign w:val="bottom"/>
            <w:hideMark/>
          </w:tcPr>
          <w:p w14:paraId="276EF38F" w14:textId="77777777" w:rsidR="006F2A62" w:rsidRPr="00E14060" w:rsidRDefault="006F2A62" w:rsidP="00E40CF3">
            <w:pPr>
              <w:jc w:val="center"/>
              <w:rPr>
                <w:sz w:val="22"/>
                <w:szCs w:val="22"/>
                <w:lang w:val="en-GB"/>
              </w:rPr>
            </w:pPr>
            <w:r w:rsidRPr="00E14060">
              <w:rPr>
                <w:sz w:val="22"/>
                <w:szCs w:val="22"/>
                <w:lang w:val="en-GB"/>
              </w:rPr>
              <w:t>47.0%</w:t>
            </w:r>
          </w:p>
        </w:tc>
        <w:tc>
          <w:tcPr>
            <w:tcW w:w="483" w:type="pct"/>
            <w:tcBorders>
              <w:top w:val="nil"/>
              <w:left w:val="nil"/>
              <w:bottom w:val="single" w:sz="4" w:space="0" w:color="auto"/>
              <w:right w:val="nil"/>
            </w:tcBorders>
            <w:shd w:val="clear" w:color="000000" w:fill="FFFFFF"/>
            <w:noWrap/>
            <w:vAlign w:val="bottom"/>
            <w:hideMark/>
          </w:tcPr>
          <w:p w14:paraId="668279F5" w14:textId="77777777" w:rsidR="006F2A62" w:rsidRPr="00E14060" w:rsidRDefault="006F2A62" w:rsidP="00E40CF3">
            <w:pPr>
              <w:jc w:val="center"/>
              <w:rPr>
                <w:sz w:val="22"/>
                <w:szCs w:val="22"/>
                <w:lang w:val="en-GB"/>
              </w:rPr>
            </w:pPr>
            <w:r w:rsidRPr="00E14060">
              <w:rPr>
                <w:sz w:val="22"/>
                <w:szCs w:val="22"/>
                <w:lang w:val="en-GB"/>
              </w:rPr>
              <w:t>22/47</w:t>
            </w:r>
          </w:p>
        </w:tc>
        <w:tc>
          <w:tcPr>
            <w:tcW w:w="688" w:type="pct"/>
            <w:tcBorders>
              <w:top w:val="nil"/>
              <w:left w:val="nil"/>
              <w:bottom w:val="single" w:sz="4" w:space="0" w:color="auto"/>
              <w:right w:val="nil"/>
            </w:tcBorders>
            <w:shd w:val="clear" w:color="000000" w:fill="FFFFFF"/>
            <w:noWrap/>
            <w:vAlign w:val="bottom"/>
            <w:hideMark/>
          </w:tcPr>
          <w:p w14:paraId="368D9102" w14:textId="77777777" w:rsidR="006F2A62" w:rsidRPr="00E14060" w:rsidRDefault="006F2A62" w:rsidP="00E40CF3">
            <w:pPr>
              <w:jc w:val="center"/>
              <w:rPr>
                <w:sz w:val="22"/>
                <w:szCs w:val="22"/>
                <w:lang w:val="en-GB"/>
              </w:rPr>
            </w:pPr>
            <w:r w:rsidRPr="00E14060">
              <w:rPr>
                <w:sz w:val="22"/>
                <w:szCs w:val="22"/>
                <w:lang w:val="en-GB"/>
              </w:rPr>
              <w:t>45.1%</w:t>
            </w:r>
          </w:p>
        </w:tc>
        <w:tc>
          <w:tcPr>
            <w:tcW w:w="483" w:type="pct"/>
            <w:tcBorders>
              <w:top w:val="nil"/>
              <w:left w:val="nil"/>
              <w:bottom w:val="single" w:sz="4" w:space="0" w:color="auto"/>
              <w:right w:val="nil"/>
            </w:tcBorders>
            <w:shd w:val="clear" w:color="000000" w:fill="FFFFFF"/>
            <w:noWrap/>
            <w:vAlign w:val="bottom"/>
            <w:hideMark/>
          </w:tcPr>
          <w:p w14:paraId="7000CDDE" w14:textId="77777777" w:rsidR="006F2A62" w:rsidRPr="00E14060" w:rsidRDefault="006F2A62" w:rsidP="00E40CF3">
            <w:pPr>
              <w:jc w:val="center"/>
              <w:rPr>
                <w:sz w:val="22"/>
                <w:szCs w:val="22"/>
                <w:lang w:val="en-GB"/>
              </w:rPr>
            </w:pPr>
            <w:r w:rsidRPr="00E14060">
              <w:rPr>
                <w:sz w:val="22"/>
                <w:szCs w:val="22"/>
                <w:lang w:val="en-GB"/>
              </w:rPr>
              <w:t>21/47</w:t>
            </w:r>
          </w:p>
        </w:tc>
      </w:tr>
      <w:tr w:rsidR="006F2A62" w:rsidRPr="00E14060" w14:paraId="68601370" w14:textId="77777777" w:rsidTr="006F2A62">
        <w:trPr>
          <w:trHeight w:val="300"/>
        </w:trPr>
        <w:tc>
          <w:tcPr>
            <w:tcW w:w="382" w:type="pct"/>
            <w:tcBorders>
              <w:top w:val="nil"/>
              <w:left w:val="nil"/>
              <w:bottom w:val="nil"/>
              <w:right w:val="nil"/>
            </w:tcBorders>
            <w:shd w:val="clear" w:color="auto" w:fill="auto"/>
            <w:noWrap/>
            <w:vAlign w:val="bottom"/>
            <w:hideMark/>
          </w:tcPr>
          <w:p w14:paraId="53F4472E" w14:textId="77777777" w:rsidR="006F2A62" w:rsidRPr="00E14060" w:rsidRDefault="006F2A62" w:rsidP="00E40CF3">
            <w:pPr>
              <w:rPr>
                <w:sz w:val="22"/>
                <w:szCs w:val="22"/>
                <w:lang w:val="en-GB"/>
              </w:rPr>
            </w:pPr>
            <w:r w:rsidRPr="00E14060">
              <w:rPr>
                <w:sz w:val="22"/>
                <w:szCs w:val="22"/>
                <w:lang w:val="en-GB"/>
              </w:rPr>
              <w:t> </w:t>
            </w:r>
          </w:p>
        </w:tc>
        <w:tc>
          <w:tcPr>
            <w:tcW w:w="1821" w:type="pct"/>
            <w:gridSpan w:val="3"/>
            <w:tcBorders>
              <w:top w:val="single" w:sz="4" w:space="0" w:color="auto"/>
              <w:left w:val="nil"/>
              <w:bottom w:val="nil"/>
              <w:right w:val="nil"/>
            </w:tcBorders>
            <w:shd w:val="clear" w:color="auto" w:fill="auto"/>
            <w:noWrap/>
            <w:vAlign w:val="bottom"/>
            <w:hideMark/>
          </w:tcPr>
          <w:p w14:paraId="5D5B95C3" w14:textId="77777777" w:rsidR="006F2A62" w:rsidRPr="00E14060" w:rsidRDefault="006F2A62" w:rsidP="00E40CF3">
            <w:pPr>
              <w:ind w:firstLineChars="200" w:firstLine="440"/>
              <w:rPr>
                <w:sz w:val="22"/>
                <w:szCs w:val="22"/>
                <w:lang w:val="en-GB"/>
              </w:rPr>
            </w:pPr>
            <w:r w:rsidRPr="00E14060">
              <w:rPr>
                <w:sz w:val="22"/>
                <w:szCs w:val="22"/>
                <w:lang w:val="en-GB"/>
              </w:rPr>
              <w:t>Relative risk (ATX vs. placebo):</w:t>
            </w:r>
          </w:p>
        </w:tc>
        <w:tc>
          <w:tcPr>
            <w:tcW w:w="455" w:type="pct"/>
            <w:tcBorders>
              <w:top w:val="nil"/>
              <w:left w:val="nil"/>
              <w:bottom w:val="nil"/>
              <w:right w:val="nil"/>
            </w:tcBorders>
            <w:shd w:val="clear" w:color="auto" w:fill="auto"/>
            <w:noWrap/>
            <w:vAlign w:val="bottom"/>
            <w:hideMark/>
          </w:tcPr>
          <w:p w14:paraId="4F4911C2" w14:textId="34FCB130" w:rsidR="006F2A62" w:rsidRPr="00E14060" w:rsidRDefault="006F2A62" w:rsidP="006F2A62">
            <w:pPr>
              <w:rPr>
                <w:sz w:val="22"/>
                <w:szCs w:val="22"/>
                <w:lang w:val="en-GB"/>
              </w:rPr>
            </w:pPr>
            <w:r w:rsidRPr="00E14060">
              <w:rPr>
                <w:sz w:val="22"/>
                <w:szCs w:val="22"/>
                <w:lang w:val="en-GB"/>
              </w:rPr>
              <w:t> </w:t>
            </w:r>
          </w:p>
        </w:tc>
        <w:tc>
          <w:tcPr>
            <w:tcW w:w="688" w:type="pct"/>
            <w:tcBorders>
              <w:top w:val="nil"/>
              <w:left w:val="nil"/>
              <w:bottom w:val="nil"/>
              <w:right w:val="nil"/>
            </w:tcBorders>
            <w:shd w:val="clear" w:color="auto" w:fill="auto"/>
            <w:noWrap/>
            <w:vAlign w:val="bottom"/>
            <w:hideMark/>
          </w:tcPr>
          <w:p w14:paraId="413B2468" w14:textId="77777777" w:rsidR="006F2A62" w:rsidRPr="00E14060" w:rsidRDefault="006F2A62" w:rsidP="00E40CF3">
            <w:pPr>
              <w:jc w:val="center"/>
              <w:rPr>
                <w:sz w:val="22"/>
                <w:szCs w:val="22"/>
                <w:lang w:val="en-GB"/>
              </w:rPr>
            </w:pPr>
            <w:r w:rsidRPr="00E14060">
              <w:rPr>
                <w:sz w:val="22"/>
                <w:szCs w:val="22"/>
                <w:lang w:val="en-GB"/>
              </w:rPr>
              <w:t>1.28</w:t>
            </w:r>
          </w:p>
        </w:tc>
        <w:tc>
          <w:tcPr>
            <w:tcW w:w="483" w:type="pct"/>
            <w:tcBorders>
              <w:top w:val="nil"/>
              <w:left w:val="nil"/>
              <w:bottom w:val="nil"/>
              <w:right w:val="nil"/>
            </w:tcBorders>
            <w:shd w:val="clear" w:color="auto" w:fill="auto"/>
            <w:noWrap/>
            <w:vAlign w:val="bottom"/>
            <w:hideMark/>
          </w:tcPr>
          <w:p w14:paraId="14F076F6" w14:textId="77777777" w:rsidR="006F2A62" w:rsidRPr="00E14060" w:rsidRDefault="006F2A62" w:rsidP="00E40CF3">
            <w:pPr>
              <w:rPr>
                <w:sz w:val="22"/>
                <w:szCs w:val="22"/>
                <w:lang w:val="en-GB"/>
              </w:rPr>
            </w:pPr>
            <w:r w:rsidRPr="00E14060">
              <w:rPr>
                <w:sz w:val="22"/>
                <w:szCs w:val="22"/>
                <w:lang w:val="en-GB"/>
              </w:rPr>
              <w:t> </w:t>
            </w:r>
          </w:p>
        </w:tc>
        <w:tc>
          <w:tcPr>
            <w:tcW w:w="688" w:type="pct"/>
            <w:tcBorders>
              <w:top w:val="nil"/>
              <w:left w:val="nil"/>
              <w:bottom w:val="nil"/>
              <w:right w:val="nil"/>
            </w:tcBorders>
            <w:shd w:val="clear" w:color="auto" w:fill="auto"/>
            <w:noWrap/>
            <w:vAlign w:val="bottom"/>
            <w:hideMark/>
          </w:tcPr>
          <w:p w14:paraId="6810724A" w14:textId="77777777" w:rsidR="006F2A62" w:rsidRPr="00E14060" w:rsidRDefault="006F2A62" w:rsidP="00E40CF3">
            <w:pPr>
              <w:jc w:val="center"/>
              <w:rPr>
                <w:sz w:val="22"/>
                <w:szCs w:val="22"/>
                <w:lang w:val="en-GB"/>
              </w:rPr>
            </w:pPr>
            <w:r w:rsidRPr="00E14060">
              <w:rPr>
                <w:sz w:val="22"/>
                <w:szCs w:val="22"/>
                <w:lang w:val="en-GB"/>
              </w:rPr>
              <w:t>1.28</w:t>
            </w:r>
          </w:p>
        </w:tc>
        <w:tc>
          <w:tcPr>
            <w:tcW w:w="483" w:type="pct"/>
            <w:tcBorders>
              <w:top w:val="nil"/>
              <w:left w:val="nil"/>
              <w:bottom w:val="nil"/>
              <w:right w:val="nil"/>
            </w:tcBorders>
            <w:shd w:val="clear" w:color="auto" w:fill="auto"/>
            <w:noWrap/>
            <w:vAlign w:val="bottom"/>
            <w:hideMark/>
          </w:tcPr>
          <w:p w14:paraId="59FD6031" w14:textId="77777777" w:rsidR="006F2A62" w:rsidRPr="00E14060" w:rsidRDefault="006F2A62" w:rsidP="00E40CF3">
            <w:pPr>
              <w:rPr>
                <w:sz w:val="22"/>
                <w:szCs w:val="22"/>
                <w:lang w:val="en-GB"/>
              </w:rPr>
            </w:pPr>
            <w:r w:rsidRPr="00E14060">
              <w:rPr>
                <w:sz w:val="22"/>
                <w:szCs w:val="22"/>
                <w:lang w:val="en-GB"/>
              </w:rPr>
              <w:t> </w:t>
            </w:r>
          </w:p>
        </w:tc>
      </w:tr>
      <w:tr w:rsidR="006F2A62" w:rsidRPr="00E14060" w14:paraId="70552850" w14:textId="77777777" w:rsidTr="006F2A62">
        <w:trPr>
          <w:trHeight w:val="300"/>
        </w:trPr>
        <w:tc>
          <w:tcPr>
            <w:tcW w:w="382" w:type="pct"/>
            <w:tcBorders>
              <w:top w:val="nil"/>
              <w:left w:val="nil"/>
              <w:bottom w:val="single" w:sz="4" w:space="0" w:color="auto"/>
              <w:right w:val="nil"/>
            </w:tcBorders>
            <w:shd w:val="clear" w:color="auto" w:fill="auto"/>
            <w:noWrap/>
            <w:vAlign w:val="bottom"/>
            <w:hideMark/>
          </w:tcPr>
          <w:p w14:paraId="48D68F25" w14:textId="77777777" w:rsidR="006F2A62" w:rsidRPr="00E14060" w:rsidRDefault="006F2A62" w:rsidP="00E40CF3">
            <w:pPr>
              <w:rPr>
                <w:sz w:val="22"/>
                <w:szCs w:val="22"/>
                <w:lang w:val="en-GB"/>
              </w:rPr>
            </w:pPr>
            <w:r w:rsidRPr="00E14060">
              <w:rPr>
                <w:sz w:val="22"/>
                <w:szCs w:val="22"/>
                <w:lang w:val="en-GB"/>
              </w:rPr>
              <w:t> </w:t>
            </w:r>
          </w:p>
        </w:tc>
        <w:tc>
          <w:tcPr>
            <w:tcW w:w="1821" w:type="pct"/>
            <w:gridSpan w:val="3"/>
            <w:tcBorders>
              <w:top w:val="nil"/>
              <w:left w:val="nil"/>
              <w:bottom w:val="single" w:sz="4" w:space="0" w:color="auto"/>
              <w:right w:val="nil"/>
            </w:tcBorders>
            <w:shd w:val="clear" w:color="auto" w:fill="auto"/>
            <w:noWrap/>
            <w:vAlign w:val="bottom"/>
            <w:hideMark/>
          </w:tcPr>
          <w:p w14:paraId="6A3E6803" w14:textId="77777777" w:rsidR="006F2A62" w:rsidRPr="00E14060" w:rsidRDefault="006F2A62" w:rsidP="00E40CF3">
            <w:pPr>
              <w:ind w:firstLineChars="200" w:firstLine="440"/>
              <w:rPr>
                <w:sz w:val="22"/>
                <w:szCs w:val="22"/>
                <w:lang w:val="en-GB"/>
              </w:rPr>
            </w:pPr>
            <w:r w:rsidRPr="00E14060">
              <w:rPr>
                <w:sz w:val="22"/>
                <w:szCs w:val="22"/>
                <w:lang w:val="en-GB"/>
              </w:rPr>
              <w:t>Odds ratio (ATX vs. placebo):</w:t>
            </w:r>
          </w:p>
        </w:tc>
        <w:tc>
          <w:tcPr>
            <w:tcW w:w="455" w:type="pct"/>
            <w:tcBorders>
              <w:top w:val="nil"/>
              <w:left w:val="nil"/>
              <w:bottom w:val="single" w:sz="4" w:space="0" w:color="auto"/>
              <w:right w:val="nil"/>
            </w:tcBorders>
            <w:shd w:val="clear" w:color="auto" w:fill="auto"/>
            <w:noWrap/>
            <w:vAlign w:val="bottom"/>
            <w:hideMark/>
          </w:tcPr>
          <w:p w14:paraId="036FE273" w14:textId="24713DD2" w:rsidR="006F2A62" w:rsidRPr="00E14060" w:rsidRDefault="006F2A62" w:rsidP="006F2A62">
            <w:pPr>
              <w:rPr>
                <w:sz w:val="22"/>
                <w:szCs w:val="22"/>
                <w:lang w:val="en-GB"/>
              </w:rPr>
            </w:pPr>
            <w:r w:rsidRPr="00E14060">
              <w:rPr>
                <w:sz w:val="22"/>
                <w:szCs w:val="22"/>
                <w:lang w:val="en-GB"/>
              </w:rPr>
              <w:t> </w:t>
            </w:r>
          </w:p>
        </w:tc>
        <w:tc>
          <w:tcPr>
            <w:tcW w:w="688" w:type="pct"/>
            <w:tcBorders>
              <w:top w:val="nil"/>
              <w:left w:val="nil"/>
              <w:bottom w:val="single" w:sz="4" w:space="0" w:color="auto"/>
              <w:right w:val="nil"/>
            </w:tcBorders>
            <w:shd w:val="clear" w:color="auto" w:fill="auto"/>
            <w:noWrap/>
            <w:vAlign w:val="bottom"/>
            <w:hideMark/>
          </w:tcPr>
          <w:p w14:paraId="764EFFA9" w14:textId="77777777" w:rsidR="006F2A62" w:rsidRPr="00E14060" w:rsidRDefault="006F2A62" w:rsidP="00E40CF3">
            <w:pPr>
              <w:jc w:val="center"/>
              <w:rPr>
                <w:sz w:val="22"/>
                <w:szCs w:val="22"/>
                <w:lang w:val="en-GB"/>
              </w:rPr>
            </w:pPr>
            <w:r w:rsidRPr="00E14060">
              <w:rPr>
                <w:sz w:val="22"/>
                <w:szCs w:val="22"/>
                <w:lang w:val="en-GB"/>
              </w:rPr>
              <w:t>1.70</w:t>
            </w:r>
          </w:p>
        </w:tc>
        <w:tc>
          <w:tcPr>
            <w:tcW w:w="483" w:type="pct"/>
            <w:tcBorders>
              <w:top w:val="nil"/>
              <w:left w:val="nil"/>
              <w:bottom w:val="single" w:sz="4" w:space="0" w:color="auto"/>
              <w:right w:val="nil"/>
            </w:tcBorders>
            <w:shd w:val="clear" w:color="auto" w:fill="auto"/>
            <w:noWrap/>
            <w:vAlign w:val="bottom"/>
            <w:hideMark/>
          </w:tcPr>
          <w:p w14:paraId="4FB2E4D7" w14:textId="77777777" w:rsidR="006F2A62" w:rsidRPr="00E14060" w:rsidRDefault="006F2A62" w:rsidP="00E40CF3">
            <w:pPr>
              <w:rPr>
                <w:sz w:val="22"/>
                <w:szCs w:val="22"/>
                <w:lang w:val="en-GB"/>
              </w:rPr>
            </w:pPr>
            <w:r w:rsidRPr="00E14060">
              <w:rPr>
                <w:sz w:val="22"/>
                <w:szCs w:val="22"/>
                <w:lang w:val="en-GB"/>
              </w:rPr>
              <w:t> </w:t>
            </w:r>
          </w:p>
        </w:tc>
        <w:tc>
          <w:tcPr>
            <w:tcW w:w="688" w:type="pct"/>
            <w:tcBorders>
              <w:top w:val="nil"/>
              <w:left w:val="nil"/>
              <w:bottom w:val="single" w:sz="4" w:space="0" w:color="auto"/>
              <w:right w:val="nil"/>
            </w:tcBorders>
            <w:shd w:val="clear" w:color="auto" w:fill="auto"/>
            <w:noWrap/>
            <w:vAlign w:val="bottom"/>
            <w:hideMark/>
          </w:tcPr>
          <w:p w14:paraId="1D01DC0E" w14:textId="77777777" w:rsidR="006F2A62" w:rsidRPr="00E14060" w:rsidRDefault="006F2A62" w:rsidP="00E40CF3">
            <w:pPr>
              <w:jc w:val="center"/>
              <w:rPr>
                <w:sz w:val="22"/>
                <w:szCs w:val="22"/>
                <w:lang w:val="en-GB"/>
              </w:rPr>
            </w:pPr>
            <w:r w:rsidRPr="00E14060">
              <w:rPr>
                <w:sz w:val="22"/>
                <w:szCs w:val="22"/>
                <w:lang w:val="en-GB"/>
              </w:rPr>
              <w:t>1.67</w:t>
            </w:r>
          </w:p>
        </w:tc>
        <w:tc>
          <w:tcPr>
            <w:tcW w:w="483" w:type="pct"/>
            <w:tcBorders>
              <w:top w:val="nil"/>
              <w:left w:val="nil"/>
              <w:bottom w:val="single" w:sz="4" w:space="0" w:color="auto"/>
              <w:right w:val="nil"/>
            </w:tcBorders>
            <w:shd w:val="clear" w:color="auto" w:fill="auto"/>
            <w:noWrap/>
            <w:vAlign w:val="bottom"/>
            <w:hideMark/>
          </w:tcPr>
          <w:p w14:paraId="6B63D7A8" w14:textId="77777777" w:rsidR="006F2A62" w:rsidRPr="00E14060" w:rsidRDefault="006F2A62" w:rsidP="00E40CF3">
            <w:pPr>
              <w:rPr>
                <w:sz w:val="22"/>
                <w:szCs w:val="22"/>
                <w:lang w:val="en-GB"/>
              </w:rPr>
            </w:pPr>
            <w:r w:rsidRPr="00E14060">
              <w:rPr>
                <w:sz w:val="22"/>
                <w:szCs w:val="22"/>
                <w:lang w:val="en-GB"/>
              </w:rPr>
              <w:t> </w:t>
            </w:r>
          </w:p>
        </w:tc>
      </w:tr>
      <w:tr w:rsidR="006F2A62" w:rsidRPr="00E14060" w14:paraId="141F7A5F" w14:textId="77777777" w:rsidTr="006F2A62">
        <w:trPr>
          <w:trHeight w:val="300"/>
        </w:trPr>
        <w:tc>
          <w:tcPr>
            <w:tcW w:w="382" w:type="pct"/>
            <w:tcBorders>
              <w:top w:val="nil"/>
              <w:left w:val="nil"/>
              <w:bottom w:val="nil"/>
              <w:right w:val="nil"/>
            </w:tcBorders>
            <w:shd w:val="clear" w:color="000000" w:fill="FFFFFF"/>
            <w:noWrap/>
            <w:vAlign w:val="bottom"/>
            <w:hideMark/>
          </w:tcPr>
          <w:p w14:paraId="0DF86EA4" w14:textId="77777777" w:rsidR="006F2A62" w:rsidRPr="00E14060" w:rsidRDefault="006F2A62" w:rsidP="00E40CF3">
            <w:pPr>
              <w:rPr>
                <w:sz w:val="22"/>
                <w:szCs w:val="22"/>
                <w:lang w:val="en-GB"/>
              </w:rPr>
            </w:pPr>
            <w:r w:rsidRPr="00E14060">
              <w:rPr>
                <w:sz w:val="22"/>
                <w:szCs w:val="22"/>
                <w:lang w:val="en-GB"/>
              </w:rPr>
              <w:t>B251</w:t>
            </w:r>
          </w:p>
        </w:tc>
        <w:tc>
          <w:tcPr>
            <w:tcW w:w="854" w:type="pct"/>
            <w:tcBorders>
              <w:top w:val="nil"/>
              <w:left w:val="nil"/>
              <w:bottom w:val="nil"/>
              <w:right w:val="nil"/>
            </w:tcBorders>
            <w:shd w:val="clear" w:color="000000" w:fill="FFFFFF"/>
            <w:noWrap/>
            <w:vAlign w:val="bottom"/>
            <w:hideMark/>
          </w:tcPr>
          <w:p w14:paraId="0EB93A82" w14:textId="77777777" w:rsidR="006F2A62" w:rsidRPr="00E14060" w:rsidRDefault="006F2A62" w:rsidP="00E40CF3">
            <w:pPr>
              <w:jc w:val="center"/>
              <w:rPr>
                <w:sz w:val="22"/>
                <w:szCs w:val="22"/>
                <w:lang w:val="en-GB"/>
              </w:rPr>
            </w:pPr>
            <w:r w:rsidRPr="00E14060">
              <w:rPr>
                <w:sz w:val="22"/>
                <w:szCs w:val="22"/>
                <w:lang w:val="en-GB"/>
              </w:rPr>
              <w:t>Young 2011</w:t>
            </w:r>
          </w:p>
        </w:tc>
        <w:tc>
          <w:tcPr>
            <w:tcW w:w="514" w:type="pct"/>
            <w:tcBorders>
              <w:top w:val="nil"/>
              <w:left w:val="nil"/>
              <w:bottom w:val="nil"/>
              <w:right w:val="nil"/>
            </w:tcBorders>
            <w:shd w:val="clear" w:color="000000" w:fill="FFFFFF"/>
            <w:noWrap/>
            <w:vAlign w:val="bottom"/>
            <w:hideMark/>
          </w:tcPr>
          <w:p w14:paraId="5570C295" w14:textId="503C0FED" w:rsidR="006F2A62" w:rsidRPr="00E14060" w:rsidRDefault="006F2A62" w:rsidP="006F2A62">
            <w:pPr>
              <w:jc w:val="center"/>
              <w:rPr>
                <w:sz w:val="22"/>
                <w:szCs w:val="22"/>
                <w:lang w:val="en-GB"/>
              </w:rPr>
            </w:pPr>
            <w:r w:rsidRPr="00E14060">
              <w:rPr>
                <w:sz w:val="22"/>
                <w:szCs w:val="22"/>
                <w:lang w:val="en-GB"/>
              </w:rPr>
              <w:t>ATX</w:t>
            </w:r>
          </w:p>
        </w:tc>
        <w:tc>
          <w:tcPr>
            <w:tcW w:w="453" w:type="pct"/>
            <w:tcBorders>
              <w:top w:val="nil"/>
              <w:left w:val="nil"/>
              <w:bottom w:val="nil"/>
              <w:right w:val="nil"/>
            </w:tcBorders>
            <w:shd w:val="clear" w:color="000000" w:fill="FFFFFF"/>
            <w:noWrap/>
            <w:vAlign w:val="bottom"/>
            <w:hideMark/>
          </w:tcPr>
          <w:p w14:paraId="61E5B60D" w14:textId="77777777" w:rsidR="006F2A62" w:rsidRPr="00E14060" w:rsidRDefault="006F2A62" w:rsidP="00E40CF3">
            <w:pPr>
              <w:jc w:val="center"/>
              <w:rPr>
                <w:sz w:val="22"/>
                <w:szCs w:val="22"/>
                <w:lang w:val="en-GB"/>
              </w:rPr>
            </w:pPr>
            <w:r w:rsidRPr="00E14060">
              <w:rPr>
                <w:sz w:val="22"/>
                <w:szCs w:val="22"/>
                <w:lang w:val="en-GB"/>
              </w:rPr>
              <w:t>-13.7</w:t>
            </w:r>
          </w:p>
        </w:tc>
        <w:tc>
          <w:tcPr>
            <w:tcW w:w="455" w:type="pct"/>
            <w:tcBorders>
              <w:top w:val="nil"/>
              <w:left w:val="nil"/>
              <w:bottom w:val="nil"/>
              <w:right w:val="nil"/>
            </w:tcBorders>
            <w:shd w:val="clear" w:color="000000" w:fill="FFFFFF"/>
            <w:noWrap/>
            <w:vAlign w:val="bottom"/>
            <w:hideMark/>
          </w:tcPr>
          <w:p w14:paraId="65E54A09" w14:textId="427B5586" w:rsidR="006F2A62" w:rsidRPr="00E14060" w:rsidRDefault="006F2A62" w:rsidP="006F2A62">
            <w:pPr>
              <w:jc w:val="center"/>
              <w:rPr>
                <w:sz w:val="22"/>
                <w:szCs w:val="22"/>
                <w:lang w:val="en-GB"/>
              </w:rPr>
            </w:pPr>
            <w:r w:rsidRPr="00E14060">
              <w:rPr>
                <w:sz w:val="22"/>
                <w:szCs w:val="22"/>
                <w:lang w:val="en-GB"/>
              </w:rPr>
              <w:t>12.5</w:t>
            </w:r>
          </w:p>
        </w:tc>
        <w:tc>
          <w:tcPr>
            <w:tcW w:w="688" w:type="pct"/>
            <w:tcBorders>
              <w:top w:val="nil"/>
              <w:left w:val="nil"/>
              <w:bottom w:val="nil"/>
              <w:right w:val="nil"/>
            </w:tcBorders>
            <w:shd w:val="clear" w:color="000000" w:fill="FFFFFF"/>
            <w:noWrap/>
            <w:vAlign w:val="bottom"/>
            <w:hideMark/>
          </w:tcPr>
          <w:p w14:paraId="28562991" w14:textId="77777777" w:rsidR="006F2A62" w:rsidRPr="00E14060" w:rsidRDefault="006F2A62" w:rsidP="00E40CF3">
            <w:pPr>
              <w:jc w:val="center"/>
              <w:rPr>
                <w:sz w:val="22"/>
                <w:szCs w:val="22"/>
                <w:lang w:val="en-GB"/>
              </w:rPr>
            </w:pPr>
            <w:r w:rsidRPr="00E14060">
              <w:rPr>
                <w:sz w:val="22"/>
                <w:szCs w:val="22"/>
                <w:lang w:val="en-GB"/>
              </w:rPr>
              <w:t>50.2%</w:t>
            </w:r>
          </w:p>
        </w:tc>
        <w:tc>
          <w:tcPr>
            <w:tcW w:w="483" w:type="pct"/>
            <w:tcBorders>
              <w:top w:val="nil"/>
              <w:left w:val="nil"/>
              <w:bottom w:val="nil"/>
              <w:right w:val="nil"/>
            </w:tcBorders>
            <w:shd w:val="clear" w:color="000000" w:fill="FFFFFF"/>
            <w:noWrap/>
            <w:vAlign w:val="bottom"/>
            <w:hideMark/>
          </w:tcPr>
          <w:p w14:paraId="0C85618B" w14:textId="77777777" w:rsidR="006F2A62" w:rsidRPr="00E14060" w:rsidRDefault="006F2A62" w:rsidP="00E40CF3">
            <w:pPr>
              <w:jc w:val="center"/>
              <w:rPr>
                <w:sz w:val="22"/>
                <w:szCs w:val="22"/>
                <w:lang w:val="en-GB"/>
              </w:rPr>
            </w:pPr>
            <w:r w:rsidRPr="00E14060">
              <w:rPr>
                <w:sz w:val="22"/>
                <w:szCs w:val="22"/>
                <w:lang w:val="en-GB"/>
              </w:rPr>
              <w:t>135/268</w:t>
            </w:r>
          </w:p>
        </w:tc>
        <w:tc>
          <w:tcPr>
            <w:tcW w:w="688" w:type="pct"/>
            <w:tcBorders>
              <w:top w:val="nil"/>
              <w:left w:val="nil"/>
              <w:bottom w:val="nil"/>
              <w:right w:val="nil"/>
            </w:tcBorders>
            <w:shd w:val="clear" w:color="000000" w:fill="FFFFFF"/>
            <w:noWrap/>
            <w:vAlign w:val="bottom"/>
            <w:hideMark/>
          </w:tcPr>
          <w:p w14:paraId="73FBB802" w14:textId="77777777" w:rsidR="006F2A62" w:rsidRPr="00E14060" w:rsidRDefault="006F2A62" w:rsidP="00E40CF3">
            <w:pPr>
              <w:jc w:val="center"/>
              <w:rPr>
                <w:sz w:val="22"/>
                <w:szCs w:val="22"/>
                <w:lang w:val="en-GB"/>
              </w:rPr>
            </w:pPr>
            <w:r w:rsidRPr="00E14060">
              <w:rPr>
                <w:sz w:val="22"/>
                <w:szCs w:val="22"/>
                <w:lang w:val="en-GB"/>
              </w:rPr>
              <w:t>47.8%</w:t>
            </w:r>
          </w:p>
        </w:tc>
        <w:tc>
          <w:tcPr>
            <w:tcW w:w="483" w:type="pct"/>
            <w:tcBorders>
              <w:top w:val="nil"/>
              <w:left w:val="nil"/>
              <w:bottom w:val="nil"/>
              <w:right w:val="nil"/>
            </w:tcBorders>
            <w:shd w:val="clear" w:color="000000" w:fill="FFFFFF"/>
            <w:noWrap/>
            <w:vAlign w:val="bottom"/>
            <w:hideMark/>
          </w:tcPr>
          <w:p w14:paraId="1ACF0C81" w14:textId="77777777" w:rsidR="006F2A62" w:rsidRPr="00E14060" w:rsidRDefault="006F2A62" w:rsidP="00E40CF3">
            <w:pPr>
              <w:jc w:val="center"/>
              <w:rPr>
                <w:sz w:val="22"/>
                <w:szCs w:val="22"/>
                <w:lang w:val="en-GB"/>
              </w:rPr>
            </w:pPr>
            <w:r w:rsidRPr="00E14060">
              <w:rPr>
                <w:sz w:val="22"/>
                <w:szCs w:val="22"/>
                <w:lang w:val="en-GB"/>
              </w:rPr>
              <w:t>128/268</w:t>
            </w:r>
          </w:p>
        </w:tc>
      </w:tr>
      <w:tr w:rsidR="006F2A62" w:rsidRPr="00E14060" w14:paraId="58C0380F" w14:textId="77777777" w:rsidTr="006F2A62">
        <w:trPr>
          <w:trHeight w:val="300"/>
        </w:trPr>
        <w:tc>
          <w:tcPr>
            <w:tcW w:w="382" w:type="pct"/>
            <w:tcBorders>
              <w:top w:val="nil"/>
              <w:left w:val="nil"/>
              <w:bottom w:val="single" w:sz="4" w:space="0" w:color="auto"/>
              <w:right w:val="nil"/>
            </w:tcBorders>
            <w:shd w:val="clear" w:color="000000" w:fill="FFFFFF"/>
            <w:noWrap/>
            <w:vAlign w:val="bottom"/>
            <w:hideMark/>
          </w:tcPr>
          <w:p w14:paraId="16A64942" w14:textId="77777777" w:rsidR="006F2A62" w:rsidRPr="00E14060" w:rsidRDefault="006F2A62" w:rsidP="00E40CF3">
            <w:pPr>
              <w:rPr>
                <w:sz w:val="22"/>
                <w:szCs w:val="22"/>
                <w:lang w:val="en-GB"/>
              </w:rPr>
            </w:pPr>
            <w:r w:rsidRPr="00E14060">
              <w:rPr>
                <w:sz w:val="22"/>
                <w:szCs w:val="22"/>
                <w:lang w:val="en-GB"/>
              </w:rPr>
              <w:t>B251</w:t>
            </w:r>
          </w:p>
        </w:tc>
        <w:tc>
          <w:tcPr>
            <w:tcW w:w="854" w:type="pct"/>
            <w:tcBorders>
              <w:top w:val="nil"/>
              <w:left w:val="nil"/>
              <w:bottom w:val="single" w:sz="4" w:space="0" w:color="auto"/>
              <w:right w:val="nil"/>
            </w:tcBorders>
            <w:shd w:val="clear" w:color="000000" w:fill="FFFFFF"/>
            <w:noWrap/>
            <w:vAlign w:val="bottom"/>
            <w:hideMark/>
          </w:tcPr>
          <w:p w14:paraId="04552C0B" w14:textId="77777777" w:rsidR="006F2A62" w:rsidRPr="00E14060" w:rsidRDefault="006F2A62" w:rsidP="00E40CF3">
            <w:pPr>
              <w:jc w:val="center"/>
              <w:rPr>
                <w:sz w:val="22"/>
                <w:szCs w:val="22"/>
                <w:lang w:val="en-GB"/>
              </w:rPr>
            </w:pPr>
            <w:r w:rsidRPr="00E14060">
              <w:rPr>
                <w:sz w:val="22"/>
                <w:szCs w:val="22"/>
                <w:lang w:val="en-GB"/>
              </w:rPr>
              <w:t>Young 2011</w:t>
            </w:r>
          </w:p>
        </w:tc>
        <w:tc>
          <w:tcPr>
            <w:tcW w:w="514" w:type="pct"/>
            <w:tcBorders>
              <w:top w:val="nil"/>
              <w:left w:val="nil"/>
              <w:bottom w:val="single" w:sz="4" w:space="0" w:color="auto"/>
              <w:right w:val="nil"/>
            </w:tcBorders>
            <w:shd w:val="clear" w:color="000000" w:fill="FFFFFF"/>
            <w:noWrap/>
            <w:vAlign w:val="bottom"/>
            <w:hideMark/>
          </w:tcPr>
          <w:p w14:paraId="2A6B9136" w14:textId="33E45928" w:rsidR="006F2A62" w:rsidRPr="00E14060" w:rsidRDefault="006F2A62" w:rsidP="006F2A62">
            <w:pPr>
              <w:jc w:val="center"/>
              <w:rPr>
                <w:sz w:val="22"/>
                <w:szCs w:val="22"/>
                <w:lang w:val="en-GB"/>
              </w:rPr>
            </w:pPr>
            <w:r w:rsidRPr="00E14060">
              <w:rPr>
                <w:sz w:val="22"/>
                <w:szCs w:val="22"/>
                <w:lang w:val="en-GB"/>
              </w:rPr>
              <w:t>Placebo</w:t>
            </w:r>
          </w:p>
        </w:tc>
        <w:tc>
          <w:tcPr>
            <w:tcW w:w="453" w:type="pct"/>
            <w:tcBorders>
              <w:top w:val="nil"/>
              <w:left w:val="nil"/>
              <w:bottom w:val="single" w:sz="4" w:space="0" w:color="auto"/>
              <w:right w:val="nil"/>
            </w:tcBorders>
            <w:shd w:val="clear" w:color="000000" w:fill="FFFFFF"/>
            <w:noWrap/>
            <w:vAlign w:val="bottom"/>
            <w:hideMark/>
          </w:tcPr>
          <w:p w14:paraId="7BAE940A" w14:textId="77777777" w:rsidR="006F2A62" w:rsidRPr="00E14060" w:rsidRDefault="006F2A62" w:rsidP="00E40CF3">
            <w:pPr>
              <w:jc w:val="center"/>
              <w:rPr>
                <w:sz w:val="22"/>
                <w:szCs w:val="22"/>
                <w:lang w:val="en-GB"/>
              </w:rPr>
            </w:pPr>
            <w:r w:rsidRPr="00E14060">
              <w:rPr>
                <w:sz w:val="22"/>
                <w:szCs w:val="22"/>
                <w:lang w:val="en-GB"/>
              </w:rPr>
              <w:t>-8.0</w:t>
            </w:r>
          </w:p>
        </w:tc>
        <w:tc>
          <w:tcPr>
            <w:tcW w:w="455" w:type="pct"/>
            <w:tcBorders>
              <w:top w:val="nil"/>
              <w:left w:val="nil"/>
              <w:bottom w:val="single" w:sz="4" w:space="0" w:color="auto"/>
              <w:right w:val="nil"/>
            </w:tcBorders>
            <w:shd w:val="clear" w:color="000000" w:fill="FFFFFF"/>
            <w:noWrap/>
            <w:vAlign w:val="bottom"/>
            <w:hideMark/>
          </w:tcPr>
          <w:p w14:paraId="7EFAD902" w14:textId="0247726B" w:rsidR="006F2A62" w:rsidRPr="00E14060" w:rsidRDefault="006F2A62" w:rsidP="006F2A62">
            <w:pPr>
              <w:jc w:val="center"/>
              <w:rPr>
                <w:sz w:val="22"/>
                <w:szCs w:val="22"/>
                <w:lang w:val="en-GB"/>
              </w:rPr>
            </w:pPr>
            <w:r w:rsidRPr="00E14060">
              <w:rPr>
                <w:sz w:val="22"/>
                <w:szCs w:val="22"/>
                <w:lang w:val="en-GB"/>
              </w:rPr>
              <w:t>11.0</w:t>
            </w:r>
          </w:p>
        </w:tc>
        <w:tc>
          <w:tcPr>
            <w:tcW w:w="688" w:type="pct"/>
            <w:tcBorders>
              <w:top w:val="nil"/>
              <w:left w:val="nil"/>
              <w:bottom w:val="single" w:sz="4" w:space="0" w:color="auto"/>
              <w:right w:val="nil"/>
            </w:tcBorders>
            <w:shd w:val="clear" w:color="000000" w:fill="FFFFFF"/>
            <w:noWrap/>
            <w:vAlign w:val="bottom"/>
            <w:hideMark/>
          </w:tcPr>
          <w:p w14:paraId="78640FA5" w14:textId="77777777" w:rsidR="006F2A62" w:rsidRPr="00E14060" w:rsidRDefault="006F2A62" w:rsidP="00E40CF3">
            <w:pPr>
              <w:jc w:val="center"/>
              <w:rPr>
                <w:sz w:val="22"/>
                <w:szCs w:val="22"/>
                <w:lang w:val="en-GB"/>
              </w:rPr>
            </w:pPr>
            <w:r w:rsidRPr="00E14060">
              <w:rPr>
                <w:sz w:val="22"/>
                <w:szCs w:val="22"/>
                <w:lang w:val="en-GB"/>
              </w:rPr>
              <w:t>30.4%</w:t>
            </w:r>
          </w:p>
        </w:tc>
        <w:tc>
          <w:tcPr>
            <w:tcW w:w="483" w:type="pct"/>
            <w:tcBorders>
              <w:top w:val="nil"/>
              <w:left w:val="nil"/>
              <w:bottom w:val="single" w:sz="4" w:space="0" w:color="auto"/>
              <w:right w:val="nil"/>
            </w:tcBorders>
            <w:shd w:val="clear" w:color="000000" w:fill="FFFFFF"/>
            <w:noWrap/>
            <w:vAlign w:val="bottom"/>
            <w:hideMark/>
          </w:tcPr>
          <w:p w14:paraId="31B918C4" w14:textId="77777777" w:rsidR="006F2A62" w:rsidRPr="00E14060" w:rsidRDefault="006F2A62" w:rsidP="00E40CF3">
            <w:pPr>
              <w:jc w:val="center"/>
              <w:rPr>
                <w:sz w:val="22"/>
                <w:szCs w:val="22"/>
                <w:lang w:val="en-GB"/>
              </w:rPr>
            </w:pPr>
            <w:r w:rsidRPr="00E14060">
              <w:rPr>
                <w:sz w:val="22"/>
                <w:szCs w:val="22"/>
                <w:lang w:val="en-GB"/>
              </w:rPr>
              <w:t>71/234</w:t>
            </w:r>
          </w:p>
        </w:tc>
        <w:tc>
          <w:tcPr>
            <w:tcW w:w="688" w:type="pct"/>
            <w:tcBorders>
              <w:top w:val="nil"/>
              <w:left w:val="nil"/>
              <w:bottom w:val="single" w:sz="4" w:space="0" w:color="auto"/>
              <w:right w:val="nil"/>
            </w:tcBorders>
            <w:shd w:val="clear" w:color="000000" w:fill="FFFFFF"/>
            <w:noWrap/>
            <w:vAlign w:val="bottom"/>
            <w:hideMark/>
          </w:tcPr>
          <w:p w14:paraId="24F7D95E" w14:textId="77777777" w:rsidR="006F2A62" w:rsidRPr="00E14060" w:rsidRDefault="006F2A62" w:rsidP="00E40CF3">
            <w:pPr>
              <w:jc w:val="center"/>
              <w:rPr>
                <w:sz w:val="22"/>
                <w:szCs w:val="22"/>
                <w:lang w:val="en-GB"/>
              </w:rPr>
            </w:pPr>
            <w:r w:rsidRPr="00E14060">
              <w:rPr>
                <w:sz w:val="22"/>
                <w:szCs w:val="22"/>
                <w:lang w:val="en-GB"/>
              </w:rPr>
              <w:t>28.0%</w:t>
            </w:r>
          </w:p>
        </w:tc>
        <w:tc>
          <w:tcPr>
            <w:tcW w:w="483" w:type="pct"/>
            <w:tcBorders>
              <w:top w:val="nil"/>
              <w:left w:val="nil"/>
              <w:bottom w:val="single" w:sz="4" w:space="0" w:color="auto"/>
              <w:right w:val="nil"/>
            </w:tcBorders>
            <w:shd w:val="clear" w:color="000000" w:fill="FFFFFF"/>
            <w:noWrap/>
            <w:vAlign w:val="bottom"/>
            <w:hideMark/>
          </w:tcPr>
          <w:p w14:paraId="535AAD89" w14:textId="77777777" w:rsidR="006F2A62" w:rsidRPr="00E14060" w:rsidRDefault="006F2A62" w:rsidP="00E40CF3">
            <w:pPr>
              <w:jc w:val="center"/>
              <w:rPr>
                <w:sz w:val="22"/>
                <w:szCs w:val="22"/>
                <w:lang w:val="en-GB"/>
              </w:rPr>
            </w:pPr>
            <w:r w:rsidRPr="00E14060">
              <w:rPr>
                <w:sz w:val="22"/>
                <w:szCs w:val="22"/>
                <w:lang w:val="en-GB"/>
              </w:rPr>
              <w:t>66/234</w:t>
            </w:r>
          </w:p>
        </w:tc>
      </w:tr>
      <w:tr w:rsidR="006F2A62" w:rsidRPr="00E14060" w14:paraId="1FEE21ED" w14:textId="77777777" w:rsidTr="006F2A62">
        <w:trPr>
          <w:trHeight w:val="300"/>
        </w:trPr>
        <w:tc>
          <w:tcPr>
            <w:tcW w:w="382" w:type="pct"/>
            <w:tcBorders>
              <w:top w:val="nil"/>
              <w:left w:val="nil"/>
              <w:bottom w:val="nil"/>
              <w:right w:val="nil"/>
            </w:tcBorders>
            <w:shd w:val="clear" w:color="auto" w:fill="auto"/>
            <w:noWrap/>
            <w:vAlign w:val="bottom"/>
            <w:hideMark/>
          </w:tcPr>
          <w:p w14:paraId="613388BD" w14:textId="77777777" w:rsidR="006F2A62" w:rsidRPr="00E14060" w:rsidRDefault="006F2A62" w:rsidP="00E40CF3">
            <w:pPr>
              <w:rPr>
                <w:sz w:val="22"/>
                <w:szCs w:val="22"/>
                <w:lang w:val="en-GB"/>
              </w:rPr>
            </w:pPr>
            <w:r w:rsidRPr="00E14060">
              <w:rPr>
                <w:sz w:val="22"/>
                <w:szCs w:val="22"/>
                <w:lang w:val="en-GB"/>
              </w:rPr>
              <w:t> </w:t>
            </w:r>
          </w:p>
        </w:tc>
        <w:tc>
          <w:tcPr>
            <w:tcW w:w="1821" w:type="pct"/>
            <w:gridSpan w:val="3"/>
            <w:tcBorders>
              <w:top w:val="single" w:sz="4" w:space="0" w:color="auto"/>
              <w:left w:val="nil"/>
              <w:bottom w:val="nil"/>
              <w:right w:val="nil"/>
            </w:tcBorders>
            <w:shd w:val="clear" w:color="auto" w:fill="auto"/>
            <w:noWrap/>
            <w:vAlign w:val="bottom"/>
            <w:hideMark/>
          </w:tcPr>
          <w:p w14:paraId="1111AD14" w14:textId="77777777" w:rsidR="006F2A62" w:rsidRPr="00E14060" w:rsidRDefault="006F2A62" w:rsidP="00E40CF3">
            <w:pPr>
              <w:ind w:firstLineChars="200" w:firstLine="440"/>
              <w:rPr>
                <w:sz w:val="22"/>
                <w:szCs w:val="22"/>
                <w:lang w:val="en-GB"/>
              </w:rPr>
            </w:pPr>
            <w:r w:rsidRPr="00E14060">
              <w:rPr>
                <w:sz w:val="22"/>
                <w:szCs w:val="22"/>
                <w:lang w:val="en-GB"/>
              </w:rPr>
              <w:t>Relative risk (ATX vs. placebo):</w:t>
            </w:r>
          </w:p>
        </w:tc>
        <w:tc>
          <w:tcPr>
            <w:tcW w:w="455" w:type="pct"/>
            <w:tcBorders>
              <w:top w:val="nil"/>
              <w:left w:val="nil"/>
              <w:bottom w:val="nil"/>
              <w:right w:val="nil"/>
            </w:tcBorders>
            <w:shd w:val="clear" w:color="auto" w:fill="auto"/>
            <w:noWrap/>
            <w:vAlign w:val="bottom"/>
            <w:hideMark/>
          </w:tcPr>
          <w:p w14:paraId="4CFC5183" w14:textId="73E65684" w:rsidR="006F2A62" w:rsidRPr="00E14060" w:rsidRDefault="006F2A62" w:rsidP="006F2A62">
            <w:pPr>
              <w:rPr>
                <w:sz w:val="22"/>
                <w:szCs w:val="22"/>
                <w:lang w:val="en-GB"/>
              </w:rPr>
            </w:pPr>
            <w:r w:rsidRPr="00E14060">
              <w:rPr>
                <w:sz w:val="22"/>
                <w:szCs w:val="22"/>
                <w:lang w:val="en-GB"/>
              </w:rPr>
              <w:t> </w:t>
            </w:r>
          </w:p>
        </w:tc>
        <w:tc>
          <w:tcPr>
            <w:tcW w:w="688" w:type="pct"/>
            <w:tcBorders>
              <w:top w:val="nil"/>
              <w:left w:val="nil"/>
              <w:bottom w:val="nil"/>
              <w:right w:val="nil"/>
            </w:tcBorders>
            <w:shd w:val="clear" w:color="auto" w:fill="auto"/>
            <w:noWrap/>
            <w:vAlign w:val="bottom"/>
            <w:hideMark/>
          </w:tcPr>
          <w:p w14:paraId="06CFE4B0" w14:textId="77777777" w:rsidR="006F2A62" w:rsidRPr="00E14060" w:rsidRDefault="006F2A62" w:rsidP="00E40CF3">
            <w:pPr>
              <w:jc w:val="center"/>
              <w:rPr>
                <w:sz w:val="22"/>
                <w:szCs w:val="22"/>
                <w:lang w:val="en-GB"/>
              </w:rPr>
            </w:pPr>
            <w:r w:rsidRPr="00E14060">
              <w:rPr>
                <w:sz w:val="22"/>
                <w:szCs w:val="22"/>
                <w:lang w:val="en-GB"/>
              </w:rPr>
              <w:t>1.65</w:t>
            </w:r>
          </w:p>
        </w:tc>
        <w:tc>
          <w:tcPr>
            <w:tcW w:w="483" w:type="pct"/>
            <w:tcBorders>
              <w:top w:val="nil"/>
              <w:left w:val="nil"/>
              <w:bottom w:val="nil"/>
              <w:right w:val="nil"/>
            </w:tcBorders>
            <w:shd w:val="clear" w:color="auto" w:fill="auto"/>
            <w:noWrap/>
            <w:vAlign w:val="bottom"/>
            <w:hideMark/>
          </w:tcPr>
          <w:p w14:paraId="7084DC19" w14:textId="77777777" w:rsidR="006F2A62" w:rsidRPr="00E14060" w:rsidRDefault="006F2A62" w:rsidP="00E40CF3">
            <w:pPr>
              <w:rPr>
                <w:sz w:val="22"/>
                <w:szCs w:val="22"/>
                <w:lang w:val="en-GB"/>
              </w:rPr>
            </w:pPr>
            <w:r w:rsidRPr="00E14060">
              <w:rPr>
                <w:sz w:val="22"/>
                <w:szCs w:val="22"/>
                <w:lang w:val="en-GB"/>
              </w:rPr>
              <w:t> </w:t>
            </w:r>
          </w:p>
        </w:tc>
        <w:tc>
          <w:tcPr>
            <w:tcW w:w="688" w:type="pct"/>
            <w:tcBorders>
              <w:top w:val="nil"/>
              <w:left w:val="nil"/>
              <w:bottom w:val="nil"/>
              <w:right w:val="nil"/>
            </w:tcBorders>
            <w:shd w:val="clear" w:color="auto" w:fill="auto"/>
            <w:noWrap/>
            <w:vAlign w:val="bottom"/>
            <w:hideMark/>
          </w:tcPr>
          <w:p w14:paraId="33FC92B5" w14:textId="77777777" w:rsidR="006F2A62" w:rsidRPr="00E14060" w:rsidRDefault="006F2A62" w:rsidP="00E40CF3">
            <w:pPr>
              <w:jc w:val="center"/>
              <w:rPr>
                <w:sz w:val="22"/>
                <w:szCs w:val="22"/>
                <w:lang w:val="en-GB"/>
              </w:rPr>
            </w:pPr>
            <w:r w:rsidRPr="00E14060">
              <w:rPr>
                <w:sz w:val="22"/>
                <w:szCs w:val="22"/>
                <w:lang w:val="en-GB"/>
              </w:rPr>
              <w:t>1.70</w:t>
            </w:r>
          </w:p>
        </w:tc>
        <w:tc>
          <w:tcPr>
            <w:tcW w:w="483" w:type="pct"/>
            <w:tcBorders>
              <w:top w:val="nil"/>
              <w:left w:val="nil"/>
              <w:bottom w:val="nil"/>
              <w:right w:val="nil"/>
            </w:tcBorders>
            <w:shd w:val="clear" w:color="auto" w:fill="auto"/>
            <w:noWrap/>
            <w:vAlign w:val="bottom"/>
            <w:hideMark/>
          </w:tcPr>
          <w:p w14:paraId="7B950BAF" w14:textId="77777777" w:rsidR="006F2A62" w:rsidRPr="00E14060" w:rsidRDefault="006F2A62" w:rsidP="00E40CF3">
            <w:pPr>
              <w:rPr>
                <w:sz w:val="22"/>
                <w:szCs w:val="22"/>
                <w:lang w:val="en-GB"/>
              </w:rPr>
            </w:pPr>
            <w:r w:rsidRPr="00E14060">
              <w:rPr>
                <w:sz w:val="22"/>
                <w:szCs w:val="22"/>
                <w:lang w:val="en-GB"/>
              </w:rPr>
              <w:t> </w:t>
            </w:r>
          </w:p>
        </w:tc>
      </w:tr>
      <w:tr w:rsidR="006F2A62" w:rsidRPr="00E14060" w14:paraId="03CE6471" w14:textId="77777777" w:rsidTr="006F2A62">
        <w:trPr>
          <w:trHeight w:val="300"/>
        </w:trPr>
        <w:tc>
          <w:tcPr>
            <w:tcW w:w="382" w:type="pct"/>
            <w:tcBorders>
              <w:top w:val="nil"/>
              <w:left w:val="nil"/>
              <w:bottom w:val="single" w:sz="4" w:space="0" w:color="auto"/>
              <w:right w:val="nil"/>
            </w:tcBorders>
            <w:shd w:val="clear" w:color="auto" w:fill="auto"/>
            <w:noWrap/>
            <w:vAlign w:val="bottom"/>
            <w:hideMark/>
          </w:tcPr>
          <w:p w14:paraId="0D984390" w14:textId="77777777" w:rsidR="006F2A62" w:rsidRPr="00E14060" w:rsidRDefault="006F2A62" w:rsidP="00E40CF3">
            <w:pPr>
              <w:rPr>
                <w:sz w:val="22"/>
                <w:szCs w:val="22"/>
                <w:lang w:val="en-GB"/>
              </w:rPr>
            </w:pPr>
            <w:r w:rsidRPr="00E14060">
              <w:rPr>
                <w:sz w:val="22"/>
                <w:szCs w:val="22"/>
                <w:lang w:val="en-GB"/>
              </w:rPr>
              <w:t> </w:t>
            </w:r>
          </w:p>
        </w:tc>
        <w:tc>
          <w:tcPr>
            <w:tcW w:w="1821" w:type="pct"/>
            <w:gridSpan w:val="3"/>
            <w:tcBorders>
              <w:top w:val="nil"/>
              <w:left w:val="nil"/>
              <w:bottom w:val="single" w:sz="4" w:space="0" w:color="auto"/>
              <w:right w:val="nil"/>
            </w:tcBorders>
            <w:shd w:val="clear" w:color="auto" w:fill="auto"/>
            <w:noWrap/>
            <w:vAlign w:val="bottom"/>
            <w:hideMark/>
          </w:tcPr>
          <w:p w14:paraId="2564A336" w14:textId="77777777" w:rsidR="006F2A62" w:rsidRPr="00E14060" w:rsidRDefault="006F2A62" w:rsidP="00E40CF3">
            <w:pPr>
              <w:ind w:firstLineChars="200" w:firstLine="440"/>
              <w:rPr>
                <w:sz w:val="22"/>
                <w:szCs w:val="22"/>
                <w:lang w:val="en-GB"/>
              </w:rPr>
            </w:pPr>
            <w:r w:rsidRPr="00E14060">
              <w:rPr>
                <w:sz w:val="22"/>
                <w:szCs w:val="22"/>
                <w:lang w:val="en-GB"/>
              </w:rPr>
              <w:t>Odds ratio (ATX vs. placebo):</w:t>
            </w:r>
          </w:p>
        </w:tc>
        <w:tc>
          <w:tcPr>
            <w:tcW w:w="455" w:type="pct"/>
            <w:tcBorders>
              <w:top w:val="nil"/>
              <w:left w:val="nil"/>
              <w:bottom w:val="single" w:sz="4" w:space="0" w:color="auto"/>
              <w:right w:val="nil"/>
            </w:tcBorders>
            <w:shd w:val="clear" w:color="auto" w:fill="auto"/>
            <w:noWrap/>
            <w:vAlign w:val="bottom"/>
            <w:hideMark/>
          </w:tcPr>
          <w:p w14:paraId="5000C306" w14:textId="0703AC52" w:rsidR="006F2A62" w:rsidRPr="00E14060" w:rsidRDefault="006F2A62" w:rsidP="006F2A62">
            <w:pPr>
              <w:rPr>
                <w:sz w:val="22"/>
                <w:szCs w:val="22"/>
                <w:lang w:val="en-GB"/>
              </w:rPr>
            </w:pPr>
            <w:r w:rsidRPr="00E14060">
              <w:rPr>
                <w:sz w:val="22"/>
                <w:szCs w:val="22"/>
                <w:lang w:val="en-GB"/>
              </w:rPr>
              <w:t> </w:t>
            </w:r>
          </w:p>
        </w:tc>
        <w:tc>
          <w:tcPr>
            <w:tcW w:w="688" w:type="pct"/>
            <w:tcBorders>
              <w:top w:val="nil"/>
              <w:left w:val="nil"/>
              <w:bottom w:val="single" w:sz="4" w:space="0" w:color="auto"/>
              <w:right w:val="nil"/>
            </w:tcBorders>
            <w:shd w:val="clear" w:color="auto" w:fill="auto"/>
            <w:noWrap/>
            <w:vAlign w:val="bottom"/>
            <w:hideMark/>
          </w:tcPr>
          <w:p w14:paraId="4846A182" w14:textId="77777777" w:rsidR="006F2A62" w:rsidRPr="00E14060" w:rsidRDefault="006F2A62" w:rsidP="00E40CF3">
            <w:pPr>
              <w:jc w:val="center"/>
              <w:rPr>
                <w:sz w:val="22"/>
                <w:szCs w:val="22"/>
                <w:lang w:val="en-GB"/>
              </w:rPr>
            </w:pPr>
            <w:r w:rsidRPr="00E14060">
              <w:rPr>
                <w:sz w:val="22"/>
                <w:szCs w:val="22"/>
                <w:lang w:val="en-GB"/>
              </w:rPr>
              <w:t>2.31</w:t>
            </w:r>
          </w:p>
        </w:tc>
        <w:tc>
          <w:tcPr>
            <w:tcW w:w="483" w:type="pct"/>
            <w:tcBorders>
              <w:top w:val="nil"/>
              <w:left w:val="nil"/>
              <w:bottom w:val="single" w:sz="4" w:space="0" w:color="auto"/>
              <w:right w:val="nil"/>
            </w:tcBorders>
            <w:shd w:val="clear" w:color="auto" w:fill="auto"/>
            <w:noWrap/>
            <w:vAlign w:val="bottom"/>
            <w:hideMark/>
          </w:tcPr>
          <w:p w14:paraId="58AEDA62" w14:textId="77777777" w:rsidR="006F2A62" w:rsidRPr="00E14060" w:rsidRDefault="006F2A62" w:rsidP="00E40CF3">
            <w:pPr>
              <w:rPr>
                <w:sz w:val="22"/>
                <w:szCs w:val="22"/>
                <w:lang w:val="en-GB"/>
              </w:rPr>
            </w:pPr>
            <w:r w:rsidRPr="00E14060">
              <w:rPr>
                <w:sz w:val="22"/>
                <w:szCs w:val="22"/>
                <w:lang w:val="en-GB"/>
              </w:rPr>
              <w:t> </w:t>
            </w:r>
          </w:p>
        </w:tc>
        <w:tc>
          <w:tcPr>
            <w:tcW w:w="688" w:type="pct"/>
            <w:tcBorders>
              <w:top w:val="nil"/>
              <w:left w:val="nil"/>
              <w:bottom w:val="single" w:sz="4" w:space="0" w:color="auto"/>
              <w:right w:val="nil"/>
            </w:tcBorders>
            <w:shd w:val="clear" w:color="auto" w:fill="auto"/>
            <w:noWrap/>
            <w:vAlign w:val="bottom"/>
            <w:hideMark/>
          </w:tcPr>
          <w:p w14:paraId="46FCB97E" w14:textId="77777777" w:rsidR="006F2A62" w:rsidRPr="00E14060" w:rsidRDefault="006F2A62" w:rsidP="00E40CF3">
            <w:pPr>
              <w:jc w:val="center"/>
              <w:rPr>
                <w:sz w:val="22"/>
                <w:szCs w:val="22"/>
                <w:lang w:val="en-GB"/>
              </w:rPr>
            </w:pPr>
            <w:r w:rsidRPr="00E14060">
              <w:rPr>
                <w:sz w:val="22"/>
                <w:szCs w:val="22"/>
                <w:lang w:val="en-GB"/>
              </w:rPr>
              <w:t>2.35</w:t>
            </w:r>
          </w:p>
        </w:tc>
        <w:tc>
          <w:tcPr>
            <w:tcW w:w="483" w:type="pct"/>
            <w:tcBorders>
              <w:top w:val="nil"/>
              <w:left w:val="nil"/>
              <w:bottom w:val="single" w:sz="4" w:space="0" w:color="auto"/>
              <w:right w:val="nil"/>
            </w:tcBorders>
            <w:shd w:val="clear" w:color="auto" w:fill="auto"/>
            <w:noWrap/>
            <w:vAlign w:val="bottom"/>
            <w:hideMark/>
          </w:tcPr>
          <w:p w14:paraId="6864F315" w14:textId="77777777" w:rsidR="006F2A62" w:rsidRPr="00E14060" w:rsidRDefault="006F2A62" w:rsidP="00E40CF3">
            <w:pPr>
              <w:rPr>
                <w:sz w:val="22"/>
                <w:szCs w:val="22"/>
                <w:lang w:val="en-GB"/>
              </w:rPr>
            </w:pPr>
            <w:r w:rsidRPr="00E14060">
              <w:rPr>
                <w:sz w:val="22"/>
                <w:szCs w:val="22"/>
                <w:lang w:val="en-GB"/>
              </w:rPr>
              <w:t> </w:t>
            </w:r>
          </w:p>
        </w:tc>
      </w:tr>
    </w:tbl>
    <w:p w14:paraId="1FF0078A" w14:textId="77777777" w:rsidR="008200FF" w:rsidRPr="00E14060" w:rsidRDefault="008200FF" w:rsidP="008200FF">
      <w:pPr>
        <w:pStyle w:val="AGbodytext0"/>
        <w:spacing w:line="240" w:lineRule="auto"/>
        <w:ind w:left="720"/>
      </w:pPr>
    </w:p>
    <w:p w14:paraId="1CD3C3DD" w14:textId="77777777" w:rsidR="00883139" w:rsidRPr="00E14060" w:rsidRDefault="00883139" w:rsidP="009F72F0">
      <w:pPr>
        <w:pStyle w:val="Heading1"/>
        <w:numPr>
          <w:ilvl w:val="0"/>
          <w:numId w:val="0"/>
        </w:numPr>
        <w:spacing w:before="0" w:after="0"/>
        <w:rPr>
          <w:color w:val="auto"/>
          <w:lang w:val="en-GB"/>
        </w:rPr>
      </w:pPr>
    </w:p>
    <w:sectPr w:rsidR="00883139" w:rsidRPr="00E14060" w:rsidSect="00873FB6">
      <w:endnotePr>
        <w:numFmt w:val="decimal"/>
      </w:endnotePr>
      <w:pgSz w:w="12240" w:h="15840" w:code="9"/>
      <w:pgMar w:top="1440" w:right="1440" w:bottom="1440" w:left="1440" w:header="576" w:footer="1440" w:gutter="0"/>
      <w:cols w:space="720"/>
      <w:formProt w:val="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A3967E" w14:textId="77777777" w:rsidR="00EB6503" w:rsidRDefault="00EB6503" w:rsidP="006D1A25">
      <w:r>
        <w:separator/>
      </w:r>
    </w:p>
  </w:endnote>
  <w:endnote w:type="continuationSeparator" w:id="0">
    <w:p w14:paraId="2ED0FBF3" w14:textId="77777777" w:rsidR="00EB6503" w:rsidRDefault="00EB6503" w:rsidP="006D1A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Palatino">
    <w:altName w:val="Book Antiqua"/>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55AFCF" w14:textId="77777777" w:rsidR="00EB6503" w:rsidRDefault="00EB650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noProof w:val="0"/>
      </w:rPr>
      <w:id w:val="1802025826"/>
      <w:docPartObj>
        <w:docPartGallery w:val="Page Numbers (Bottom of Page)"/>
        <w:docPartUnique/>
      </w:docPartObj>
    </w:sdtPr>
    <w:sdtEndPr>
      <w:rPr>
        <w:noProof/>
      </w:rPr>
    </w:sdtEndPr>
    <w:sdtContent>
      <w:p w14:paraId="748972B6" w14:textId="77777777" w:rsidR="00EB6503" w:rsidRDefault="00EB6503">
        <w:pPr>
          <w:pStyle w:val="Footer"/>
          <w:jc w:val="center"/>
        </w:pPr>
        <w:r>
          <w:rPr>
            <w:noProof w:val="0"/>
          </w:rPr>
          <w:fldChar w:fldCharType="begin"/>
        </w:r>
        <w:r>
          <w:instrText xml:space="preserve"> PAGE   \* MERGEFORMAT </w:instrText>
        </w:r>
        <w:r>
          <w:rPr>
            <w:noProof w:val="0"/>
          </w:rPr>
          <w:fldChar w:fldCharType="separate"/>
        </w:r>
        <w:r w:rsidR="00821FA0">
          <w:t>47</w:t>
        </w:r>
        <w:r>
          <w:fldChar w:fldCharType="end"/>
        </w:r>
      </w:p>
    </w:sdtContent>
  </w:sdt>
  <w:p w14:paraId="58029A84" w14:textId="77777777" w:rsidR="00EB6503" w:rsidRDefault="00EB650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E82F01" w14:textId="77777777" w:rsidR="00EB6503" w:rsidRDefault="00EB650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BD5EEE" w14:textId="77777777" w:rsidR="00EB6503" w:rsidRDefault="00EB6503" w:rsidP="006D1A25">
      <w:r>
        <w:separator/>
      </w:r>
    </w:p>
  </w:footnote>
  <w:footnote w:type="continuationSeparator" w:id="0">
    <w:p w14:paraId="0BF85093" w14:textId="77777777" w:rsidR="00EB6503" w:rsidRDefault="00EB6503" w:rsidP="006D1A25">
      <w:r>
        <w:continuationSeparator/>
      </w:r>
    </w:p>
  </w:footnote>
  <w:footnote w:id="1">
    <w:p w14:paraId="6C02103F" w14:textId="77777777" w:rsidR="00EB6503" w:rsidRDefault="00EB6503">
      <w:pPr>
        <w:pStyle w:val="FootnoteText"/>
      </w:pPr>
      <w:r>
        <w:rPr>
          <w:rStyle w:val="FootnoteReference"/>
        </w:rPr>
        <w:footnoteRef/>
      </w:r>
      <w:r>
        <w:t xml:space="preserve"> MPH-IR was not included in the network because no studies with an MPH-IR arm reported ADHD-RS-IV change.</w:t>
      </w:r>
    </w:p>
  </w:footnote>
  <w:footnote w:id="2">
    <w:p w14:paraId="263626A4" w14:textId="77777777" w:rsidR="00EB6503" w:rsidRDefault="00EB6503" w:rsidP="00FE2DF7">
      <w:pPr>
        <w:pStyle w:val="FootnoteText"/>
      </w:pPr>
      <w:r>
        <w:rPr>
          <w:rStyle w:val="FootnoteReference"/>
        </w:rPr>
        <w:footnoteRef/>
      </w:r>
      <w:r>
        <w:t xml:space="preserve"> MPH-IR was not included in the network because no studies with an MPH-IR arm reported ADHD-RS-IV or AISRS change.</w:t>
      </w:r>
    </w:p>
  </w:footnote>
  <w:footnote w:id="3">
    <w:p w14:paraId="06752ED5" w14:textId="77777777" w:rsidR="00EB6503" w:rsidRDefault="00EB6503">
      <w:pPr>
        <w:pStyle w:val="FootnoteText"/>
      </w:pPr>
      <w:r>
        <w:rPr>
          <w:rStyle w:val="FootnoteReference"/>
        </w:rPr>
        <w:footnoteRef/>
      </w:r>
      <w:r>
        <w:t xml:space="preserve"> MPH-IR and ATX were not included in the network because no studies with MPH-IR or ATX arms reported CGI-I response. </w:t>
      </w:r>
    </w:p>
  </w:footnote>
  <w:footnote w:id="4">
    <w:p w14:paraId="58925F45" w14:textId="77777777" w:rsidR="00EB6503" w:rsidRDefault="00EB6503">
      <w:pPr>
        <w:pStyle w:val="FootnoteText"/>
      </w:pPr>
      <w:r>
        <w:rPr>
          <w:rStyle w:val="FootnoteReference"/>
        </w:rPr>
        <w:footnoteRef/>
      </w:r>
      <w:r>
        <w:t xml:space="preserve"> </w:t>
      </w:r>
      <w:r w:rsidRPr="00B72B8D">
        <w:t>The placebo risk is the pooled risk of response (CGI-I = 1 or 2) of the placebo arms in the data. The placebo risk uncertainty is measured as the 95% confidence interval around this pooled placebo risk.</w:t>
      </w:r>
      <w:r>
        <w:t xml:space="preserve"> </w:t>
      </w:r>
    </w:p>
  </w:footnote>
  <w:footnote w:id="5">
    <w:p w14:paraId="025DB542" w14:textId="77777777" w:rsidR="00EB6503" w:rsidRDefault="00EB6503">
      <w:pPr>
        <w:pStyle w:val="FootnoteText"/>
      </w:pPr>
      <w:r>
        <w:rPr>
          <w:rStyle w:val="FootnoteReference"/>
        </w:rPr>
        <w:footnoteRef/>
      </w:r>
      <w:r>
        <w:t xml:space="preserve"> </w:t>
      </w:r>
      <w:r w:rsidRPr="00E13211">
        <w:t>The placebo risk is the pooled risk of discontinuation of the placebo arms in the data. The placebo risk uncertainty is measured as the 95% confidence interval around this pooled placebo risk.</w:t>
      </w:r>
      <w:r>
        <w:t xml:space="preserve"> </w:t>
      </w:r>
    </w:p>
  </w:footnote>
  <w:footnote w:id="6">
    <w:p w14:paraId="5FFF5AA0" w14:textId="77777777" w:rsidR="00EB6503" w:rsidRDefault="00EB6503">
      <w:pPr>
        <w:pStyle w:val="FootnoteText"/>
      </w:pPr>
      <w:r>
        <w:rPr>
          <w:rStyle w:val="FootnoteReference"/>
        </w:rPr>
        <w:footnoteRef/>
      </w:r>
      <w:r>
        <w:t xml:space="preserve"> </w:t>
      </w:r>
      <w:r w:rsidRPr="00F62D94">
        <w:t>The placebo risk is the pooled risk of discontinuation of the placebo arms in the data. The placebo risk uncertainty is measured as the 95% confidence interval around this pooled placebo risk.</w:t>
      </w:r>
      <w:r>
        <w:t xml:space="preserve"> </w:t>
      </w:r>
    </w:p>
  </w:footnote>
  <w:footnote w:id="7">
    <w:p w14:paraId="62448810" w14:textId="77777777" w:rsidR="00EB6503" w:rsidRDefault="00EB6503">
      <w:pPr>
        <w:pStyle w:val="FootnoteText"/>
      </w:pPr>
      <w:r>
        <w:rPr>
          <w:rStyle w:val="FootnoteReference"/>
        </w:rPr>
        <w:footnoteRef/>
      </w:r>
      <w:r>
        <w:t xml:space="preserve"> </w:t>
      </w:r>
      <w:r w:rsidRPr="002D1FC7">
        <w:t>The placebo risk is the pooled risk of response (CGI-I = 1 or 2) of the placebo arms in the data. The placebo risk uncertainty is measured as the 95% confidence interval around this pooled placebo risk.</w:t>
      </w:r>
    </w:p>
  </w:footnote>
  <w:footnote w:id="8">
    <w:p w14:paraId="7A24B9C8" w14:textId="77777777" w:rsidR="00EB6503" w:rsidRDefault="00EB6503">
      <w:pPr>
        <w:pStyle w:val="FootnoteText"/>
      </w:pPr>
      <w:r>
        <w:rPr>
          <w:rStyle w:val="FootnoteReference"/>
        </w:rPr>
        <w:footnoteRef/>
      </w:r>
      <w:r>
        <w:t xml:space="preserve"> </w:t>
      </w:r>
      <w:r w:rsidRPr="00D2246F">
        <w:t>The placebo risk is the pooled risk of response (CGI-I = 1 or 2) of the placebo arms in the data. The placebo risk uncertainty is measured as the 95% confidence interval around this pooled placebo risk.</w:t>
      </w:r>
    </w:p>
  </w:footnote>
  <w:footnote w:id="9">
    <w:p w14:paraId="6DF8240A" w14:textId="77777777" w:rsidR="00EB6503" w:rsidRDefault="00EB6503">
      <w:pPr>
        <w:pStyle w:val="FootnoteText"/>
      </w:pPr>
      <w:r>
        <w:rPr>
          <w:rStyle w:val="FootnoteReference"/>
        </w:rPr>
        <w:footnoteRef/>
      </w:r>
      <w:r>
        <w:t xml:space="preserve"> The placebo risk is the same as that for the corresponding Bayesian analysis, shown in Table 10.</w:t>
      </w:r>
    </w:p>
  </w:footnote>
  <w:footnote w:id="10">
    <w:p w14:paraId="638B9389" w14:textId="77777777" w:rsidR="00EB6503" w:rsidRDefault="00EB6503">
      <w:pPr>
        <w:pStyle w:val="FootnoteText"/>
      </w:pPr>
      <w:r>
        <w:rPr>
          <w:rStyle w:val="FootnoteReference"/>
        </w:rPr>
        <w:footnoteRef/>
      </w:r>
      <w:r>
        <w:t xml:space="preserve"> The placebo risk is the same as that for the corresponding Bayesian analysis, shown in Table 11.</w:t>
      </w:r>
    </w:p>
  </w:footnote>
  <w:footnote w:id="11">
    <w:p w14:paraId="7CA7CB01" w14:textId="77777777" w:rsidR="00EB6503" w:rsidRDefault="00EB6503" w:rsidP="000332DE">
      <w:pPr>
        <w:pStyle w:val="FootnoteText"/>
      </w:pPr>
      <w:r>
        <w:rPr>
          <w:rStyle w:val="FootnoteReference"/>
        </w:rPr>
        <w:footnoteRef/>
      </w:r>
      <w:r>
        <w:t xml:space="preserve"> </w:t>
      </w:r>
      <w:r w:rsidRPr="002D1FC7">
        <w:t>The placebo risk is the pooled risk of response (CGI-I = 1 or 2) of the placebo arms in the data. The placebo risk uncertainty is measured as the 95% confidence interval around this pooled placebo risk.</w:t>
      </w:r>
    </w:p>
  </w:footnote>
  <w:footnote w:id="12">
    <w:p w14:paraId="4C23D634" w14:textId="77777777" w:rsidR="00EB6503" w:rsidRDefault="00EB6503" w:rsidP="000332DE">
      <w:pPr>
        <w:pStyle w:val="FootnoteText"/>
      </w:pPr>
      <w:r>
        <w:rPr>
          <w:rStyle w:val="FootnoteReference"/>
        </w:rPr>
        <w:footnoteRef/>
      </w:r>
      <w:r>
        <w:t xml:space="preserve"> </w:t>
      </w:r>
      <w:r w:rsidRPr="002D1FC7">
        <w:t>The placebo risk is the pooled risk of response (CGI-I = 1 or 2) of the placebo arms in the data. The placebo risk uncertainty is measured as the 95% confidence interval around this pooled placebo risk.</w:t>
      </w:r>
    </w:p>
  </w:footnote>
  <w:footnote w:id="13">
    <w:p w14:paraId="15DD7803" w14:textId="77777777" w:rsidR="00EB6503" w:rsidRDefault="00EB6503" w:rsidP="000332DE">
      <w:pPr>
        <w:pStyle w:val="FootnoteText"/>
      </w:pPr>
      <w:r>
        <w:rPr>
          <w:rStyle w:val="FootnoteReference"/>
        </w:rPr>
        <w:footnoteRef/>
      </w:r>
      <w:r>
        <w:t xml:space="preserve"> </w:t>
      </w:r>
      <w:r w:rsidRPr="002D1FC7">
        <w:t>The placebo risk is the pooled risk of response (CGI-I = 1 or 2) of the placebo arms in the data. The placebo risk uncertainty is measured as the 95% confidence interval around this pooled placebo risk.</w:t>
      </w:r>
    </w:p>
  </w:footnote>
  <w:footnote w:id="14">
    <w:p w14:paraId="6C51CCE0" w14:textId="77777777" w:rsidR="00EB6503" w:rsidRDefault="00EB6503" w:rsidP="000332DE">
      <w:pPr>
        <w:pStyle w:val="FootnoteText"/>
      </w:pPr>
      <w:r>
        <w:rPr>
          <w:rStyle w:val="FootnoteReference"/>
        </w:rPr>
        <w:footnoteRef/>
      </w:r>
      <w:r>
        <w:t xml:space="preserve"> </w:t>
      </w:r>
      <w:r w:rsidRPr="002D1FC7">
        <w:t>The placebo risk is the pooled risk of response (CGI-I = 1 or 2) of the placebo arms in the data. The placebo risk uncertainty is measured as the 95% confidence interval around this pooled placebo risk.</w:t>
      </w:r>
    </w:p>
  </w:footnote>
  <w:footnote w:id="15">
    <w:p w14:paraId="192D99A6" w14:textId="77777777" w:rsidR="00EB6503" w:rsidRDefault="00EB6503" w:rsidP="000332DE">
      <w:pPr>
        <w:pStyle w:val="FootnoteText"/>
      </w:pPr>
      <w:r>
        <w:rPr>
          <w:rStyle w:val="FootnoteReference"/>
        </w:rPr>
        <w:footnoteRef/>
      </w:r>
      <w:r>
        <w:t xml:space="preserve"> The placebo risk is the same as that for the corresponding Bayesian analysis, shown in Table 14.</w:t>
      </w:r>
    </w:p>
  </w:footnote>
  <w:footnote w:id="16">
    <w:p w14:paraId="056C3AEB" w14:textId="77777777" w:rsidR="00EB6503" w:rsidRDefault="00EB6503" w:rsidP="000332DE">
      <w:pPr>
        <w:pStyle w:val="FootnoteText"/>
      </w:pPr>
      <w:r>
        <w:rPr>
          <w:rStyle w:val="FootnoteReference"/>
        </w:rPr>
        <w:footnoteRef/>
      </w:r>
      <w:r>
        <w:t xml:space="preserve"> The placebo risk is the same as that for the corresponding Bayesian analysis, shown in Table 15.</w:t>
      </w:r>
    </w:p>
  </w:footnote>
  <w:footnote w:id="17">
    <w:p w14:paraId="241CF309" w14:textId="77777777" w:rsidR="00EB6503" w:rsidRDefault="00EB6503" w:rsidP="000332DE">
      <w:pPr>
        <w:pStyle w:val="FootnoteText"/>
      </w:pPr>
      <w:r>
        <w:rPr>
          <w:rStyle w:val="FootnoteReference"/>
        </w:rPr>
        <w:footnoteRef/>
      </w:r>
      <w:r>
        <w:t xml:space="preserve"> The placebo risk is the same as that for the corresponding Bayesian analysis, shown in Table 16.</w:t>
      </w:r>
    </w:p>
  </w:footnote>
  <w:footnote w:id="18">
    <w:p w14:paraId="05A45373" w14:textId="77777777" w:rsidR="00EB6503" w:rsidRDefault="00EB6503" w:rsidP="000332DE">
      <w:pPr>
        <w:pStyle w:val="FootnoteText"/>
      </w:pPr>
      <w:r>
        <w:rPr>
          <w:rStyle w:val="FootnoteReference"/>
        </w:rPr>
        <w:footnoteRef/>
      </w:r>
      <w:r>
        <w:t xml:space="preserve"> The placebo risk is the same as that for the corresponding Bayesian analysis, shown in Table 17.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5378FF" w14:textId="77777777" w:rsidR="00EB6503" w:rsidRDefault="00EB650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6778F4" w14:textId="77777777" w:rsidR="00EB6503" w:rsidRDefault="00EB650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412913" w14:textId="77777777" w:rsidR="00EB6503" w:rsidRDefault="00EB650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D"/>
    <w:multiLevelType w:val="singleLevel"/>
    <w:tmpl w:val="E168DDEC"/>
    <w:lvl w:ilvl="0">
      <w:start w:val="1"/>
      <w:numFmt w:val="decimal"/>
      <w:pStyle w:val="ListNumber5"/>
      <w:lvlText w:val="%1."/>
      <w:lvlJc w:val="left"/>
      <w:pPr>
        <w:tabs>
          <w:tab w:val="num" w:pos="1440"/>
        </w:tabs>
        <w:ind w:left="1440" w:hanging="360"/>
      </w:pPr>
    </w:lvl>
  </w:abstractNum>
  <w:abstractNum w:abstractNumId="1" w15:restartNumberingAfterBreak="0">
    <w:nsid w:val="FFFFFF7E"/>
    <w:multiLevelType w:val="singleLevel"/>
    <w:tmpl w:val="A580A782"/>
    <w:lvl w:ilvl="0">
      <w:start w:val="1"/>
      <w:numFmt w:val="decimal"/>
      <w:pStyle w:val="ListNumber4"/>
      <w:lvlText w:val="%1."/>
      <w:lvlJc w:val="left"/>
      <w:pPr>
        <w:tabs>
          <w:tab w:val="num" w:pos="1080"/>
        </w:tabs>
        <w:ind w:left="1080" w:hanging="360"/>
      </w:pPr>
      <w:rPr>
        <w:rFonts w:cs="Times New Roman"/>
      </w:rPr>
    </w:lvl>
  </w:abstractNum>
  <w:abstractNum w:abstractNumId="2" w15:restartNumberingAfterBreak="0">
    <w:nsid w:val="FFFFFF7F"/>
    <w:multiLevelType w:val="singleLevel"/>
    <w:tmpl w:val="8626BF14"/>
    <w:lvl w:ilvl="0">
      <w:start w:val="1"/>
      <w:numFmt w:val="decimal"/>
      <w:pStyle w:val="ListNumber3"/>
      <w:lvlText w:val="%1."/>
      <w:lvlJc w:val="left"/>
      <w:pPr>
        <w:tabs>
          <w:tab w:val="num" w:pos="720"/>
        </w:tabs>
        <w:ind w:left="720" w:hanging="360"/>
      </w:pPr>
      <w:rPr>
        <w:rFonts w:cs="Times New Roman"/>
      </w:rPr>
    </w:lvl>
  </w:abstractNum>
  <w:abstractNum w:abstractNumId="3" w15:restartNumberingAfterBreak="0">
    <w:nsid w:val="FFFFFF80"/>
    <w:multiLevelType w:val="singleLevel"/>
    <w:tmpl w:val="4D52D8DC"/>
    <w:lvl w:ilvl="0">
      <w:start w:val="1"/>
      <w:numFmt w:val="bullet"/>
      <w:pStyle w:val="ListNumber"/>
      <w:lvlText w:val=""/>
      <w:lvlJc w:val="left"/>
      <w:pPr>
        <w:tabs>
          <w:tab w:val="num" w:pos="1800"/>
        </w:tabs>
        <w:ind w:left="1800" w:hanging="360"/>
      </w:pPr>
      <w:rPr>
        <w:rFonts w:ascii="Symbol" w:hAnsi="Symbol" w:hint="default"/>
      </w:rPr>
    </w:lvl>
  </w:abstractNum>
  <w:abstractNum w:abstractNumId="4" w15:restartNumberingAfterBreak="0">
    <w:nsid w:val="FFFFFF81"/>
    <w:multiLevelType w:val="singleLevel"/>
    <w:tmpl w:val="04440274"/>
    <w:lvl w:ilvl="0">
      <w:start w:val="1"/>
      <w:numFmt w:val="bullet"/>
      <w:pStyle w:val="ListBullet5"/>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1FFA28A6"/>
    <w:lvl w:ilvl="0">
      <w:start w:val="1"/>
      <w:numFmt w:val="bullet"/>
      <w:pStyle w:val="ListBullet4"/>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62ACCC7C"/>
    <w:lvl w:ilvl="0">
      <w:start w:val="1"/>
      <w:numFmt w:val="bullet"/>
      <w:pStyle w:val="ListBullet3"/>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02003678"/>
    <w:lvl w:ilvl="0">
      <w:start w:val="1"/>
      <w:numFmt w:val="decimal"/>
      <w:pStyle w:val="ListNumber2"/>
      <w:lvlText w:val="%1."/>
      <w:lvlJc w:val="left"/>
      <w:pPr>
        <w:tabs>
          <w:tab w:val="num" w:pos="360"/>
        </w:tabs>
        <w:ind w:left="360" w:hanging="360"/>
      </w:pPr>
      <w:rPr>
        <w:rFonts w:cs="Times New Roman"/>
      </w:rPr>
    </w:lvl>
  </w:abstractNum>
  <w:abstractNum w:abstractNumId="8" w15:restartNumberingAfterBreak="0">
    <w:nsid w:val="FFFFFF89"/>
    <w:multiLevelType w:val="singleLevel"/>
    <w:tmpl w:val="575E355E"/>
    <w:lvl w:ilvl="0">
      <w:start w:val="1"/>
      <w:numFmt w:val="bullet"/>
      <w:pStyle w:val="ListBullet2"/>
      <w:lvlText w:val=""/>
      <w:lvlJc w:val="left"/>
      <w:pPr>
        <w:tabs>
          <w:tab w:val="num" w:pos="360"/>
        </w:tabs>
        <w:ind w:left="360" w:hanging="360"/>
      </w:pPr>
      <w:rPr>
        <w:rFonts w:ascii="Symbol" w:hAnsi="Symbol" w:hint="default"/>
      </w:rPr>
    </w:lvl>
  </w:abstractNum>
  <w:abstractNum w:abstractNumId="9" w15:restartNumberingAfterBreak="0">
    <w:nsid w:val="000B453A"/>
    <w:multiLevelType w:val="hybridMultilevel"/>
    <w:tmpl w:val="9C282E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00A55B61"/>
    <w:multiLevelType w:val="hybridMultilevel"/>
    <w:tmpl w:val="C47C6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0CC4B4D"/>
    <w:multiLevelType w:val="hybridMultilevel"/>
    <w:tmpl w:val="02B65996"/>
    <w:lvl w:ilvl="0" w:tplc="30FE075E">
      <w:start w:val="1"/>
      <w:numFmt w:val="decimal"/>
      <w:lvlText w:val="(%1)"/>
      <w:lvlJc w:val="left"/>
      <w:pPr>
        <w:ind w:left="720" w:hanging="360"/>
      </w:pPr>
      <w:rPr>
        <w:rFonts w:ascii="Times New Roman" w:eastAsia="Times New Roman"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1D91E44"/>
    <w:multiLevelType w:val="hybridMultilevel"/>
    <w:tmpl w:val="AD6C785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04963054"/>
    <w:multiLevelType w:val="hybridMultilevel"/>
    <w:tmpl w:val="40CE92EA"/>
    <w:lvl w:ilvl="0" w:tplc="259A11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05647FAC"/>
    <w:multiLevelType w:val="hybridMultilevel"/>
    <w:tmpl w:val="DFBA9B7C"/>
    <w:lvl w:ilvl="0" w:tplc="DF1AAA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7C12563"/>
    <w:multiLevelType w:val="hybridMultilevel"/>
    <w:tmpl w:val="A9B89C00"/>
    <w:lvl w:ilvl="0" w:tplc="DF1AAA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9204531"/>
    <w:multiLevelType w:val="hybridMultilevel"/>
    <w:tmpl w:val="B8A66F64"/>
    <w:lvl w:ilvl="0" w:tplc="DF488D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AEA617A"/>
    <w:multiLevelType w:val="hybridMultilevel"/>
    <w:tmpl w:val="93280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B377FD5"/>
    <w:multiLevelType w:val="hybridMultilevel"/>
    <w:tmpl w:val="D2827DBE"/>
    <w:lvl w:ilvl="0" w:tplc="30FE075E">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BCB1638"/>
    <w:multiLevelType w:val="hybridMultilevel"/>
    <w:tmpl w:val="1CC29C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107624DA"/>
    <w:multiLevelType w:val="hybridMultilevel"/>
    <w:tmpl w:val="FF98FF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11A92AF1"/>
    <w:multiLevelType w:val="hybridMultilevel"/>
    <w:tmpl w:val="1F208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1DF3BE3"/>
    <w:multiLevelType w:val="hybridMultilevel"/>
    <w:tmpl w:val="92BA8482"/>
    <w:lvl w:ilvl="0" w:tplc="04090005">
      <w:start w:val="1"/>
      <w:numFmt w:val="bullet"/>
      <w:lvlText w:val=""/>
      <w:lvlJc w:val="left"/>
      <w:pPr>
        <w:ind w:left="360" w:hanging="360"/>
      </w:pPr>
      <w:rPr>
        <w:rFonts w:ascii="Wingdings" w:hAnsi="Wingdings" w:hint="default"/>
        <w:b w:val="0"/>
        <w:color w:val="000000"/>
        <w:sz w:val="2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16F01B38"/>
    <w:multiLevelType w:val="hybridMultilevel"/>
    <w:tmpl w:val="E7E60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7A67837"/>
    <w:multiLevelType w:val="hybridMultilevel"/>
    <w:tmpl w:val="6CC436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EE4449C"/>
    <w:multiLevelType w:val="hybridMultilevel"/>
    <w:tmpl w:val="F766B8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16C6D90"/>
    <w:multiLevelType w:val="hybridMultilevel"/>
    <w:tmpl w:val="E0269B3A"/>
    <w:lvl w:ilvl="0" w:tplc="DF1AAA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4161CD9"/>
    <w:multiLevelType w:val="singleLevel"/>
    <w:tmpl w:val="1BBC6388"/>
    <w:name w:val="RefNotes"/>
    <w:lvl w:ilvl="0">
      <w:start w:val="1"/>
      <w:numFmt w:val="decimal"/>
      <w:pStyle w:val="BMSListNumbering"/>
      <w:lvlText w:val="%1."/>
      <w:lvlJc w:val="left"/>
      <w:pPr>
        <w:tabs>
          <w:tab w:val="num" w:pos="360"/>
        </w:tabs>
        <w:ind w:left="360" w:hanging="360"/>
      </w:pPr>
      <w:rPr>
        <w:rFonts w:cs="Times New Roman"/>
      </w:rPr>
    </w:lvl>
  </w:abstractNum>
  <w:abstractNum w:abstractNumId="28" w15:restartNumberingAfterBreak="0">
    <w:nsid w:val="26E56357"/>
    <w:multiLevelType w:val="hybridMultilevel"/>
    <w:tmpl w:val="B010F18A"/>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29" w15:restartNumberingAfterBreak="0">
    <w:nsid w:val="27203307"/>
    <w:multiLevelType w:val="multilevel"/>
    <w:tmpl w:val="937A3CA8"/>
    <w:lvl w:ilvl="0">
      <w:start w:val="1"/>
      <w:numFmt w:val="decimal"/>
      <w:pStyle w:val="BMSHeading1"/>
      <w:lvlText w:val="%1"/>
      <w:lvlJc w:val="left"/>
      <w:pPr>
        <w:tabs>
          <w:tab w:val="num" w:pos="432"/>
        </w:tabs>
        <w:ind w:left="432" w:hanging="432"/>
      </w:pPr>
      <w:rPr>
        <w:rFonts w:cs="Times New Roman" w:hint="default"/>
      </w:rPr>
    </w:lvl>
    <w:lvl w:ilvl="1">
      <w:start w:val="1"/>
      <w:numFmt w:val="decimal"/>
      <w:pStyle w:val="BMSHeading2"/>
      <w:lvlText w:val="%1.%2"/>
      <w:lvlJc w:val="left"/>
      <w:pPr>
        <w:tabs>
          <w:tab w:val="num" w:pos="666"/>
        </w:tabs>
        <w:ind w:left="666" w:hanging="576"/>
      </w:pPr>
      <w:rPr>
        <w:rFonts w:cs="Times New Roman" w:hint="default"/>
      </w:rPr>
    </w:lvl>
    <w:lvl w:ilvl="2">
      <w:start w:val="1"/>
      <w:numFmt w:val="decimal"/>
      <w:pStyle w:val="BMSHeading3"/>
      <w:lvlText w:val="%1.%2.%3"/>
      <w:lvlJc w:val="left"/>
      <w:pPr>
        <w:tabs>
          <w:tab w:val="num" w:pos="990"/>
        </w:tabs>
        <w:ind w:left="990" w:hanging="720"/>
      </w:pPr>
      <w:rPr>
        <w:rFonts w:cs="Times New Roman" w:hint="default"/>
      </w:rPr>
    </w:lvl>
    <w:lvl w:ilvl="3">
      <w:start w:val="1"/>
      <w:numFmt w:val="decimal"/>
      <w:pStyle w:val="BMSHeading4"/>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0" w15:restartNumberingAfterBreak="0">
    <w:nsid w:val="282E1A5D"/>
    <w:multiLevelType w:val="hybridMultilevel"/>
    <w:tmpl w:val="A3E862D2"/>
    <w:lvl w:ilvl="0" w:tplc="08A01B8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B075D82"/>
    <w:multiLevelType w:val="hybridMultilevel"/>
    <w:tmpl w:val="1040C0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BF223EE"/>
    <w:multiLevelType w:val="hybridMultilevel"/>
    <w:tmpl w:val="A9B89C00"/>
    <w:lvl w:ilvl="0" w:tplc="DF1AAA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C42267C"/>
    <w:multiLevelType w:val="multilevel"/>
    <w:tmpl w:val="E3B64890"/>
    <w:lvl w:ilvl="0">
      <w:start w:val="1"/>
      <w:numFmt w:val="decimal"/>
      <w:pStyle w:val="BMSHeadingAppendix"/>
      <w:lvlText w:val="APPENDIX %1"/>
      <w:lvlJc w:val="left"/>
      <w:pPr>
        <w:tabs>
          <w:tab w:val="num" w:pos="1800"/>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4" w15:restartNumberingAfterBreak="0">
    <w:nsid w:val="2EDD0771"/>
    <w:multiLevelType w:val="hybridMultilevel"/>
    <w:tmpl w:val="338A9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3947735"/>
    <w:multiLevelType w:val="hybridMultilevel"/>
    <w:tmpl w:val="880A4A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364707F8"/>
    <w:multiLevelType w:val="hybridMultilevel"/>
    <w:tmpl w:val="E7C65E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79507C9"/>
    <w:multiLevelType w:val="hybridMultilevel"/>
    <w:tmpl w:val="C256E486"/>
    <w:lvl w:ilvl="0" w:tplc="E1C4B0FA">
      <w:start w:val="1"/>
      <w:numFmt w:val="bullet"/>
      <w:pStyle w:val="AGBullet"/>
      <w:lvlText w:val=""/>
      <w:lvlJc w:val="left"/>
      <w:pPr>
        <w:ind w:left="1080" w:hanging="360"/>
      </w:pPr>
      <w:rPr>
        <w:rFonts w:ascii="Wingdings" w:hAnsi="Wingdings" w:hint="default"/>
        <w:color w:val="003E7E"/>
      </w:rPr>
    </w:lvl>
    <w:lvl w:ilvl="1" w:tplc="09125E5C">
      <w:start w:val="1"/>
      <w:numFmt w:val="bullet"/>
      <w:lvlText w:val="-"/>
      <w:lvlJc w:val="left"/>
      <w:pPr>
        <w:ind w:left="1800" w:hanging="360"/>
      </w:pPr>
      <w:rPr>
        <w:rFonts w:ascii="Courier New" w:hAnsi="Courier New" w:hint="default"/>
        <w:color w:val="003E7E"/>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37A608DD"/>
    <w:multiLevelType w:val="hybridMultilevel"/>
    <w:tmpl w:val="69F2F2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7DF2CEF"/>
    <w:multiLevelType w:val="hybridMultilevel"/>
    <w:tmpl w:val="D2827DBE"/>
    <w:lvl w:ilvl="0" w:tplc="30FE075E">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FFB5096"/>
    <w:multiLevelType w:val="hybridMultilevel"/>
    <w:tmpl w:val="80F4A7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0B92E9F"/>
    <w:multiLevelType w:val="hybridMultilevel"/>
    <w:tmpl w:val="83BC416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4240551C"/>
    <w:multiLevelType w:val="hybridMultilevel"/>
    <w:tmpl w:val="CB7C125C"/>
    <w:lvl w:ilvl="0" w:tplc="DF1AAA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2EF082D"/>
    <w:multiLevelType w:val="hybridMultilevel"/>
    <w:tmpl w:val="4AE479A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448D2756"/>
    <w:multiLevelType w:val="hybridMultilevel"/>
    <w:tmpl w:val="99C6A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8A76A0E"/>
    <w:multiLevelType w:val="hybridMultilevel"/>
    <w:tmpl w:val="F9D27BF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4A4457E1"/>
    <w:multiLevelType w:val="hybridMultilevel"/>
    <w:tmpl w:val="C5887A3E"/>
    <w:lvl w:ilvl="0" w:tplc="93E65A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4D2A054F"/>
    <w:multiLevelType w:val="hybridMultilevel"/>
    <w:tmpl w:val="C4AC96F2"/>
    <w:lvl w:ilvl="0" w:tplc="0409000F">
      <w:start w:val="1"/>
      <w:numFmt w:val="decimal"/>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48" w15:restartNumberingAfterBreak="0">
    <w:nsid w:val="4DA161F0"/>
    <w:multiLevelType w:val="hybridMultilevel"/>
    <w:tmpl w:val="CB5291E2"/>
    <w:lvl w:ilvl="0" w:tplc="07C8088A">
      <w:start w:val="1"/>
      <w:numFmt w:val="decimal"/>
      <w:lvlText w:val="%1."/>
      <w:lvlJc w:val="left"/>
      <w:pPr>
        <w:ind w:left="720" w:hanging="360"/>
      </w:pPr>
      <w:rPr>
        <w:rFonts w:hint="default"/>
        <w:b w:val="0"/>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EEB622D"/>
    <w:multiLevelType w:val="hybridMultilevel"/>
    <w:tmpl w:val="D416E728"/>
    <w:lvl w:ilvl="0" w:tplc="8EA613F2">
      <w:start w:val="1"/>
      <w:numFmt w:val="decimal"/>
      <w:lvlText w:val="%1."/>
      <w:lvlJc w:val="left"/>
      <w:pPr>
        <w:ind w:left="1080" w:hanging="360"/>
      </w:pPr>
      <w:rPr>
        <w:rFonts w:ascii="Times New Roman" w:hAnsi="Times New Roman" w:cs="Times New Roman" w:hint="default"/>
        <w:i w:val="0"/>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50D129F8"/>
    <w:multiLevelType w:val="hybridMultilevel"/>
    <w:tmpl w:val="B8E252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1BD0FF0"/>
    <w:multiLevelType w:val="multilevel"/>
    <w:tmpl w:val="5DE44D18"/>
    <w:lvl w:ilvl="0">
      <w:start w:val="1"/>
      <w:numFmt w:val="decimal"/>
      <w:pStyle w:val="Heading1"/>
      <w:lvlText w:val="%1"/>
      <w:lvlJc w:val="left"/>
      <w:pPr>
        <w:tabs>
          <w:tab w:val="num" w:pos="432"/>
        </w:tabs>
        <w:ind w:left="432" w:hanging="432"/>
      </w:pPr>
      <w:rPr>
        <w:rFonts w:cs="Times New Roman" w:hint="default"/>
      </w:rPr>
    </w:lvl>
    <w:lvl w:ilvl="1">
      <w:start w:val="1"/>
      <w:numFmt w:val="decimal"/>
      <w:pStyle w:val="Heading2"/>
      <w:lvlText w:val="%1.%2"/>
      <w:lvlJc w:val="left"/>
      <w:pPr>
        <w:tabs>
          <w:tab w:val="num" w:pos="936"/>
        </w:tabs>
        <w:ind w:left="936" w:hanging="576"/>
      </w:pPr>
      <w:rPr>
        <w:rFonts w:cs="Times New Roman" w:hint="default"/>
      </w:rPr>
    </w:lvl>
    <w:lvl w:ilvl="2">
      <w:start w:val="1"/>
      <w:numFmt w:val="decimal"/>
      <w:pStyle w:val="Heading3"/>
      <w:lvlText w:val="%1.%2.%3"/>
      <w:lvlJc w:val="left"/>
      <w:pPr>
        <w:tabs>
          <w:tab w:val="num" w:pos="990"/>
        </w:tabs>
        <w:ind w:left="990" w:hanging="720"/>
      </w:pPr>
      <w:rPr>
        <w:rFonts w:cs="Times New Roman" w:hint="default"/>
      </w:rPr>
    </w:lvl>
    <w:lvl w:ilvl="3">
      <w:start w:val="1"/>
      <w:numFmt w:val="decimal"/>
      <w:lvlText w:val="%1.%2.%3.%4"/>
      <w:lvlJc w:val="left"/>
      <w:pPr>
        <w:tabs>
          <w:tab w:val="num" w:pos="1944"/>
        </w:tabs>
        <w:ind w:left="1944" w:hanging="864"/>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pStyle w:val="Heading5"/>
      <w:lvlText w:val="%1.%2.%3.%4.%5"/>
      <w:lvlJc w:val="left"/>
      <w:pPr>
        <w:tabs>
          <w:tab w:val="num" w:pos="1008"/>
        </w:tabs>
        <w:ind w:left="1008" w:hanging="1008"/>
      </w:pPr>
      <w:rPr>
        <w:rFonts w:cs="Times New Roman" w:hint="default"/>
      </w:rPr>
    </w:lvl>
    <w:lvl w:ilvl="5">
      <w:start w:val="1"/>
      <w:numFmt w:val="decimal"/>
      <w:pStyle w:val="Heading6"/>
      <w:lvlText w:val="%1.%2.%3.%4.%5.%6"/>
      <w:lvlJc w:val="left"/>
      <w:pPr>
        <w:tabs>
          <w:tab w:val="num" w:pos="1152"/>
        </w:tabs>
        <w:ind w:left="1152" w:hanging="1152"/>
      </w:pPr>
      <w:rPr>
        <w:rFonts w:cs="Times New Roman" w:hint="default"/>
      </w:rPr>
    </w:lvl>
    <w:lvl w:ilvl="6">
      <w:start w:val="1"/>
      <w:numFmt w:val="decimal"/>
      <w:pStyle w:val="Heading7"/>
      <w:lvlText w:val="%1.%2.%3.%4.%5.%6.%7"/>
      <w:lvlJc w:val="left"/>
      <w:pPr>
        <w:tabs>
          <w:tab w:val="num" w:pos="1296"/>
        </w:tabs>
        <w:ind w:left="1296" w:hanging="1296"/>
      </w:pPr>
      <w:rPr>
        <w:rFonts w:cs="Times New Roman" w:hint="default"/>
      </w:rPr>
    </w:lvl>
    <w:lvl w:ilvl="7">
      <w:start w:val="1"/>
      <w:numFmt w:val="decimal"/>
      <w:pStyle w:val="Heading8"/>
      <w:lvlText w:val="%1.%2.%3.%4.%5.%6.%7.%8"/>
      <w:lvlJc w:val="left"/>
      <w:pPr>
        <w:tabs>
          <w:tab w:val="num" w:pos="1440"/>
        </w:tabs>
        <w:ind w:left="1440" w:hanging="1440"/>
      </w:pPr>
      <w:rPr>
        <w:rFonts w:cs="Times New Roman" w:hint="default"/>
      </w:rPr>
    </w:lvl>
    <w:lvl w:ilvl="8">
      <w:start w:val="1"/>
      <w:numFmt w:val="decimal"/>
      <w:pStyle w:val="Heading9"/>
      <w:lvlText w:val="%1.%2.%3.%4.%5.%6.%7.%8.%9"/>
      <w:lvlJc w:val="left"/>
      <w:pPr>
        <w:tabs>
          <w:tab w:val="num" w:pos="1584"/>
        </w:tabs>
        <w:ind w:left="1584" w:hanging="1584"/>
      </w:pPr>
      <w:rPr>
        <w:rFonts w:cs="Times New Roman" w:hint="default"/>
      </w:rPr>
    </w:lvl>
  </w:abstractNum>
  <w:abstractNum w:abstractNumId="52" w15:restartNumberingAfterBreak="0">
    <w:nsid w:val="51D65144"/>
    <w:multiLevelType w:val="hybridMultilevel"/>
    <w:tmpl w:val="DB24770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5547594A"/>
    <w:multiLevelType w:val="hybridMultilevel"/>
    <w:tmpl w:val="4ABEC1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AD4367C"/>
    <w:multiLevelType w:val="hybridMultilevel"/>
    <w:tmpl w:val="8BDAB6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16F1FE8"/>
    <w:multiLevelType w:val="hybridMultilevel"/>
    <w:tmpl w:val="15D4E370"/>
    <w:lvl w:ilvl="0" w:tplc="DF488D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3CF4BE9"/>
    <w:multiLevelType w:val="hybridMultilevel"/>
    <w:tmpl w:val="E5882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99540A8"/>
    <w:multiLevelType w:val="hybridMultilevel"/>
    <w:tmpl w:val="421A4E52"/>
    <w:lvl w:ilvl="0" w:tplc="4A74DA96">
      <w:start w:val="8"/>
      <w:numFmt w:val="decimal"/>
      <w:lvlText w:val="%1."/>
      <w:lvlJc w:val="left"/>
      <w:pPr>
        <w:ind w:left="1296" w:hanging="360"/>
      </w:pPr>
      <w:rPr>
        <w:rFonts w:hint="defaul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58" w15:restartNumberingAfterBreak="0">
    <w:nsid w:val="69DE39EC"/>
    <w:multiLevelType w:val="hybridMultilevel"/>
    <w:tmpl w:val="01880FEE"/>
    <w:lvl w:ilvl="0" w:tplc="6A687C52">
      <w:start w:val="1"/>
      <w:numFmt w:val="decimal"/>
      <w:lvlText w:val="%1."/>
      <w:lvlJc w:val="left"/>
      <w:pPr>
        <w:ind w:left="1080" w:hanging="360"/>
      </w:pPr>
      <w:rPr>
        <w:rFonts w:ascii="Times New Roman" w:hAnsi="Times New Roman" w:cs="Times New Roman"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6B4C1663"/>
    <w:multiLevelType w:val="hybridMultilevel"/>
    <w:tmpl w:val="A9B89C00"/>
    <w:lvl w:ilvl="0" w:tplc="DF1AAA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B6D1214"/>
    <w:multiLevelType w:val="hybridMultilevel"/>
    <w:tmpl w:val="607AB890"/>
    <w:lvl w:ilvl="0" w:tplc="EC96D1A8">
      <w:start w:val="1"/>
      <w:numFmt w:val="upperRoman"/>
      <w:pStyle w:val="Style3"/>
      <w:lvlText w:val="Appendix %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6D646E26"/>
    <w:multiLevelType w:val="hybridMultilevel"/>
    <w:tmpl w:val="0576CD8E"/>
    <w:lvl w:ilvl="0" w:tplc="DF1AAAD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6EC41F27"/>
    <w:multiLevelType w:val="hybridMultilevel"/>
    <w:tmpl w:val="92508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F166C50"/>
    <w:multiLevelType w:val="multilevel"/>
    <w:tmpl w:val="44CCD998"/>
    <w:lvl w:ilvl="0">
      <w:start w:val="1"/>
      <w:numFmt w:val="decimal"/>
      <w:pStyle w:val="BMSOutlineNumbering"/>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4" w15:restartNumberingAfterBreak="0">
    <w:nsid w:val="73D349AD"/>
    <w:multiLevelType w:val="multilevel"/>
    <w:tmpl w:val="45FC4FC0"/>
    <w:lvl w:ilvl="0">
      <w:start w:val="1"/>
      <w:numFmt w:val="bullet"/>
      <w:pStyle w:val="BMSBullets"/>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Symbol" w:hAnsi="Symbol" w:hint="default"/>
      </w:rPr>
    </w:lvl>
    <w:lvl w:ilvl="2">
      <w:start w:val="1"/>
      <w:numFmt w:val="bullet"/>
      <w:lvlText w:val=""/>
      <w:lvlJc w:val="left"/>
      <w:pPr>
        <w:tabs>
          <w:tab w:val="num" w:pos="1080"/>
        </w:tabs>
        <w:ind w:left="1080" w:hanging="360"/>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Symbol" w:hAnsi="Symbol" w:hint="default"/>
      </w:rPr>
    </w:lvl>
    <w:lvl w:ilvl="6">
      <w:start w:val="1"/>
      <w:numFmt w:val="bullet"/>
      <w:lvlText w:val=""/>
      <w:lvlJc w:val="left"/>
      <w:pPr>
        <w:tabs>
          <w:tab w:val="num" w:pos="2520"/>
        </w:tabs>
        <w:ind w:left="2520" w:hanging="360"/>
      </w:pPr>
      <w:rPr>
        <w:rFonts w:ascii="Symbol" w:hAnsi="Symbol"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65" w15:restartNumberingAfterBreak="0">
    <w:nsid w:val="77CC2B77"/>
    <w:multiLevelType w:val="hybridMultilevel"/>
    <w:tmpl w:val="A9B89C00"/>
    <w:lvl w:ilvl="0" w:tplc="DF1AAA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B6E0C80"/>
    <w:multiLevelType w:val="hybridMultilevel"/>
    <w:tmpl w:val="805482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C2A2E66"/>
    <w:multiLevelType w:val="hybridMultilevel"/>
    <w:tmpl w:val="E48C8E5C"/>
    <w:lvl w:ilvl="0" w:tplc="28B8794C">
      <w:start w:val="1"/>
      <w:numFmt w:val="decimal"/>
      <w:lvlText w:val="%1."/>
      <w:lvlJc w:val="left"/>
      <w:pPr>
        <w:ind w:left="720" w:hanging="360"/>
      </w:pPr>
      <w:rPr>
        <w:rFonts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7D98710F"/>
    <w:multiLevelType w:val="hybridMultilevel"/>
    <w:tmpl w:val="B2DAEADC"/>
    <w:lvl w:ilvl="0" w:tplc="DF1AAA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7DDE0BBF"/>
    <w:multiLevelType w:val="hybridMultilevel"/>
    <w:tmpl w:val="6C5677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8"/>
  </w:num>
  <w:num w:numId="2">
    <w:abstractNumId w:val="6"/>
  </w:num>
  <w:num w:numId="3">
    <w:abstractNumId w:val="5"/>
  </w:num>
  <w:num w:numId="4">
    <w:abstractNumId w:val="4"/>
  </w:num>
  <w:num w:numId="5">
    <w:abstractNumId w:val="3"/>
  </w:num>
  <w:num w:numId="6">
    <w:abstractNumId w:val="7"/>
  </w:num>
  <w:num w:numId="7">
    <w:abstractNumId w:val="2"/>
  </w:num>
  <w:num w:numId="8">
    <w:abstractNumId w:val="1"/>
  </w:num>
  <w:num w:numId="9">
    <w:abstractNumId w:val="0"/>
  </w:num>
  <w:num w:numId="10">
    <w:abstractNumId w:val="33"/>
  </w:num>
  <w:num w:numId="11">
    <w:abstractNumId w:val="29"/>
  </w:num>
  <w:num w:numId="12">
    <w:abstractNumId w:val="63"/>
  </w:num>
  <w:num w:numId="13">
    <w:abstractNumId w:val="27"/>
  </w:num>
  <w:num w:numId="14">
    <w:abstractNumId w:val="64"/>
  </w:num>
  <w:num w:numId="15">
    <w:abstractNumId w:val="37"/>
  </w:num>
  <w:num w:numId="16">
    <w:abstractNumId w:val="43"/>
  </w:num>
  <w:num w:numId="17">
    <w:abstractNumId w:val="69"/>
  </w:num>
  <w:num w:numId="18">
    <w:abstractNumId w:val="45"/>
  </w:num>
  <w:num w:numId="19">
    <w:abstractNumId w:val="19"/>
  </w:num>
  <w:num w:numId="20">
    <w:abstractNumId w:val="9"/>
  </w:num>
  <w:num w:numId="21">
    <w:abstractNumId w:val="35"/>
  </w:num>
  <w:num w:numId="22">
    <w:abstractNumId w:val="20"/>
  </w:num>
  <w:num w:numId="23">
    <w:abstractNumId w:val="12"/>
  </w:num>
  <w:num w:numId="24">
    <w:abstractNumId w:val="10"/>
  </w:num>
  <w:num w:numId="25">
    <w:abstractNumId w:val="60"/>
  </w:num>
  <w:num w:numId="26">
    <w:abstractNumId w:val="24"/>
  </w:num>
  <w:num w:numId="27">
    <w:abstractNumId w:val="25"/>
  </w:num>
  <w:num w:numId="28">
    <w:abstractNumId w:val="51"/>
  </w:num>
  <w:num w:numId="29">
    <w:abstractNumId w:val="49"/>
  </w:num>
  <w:num w:numId="30">
    <w:abstractNumId w:val="58"/>
  </w:num>
  <w:num w:numId="31">
    <w:abstractNumId w:val="46"/>
  </w:num>
  <w:num w:numId="32">
    <w:abstractNumId w:val="13"/>
  </w:num>
  <w:num w:numId="33">
    <w:abstractNumId w:val="67"/>
  </w:num>
  <w:num w:numId="34">
    <w:abstractNumId w:val="59"/>
  </w:num>
  <w:num w:numId="35">
    <w:abstractNumId w:val="65"/>
  </w:num>
  <w:num w:numId="36">
    <w:abstractNumId w:val="15"/>
  </w:num>
  <w:num w:numId="37">
    <w:abstractNumId w:val="32"/>
  </w:num>
  <w:num w:numId="38">
    <w:abstractNumId w:val="42"/>
  </w:num>
  <w:num w:numId="39">
    <w:abstractNumId w:val="68"/>
  </w:num>
  <w:num w:numId="40">
    <w:abstractNumId w:val="48"/>
  </w:num>
  <w:num w:numId="41">
    <w:abstractNumId w:val="61"/>
  </w:num>
  <w:num w:numId="42">
    <w:abstractNumId w:val="26"/>
  </w:num>
  <w:num w:numId="43">
    <w:abstractNumId w:val="14"/>
  </w:num>
  <w:num w:numId="44">
    <w:abstractNumId w:val="28"/>
  </w:num>
  <w:num w:numId="45">
    <w:abstractNumId w:val="51"/>
    <w:lvlOverride w:ilvl="0">
      <w:startOverride w:val="6"/>
    </w:lvlOverride>
    <w:lvlOverride w:ilvl="1">
      <w:startOverride w:val="3"/>
    </w:lvlOverride>
  </w:num>
  <w:num w:numId="46">
    <w:abstractNumId w:val="51"/>
  </w:num>
  <w:num w:numId="47">
    <w:abstractNumId w:val="17"/>
  </w:num>
  <w:num w:numId="48">
    <w:abstractNumId w:val="38"/>
  </w:num>
  <w:num w:numId="49">
    <w:abstractNumId w:val="51"/>
  </w:num>
  <w:num w:numId="50">
    <w:abstractNumId w:val="51"/>
  </w:num>
  <w:num w:numId="51">
    <w:abstractNumId w:val="53"/>
  </w:num>
  <w:num w:numId="52">
    <w:abstractNumId w:val="34"/>
  </w:num>
  <w:num w:numId="53">
    <w:abstractNumId w:val="62"/>
  </w:num>
  <w:num w:numId="54">
    <w:abstractNumId w:val="51"/>
  </w:num>
  <w:num w:numId="55">
    <w:abstractNumId w:val="51"/>
  </w:num>
  <w:num w:numId="56">
    <w:abstractNumId w:val="51"/>
  </w:num>
  <w:num w:numId="57">
    <w:abstractNumId w:val="51"/>
  </w:num>
  <w:num w:numId="58">
    <w:abstractNumId w:val="51"/>
  </w:num>
  <w:num w:numId="59">
    <w:abstractNumId w:val="51"/>
  </w:num>
  <w:num w:numId="60">
    <w:abstractNumId w:val="51"/>
  </w:num>
  <w:num w:numId="61">
    <w:abstractNumId w:val="51"/>
  </w:num>
  <w:num w:numId="62">
    <w:abstractNumId w:val="51"/>
  </w:num>
  <w:num w:numId="63">
    <w:abstractNumId w:val="51"/>
  </w:num>
  <w:num w:numId="64">
    <w:abstractNumId w:val="66"/>
  </w:num>
  <w:num w:numId="65">
    <w:abstractNumId w:val="51"/>
  </w:num>
  <w:num w:numId="66">
    <w:abstractNumId w:val="51"/>
  </w:num>
  <w:num w:numId="67">
    <w:abstractNumId w:val="51"/>
  </w:num>
  <w:num w:numId="68">
    <w:abstractNumId w:val="18"/>
  </w:num>
  <w:num w:numId="69">
    <w:abstractNumId w:val="39"/>
  </w:num>
  <w:num w:numId="70">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51"/>
    <w:lvlOverride w:ilvl="0">
      <w:startOverride w:val="7"/>
    </w:lvlOverride>
    <w:lvlOverride w:ilvl="1">
      <w:startOverride w:val="14"/>
    </w:lvlOverride>
  </w:num>
  <w:num w:numId="72">
    <w:abstractNumId w:val="30"/>
  </w:num>
  <w:num w:numId="73">
    <w:abstractNumId w:val="36"/>
  </w:num>
  <w:num w:numId="74">
    <w:abstractNumId w:val="51"/>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51"/>
    <w:lvlOverride w:ilvl="0">
      <w:startOverride w:val="7"/>
    </w:lvlOverride>
    <w:lvlOverride w:ilvl="1">
      <w:startOverride w:val="2"/>
    </w:lvlOverride>
  </w:num>
  <w:num w:numId="76">
    <w:abstractNumId w:val="51"/>
  </w:num>
  <w:num w:numId="77">
    <w:abstractNumId w:val="51"/>
    <w:lvlOverride w:ilvl="0">
      <w:startOverride w:val="8"/>
    </w:lvlOverride>
    <w:lvlOverride w:ilvl="1">
      <w:startOverride w:val="2"/>
    </w:lvlOverride>
  </w:num>
  <w:num w:numId="78">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7"/>
  </w:num>
  <w:num w:numId="80">
    <w:abstractNumId w:val="51"/>
    <w:lvlOverride w:ilvl="0">
      <w:startOverride w:val="8"/>
    </w:lvlOverride>
    <w:lvlOverride w:ilvl="1">
      <w:startOverride w:val="2"/>
    </w:lvlOverride>
  </w:num>
  <w:num w:numId="81">
    <w:abstractNumId w:val="51"/>
  </w:num>
  <w:num w:numId="82">
    <w:abstractNumId w:val="51"/>
    <w:lvlOverride w:ilvl="0">
      <w:startOverride w:val="8"/>
    </w:lvlOverride>
    <w:lvlOverride w:ilvl="1">
      <w:startOverride w:val="2"/>
    </w:lvlOverride>
  </w:num>
  <w:num w:numId="83">
    <w:abstractNumId w:val="51"/>
  </w:num>
  <w:num w:numId="84">
    <w:abstractNumId w:val="51"/>
    <w:lvlOverride w:ilvl="0">
      <w:startOverride w:val="8"/>
    </w:lvlOverride>
    <w:lvlOverride w:ilvl="1">
      <w:startOverride w:val="2"/>
    </w:lvlOverride>
  </w:num>
  <w:num w:numId="85">
    <w:abstractNumId w:val="51"/>
  </w:num>
  <w:num w:numId="86">
    <w:abstractNumId w:val="51"/>
    <w:lvlOverride w:ilvl="0">
      <w:startOverride w:val="8"/>
    </w:lvlOverride>
    <w:lvlOverride w:ilvl="1">
      <w:startOverride w:val="2"/>
    </w:lvlOverride>
  </w:num>
  <w:num w:numId="87">
    <w:abstractNumId w:val="11"/>
  </w:num>
  <w:num w:numId="88">
    <w:abstractNumId w:val="16"/>
  </w:num>
  <w:num w:numId="89">
    <w:abstractNumId w:val="55"/>
  </w:num>
  <w:num w:numId="90">
    <w:abstractNumId w:val="23"/>
  </w:num>
  <w:num w:numId="91">
    <w:abstractNumId w:val="22"/>
  </w:num>
  <w:num w:numId="92">
    <w:abstractNumId w:val="51"/>
  </w:num>
  <w:num w:numId="93">
    <w:abstractNumId w:val="40"/>
  </w:num>
  <w:num w:numId="94">
    <w:abstractNumId w:val="56"/>
  </w:num>
  <w:num w:numId="95">
    <w:abstractNumId w:val="50"/>
  </w:num>
  <w:num w:numId="96">
    <w:abstractNumId w:val="31"/>
  </w:num>
  <w:num w:numId="97">
    <w:abstractNumId w:val="44"/>
  </w:num>
  <w:num w:numId="98">
    <w:abstractNumId w:val="51"/>
  </w:num>
  <w:num w:numId="99">
    <w:abstractNumId w:val="51"/>
  </w:num>
  <w:num w:numId="100">
    <w:abstractNumId w:val="51"/>
  </w:num>
  <w:num w:numId="101">
    <w:abstractNumId w:val="51"/>
  </w:num>
  <w:num w:numId="102">
    <w:abstractNumId w:val="51"/>
  </w:num>
  <w:num w:numId="103">
    <w:abstractNumId w:val="51"/>
  </w:num>
  <w:num w:numId="104">
    <w:abstractNumId w:val="51"/>
  </w:num>
  <w:num w:numId="105">
    <w:abstractNumId w:val="51"/>
  </w:num>
  <w:num w:numId="106">
    <w:abstractNumId w:val="51"/>
  </w:num>
  <w:num w:numId="107">
    <w:abstractNumId w:val="51"/>
  </w:num>
  <w:num w:numId="108">
    <w:abstractNumId w:val="51"/>
  </w:num>
  <w:num w:numId="109">
    <w:abstractNumId w:val="51"/>
  </w:num>
  <w:num w:numId="110">
    <w:abstractNumId w:val="51"/>
  </w:num>
  <w:num w:numId="111">
    <w:abstractNumId w:val="51"/>
  </w:num>
  <w:num w:numId="112">
    <w:abstractNumId w:val="51"/>
  </w:num>
  <w:num w:numId="113">
    <w:abstractNumId w:val="51"/>
  </w:num>
  <w:num w:numId="114">
    <w:abstractNumId w:val="51"/>
  </w:num>
  <w:num w:numId="115">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51"/>
  </w:num>
  <w:num w:numId="117">
    <w:abstractNumId w:val="51"/>
  </w:num>
  <w:num w:numId="118">
    <w:abstractNumId w:val="51"/>
  </w:num>
  <w:num w:numId="119">
    <w:abstractNumId w:val="51"/>
  </w:num>
  <w:num w:numId="120">
    <w:abstractNumId w:val="51"/>
  </w:num>
  <w:num w:numId="121">
    <w:abstractNumId w:val="51"/>
  </w:num>
  <w:num w:numId="122">
    <w:abstractNumId w:val="51"/>
  </w:num>
  <w:num w:numId="123">
    <w:abstractNumId w:val="51"/>
  </w:num>
  <w:num w:numId="124">
    <w:abstractNumId w:val="54"/>
  </w:num>
  <w:num w:numId="125">
    <w:abstractNumId w:val="51"/>
  </w:num>
  <w:num w:numId="126">
    <w:abstractNumId w:val="51"/>
  </w:num>
  <w:num w:numId="127">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51"/>
  </w:num>
  <w:num w:numId="129">
    <w:abstractNumId w:val="41"/>
  </w:num>
  <w:num w:numId="130">
    <w:abstractNumId w:val="21"/>
  </w:num>
  <w:num w:numId="131">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51"/>
  </w:num>
  <w:num w:numId="134">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47"/>
  </w:num>
  <w:num w:numId="136">
    <w:abstractNumId w:val="52"/>
  </w:num>
  <w:numIdMacAtCleanup w:val="1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30721"/>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Numbered&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drda5299drvzvve9er8505wl0w5efx5ps2wv&quot;&gt;Bibliography&lt;record-ids&gt;&lt;item&gt;38&lt;/item&gt;&lt;item&gt;40&lt;/item&gt;&lt;/record-ids&gt;&lt;/item&gt;&lt;/Libraries&gt;"/>
  </w:docVars>
  <w:rsids>
    <w:rsidRoot w:val="006D1A25"/>
    <w:rsid w:val="00001B86"/>
    <w:rsid w:val="00002E0C"/>
    <w:rsid w:val="00003609"/>
    <w:rsid w:val="00004224"/>
    <w:rsid w:val="00005B8F"/>
    <w:rsid w:val="00005BDE"/>
    <w:rsid w:val="00005EFB"/>
    <w:rsid w:val="00006C57"/>
    <w:rsid w:val="00006F21"/>
    <w:rsid w:val="000076E3"/>
    <w:rsid w:val="00007CE4"/>
    <w:rsid w:val="00010A92"/>
    <w:rsid w:val="0001139E"/>
    <w:rsid w:val="000118B4"/>
    <w:rsid w:val="000118C4"/>
    <w:rsid w:val="000118E3"/>
    <w:rsid w:val="00012453"/>
    <w:rsid w:val="00012701"/>
    <w:rsid w:val="00012822"/>
    <w:rsid w:val="00013281"/>
    <w:rsid w:val="00013BD5"/>
    <w:rsid w:val="00013C55"/>
    <w:rsid w:val="000140A1"/>
    <w:rsid w:val="0001483B"/>
    <w:rsid w:val="000156F9"/>
    <w:rsid w:val="0001748E"/>
    <w:rsid w:val="0001754E"/>
    <w:rsid w:val="00017EB5"/>
    <w:rsid w:val="00020341"/>
    <w:rsid w:val="00021352"/>
    <w:rsid w:val="0002140D"/>
    <w:rsid w:val="00023115"/>
    <w:rsid w:val="000235B2"/>
    <w:rsid w:val="000243E7"/>
    <w:rsid w:val="000261D0"/>
    <w:rsid w:val="0002670E"/>
    <w:rsid w:val="00027AAA"/>
    <w:rsid w:val="0003030D"/>
    <w:rsid w:val="0003094B"/>
    <w:rsid w:val="00030B9C"/>
    <w:rsid w:val="00030F8B"/>
    <w:rsid w:val="000326E3"/>
    <w:rsid w:val="0003272B"/>
    <w:rsid w:val="000332DE"/>
    <w:rsid w:val="000338BB"/>
    <w:rsid w:val="000339D6"/>
    <w:rsid w:val="000339E1"/>
    <w:rsid w:val="00033E5E"/>
    <w:rsid w:val="0003535F"/>
    <w:rsid w:val="000359AB"/>
    <w:rsid w:val="00035B4C"/>
    <w:rsid w:val="00035D5F"/>
    <w:rsid w:val="0003603D"/>
    <w:rsid w:val="000377D7"/>
    <w:rsid w:val="00037CD2"/>
    <w:rsid w:val="00041F9E"/>
    <w:rsid w:val="000420CB"/>
    <w:rsid w:val="0004428D"/>
    <w:rsid w:val="00044802"/>
    <w:rsid w:val="00044B59"/>
    <w:rsid w:val="00044E48"/>
    <w:rsid w:val="0004573D"/>
    <w:rsid w:val="00046450"/>
    <w:rsid w:val="000469A6"/>
    <w:rsid w:val="000478F8"/>
    <w:rsid w:val="0005073B"/>
    <w:rsid w:val="00050FCB"/>
    <w:rsid w:val="00051B3B"/>
    <w:rsid w:val="00051C63"/>
    <w:rsid w:val="00051D64"/>
    <w:rsid w:val="000521CD"/>
    <w:rsid w:val="0005268E"/>
    <w:rsid w:val="0005289D"/>
    <w:rsid w:val="00052B1C"/>
    <w:rsid w:val="00052D70"/>
    <w:rsid w:val="000531B0"/>
    <w:rsid w:val="00054101"/>
    <w:rsid w:val="0005499A"/>
    <w:rsid w:val="00054D63"/>
    <w:rsid w:val="0005502D"/>
    <w:rsid w:val="00055412"/>
    <w:rsid w:val="000567D1"/>
    <w:rsid w:val="00056CF8"/>
    <w:rsid w:val="000571DC"/>
    <w:rsid w:val="0005727F"/>
    <w:rsid w:val="000609DD"/>
    <w:rsid w:val="00061522"/>
    <w:rsid w:val="000615BE"/>
    <w:rsid w:val="0006210A"/>
    <w:rsid w:val="000625CF"/>
    <w:rsid w:val="00062A45"/>
    <w:rsid w:val="00064B9C"/>
    <w:rsid w:val="00064BFB"/>
    <w:rsid w:val="0006512D"/>
    <w:rsid w:val="0006549B"/>
    <w:rsid w:val="0006699C"/>
    <w:rsid w:val="000675CF"/>
    <w:rsid w:val="0006788C"/>
    <w:rsid w:val="00067E71"/>
    <w:rsid w:val="00067F3D"/>
    <w:rsid w:val="00070285"/>
    <w:rsid w:val="00070606"/>
    <w:rsid w:val="00070C2F"/>
    <w:rsid w:val="00070DC6"/>
    <w:rsid w:val="00070FD2"/>
    <w:rsid w:val="0007114F"/>
    <w:rsid w:val="00071F57"/>
    <w:rsid w:val="00072D17"/>
    <w:rsid w:val="00072E03"/>
    <w:rsid w:val="00072ED0"/>
    <w:rsid w:val="000739D6"/>
    <w:rsid w:val="00073EE2"/>
    <w:rsid w:val="0007444E"/>
    <w:rsid w:val="000747CA"/>
    <w:rsid w:val="00075FFE"/>
    <w:rsid w:val="000763E6"/>
    <w:rsid w:val="00076DE7"/>
    <w:rsid w:val="00076F75"/>
    <w:rsid w:val="0007733E"/>
    <w:rsid w:val="00077C77"/>
    <w:rsid w:val="00077E74"/>
    <w:rsid w:val="0008031A"/>
    <w:rsid w:val="0008063E"/>
    <w:rsid w:val="000806DF"/>
    <w:rsid w:val="00081430"/>
    <w:rsid w:val="000821FD"/>
    <w:rsid w:val="000824FF"/>
    <w:rsid w:val="000828B6"/>
    <w:rsid w:val="00082DB7"/>
    <w:rsid w:val="00082F4A"/>
    <w:rsid w:val="000834FB"/>
    <w:rsid w:val="00083961"/>
    <w:rsid w:val="00083CB9"/>
    <w:rsid w:val="00084CA7"/>
    <w:rsid w:val="00085624"/>
    <w:rsid w:val="000857F5"/>
    <w:rsid w:val="000859F7"/>
    <w:rsid w:val="00086870"/>
    <w:rsid w:val="00086928"/>
    <w:rsid w:val="00087623"/>
    <w:rsid w:val="00087A3B"/>
    <w:rsid w:val="0009000C"/>
    <w:rsid w:val="00090286"/>
    <w:rsid w:val="0009056B"/>
    <w:rsid w:val="0009140C"/>
    <w:rsid w:val="00091512"/>
    <w:rsid w:val="00091567"/>
    <w:rsid w:val="00091663"/>
    <w:rsid w:val="00092DB6"/>
    <w:rsid w:val="00092EBF"/>
    <w:rsid w:val="00093FF2"/>
    <w:rsid w:val="00094155"/>
    <w:rsid w:val="00094349"/>
    <w:rsid w:val="000946EF"/>
    <w:rsid w:val="00094A97"/>
    <w:rsid w:val="000950B3"/>
    <w:rsid w:val="00095465"/>
    <w:rsid w:val="00095ACF"/>
    <w:rsid w:val="00096C40"/>
    <w:rsid w:val="000A053F"/>
    <w:rsid w:val="000A0A93"/>
    <w:rsid w:val="000A1570"/>
    <w:rsid w:val="000A1CF7"/>
    <w:rsid w:val="000A2731"/>
    <w:rsid w:val="000A2DB8"/>
    <w:rsid w:val="000A2F4F"/>
    <w:rsid w:val="000A35B7"/>
    <w:rsid w:val="000A37CB"/>
    <w:rsid w:val="000A3B0D"/>
    <w:rsid w:val="000A43CB"/>
    <w:rsid w:val="000A4B5D"/>
    <w:rsid w:val="000A52FF"/>
    <w:rsid w:val="000A646B"/>
    <w:rsid w:val="000A66C4"/>
    <w:rsid w:val="000A7C41"/>
    <w:rsid w:val="000B0024"/>
    <w:rsid w:val="000B0612"/>
    <w:rsid w:val="000B2B7C"/>
    <w:rsid w:val="000B2BF0"/>
    <w:rsid w:val="000B3020"/>
    <w:rsid w:val="000B3C4D"/>
    <w:rsid w:val="000B4027"/>
    <w:rsid w:val="000B45F9"/>
    <w:rsid w:val="000B475D"/>
    <w:rsid w:val="000B4784"/>
    <w:rsid w:val="000B510C"/>
    <w:rsid w:val="000B538C"/>
    <w:rsid w:val="000B5D53"/>
    <w:rsid w:val="000B60E9"/>
    <w:rsid w:val="000B650C"/>
    <w:rsid w:val="000B672C"/>
    <w:rsid w:val="000B67ED"/>
    <w:rsid w:val="000B69E3"/>
    <w:rsid w:val="000B7510"/>
    <w:rsid w:val="000B7CCE"/>
    <w:rsid w:val="000C1573"/>
    <w:rsid w:val="000C18B9"/>
    <w:rsid w:val="000C195F"/>
    <w:rsid w:val="000C1DEB"/>
    <w:rsid w:val="000C3FB4"/>
    <w:rsid w:val="000C4141"/>
    <w:rsid w:val="000C4238"/>
    <w:rsid w:val="000C4345"/>
    <w:rsid w:val="000C434D"/>
    <w:rsid w:val="000C4A6A"/>
    <w:rsid w:val="000C5303"/>
    <w:rsid w:val="000C57F9"/>
    <w:rsid w:val="000C699F"/>
    <w:rsid w:val="000C6FA7"/>
    <w:rsid w:val="000C70A4"/>
    <w:rsid w:val="000C7213"/>
    <w:rsid w:val="000C7CD1"/>
    <w:rsid w:val="000D0DD1"/>
    <w:rsid w:val="000D188F"/>
    <w:rsid w:val="000D203E"/>
    <w:rsid w:val="000D259B"/>
    <w:rsid w:val="000D29D2"/>
    <w:rsid w:val="000D3A95"/>
    <w:rsid w:val="000D3B97"/>
    <w:rsid w:val="000D3F32"/>
    <w:rsid w:val="000D56B6"/>
    <w:rsid w:val="000D5C7B"/>
    <w:rsid w:val="000D65F0"/>
    <w:rsid w:val="000D66B7"/>
    <w:rsid w:val="000D699F"/>
    <w:rsid w:val="000D6E0B"/>
    <w:rsid w:val="000D70E1"/>
    <w:rsid w:val="000D7272"/>
    <w:rsid w:val="000D7285"/>
    <w:rsid w:val="000D7849"/>
    <w:rsid w:val="000E08B4"/>
    <w:rsid w:val="000E0C9E"/>
    <w:rsid w:val="000E1697"/>
    <w:rsid w:val="000E1B22"/>
    <w:rsid w:val="000E1EAB"/>
    <w:rsid w:val="000E2343"/>
    <w:rsid w:val="000E26B0"/>
    <w:rsid w:val="000E2891"/>
    <w:rsid w:val="000E35D7"/>
    <w:rsid w:val="000E3E54"/>
    <w:rsid w:val="000E43A5"/>
    <w:rsid w:val="000E5CA4"/>
    <w:rsid w:val="000E5D3A"/>
    <w:rsid w:val="000E64F8"/>
    <w:rsid w:val="000E6BBB"/>
    <w:rsid w:val="000E79C8"/>
    <w:rsid w:val="000F0691"/>
    <w:rsid w:val="000F0750"/>
    <w:rsid w:val="000F07B8"/>
    <w:rsid w:val="000F0A28"/>
    <w:rsid w:val="000F0D7C"/>
    <w:rsid w:val="000F142F"/>
    <w:rsid w:val="000F1F27"/>
    <w:rsid w:val="000F4338"/>
    <w:rsid w:val="000F541B"/>
    <w:rsid w:val="000F6008"/>
    <w:rsid w:val="000F6242"/>
    <w:rsid w:val="000F6E85"/>
    <w:rsid w:val="000F79EE"/>
    <w:rsid w:val="000F7F16"/>
    <w:rsid w:val="001001E8"/>
    <w:rsid w:val="00100769"/>
    <w:rsid w:val="00100FFD"/>
    <w:rsid w:val="00101543"/>
    <w:rsid w:val="001028E7"/>
    <w:rsid w:val="00102D61"/>
    <w:rsid w:val="00102D7A"/>
    <w:rsid w:val="00104D0F"/>
    <w:rsid w:val="00105B2D"/>
    <w:rsid w:val="001068B2"/>
    <w:rsid w:val="001069F6"/>
    <w:rsid w:val="00106C46"/>
    <w:rsid w:val="00106D7E"/>
    <w:rsid w:val="00106E66"/>
    <w:rsid w:val="00107255"/>
    <w:rsid w:val="0010774C"/>
    <w:rsid w:val="00107D82"/>
    <w:rsid w:val="00110244"/>
    <w:rsid w:val="001106BF"/>
    <w:rsid w:val="00110ABF"/>
    <w:rsid w:val="00112403"/>
    <w:rsid w:val="00112530"/>
    <w:rsid w:val="00112A9E"/>
    <w:rsid w:val="00113699"/>
    <w:rsid w:val="0011398B"/>
    <w:rsid w:val="00113BF4"/>
    <w:rsid w:val="00113EFB"/>
    <w:rsid w:val="00114007"/>
    <w:rsid w:val="00114721"/>
    <w:rsid w:val="001149C9"/>
    <w:rsid w:val="00114CF2"/>
    <w:rsid w:val="001155F8"/>
    <w:rsid w:val="00115FCB"/>
    <w:rsid w:val="0011606E"/>
    <w:rsid w:val="001160EF"/>
    <w:rsid w:val="001162B9"/>
    <w:rsid w:val="001164C5"/>
    <w:rsid w:val="00116C89"/>
    <w:rsid w:val="001171A6"/>
    <w:rsid w:val="00117286"/>
    <w:rsid w:val="001176CF"/>
    <w:rsid w:val="00120018"/>
    <w:rsid w:val="00120321"/>
    <w:rsid w:val="00120CD8"/>
    <w:rsid w:val="00122144"/>
    <w:rsid w:val="00122A7B"/>
    <w:rsid w:val="00122C5D"/>
    <w:rsid w:val="001234FA"/>
    <w:rsid w:val="00123738"/>
    <w:rsid w:val="0012425B"/>
    <w:rsid w:val="00125327"/>
    <w:rsid w:val="001258DF"/>
    <w:rsid w:val="00125923"/>
    <w:rsid w:val="00126CCF"/>
    <w:rsid w:val="001272CC"/>
    <w:rsid w:val="00127301"/>
    <w:rsid w:val="00127C5E"/>
    <w:rsid w:val="00127FA0"/>
    <w:rsid w:val="00127FE3"/>
    <w:rsid w:val="001303B6"/>
    <w:rsid w:val="00130BB7"/>
    <w:rsid w:val="00131666"/>
    <w:rsid w:val="00131A31"/>
    <w:rsid w:val="00131EA9"/>
    <w:rsid w:val="00132E56"/>
    <w:rsid w:val="00132EDF"/>
    <w:rsid w:val="00132FCA"/>
    <w:rsid w:val="00133EB4"/>
    <w:rsid w:val="001343FA"/>
    <w:rsid w:val="00134F94"/>
    <w:rsid w:val="00135037"/>
    <w:rsid w:val="001350CB"/>
    <w:rsid w:val="001360DD"/>
    <w:rsid w:val="00136A9B"/>
    <w:rsid w:val="00140A0D"/>
    <w:rsid w:val="001412EF"/>
    <w:rsid w:val="0014183B"/>
    <w:rsid w:val="00142C7E"/>
    <w:rsid w:val="0014347E"/>
    <w:rsid w:val="001443F5"/>
    <w:rsid w:val="00144429"/>
    <w:rsid w:val="00145887"/>
    <w:rsid w:val="001465A7"/>
    <w:rsid w:val="001468ED"/>
    <w:rsid w:val="0014697B"/>
    <w:rsid w:val="00146C62"/>
    <w:rsid w:val="001471A9"/>
    <w:rsid w:val="00147442"/>
    <w:rsid w:val="00147A60"/>
    <w:rsid w:val="00150663"/>
    <w:rsid w:val="00150C11"/>
    <w:rsid w:val="00150C78"/>
    <w:rsid w:val="00150E0A"/>
    <w:rsid w:val="0015199D"/>
    <w:rsid w:val="00152A42"/>
    <w:rsid w:val="00152A67"/>
    <w:rsid w:val="00153EA6"/>
    <w:rsid w:val="00153ED4"/>
    <w:rsid w:val="00154683"/>
    <w:rsid w:val="001547EE"/>
    <w:rsid w:val="00154F23"/>
    <w:rsid w:val="00155859"/>
    <w:rsid w:val="00155A1F"/>
    <w:rsid w:val="00155DE5"/>
    <w:rsid w:val="0015600E"/>
    <w:rsid w:val="0015606B"/>
    <w:rsid w:val="001561B5"/>
    <w:rsid w:val="00156CBE"/>
    <w:rsid w:val="001571FF"/>
    <w:rsid w:val="001620C1"/>
    <w:rsid w:val="001621DB"/>
    <w:rsid w:val="00163E53"/>
    <w:rsid w:val="00163F7B"/>
    <w:rsid w:val="001644D7"/>
    <w:rsid w:val="00164550"/>
    <w:rsid w:val="001648FE"/>
    <w:rsid w:val="00164F5B"/>
    <w:rsid w:val="00165CD4"/>
    <w:rsid w:val="00165D21"/>
    <w:rsid w:val="00167007"/>
    <w:rsid w:val="00167104"/>
    <w:rsid w:val="00167686"/>
    <w:rsid w:val="00167D34"/>
    <w:rsid w:val="00167E9A"/>
    <w:rsid w:val="001703A1"/>
    <w:rsid w:val="00171230"/>
    <w:rsid w:val="0017181B"/>
    <w:rsid w:val="00171F29"/>
    <w:rsid w:val="001726D1"/>
    <w:rsid w:val="00172E26"/>
    <w:rsid w:val="00172F3B"/>
    <w:rsid w:val="0017391B"/>
    <w:rsid w:val="00173DCE"/>
    <w:rsid w:val="00173E3E"/>
    <w:rsid w:val="00174490"/>
    <w:rsid w:val="00174A5E"/>
    <w:rsid w:val="001751A1"/>
    <w:rsid w:val="001754DA"/>
    <w:rsid w:val="001758CC"/>
    <w:rsid w:val="00175AE0"/>
    <w:rsid w:val="00176320"/>
    <w:rsid w:val="00176B31"/>
    <w:rsid w:val="001801D2"/>
    <w:rsid w:val="001806C5"/>
    <w:rsid w:val="001808AB"/>
    <w:rsid w:val="00180EF8"/>
    <w:rsid w:val="00181967"/>
    <w:rsid w:val="00182257"/>
    <w:rsid w:val="00184503"/>
    <w:rsid w:val="00184617"/>
    <w:rsid w:val="00185CE2"/>
    <w:rsid w:val="00185EB0"/>
    <w:rsid w:val="0018601E"/>
    <w:rsid w:val="00186590"/>
    <w:rsid w:val="00186CB4"/>
    <w:rsid w:val="001902B8"/>
    <w:rsid w:val="00190643"/>
    <w:rsid w:val="00190674"/>
    <w:rsid w:val="00191798"/>
    <w:rsid w:val="00192961"/>
    <w:rsid w:val="00192F73"/>
    <w:rsid w:val="0019519E"/>
    <w:rsid w:val="001953B4"/>
    <w:rsid w:val="00195BFE"/>
    <w:rsid w:val="00195C4E"/>
    <w:rsid w:val="00196289"/>
    <w:rsid w:val="0019629B"/>
    <w:rsid w:val="0019660A"/>
    <w:rsid w:val="001969A5"/>
    <w:rsid w:val="00197E20"/>
    <w:rsid w:val="001A0226"/>
    <w:rsid w:val="001A1109"/>
    <w:rsid w:val="001A1F16"/>
    <w:rsid w:val="001A2520"/>
    <w:rsid w:val="001A2A08"/>
    <w:rsid w:val="001A2FD8"/>
    <w:rsid w:val="001A3CF8"/>
    <w:rsid w:val="001A4985"/>
    <w:rsid w:val="001A5887"/>
    <w:rsid w:val="001A5CBB"/>
    <w:rsid w:val="001A6BEE"/>
    <w:rsid w:val="001A6C6F"/>
    <w:rsid w:val="001A7301"/>
    <w:rsid w:val="001A73A4"/>
    <w:rsid w:val="001A78D0"/>
    <w:rsid w:val="001B0598"/>
    <w:rsid w:val="001B0A41"/>
    <w:rsid w:val="001B1657"/>
    <w:rsid w:val="001B2160"/>
    <w:rsid w:val="001B218B"/>
    <w:rsid w:val="001B2672"/>
    <w:rsid w:val="001B2E3A"/>
    <w:rsid w:val="001B324D"/>
    <w:rsid w:val="001B3CF4"/>
    <w:rsid w:val="001B3D9E"/>
    <w:rsid w:val="001B3F87"/>
    <w:rsid w:val="001B42F2"/>
    <w:rsid w:val="001B4620"/>
    <w:rsid w:val="001B48D3"/>
    <w:rsid w:val="001B4A9F"/>
    <w:rsid w:val="001B505F"/>
    <w:rsid w:val="001B6AC5"/>
    <w:rsid w:val="001B6B75"/>
    <w:rsid w:val="001B6D20"/>
    <w:rsid w:val="001B7043"/>
    <w:rsid w:val="001B7B4F"/>
    <w:rsid w:val="001C074A"/>
    <w:rsid w:val="001C16A7"/>
    <w:rsid w:val="001C2261"/>
    <w:rsid w:val="001C2BC4"/>
    <w:rsid w:val="001C3271"/>
    <w:rsid w:val="001C45DC"/>
    <w:rsid w:val="001C4DA4"/>
    <w:rsid w:val="001C5DC1"/>
    <w:rsid w:val="001C752F"/>
    <w:rsid w:val="001C7579"/>
    <w:rsid w:val="001C7EB5"/>
    <w:rsid w:val="001D0E43"/>
    <w:rsid w:val="001D1126"/>
    <w:rsid w:val="001D1604"/>
    <w:rsid w:val="001D1AB6"/>
    <w:rsid w:val="001D1F6B"/>
    <w:rsid w:val="001D22C4"/>
    <w:rsid w:val="001D23CC"/>
    <w:rsid w:val="001D252D"/>
    <w:rsid w:val="001D2B20"/>
    <w:rsid w:val="001D2E06"/>
    <w:rsid w:val="001D4351"/>
    <w:rsid w:val="001D5AAF"/>
    <w:rsid w:val="001D5EA4"/>
    <w:rsid w:val="001D6018"/>
    <w:rsid w:val="001D68CD"/>
    <w:rsid w:val="001D7B12"/>
    <w:rsid w:val="001D7B51"/>
    <w:rsid w:val="001E019D"/>
    <w:rsid w:val="001E04A1"/>
    <w:rsid w:val="001E05DB"/>
    <w:rsid w:val="001E069A"/>
    <w:rsid w:val="001E0A43"/>
    <w:rsid w:val="001E0B31"/>
    <w:rsid w:val="001E0D86"/>
    <w:rsid w:val="001E1AB0"/>
    <w:rsid w:val="001E2911"/>
    <w:rsid w:val="001E3595"/>
    <w:rsid w:val="001E4085"/>
    <w:rsid w:val="001E4D6D"/>
    <w:rsid w:val="001E4F15"/>
    <w:rsid w:val="001E5295"/>
    <w:rsid w:val="001E56D6"/>
    <w:rsid w:val="001E5751"/>
    <w:rsid w:val="001E5D06"/>
    <w:rsid w:val="001E6BD2"/>
    <w:rsid w:val="001E6EB8"/>
    <w:rsid w:val="001E7282"/>
    <w:rsid w:val="001E753F"/>
    <w:rsid w:val="001E7B9D"/>
    <w:rsid w:val="001E7F3B"/>
    <w:rsid w:val="001F0228"/>
    <w:rsid w:val="001F0410"/>
    <w:rsid w:val="001F0C36"/>
    <w:rsid w:val="001F202C"/>
    <w:rsid w:val="001F20CD"/>
    <w:rsid w:val="001F30C2"/>
    <w:rsid w:val="001F3F48"/>
    <w:rsid w:val="001F4376"/>
    <w:rsid w:val="001F459A"/>
    <w:rsid w:val="001F4E60"/>
    <w:rsid w:val="001F5F9B"/>
    <w:rsid w:val="00200035"/>
    <w:rsid w:val="0020011F"/>
    <w:rsid w:val="0020124A"/>
    <w:rsid w:val="00201875"/>
    <w:rsid w:val="00201FD3"/>
    <w:rsid w:val="0020276F"/>
    <w:rsid w:val="00202819"/>
    <w:rsid w:val="00202C94"/>
    <w:rsid w:val="00202F2A"/>
    <w:rsid w:val="0020395D"/>
    <w:rsid w:val="002039E9"/>
    <w:rsid w:val="00203CD2"/>
    <w:rsid w:val="002040F0"/>
    <w:rsid w:val="00204C8C"/>
    <w:rsid w:val="002056E3"/>
    <w:rsid w:val="00205F99"/>
    <w:rsid w:val="00206B93"/>
    <w:rsid w:val="0020731F"/>
    <w:rsid w:val="00207890"/>
    <w:rsid w:val="00207A31"/>
    <w:rsid w:val="00210245"/>
    <w:rsid w:val="002128D9"/>
    <w:rsid w:val="0021292F"/>
    <w:rsid w:val="00212F39"/>
    <w:rsid w:val="00212F8F"/>
    <w:rsid w:val="00212F97"/>
    <w:rsid w:val="0021435F"/>
    <w:rsid w:val="00214662"/>
    <w:rsid w:val="00215389"/>
    <w:rsid w:val="00215714"/>
    <w:rsid w:val="0021608A"/>
    <w:rsid w:val="00216143"/>
    <w:rsid w:val="002163E3"/>
    <w:rsid w:val="002165C7"/>
    <w:rsid w:val="0021770E"/>
    <w:rsid w:val="00217814"/>
    <w:rsid w:val="00217F8F"/>
    <w:rsid w:val="002201B5"/>
    <w:rsid w:val="00220A99"/>
    <w:rsid w:val="00220B17"/>
    <w:rsid w:val="0022122E"/>
    <w:rsid w:val="002212B3"/>
    <w:rsid w:val="00221A7C"/>
    <w:rsid w:val="00221C89"/>
    <w:rsid w:val="00221EB9"/>
    <w:rsid w:val="00223341"/>
    <w:rsid w:val="00223951"/>
    <w:rsid w:val="00223C72"/>
    <w:rsid w:val="00223E7B"/>
    <w:rsid w:val="0022401D"/>
    <w:rsid w:val="002242D3"/>
    <w:rsid w:val="0022458A"/>
    <w:rsid w:val="00224932"/>
    <w:rsid w:val="002254EE"/>
    <w:rsid w:val="00225F75"/>
    <w:rsid w:val="00226234"/>
    <w:rsid w:val="00230053"/>
    <w:rsid w:val="00230328"/>
    <w:rsid w:val="002303C2"/>
    <w:rsid w:val="00230559"/>
    <w:rsid w:val="002309E2"/>
    <w:rsid w:val="00230BA2"/>
    <w:rsid w:val="0023103F"/>
    <w:rsid w:val="00232783"/>
    <w:rsid w:val="0023290D"/>
    <w:rsid w:val="00234A2B"/>
    <w:rsid w:val="00235AC2"/>
    <w:rsid w:val="00235AD9"/>
    <w:rsid w:val="00236698"/>
    <w:rsid w:val="00236891"/>
    <w:rsid w:val="00236A97"/>
    <w:rsid w:val="00236F48"/>
    <w:rsid w:val="002409C4"/>
    <w:rsid w:val="002411EB"/>
    <w:rsid w:val="00241A73"/>
    <w:rsid w:val="00241CE8"/>
    <w:rsid w:val="00241DBD"/>
    <w:rsid w:val="002426C7"/>
    <w:rsid w:val="00242B36"/>
    <w:rsid w:val="00243435"/>
    <w:rsid w:val="00243B28"/>
    <w:rsid w:val="00244654"/>
    <w:rsid w:val="00244F3A"/>
    <w:rsid w:val="00245ADC"/>
    <w:rsid w:val="0024606A"/>
    <w:rsid w:val="002460F2"/>
    <w:rsid w:val="00247360"/>
    <w:rsid w:val="0024752C"/>
    <w:rsid w:val="00247CB9"/>
    <w:rsid w:val="0025070F"/>
    <w:rsid w:val="0025082A"/>
    <w:rsid w:val="002511CD"/>
    <w:rsid w:val="00251405"/>
    <w:rsid w:val="002515AC"/>
    <w:rsid w:val="00251DBB"/>
    <w:rsid w:val="00252370"/>
    <w:rsid w:val="00252538"/>
    <w:rsid w:val="00252C6E"/>
    <w:rsid w:val="00254254"/>
    <w:rsid w:val="00254642"/>
    <w:rsid w:val="00255F07"/>
    <w:rsid w:val="00256012"/>
    <w:rsid w:val="002578FA"/>
    <w:rsid w:val="00257CE9"/>
    <w:rsid w:val="002610CB"/>
    <w:rsid w:val="00261F82"/>
    <w:rsid w:val="00262185"/>
    <w:rsid w:val="00262727"/>
    <w:rsid w:val="00262ED7"/>
    <w:rsid w:val="00263097"/>
    <w:rsid w:val="00263C58"/>
    <w:rsid w:val="00264D35"/>
    <w:rsid w:val="00266273"/>
    <w:rsid w:val="0026644E"/>
    <w:rsid w:val="0026784B"/>
    <w:rsid w:val="00270C7B"/>
    <w:rsid w:val="0027138F"/>
    <w:rsid w:val="00272B6B"/>
    <w:rsid w:val="00272C2E"/>
    <w:rsid w:val="0027362F"/>
    <w:rsid w:val="00274196"/>
    <w:rsid w:val="00274458"/>
    <w:rsid w:val="00275450"/>
    <w:rsid w:val="00275DE2"/>
    <w:rsid w:val="00275FE7"/>
    <w:rsid w:val="00277D4F"/>
    <w:rsid w:val="00280F28"/>
    <w:rsid w:val="0028155B"/>
    <w:rsid w:val="00281629"/>
    <w:rsid w:val="00281FBB"/>
    <w:rsid w:val="002821E4"/>
    <w:rsid w:val="002828E8"/>
    <w:rsid w:val="0028297C"/>
    <w:rsid w:val="002832D1"/>
    <w:rsid w:val="00283738"/>
    <w:rsid w:val="00283BFB"/>
    <w:rsid w:val="00284825"/>
    <w:rsid w:val="00284AE0"/>
    <w:rsid w:val="002854B4"/>
    <w:rsid w:val="00286020"/>
    <w:rsid w:val="0028604E"/>
    <w:rsid w:val="00286454"/>
    <w:rsid w:val="00286B84"/>
    <w:rsid w:val="00286C16"/>
    <w:rsid w:val="0028769A"/>
    <w:rsid w:val="0028774D"/>
    <w:rsid w:val="0029051C"/>
    <w:rsid w:val="002911CA"/>
    <w:rsid w:val="00291BC3"/>
    <w:rsid w:val="0029207F"/>
    <w:rsid w:val="00292AF5"/>
    <w:rsid w:val="00293377"/>
    <w:rsid w:val="00293776"/>
    <w:rsid w:val="002938FB"/>
    <w:rsid w:val="00294069"/>
    <w:rsid w:val="00294D47"/>
    <w:rsid w:val="00295E4F"/>
    <w:rsid w:val="002967E7"/>
    <w:rsid w:val="00296831"/>
    <w:rsid w:val="00297BA1"/>
    <w:rsid w:val="002A0500"/>
    <w:rsid w:val="002A0E32"/>
    <w:rsid w:val="002A1A0D"/>
    <w:rsid w:val="002A1EFB"/>
    <w:rsid w:val="002A224F"/>
    <w:rsid w:val="002A2322"/>
    <w:rsid w:val="002A3165"/>
    <w:rsid w:val="002A3C82"/>
    <w:rsid w:val="002A43E0"/>
    <w:rsid w:val="002A484A"/>
    <w:rsid w:val="002A4A28"/>
    <w:rsid w:val="002A4B7B"/>
    <w:rsid w:val="002A53DD"/>
    <w:rsid w:val="002A5B56"/>
    <w:rsid w:val="002A5DA8"/>
    <w:rsid w:val="002A5EA1"/>
    <w:rsid w:val="002A60D1"/>
    <w:rsid w:val="002A6168"/>
    <w:rsid w:val="002A633A"/>
    <w:rsid w:val="002B02CA"/>
    <w:rsid w:val="002B03E8"/>
    <w:rsid w:val="002B0890"/>
    <w:rsid w:val="002B08DA"/>
    <w:rsid w:val="002B0BC4"/>
    <w:rsid w:val="002B0C6B"/>
    <w:rsid w:val="002B0CBF"/>
    <w:rsid w:val="002B0DAB"/>
    <w:rsid w:val="002B0E27"/>
    <w:rsid w:val="002B0E8D"/>
    <w:rsid w:val="002B20E9"/>
    <w:rsid w:val="002B28C8"/>
    <w:rsid w:val="002B2A1E"/>
    <w:rsid w:val="002B3B5A"/>
    <w:rsid w:val="002B3FCE"/>
    <w:rsid w:val="002B4E0F"/>
    <w:rsid w:val="002B4FC5"/>
    <w:rsid w:val="002B5207"/>
    <w:rsid w:val="002B637E"/>
    <w:rsid w:val="002B72A7"/>
    <w:rsid w:val="002B73F8"/>
    <w:rsid w:val="002B7600"/>
    <w:rsid w:val="002B7C93"/>
    <w:rsid w:val="002C043E"/>
    <w:rsid w:val="002C2626"/>
    <w:rsid w:val="002C317A"/>
    <w:rsid w:val="002C45FE"/>
    <w:rsid w:val="002C4E5E"/>
    <w:rsid w:val="002C59FA"/>
    <w:rsid w:val="002C5AC8"/>
    <w:rsid w:val="002C63ED"/>
    <w:rsid w:val="002C75C5"/>
    <w:rsid w:val="002C77D9"/>
    <w:rsid w:val="002C7860"/>
    <w:rsid w:val="002D0140"/>
    <w:rsid w:val="002D12B1"/>
    <w:rsid w:val="002D1FC7"/>
    <w:rsid w:val="002D3421"/>
    <w:rsid w:val="002D41AB"/>
    <w:rsid w:val="002D4A90"/>
    <w:rsid w:val="002D6304"/>
    <w:rsid w:val="002E02C4"/>
    <w:rsid w:val="002E15F4"/>
    <w:rsid w:val="002E1E06"/>
    <w:rsid w:val="002E2C92"/>
    <w:rsid w:val="002E33A0"/>
    <w:rsid w:val="002E3A36"/>
    <w:rsid w:val="002E3FDA"/>
    <w:rsid w:val="002E4569"/>
    <w:rsid w:val="002E4DE3"/>
    <w:rsid w:val="002E5C58"/>
    <w:rsid w:val="002E65B5"/>
    <w:rsid w:val="002E6A2B"/>
    <w:rsid w:val="002E6DC4"/>
    <w:rsid w:val="002E7696"/>
    <w:rsid w:val="002E78AB"/>
    <w:rsid w:val="002E7AB2"/>
    <w:rsid w:val="002E7BA4"/>
    <w:rsid w:val="002E7F97"/>
    <w:rsid w:val="002F1524"/>
    <w:rsid w:val="002F2531"/>
    <w:rsid w:val="002F2759"/>
    <w:rsid w:val="002F2E1B"/>
    <w:rsid w:val="002F347E"/>
    <w:rsid w:val="002F3888"/>
    <w:rsid w:val="002F3C4A"/>
    <w:rsid w:val="002F4912"/>
    <w:rsid w:val="002F594F"/>
    <w:rsid w:val="002F5BD7"/>
    <w:rsid w:val="002F6368"/>
    <w:rsid w:val="002F6883"/>
    <w:rsid w:val="002F6FEC"/>
    <w:rsid w:val="002F7532"/>
    <w:rsid w:val="002F7BCE"/>
    <w:rsid w:val="00300118"/>
    <w:rsid w:val="003004BD"/>
    <w:rsid w:val="0030177D"/>
    <w:rsid w:val="003018DF"/>
    <w:rsid w:val="003029AF"/>
    <w:rsid w:val="00302E7C"/>
    <w:rsid w:val="00303927"/>
    <w:rsid w:val="00303D04"/>
    <w:rsid w:val="00303DC4"/>
    <w:rsid w:val="003045C2"/>
    <w:rsid w:val="00304748"/>
    <w:rsid w:val="00304D03"/>
    <w:rsid w:val="00305112"/>
    <w:rsid w:val="00305E13"/>
    <w:rsid w:val="0030604A"/>
    <w:rsid w:val="00307335"/>
    <w:rsid w:val="00307351"/>
    <w:rsid w:val="00307FCA"/>
    <w:rsid w:val="00310450"/>
    <w:rsid w:val="00310B0D"/>
    <w:rsid w:val="00310EB7"/>
    <w:rsid w:val="00311032"/>
    <w:rsid w:val="00311267"/>
    <w:rsid w:val="00311464"/>
    <w:rsid w:val="00312C9D"/>
    <w:rsid w:val="00312F35"/>
    <w:rsid w:val="0031326F"/>
    <w:rsid w:val="0031413A"/>
    <w:rsid w:val="003141D4"/>
    <w:rsid w:val="00314C33"/>
    <w:rsid w:val="00315302"/>
    <w:rsid w:val="003168CE"/>
    <w:rsid w:val="00316A94"/>
    <w:rsid w:val="00316BD1"/>
    <w:rsid w:val="003175C3"/>
    <w:rsid w:val="0031784B"/>
    <w:rsid w:val="00320B87"/>
    <w:rsid w:val="003212AF"/>
    <w:rsid w:val="003212C9"/>
    <w:rsid w:val="00321A3D"/>
    <w:rsid w:val="00321D72"/>
    <w:rsid w:val="00321F65"/>
    <w:rsid w:val="00321FC6"/>
    <w:rsid w:val="0032238A"/>
    <w:rsid w:val="0032316B"/>
    <w:rsid w:val="00323FD9"/>
    <w:rsid w:val="003245E1"/>
    <w:rsid w:val="00324DB2"/>
    <w:rsid w:val="00324FB7"/>
    <w:rsid w:val="00325C55"/>
    <w:rsid w:val="00325DFB"/>
    <w:rsid w:val="003261F6"/>
    <w:rsid w:val="003262F1"/>
    <w:rsid w:val="003263FD"/>
    <w:rsid w:val="003264DA"/>
    <w:rsid w:val="0032737F"/>
    <w:rsid w:val="00327422"/>
    <w:rsid w:val="003275A3"/>
    <w:rsid w:val="00327943"/>
    <w:rsid w:val="00327D41"/>
    <w:rsid w:val="003302A1"/>
    <w:rsid w:val="00331477"/>
    <w:rsid w:val="003338AD"/>
    <w:rsid w:val="00333C67"/>
    <w:rsid w:val="00334EDE"/>
    <w:rsid w:val="0033698E"/>
    <w:rsid w:val="003370A4"/>
    <w:rsid w:val="00337378"/>
    <w:rsid w:val="003373BA"/>
    <w:rsid w:val="00340974"/>
    <w:rsid w:val="00340DB9"/>
    <w:rsid w:val="00341564"/>
    <w:rsid w:val="0034156C"/>
    <w:rsid w:val="00342118"/>
    <w:rsid w:val="003422A3"/>
    <w:rsid w:val="003428D6"/>
    <w:rsid w:val="00342BC6"/>
    <w:rsid w:val="00342FB5"/>
    <w:rsid w:val="00343301"/>
    <w:rsid w:val="00343373"/>
    <w:rsid w:val="003442F5"/>
    <w:rsid w:val="00344ED0"/>
    <w:rsid w:val="00344EDE"/>
    <w:rsid w:val="003452FB"/>
    <w:rsid w:val="0034613A"/>
    <w:rsid w:val="0034685D"/>
    <w:rsid w:val="0034731A"/>
    <w:rsid w:val="003475FE"/>
    <w:rsid w:val="0034787B"/>
    <w:rsid w:val="003503A8"/>
    <w:rsid w:val="0035122D"/>
    <w:rsid w:val="003519A1"/>
    <w:rsid w:val="00351B10"/>
    <w:rsid w:val="003537D8"/>
    <w:rsid w:val="003564F8"/>
    <w:rsid w:val="00356E1B"/>
    <w:rsid w:val="00356ED0"/>
    <w:rsid w:val="00356F4E"/>
    <w:rsid w:val="00357B34"/>
    <w:rsid w:val="00360CFE"/>
    <w:rsid w:val="00361218"/>
    <w:rsid w:val="00361C7A"/>
    <w:rsid w:val="00362227"/>
    <w:rsid w:val="00362821"/>
    <w:rsid w:val="00362A24"/>
    <w:rsid w:val="00362D5B"/>
    <w:rsid w:val="003633E0"/>
    <w:rsid w:val="00363C06"/>
    <w:rsid w:val="00363D7F"/>
    <w:rsid w:val="003641C9"/>
    <w:rsid w:val="00364569"/>
    <w:rsid w:val="00364EBC"/>
    <w:rsid w:val="003666AA"/>
    <w:rsid w:val="00366E82"/>
    <w:rsid w:val="003676AC"/>
    <w:rsid w:val="00367D74"/>
    <w:rsid w:val="00370A58"/>
    <w:rsid w:val="003713A8"/>
    <w:rsid w:val="00371C31"/>
    <w:rsid w:val="00372617"/>
    <w:rsid w:val="00372698"/>
    <w:rsid w:val="003737A9"/>
    <w:rsid w:val="00374034"/>
    <w:rsid w:val="00374558"/>
    <w:rsid w:val="003749E4"/>
    <w:rsid w:val="00375A5F"/>
    <w:rsid w:val="00375EB6"/>
    <w:rsid w:val="003763E6"/>
    <w:rsid w:val="003769DF"/>
    <w:rsid w:val="003772B7"/>
    <w:rsid w:val="00377A1F"/>
    <w:rsid w:val="00377BA0"/>
    <w:rsid w:val="00380BA5"/>
    <w:rsid w:val="00381D21"/>
    <w:rsid w:val="00382327"/>
    <w:rsid w:val="003836A1"/>
    <w:rsid w:val="00383A30"/>
    <w:rsid w:val="00384FBC"/>
    <w:rsid w:val="0038540C"/>
    <w:rsid w:val="00385B75"/>
    <w:rsid w:val="00385D82"/>
    <w:rsid w:val="0038627A"/>
    <w:rsid w:val="00386333"/>
    <w:rsid w:val="00386841"/>
    <w:rsid w:val="00387EC6"/>
    <w:rsid w:val="00387F61"/>
    <w:rsid w:val="0039004B"/>
    <w:rsid w:val="003918F9"/>
    <w:rsid w:val="00392072"/>
    <w:rsid w:val="00393EC4"/>
    <w:rsid w:val="00393FE0"/>
    <w:rsid w:val="00394502"/>
    <w:rsid w:val="003954D4"/>
    <w:rsid w:val="00396B7B"/>
    <w:rsid w:val="00397586"/>
    <w:rsid w:val="003A0C36"/>
    <w:rsid w:val="003A1DB2"/>
    <w:rsid w:val="003A348A"/>
    <w:rsid w:val="003A3707"/>
    <w:rsid w:val="003A3852"/>
    <w:rsid w:val="003A3B3B"/>
    <w:rsid w:val="003A3FFD"/>
    <w:rsid w:val="003A4134"/>
    <w:rsid w:val="003A4359"/>
    <w:rsid w:val="003A498C"/>
    <w:rsid w:val="003A5682"/>
    <w:rsid w:val="003A6473"/>
    <w:rsid w:val="003A6D3C"/>
    <w:rsid w:val="003A71BF"/>
    <w:rsid w:val="003A79A0"/>
    <w:rsid w:val="003A7B58"/>
    <w:rsid w:val="003B00A9"/>
    <w:rsid w:val="003B036C"/>
    <w:rsid w:val="003B1653"/>
    <w:rsid w:val="003B1B30"/>
    <w:rsid w:val="003B2211"/>
    <w:rsid w:val="003B23C8"/>
    <w:rsid w:val="003B34AA"/>
    <w:rsid w:val="003B3F81"/>
    <w:rsid w:val="003B4399"/>
    <w:rsid w:val="003B4696"/>
    <w:rsid w:val="003B47EF"/>
    <w:rsid w:val="003B4829"/>
    <w:rsid w:val="003B51AB"/>
    <w:rsid w:val="003B5969"/>
    <w:rsid w:val="003B5CA2"/>
    <w:rsid w:val="003B6219"/>
    <w:rsid w:val="003B6767"/>
    <w:rsid w:val="003B7027"/>
    <w:rsid w:val="003B7C58"/>
    <w:rsid w:val="003C02BF"/>
    <w:rsid w:val="003C066F"/>
    <w:rsid w:val="003C07A5"/>
    <w:rsid w:val="003C0897"/>
    <w:rsid w:val="003C0AAC"/>
    <w:rsid w:val="003C155B"/>
    <w:rsid w:val="003C1850"/>
    <w:rsid w:val="003C1934"/>
    <w:rsid w:val="003C23BD"/>
    <w:rsid w:val="003C2B90"/>
    <w:rsid w:val="003C3B30"/>
    <w:rsid w:val="003C3DEB"/>
    <w:rsid w:val="003C3F8E"/>
    <w:rsid w:val="003C5449"/>
    <w:rsid w:val="003C6857"/>
    <w:rsid w:val="003C7990"/>
    <w:rsid w:val="003C79B6"/>
    <w:rsid w:val="003D0151"/>
    <w:rsid w:val="003D0470"/>
    <w:rsid w:val="003D0514"/>
    <w:rsid w:val="003D09F3"/>
    <w:rsid w:val="003D1022"/>
    <w:rsid w:val="003D2112"/>
    <w:rsid w:val="003D49A4"/>
    <w:rsid w:val="003D5082"/>
    <w:rsid w:val="003D543F"/>
    <w:rsid w:val="003D62B3"/>
    <w:rsid w:val="003D633D"/>
    <w:rsid w:val="003D7166"/>
    <w:rsid w:val="003D74AF"/>
    <w:rsid w:val="003D74BC"/>
    <w:rsid w:val="003D7CF3"/>
    <w:rsid w:val="003D7E75"/>
    <w:rsid w:val="003E07FA"/>
    <w:rsid w:val="003E0AD7"/>
    <w:rsid w:val="003E3254"/>
    <w:rsid w:val="003E3F62"/>
    <w:rsid w:val="003E4D0C"/>
    <w:rsid w:val="003E5200"/>
    <w:rsid w:val="003E52AC"/>
    <w:rsid w:val="003E537C"/>
    <w:rsid w:val="003E601A"/>
    <w:rsid w:val="003E6082"/>
    <w:rsid w:val="003E6614"/>
    <w:rsid w:val="003E6E72"/>
    <w:rsid w:val="003E70E0"/>
    <w:rsid w:val="003E7505"/>
    <w:rsid w:val="003E75DA"/>
    <w:rsid w:val="003E76F6"/>
    <w:rsid w:val="003E7700"/>
    <w:rsid w:val="003E771A"/>
    <w:rsid w:val="003F0CD0"/>
    <w:rsid w:val="003F1BF3"/>
    <w:rsid w:val="003F21C1"/>
    <w:rsid w:val="003F23FD"/>
    <w:rsid w:val="003F26FD"/>
    <w:rsid w:val="003F2C2D"/>
    <w:rsid w:val="003F3877"/>
    <w:rsid w:val="003F3E30"/>
    <w:rsid w:val="003F4763"/>
    <w:rsid w:val="003F53DC"/>
    <w:rsid w:val="003F5CAC"/>
    <w:rsid w:val="003F5E7C"/>
    <w:rsid w:val="003F67C5"/>
    <w:rsid w:val="003F6865"/>
    <w:rsid w:val="003F77F2"/>
    <w:rsid w:val="004017B6"/>
    <w:rsid w:val="00404A5C"/>
    <w:rsid w:val="00404AD4"/>
    <w:rsid w:val="00404D39"/>
    <w:rsid w:val="004054A8"/>
    <w:rsid w:val="00406472"/>
    <w:rsid w:val="00406CD6"/>
    <w:rsid w:val="00407024"/>
    <w:rsid w:val="00407492"/>
    <w:rsid w:val="0040760A"/>
    <w:rsid w:val="00407D26"/>
    <w:rsid w:val="00407F16"/>
    <w:rsid w:val="00410896"/>
    <w:rsid w:val="004115C1"/>
    <w:rsid w:val="00411855"/>
    <w:rsid w:val="00412478"/>
    <w:rsid w:val="004130E6"/>
    <w:rsid w:val="00414441"/>
    <w:rsid w:val="00414654"/>
    <w:rsid w:val="00415219"/>
    <w:rsid w:val="004152A9"/>
    <w:rsid w:val="004152DD"/>
    <w:rsid w:val="00415474"/>
    <w:rsid w:val="0041705F"/>
    <w:rsid w:val="0041784C"/>
    <w:rsid w:val="00417962"/>
    <w:rsid w:val="00417BC3"/>
    <w:rsid w:val="00420076"/>
    <w:rsid w:val="0042033F"/>
    <w:rsid w:val="00420B14"/>
    <w:rsid w:val="00420F0F"/>
    <w:rsid w:val="00422535"/>
    <w:rsid w:val="00423785"/>
    <w:rsid w:val="004247C1"/>
    <w:rsid w:val="004252ED"/>
    <w:rsid w:val="00425589"/>
    <w:rsid w:val="00425C7A"/>
    <w:rsid w:val="00426D8F"/>
    <w:rsid w:val="0042765D"/>
    <w:rsid w:val="00430C53"/>
    <w:rsid w:val="004310C8"/>
    <w:rsid w:val="00431914"/>
    <w:rsid w:val="0043244E"/>
    <w:rsid w:val="0043245C"/>
    <w:rsid w:val="00433B92"/>
    <w:rsid w:val="00435ABA"/>
    <w:rsid w:val="00435B31"/>
    <w:rsid w:val="00436FBF"/>
    <w:rsid w:val="00437E86"/>
    <w:rsid w:val="004400A0"/>
    <w:rsid w:val="00440260"/>
    <w:rsid w:val="00440977"/>
    <w:rsid w:val="0044102E"/>
    <w:rsid w:val="00441238"/>
    <w:rsid w:val="00441364"/>
    <w:rsid w:val="004418A0"/>
    <w:rsid w:val="00441AE2"/>
    <w:rsid w:val="004423C0"/>
    <w:rsid w:val="00442529"/>
    <w:rsid w:val="00442CB2"/>
    <w:rsid w:val="004432AD"/>
    <w:rsid w:val="00443B73"/>
    <w:rsid w:val="00444037"/>
    <w:rsid w:val="00444827"/>
    <w:rsid w:val="0044516D"/>
    <w:rsid w:val="00445E9C"/>
    <w:rsid w:val="00447896"/>
    <w:rsid w:val="00450399"/>
    <w:rsid w:val="004517DA"/>
    <w:rsid w:val="004517ED"/>
    <w:rsid w:val="0045192C"/>
    <w:rsid w:val="00451CAC"/>
    <w:rsid w:val="004526E0"/>
    <w:rsid w:val="00452DA2"/>
    <w:rsid w:val="00452E8E"/>
    <w:rsid w:val="004530C1"/>
    <w:rsid w:val="0045365E"/>
    <w:rsid w:val="004551E6"/>
    <w:rsid w:val="0045562E"/>
    <w:rsid w:val="0045592A"/>
    <w:rsid w:val="00456AC2"/>
    <w:rsid w:val="00460879"/>
    <w:rsid w:val="004614DA"/>
    <w:rsid w:val="004621B8"/>
    <w:rsid w:val="00462B47"/>
    <w:rsid w:val="00463863"/>
    <w:rsid w:val="00464ABD"/>
    <w:rsid w:val="00465183"/>
    <w:rsid w:val="0046534E"/>
    <w:rsid w:val="0046618C"/>
    <w:rsid w:val="00466374"/>
    <w:rsid w:val="00466458"/>
    <w:rsid w:val="004676A8"/>
    <w:rsid w:val="004678BE"/>
    <w:rsid w:val="00467BF1"/>
    <w:rsid w:val="00470604"/>
    <w:rsid w:val="004706A5"/>
    <w:rsid w:val="004707C1"/>
    <w:rsid w:val="00470E88"/>
    <w:rsid w:val="00471E96"/>
    <w:rsid w:val="004723BE"/>
    <w:rsid w:val="00472739"/>
    <w:rsid w:val="004737E0"/>
    <w:rsid w:val="00473AD2"/>
    <w:rsid w:val="00473C23"/>
    <w:rsid w:val="00475116"/>
    <w:rsid w:val="00475369"/>
    <w:rsid w:val="00475ACC"/>
    <w:rsid w:val="00475C35"/>
    <w:rsid w:val="00476030"/>
    <w:rsid w:val="00480345"/>
    <w:rsid w:val="00480593"/>
    <w:rsid w:val="00481720"/>
    <w:rsid w:val="004818EF"/>
    <w:rsid w:val="00482C94"/>
    <w:rsid w:val="00483294"/>
    <w:rsid w:val="00484615"/>
    <w:rsid w:val="00485162"/>
    <w:rsid w:val="004852F6"/>
    <w:rsid w:val="00485498"/>
    <w:rsid w:val="00485CE3"/>
    <w:rsid w:val="00486CE4"/>
    <w:rsid w:val="00486CEF"/>
    <w:rsid w:val="0048799E"/>
    <w:rsid w:val="00487FC7"/>
    <w:rsid w:val="004908BC"/>
    <w:rsid w:val="00490D0C"/>
    <w:rsid w:val="00491BE9"/>
    <w:rsid w:val="00491CB2"/>
    <w:rsid w:val="0049243F"/>
    <w:rsid w:val="0049297B"/>
    <w:rsid w:val="00493224"/>
    <w:rsid w:val="00493267"/>
    <w:rsid w:val="00493B0B"/>
    <w:rsid w:val="004944BF"/>
    <w:rsid w:val="0049466B"/>
    <w:rsid w:val="004954BA"/>
    <w:rsid w:val="0049562A"/>
    <w:rsid w:val="00495967"/>
    <w:rsid w:val="00496AA2"/>
    <w:rsid w:val="004975E7"/>
    <w:rsid w:val="004A04D2"/>
    <w:rsid w:val="004A16E2"/>
    <w:rsid w:val="004A1B44"/>
    <w:rsid w:val="004A1C1D"/>
    <w:rsid w:val="004A264D"/>
    <w:rsid w:val="004A36CA"/>
    <w:rsid w:val="004A3AFF"/>
    <w:rsid w:val="004A3C75"/>
    <w:rsid w:val="004A3DEF"/>
    <w:rsid w:val="004A41D2"/>
    <w:rsid w:val="004A52FC"/>
    <w:rsid w:val="004A564E"/>
    <w:rsid w:val="004A6386"/>
    <w:rsid w:val="004A6ED8"/>
    <w:rsid w:val="004A7EF6"/>
    <w:rsid w:val="004B02C0"/>
    <w:rsid w:val="004B0BFE"/>
    <w:rsid w:val="004B36CE"/>
    <w:rsid w:val="004B3DC3"/>
    <w:rsid w:val="004B4BF8"/>
    <w:rsid w:val="004B4D43"/>
    <w:rsid w:val="004B4E91"/>
    <w:rsid w:val="004B52A9"/>
    <w:rsid w:val="004B60A5"/>
    <w:rsid w:val="004B6942"/>
    <w:rsid w:val="004B6B35"/>
    <w:rsid w:val="004B6BF1"/>
    <w:rsid w:val="004B6D38"/>
    <w:rsid w:val="004B7D15"/>
    <w:rsid w:val="004B7EAF"/>
    <w:rsid w:val="004C072C"/>
    <w:rsid w:val="004C1067"/>
    <w:rsid w:val="004C1113"/>
    <w:rsid w:val="004C1483"/>
    <w:rsid w:val="004C14E7"/>
    <w:rsid w:val="004C1544"/>
    <w:rsid w:val="004C17D7"/>
    <w:rsid w:val="004C1F1D"/>
    <w:rsid w:val="004C21FD"/>
    <w:rsid w:val="004C23E9"/>
    <w:rsid w:val="004C2AEE"/>
    <w:rsid w:val="004C2FEA"/>
    <w:rsid w:val="004C4217"/>
    <w:rsid w:val="004C5285"/>
    <w:rsid w:val="004C5288"/>
    <w:rsid w:val="004C5408"/>
    <w:rsid w:val="004C66A7"/>
    <w:rsid w:val="004C6981"/>
    <w:rsid w:val="004D0F24"/>
    <w:rsid w:val="004D10E5"/>
    <w:rsid w:val="004D1E61"/>
    <w:rsid w:val="004D2B08"/>
    <w:rsid w:val="004D2C06"/>
    <w:rsid w:val="004D39AF"/>
    <w:rsid w:val="004D3A8C"/>
    <w:rsid w:val="004D4518"/>
    <w:rsid w:val="004D4BDB"/>
    <w:rsid w:val="004D56A1"/>
    <w:rsid w:val="004D59A8"/>
    <w:rsid w:val="004D5C22"/>
    <w:rsid w:val="004D687B"/>
    <w:rsid w:val="004D6B46"/>
    <w:rsid w:val="004D744B"/>
    <w:rsid w:val="004D7DCC"/>
    <w:rsid w:val="004E05BC"/>
    <w:rsid w:val="004E075E"/>
    <w:rsid w:val="004E1DB7"/>
    <w:rsid w:val="004E1EBC"/>
    <w:rsid w:val="004E3859"/>
    <w:rsid w:val="004E4B07"/>
    <w:rsid w:val="004E65D3"/>
    <w:rsid w:val="004E6611"/>
    <w:rsid w:val="004E6E0A"/>
    <w:rsid w:val="004E79D6"/>
    <w:rsid w:val="004E7B70"/>
    <w:rsid w:val="004E7C5B"/>
    <w:rsid w:val="004F0AC0"/>
    <w:rsid w:val="004F1689"/>
    <w:rsid w:val="004F1AE5"/>
    <w:rsid w:val="004F1DE4"/>
    <w:rsid w:val="004F1F59"/>
    <w:rsid w:val="004F2BC2"/>
    <w:rsid w:val="004F4B1E"/>
    <w:rsid w:val="004F505A"/>
    <w:rsid w:val="004F5550"/>
    <w:rsid w:val="004F6182"/>
    <w:rsid w:val="004F7109"/>
    <w:rsid w:val="004F7CD9"/>
    <w:rsid w:val="004F7E2D"/>
    <w:rsid w:val="00500565"/>
    <w:rsid w:val="00500D19"/>
    <w:rsid w:val="00501BD4"/>
    <w:rsid w:val="00501F9B"/>
    <w:rsid w:val="00503669"/>
    <w:rsid w:val="00503F44"/>
    <w:rsid w:val="005042BE"/>
    <w:rsid w:val="00504567"/>
    <w:rsid w:val="00504DED"/>
    <w:rsid w:val="0050579F"/>
    <w:rsid w:val="00505B30"/>
    <w:rsid w:val="00505BD1"/>
    <w:rsid w:val="0050671E"/>
    <w:rsid w:val="005073BF"/>
    <w:rsid w:val="00507623"/>
    <w:rsid w:val="00507839"/>
    <w:rsid w:val="0050790E"/>
    <w:rsid w:val="00507F0A"/>
    <w:rsid w:val="00507FD0"/>
    <w:rsid w:val="00510C1C"/>
    <w:rsid w:val="00511351"/>
    <w:rsid w:val="00511656"/>
    <w:rsid w:val="005117A7"/>
    <w:rsid w:val="00512083"/>
    <w:rsid w:val="005127B2"/>
    <w:rsid w:val="0051337E"/>
    <w:rsid w:val="00513A3F"/>
    <w:rsid w:val="00513AA7"/>
    <w:rsid w:val="0051452A"/>
    <w:rsid w:val="005163EF"/>
    <w:rsid w:val="00516630"/>
    <w:rsid w:val="00516E68"/>
    <w:rsid w:val="00516F93"/>
    <w:rsid w:val="00517351"/>
    <w:rsid w:val="00517755"/>
    <w:rsid w:val="00517769"/>
    <w:rsid w:val="00517F6E"/>
    <w:rsid w:val="005209EA"/>
    <w:rsid w:val="00520D11"/>
    <w:rsid w:val="00522DD0"/>
    <w:rsid w:val="00523310"/>
    <w:rsid w:val="005236C7"/>
    <w:rsid w:val="00523723"/>
    <w:rsid w:val="00523815"/>
    <w:rsid w:val="00523DC0"/>
    <w:rsid w:val="00524A22"/>
    <w:rsid w:val="005251F1"/>
    <w:rsid w:val="005253AD"/>
    <w:rsid w:val="00525584"/>
    <w:rsid w:val="00525943"/>
    <w:rsid w:val="00525F4B"/>
    <w:rsid w:val="005263A5"/>
    <w:rsid w:val="00526ABA"/>
    <w:rsid w:val="00527316"/>
    <w:rsid w:val="005275E3"/>
    <w:rsid w:val="00527D45"/>
    <w:rsid w:val="0053005D"/>
    <w:rsid w:val="005306D9"/>
    <w:rsid w:val="00530B40"/>
    <w:rsid w:val="0053174B"/>
    <w:rsid w:val="00531953"/>
    <w:rsid w:val="00531CD0"/>
    <w:rsid w:val="00531DF3"/>
    <w:rsid w:val="00531F3E"/>
    <w:rsid w:val="00533094"/>
    <w:rsid w:val="00533118"/>
    <w:rsid w:val="005338A5"/>
    <w:rsid w:val="00533BEA"/>
    <w:rsid w:val="00533F2E"/>
    <w:rsid w:val="0053465F"/>
    <w:rsid w:val="00534926"/>
    <w:rsid w:val="00534B33"/>
    <w:rsid w:val="00534B4B"/>
    <w:rsid w:val="00535225"/>
    <w:rsid w:val="0053605D"/>
    <w:rsid w:val="00536CAF"/>
    <w:rsid w:val="00537BAB"/>
    <w:rsid w:val="00537FB8"/>
    <w:rsid w:val="005401F6"/>
    <w:rsid w:val="005402E9"/>
    <w:rsid w:val="005407DF"/>
    <w:rsid w:val="005418D0"/>
    <w:rsid w:val="00541DEA"/>
    <w:rsid w:val="00541F29"/>
    <w:rsid w:val="00542CD3"/>
    <w:rsid w:val="005443F5"/>
    <w:rsid w:val="005444D4"/>
    <w:rsid w:val="00544DA1"/>
    <w:rsid w:val="00545690"/>
    <w:rsid w:val="005456C9"/>
    <w:rsid w:val="00545D1C"/>
    <w:rsid w:val="00546719"/>
    <w:rsid w:val="00546984"/>
    <w:rsid w:val="0054753E"/>
    <w:rsid w:val="005502B3"/>
    <w:rsid w:val="0055071E"/>
    <w:rsid w:val="00550857"/>
    <w:rsid w:val="00550A10"/>
    <w:rsid w:val="00550B68"/>
    <w:rsid w:val="0055190C"/>
    <w:rsid w:val="005523CA"/>
    <w:rsid w:val="00552B8D"/>
    <w:rsid w:val="0055364F"/>
    <w:rsid w:val="005551D1"/>
    <w:rsid w:val="005551F7"/>
    <w:rsid w:val="005561BB"/>
    <w:rsid w:val="00556242"/>
    <w:rsid w:val="00556B01"/>
    <w:rsid w:val="00556B37"/>
    <w:rsid w:val="005574B4"/>
    <w:rsid w:val="00557831"/>
    <w:rsid w:val="0055791A"/>
    <w:rsid w:val="00557B2A"/>
    <w:rsid w:val="00560C56"/>
    <w:rsid w:val="00561525"/>
    <w:rsid w:val="00561A74"/>
    <w:rsid w:val="005625F4"/>
    <w:rsid w:val="00563153"/>
    <w:rsid w:val="00563C0F"/>
    <w:rsid w:val="005641B9"/>
    <w:rsid w:val="00564D38"/>
    <w:rsid w:val="0056693B"/>
    <w:rsid w:val="00566C42"/>
    <w:rsid w:val="00566C7A"/>
    <w:rsid w:val="005671A8"/>
    <w:rsid w:val="005704E1"/>
    <w:rsid w:val="00570B7A"/>
    <w:rsid w:val="00570F19"/>
    <w:rsid w:val="00571887"/>
    <w:rsid w:val="00571AE9"/>
    <w:rsid w:val="005725DA"/>
    <w:rsid w:val="005729FB"/>
    <w:rsid w:val="00572B0D"/>
    <w:rsid w:val="00572E09"/>
    <w:rsid w:val="0057309D"/>
    <w:rsid w:val="00573231"/>
    <w:rsid w:val="00574FE8"/>
    <w:rsid w:val="005755D5"/>
    <w:rsid w:val="00575AC3"/>
    <w:rsid w:val="00575F39"/>
    <w:rsid w:val="00576329"/>
    <w:rsid w:val="005764F4"/>
    <w:rsid w:val="00576796"/>
    <w:rsid w:val="00576923"/>
    <w:rsid w:val="00577713"/>
    <w:rsid w:val="00577F3F"/>
    <w:rsid w:val="005808D8"/>
    <w:rsid w:val="00580B3D"/>
    <w:rsid w:val="00581EDA"/>
    <w:rsid w:val="005826AE"/>
    <w:rsid w:val="00582DCC"/>
    <w:rsid w:val="005832E6"/>
    <w:rsid w:val="00583699"/>
    <w:rsid w:val="00583FB0"/>
    <w:rsid w:val="00585F69"/>
    <w:rsid w:val="00585FC1"/>
    <w:rsid w:val="005864B8"/>
    <w:rsid w:val="005876A7"/>
    <w:rsid w:val="00587781"/>
    <w:rsid w:val="00587BD7"/>
    <w:rsid w:val="00591D89"/>
    <w:rsid w:val="00592ACE"/>
    <w:rsid w:val="00592F1B"/>
    <w:rsid w:val="00592FE3"/>
    <w:rsid w:val="0059391E"/>
    <w:rsid w:val="0059498B"/>
    <w:rsid w:val="005956EB"/>
    <w:rsid w:val="00595875"/>
    <w:rsid w:val="00595A73"/>
    <w:rsid w:val="00595AB7"/>
    <w:rsid w:val="00595DC9"/>
    <w:rsid w:val="0059671B"/>
    <w:rsid w:val="00596941"/>
    <w:rsid w:val="00596F54"/>
    <w:rsid w:val="005971C7"/>
    <w:rsid w:val="005A10E5"/>
    <w:rsid w:val="005A1B0C"/>
    <w:rsid w:val="005A1B87"/>
    <w:rsid w:val="005A24FA"/>
    <w:rsid w:val="005A26CD"/>
    <w:rsid w:val="005A26E1"/>
    <w:rsid w:val="005A2D36"/>
    <w:rsid w:val="005A340F"/>
    <w:rsid w:val="005A34ED"/>
    <w:rsid w:val="005A38DF"/>
    <w:rsid w:val="005A52B4"/>
    <w:rsid w:val="005A5832"/>
    <w:rsid w:val="005A6D96"/>
    <w:rsid w:val="005A70E0"/>
    <w:rsid w:val="005A7883"/>
    <w:rsid w:val="005A7A08"/>
    <w:rsid w:val="005B2BE9"/>
    <w:rsid w:val="005B302D"/>
    <w:rsid w:val="005B44BB"/>
    <w:rsid w:val="005B4E2F"/>
    <w:rsid w:val="005B5273"/>
    <w:rsid w:val="005B539A"/>
    <w:rsid w:val="005B58FA"/>
    <w:rsid w:val="005B5BB3"/>
    <w:rsid w:val="005B768F"/>
    <w:rsid w:val="005B7801"/>
    <w:rsid w:val="005C03B3"/>
    <w:rsid w:val="005C04BE"/>
    <w:rsid w:val="005C0B49"/>
    <w:rsid w:val="005C2D1E"/>
    <w:rsid w:val="005C436D"/>
    <w:rsid w:val="005C452D"/>
    <w:rsid w:val="005C4564"/>
    <w:rsid w:val="005C55DB"/>
    <w:rsid w:val="005C62C6"/>
    <w:rsid w:val="005C64A4"/>
    <w:rsid w:val="005D1091"/>
    <w:rsid w:val="005D17B1"/>
    <w:rsid w:val="005D1A94"/>
    <w:rsid w:val="005D1D46"/>
    <w:rsid w:val="005D1F3F"/>
    <w:rsid w:val="005D215A"/>
    <w:rsid w:val="005D2D27"/>
    <w:rsid w:val="005D2D83"/>
    <w:rsid w:val="005D3A6F"/>
    <w:rsid w:val="005D5F3A"/>
    <w:rsid w:val="005D60A0"/>
    <w:rsid w:val="005D6729"/>
    <w:rsid w:val="005D6A8E"/>
    <w:rsid w:val="005D6C1F"/>
    <w:rsid w:val="005E0CD5"/>
    <w:rsid w:val="005E25E9"/>
    <w:rsid w:val="005E2CD1"/>
    <w:rsid w:val="005E3035"/>
    <w:rsid w:val="005E3A3B"/>
    <w:rsid w:val="005E3FF4"/>
    <w:rsid w:val="005E492F"/>
    <w:rsid w:val="005E4D9D"/>
    <w:rsid w:val="005E51FA"/>
    <w:rsid w:val="005E628C"/>
    <w:rsid w:val="005E646E"/>
    <w:rsid w:val="005E660B"/>
    <w:rsid w:val="005E676E"/>
    <w:rsid w:val="005E6832"/>
    <w:rsid w:val="005E70E8"/>
    <w:rsid w:val="005F1641"/>
    <w:rsid w:val="005F175C"/>
    <w:rsid w:val="005F19DD"/>
    <w:rsid w:val="005F1C7C"/>
    <w:rsid w:val="005F1F51"/>
    <w:rsid w:val="005F2AA2"/>
    <w:rsid w:val="005F308B"/>
    <w:rsid w:val="005F3DF4"/>
    <w:rsid w:val="005F5A84"/>
    <w:rsid w:val="005F6888"/>
    <w:rsid w:val="005F717D"/>
    <w:rsid w:val="005F730D"/>
    <w:rsid w:val="005F7E5D"/>
    <w:rsid w:val="00600937"/>
    <w:rsid w:val="00600BB7"/>
    <w:rsid w:val="00600D24"/>
    <w:rsid w:val="00601C06"/>
    <w:rsid w:val="00602737"/>
    <w:rsid w:val="006027A6"/>
    <w:rsid w:val="00603B36"/>
    <w:rsid w:val="00603CC2"/>
    <w:rsid w:val="006040C1"/>
    <w:rsid w:val="0060558A"/>
    <w:rsid w:val="006058B1"/>
    <w:rsid w:val="00605952"/>
    <w:rsid w:val="00606602"/>
    <w:rsid w:val="006072B1"/>
    <w:rsid w:val="0061118B"/>
    <w:rsid w:val="006114CC"/>
    <w:rsid w:val="006115F6"/>
    <w:rsid w:val="0061230F"/>
    <w:rsid w:val="0061286A"/>
    <w:rsid w:val="006133B9"/>
    <w:rsid w:val="00613540"/>
    <w:rsid w:val="0061382F"/>
    <w:rsid w:val="00614898"/>
    <w:rsid w:val="00615566"/>
    <w:rsid w:val="006155BA"/>
    <w:rsid w:val="006170ED"/>
    <w:rsid w:val="0061718A"/>
    <w:rsid w:val="006171BA"/>
    <w:rsid w:val="0062042A"/>
    <w:rsid w:val="0062144F"/>
    <w:rsid w:val="00621ED5"/>
    <w:rsid w:val="00622ACC"/>
    <w:rsid w:val="00622C9E"/>
    <w:rsid w:val="00622F1B"/>
    <w:rsid w:val="0062305C"/>
    <w:rsid w:val="00623B96"/>
    <w:rsid w:val="006248FE"/>
    <w:rsid w:val="006250C2"/>
    <w:rsid w:val="0062581E"/>
    <w:rsid w:val="0062583B"/>
    <w:rsid w:val="00626D01"/>
    <w:rsid w:val="00626F3E"/>
    <w:rsid w:val="006271CC"/>
    <w:rsid w:val="006272AE"/>
    <w:rsid w:val="006272D6"/>
    <w:rsid w:val="00627FA0"/>
    <w:rsid w:val="00630D6E"/>
    <w:rsid w:val="00631290"/>
    <w:rsid w:val="00632A2C"/>
    <w:rsid w:val="006333A0"/>
    <w:rsid w:val="00633921"/>
    <w:rsid w:val="00633A00"/>
    <w:rsid w:val="00633B7A"/>
    <w:rsid w:val="0063629F"/>
    <w:rsid w:val="006363A6"/>
    <w:rsid w:val="0064011C"/>
    <w:rsid w:val="00640473"/>
    <w:rsid w:val="0064078A"/>
    <w:rsid w:val="006407A3"/>
    <w:rsid w:val="006414A4"/>
    <w:rsid w:val="00641678"/>
    <w:rsid w:val="00642419"/>
    <w:rsid w:val="0064269C"/>
    <w:rsid w:val="006427FF"/>
    <w:rsid w:val="00642E66"/>
    <w:rsid w:val="006436DC"/>
    <w:rsid w:val="00644122"/>
    <w:rsid w:val="00644706"/>
    <w:rsid w:val="00644838"/>
    <w:rsid w:val="00645795"/>
    <w:rsid w:val="00645F62"/>
    <w:rsid w:val="00647986"/>
    <w:rsid w:val="00650339"/>
    <w:rsid w:val="00651ECE"/>
    <w:rsid w:val="006528C8"/>
    <w:rsid w:val="00652CBF"/>
    <w:rsid w:val="006534C6"/>
    <w:rsid w:val="0065470D"/>
    <w:rsid w:val="006548A5"/>
    <w:rsid w:val="0065493F"/>
    <w:rsid w:val="00654B85"/>
    <w:rsid w:val="00654CC2"/>
    <w:rsid w:val="006555C4"/>
    <w:rsid w:val="00657800"/>
    <w:rsid w:val="006601B8"/>
    <w:rsid w:val="00660A1C"/>
    <w:rsid w:val="00662B8C"/>
    <w:rsid w:val="00662CCE"/>
    <w:rsid w:val="00663714"/>
    <w:rsid w:val="00666E05"/>
    <w:rsid w:val="006672E0"/>
    <w:rsid w:val="00667342"/>
    <w:rsid w:val="00667941"/>
    <w:rsid w:val="00670CBC"/>
    <w:rsid w:val="00671356"/>
    <w:rsid w:val="00671DA4"/>
    <w:rsid w:val="00672090"/>
    <w:rsid w:val="00672112"/>
    <w:rsid w:val="00674815"/>
    <w:rsid w:val="00675540"/>
    <w:rsid w:val="00675701"/>
    <w:rsid w:val="00675744"/>
    <w:rsid w:val="00676B1D"/>
    <w:rsid w:val="00677339"/>
    <w:rsid w:val="00680662"/>
    <w:rsid w:val="00680714"/>
    <w:rsid w:val="0068086D"/>
    <w:rsid w:val="00681506"/>
    <w:rsid w:val="0068299B"/>
    <w:rsid w:val="006832E7"/>
    <w:rsid w:val="006837B0"/>
    <w:rsid w:val="0068384B"/>
    <w:rsid w:val="0068405E"/>
    <w:rsid w:val="0068413C"/>
    <w:rsid w:val="00684BA4"/>
    <w:rsid w:val="00684D5D"/>
    <w:rsid w:val="00684E06"/>
    <w:rsid w:val="00684F04"/>
    <w:rsid w:val="0068524F"/>
    <w:rsid w:val="00685446"/>
    <w:rsid w:val="006856CA"/>
    <w:rsid w:val="006856DF"/>
    <w:rsid w:val="00685C21"/>
    <w:rsid w:val="00686D80"/>
    <w:rsid w:val="006870F0"/>
    <w:rsid w:val="00687680"/>
    <w:rsid w:val="006902B1"/>
    <w:rsid w:val="0069090C"/>
    <w:rsid w:val="006911C1"/>
    <w:rsid w:val="00692913"/>
    <w:rsid w:val="006936EB"/>
    <w:rsid w:val="00693889"/>
    <w:rsid w:val="00693F89"/>
    <w:rsid w:val="00694C1C"/>
    <w:rsid w:val="00694C2C"/>
    <w:rsid w:val="0069678D"/>
    <w:rsid w:val="00696854"/>
    <w:rsid w:val="0069755D"/>
    <w:rsid w:val="0069758A"/>
    <w:rsid w:val="00697D80"/>
    <w:rsid w:val="006A0699"/>
    <w:rsid w:val="006A1220"/>
    <w:rsid w:val="006A14A6"/>
    <w:rsid w:val="006A173D"/>
    <w:rsid w:val="006A282F"/>
    <w:rsid w:val="006A2FD9"/>
    <w:rsid w:val="006A3155"/>
    <w:rsid w:val="006A323C"/>
    <w:rsid w:val="006A3699"/>
    <w:rsid w:val="006A4B51"/>
    <w:rsid w:val="006A5AF6"/>
    <w:rsid w:val="006A5B86"/>
    <w:rsid w:val="006A5B8B"/>
    <w:rsid w:val="006A5D98"/>
    <w:rsid w:val="006A63F0"/>
    <w:rsid w:val="006A6424"/>
    <w:rsid w:val="006A6AE3"/>
    <w:rsid w:val="006A6D48"/>
    <w:rsid w:val="006A6FF6"/>
    <w:rsid w:val="006A7370"/>
    <w:rsid w:val="006A74AB"/>
    <w:rsid w:val="006B00CA"/>
    <w:rsid w:val="006B103B"/>
    <w:rsid w:val="006B2262"/>
    <w:rsid w:val="006B2AD9"/>
    <w:rsid w:val="006B2BBE"/>
    <w:rsid w:val="006B33C1"/>
    <w:rsid w:val="006B3CCE"/>
    <w:rsid w:val="006B40A5"/>
    <w:rsid w:val="006B4295"/>
    <w:rsid w:val="006B443B"/>
    <w:rsid w:val="006B4868"/>
    <w:rsid w:val="006B4C9B"/>
    <w:rsid w:val="006B4D10"/>
    <w:rsid w:val="006B5C5A"/>
    <w:rsid w:val="006B61A8"/>
    <w:rsid w:val="006B626E"/>
    <w:rsid w:val="006B7297"/>
    <w:rsid w:val="006B75EC"/>
    <w:rsid w:val="006C07DA"/>
    <w:rsid w:val="006C0CB4"/>
    <w:rsid w:val="006C0D4F"/>
    <w:rsid w:val="006C17AA"/>
    <w:rsid w:val="006C1ED4"/>
    <w:rsid w:val="006C2843"/>
    <w:rsid w:val="006C2B39"/>
    <w:rsid w:val="006C2E48"/>
    <w:rsid w:val="006C303E"/>
    <w:rsid w:val="006C36B8"/>
    <w:rsid w:val="006C37CD"/>
    <w:rsid w:val="006C4002"/>
    <w:rsid w:val="006C44AC"/>
    <w:rsid w:val="006C49EA"/>
    <w:rsid w:val="006C5457"/>
    <w:rsid w:val="006C5478"/>
    <w:rsid w:val="006C55BC"/>
    <w:rsid w:val="006C5BA7"/>
    <w:rsid w:val="006C6FCB"/>
    <w:rsid w:val="006C70F5"/>
    <w:rsid w:val="006C78D0"/>
    <w:rsid w:val="006C7B75"/>
    <w:rsid w:val="006D064A"/>
    <w:rsid w:val="006D146E"/>
    <w:rsid w:val="006D1A25"/>
    <w:rsid w:val="006D2076"/>
    <w:rsid w:val="006D2C37"/>
    <w:rsid w:val="006D317D"/>
    <w:rsid w:val="006D3729"/>
    <w:rsid w:val="006D38AC"/>
    <w:rsid w:val="006D3B44"/>
    <w:rsid w:val="006D45BF"/>
    <w:rsid w:val="006D65FE"/>
    <w:rsid w:val="006D6C7D"/>
    <w:rsid w:val="006D7DDF"/>
    <w:rsid w:val="006D7F12"/>
    <w:rsid w:val="006E3C58"/>
    <w:rsid w:val="006E3D27"/>
    <w:rsid w:val="006E3EC6"/>
    <w:rsid w:val="006E401F"/>
    <w:rsid w:val="006E40EA"/>
    <w:rsid w:val="006E413B"/>
    <w:rsid w:val="006E4DDF"/>
    <w:rsid w:val="006E52D7"/>
    <w:rsid w:val="006E5C12"/>
    <w:rsid w:val="006E72AD"/>
    <w:rsid w:val="006E750A"/>
    <w:rsid w:val="006F0673"/>
    <w:rsid w:val="006F069C"/>
    <w:rsid w:val="006F1CCF"/>
    <w:rsid w:val="006F2775"/>
    <w:rsid w:val="006F2A62"/>
    <w:rsid w:val="006F2F2C"/>
    <w:rsid w:val="006F3687"/>
    <w:rsid w:val="006F37DD"/>
    <w:rsid w:val="006F41B3"/>
    <w:rsid w:val="006F46CD"/>
    <w:rsid w:val="006F4FA4"/>
    <w:rsid w:val="006F5EBC"/>
    <w:rsid w:val="006F663E"/>
    <w:rsid w:val="006F6803"/>
    <w:rsid w:val="006F68BF"/>
    <w:rsid w:val="006F772A"/>
    <w:rsid w:val="007004EA"/>
    <w:rsid w:val="007008E3"/>
    <w:rsid w:val="00701FF0"/>
    <w:rsid w:val="0070256E"/>
    <w:rsid w:val="007029E8"/>
    <w:rsid w:val="007030B9"/>
    <w:rsid w:val="007047B0"/>
    <w:rsid w:val="00704978"/>
    <w:rsid w:val="00704B43"/>
    <w:rsid w:val="00705627"/>
    <w:rsid w:val="00705665"/>
    <w:rsid w:val="007059E7"/>
    <w:rsid w:val="00706243"/>
    <w:rsid w:val="00706264"/>
    <w:rsid w:val="00706ABC"/>
    <w:rsid w:val="0070742B"/>
    <w:rsid w:val="00710518"/>
    <w:rsid w:val="00710755"/>
    <w:rsid w:val="00710A9D"/>
    <w:rsid w:val="00710CCE"/>
    <w:rsid w:val="00710CD7"/>
    <w:rsid w:val="007118E2"/>
    <w:rsid w:val="00711BC2"/>
    <w:rsid w:val="00711E0B"/>
    <w:rsid w:val="007122C4"/>
    <w:rsid w:val="00713317"/>
    <w:rsid w:val="00714131"/>
    <w:rsid w:val="0071427E"/>
    <w:rsid w:val="007147FC"/>
    <w:rsid w:val="007156EB"/>
    <w:rsid w:val="00715C2F"/>
    <w:rsid w:val="00716181"/>
    <w:rsid w:val="00716D07"/>
    <w:rsid w:val="00717477"/>
    <w:rsid w:val="00717557"/>
    <w:rsid w:val="00717C28"/>
    <w:rsid w:val="0072018F"/>
    <w:rsid w:val="007202D1"/>
    <w:rsid w:val="007203DE"/>
    <w:rsid w:val="0072076B"/>
    <w:rsid w:val="007211E5"/>
    <w:rsid w:val="00721A40"/>
    <w:rsid w:val="007226F6"/>
    <w:rsid w:val="00722939"/>
    <w:rsid w:val="00722981"/>
    <w:rsid w:val="00722F57"/>
    <w:rsid w:val="00723099"/>
    <w:rsid w:val="007239B2"/>
    <w:rsid w:val="00725829"/>
    <w:rsid w:val="00726986"/>
    <w:rsid w:val="007274CD"/>
    <w:rsid w:val="007274ED"/>
    <w:rsid w:val="007278DA"/>
    <w:rsid w:val="007302FE"/>
    <w:rsid w:val="00730AAB"/>
    <w:rsid w:val="00731967"/>
    <w:rsid w:val="00731ADF"/>
    <w:rsid w:val="00732480"/>
    <w:rsid w:val="00732B95"/>
    <w:rsid w:val="00732FE9"/>
    <w:rsid w:val="00732FF5"/>
    <w:rsid w:val="00733C5D"/>
    <w:rsid w:val="00734058"/>
    <w:rsid w:val="007340B7"/>
    <w:rsid w:val="0073465E"/>
    <w:rsid w:val="00734AEA"/>
    <w:rsid w:val="007358C9"/>
    <w:rsid w:val="00735CC8"/>
    <w:rsid w:val="00735EDB"/>
    <w:rsid w:val="00735F30"/>
    <w:rsid w:val="007363EA"/>
    <w:rsid w:val="007365FC"/>
    <w:rsid w:val="007366B3"/>
    <w:rsid w:val="00737FEF"/>
    <w:rsid w:val="00740BBE"/>
    <w:rsid w:val="00740C6D"/>
    <w:rsid w:val="00741889"/>
    <w:rsid w:val="00746286"/>
    <w:rsid w:val="00746351"/>
    <w:rsid w:val="0074723C"/>
    <w:rsid w:val="0074730D"/>
    <w:rsid w:val="00747504"/>
    <w:rsid w:val="00747945"/>
    <w:rsid w:val="007509A3"/>
    <w:rsid w:val="007509BD"/>
    <w:rsid w:val="00751960"/>
    <w:rsid w:val="00752AA9"/>
    <w:rsid w:val="00752AE8"/>
    <w:rsid w:val="0075300B"/>
    <w:rsid w:val="0075402A"/>
    <w:rsid w:val="00754965"/>
    <w:rsid w:val="00754D1D"/>
    <w:rsid w:val="00754D99"/>
    <w:rsid w:val="00755547"/>
    <w:rsid w:val="00756BD5"/>
    <w:rsid w:val="00756BEA"/>
    <w:rsid w:val="007579C5"/>
    <w:rsid w:val="00757FEE"/>
    <w:rsid w:val="00760FE5"/>
    <w:rsid w:val="00761787"/>
    <w:rsid w:val="00762058"/>
    <w:rsid w:val="007629F5"/>
    <w:rsid w:val="00762FFC"/>
    <w:rsid w:val="00763FD0"/>
    <w:rsid w:val="00764205"/>
    <w:rsid w:val="00765624"/>
    <w:rsid w:val="0076577C"/>
    <w:rsid w:val="00765F7F"/>
    <w:rsid w:val="00770CCD"/>
    <w:rsid w:val="007712CF"/>
    <w:rsid w:val="00771B5A"/>
    <w:rsid w:val="00772CE0"/>
    <w:rsid w:val="00772D29"/>
    <w:rsid w:val="0077404F"/>
    <w:rsid w:val="0077486C"/>
    <w:rsid w:val="007749DC"/>
    <w:rsid w:val="00775076"/>
    <w:rsid w:val="00776004"/>
    <w:rsid w:val="00776853"/>
    <w:rsid w:val="00777836"/>
    <w:rsid w:val="0078015E"/>
    <w:rsid w:val="00780D38"/>
    <w:rsid w:val="0078139F"/>
    <w:rsid w:val="007813D6"/>
    <w:rsid w:val="00781E5C"/>
    <w:rsid w:val="00782052"/>
    <w:rsid w:val="00782106"/>
    <w:rsid w:val="00782995"/>
    <w:rsid w:val="007831CA"/>
    <w:rsid w:val="007838D0"/>
    <w:rsid w:val="00783C34"/>
    <w:rsid w:val="00783E9C"/>
    <w:rsid w:val="0078407E"/>
    <w:rsid w:val="00784AA8"/>
    <w:rsid w:val="00784D24"/>
    <w:rsid w:val="00784DA0"/>
    <w:rsid w:val="00786232"/>
    <w:rsid w:val="00786EB1"/>
    <w:rsid w:val="00787C53"/>
    <w:rsid w:val="007903BC"/>
    <w:rsid w:val="007913E4"/>
    <w:rsid w:val="00791A15"/>
    <w:rsid w:val="00791B4E"/>
    <w:rsid w:val="0079241C"/>
    <w:rsid w:val="007924CB"/>
    <w:rsid w:val="00792596"/>
    <w:rsid w:val="007926D6"/>
    <w:rsid w:val="007926F0"/>
    <w:rsid w:val="00793275"/>
    <w:rsid w:val="0079327D"/>
    <w:rsid w:val="007932F2"/>
    <w:rsid w:val="00793C85"/>
    <w:rsid w:val="00793E50"/>
    <w:rsid w:val="00793E5C"/>
    <w:rsid w:val="00794F6C"/>
    <w:rsid w:val="00794F76"/>
    <w:rsid w:val="0079699A"/>
    <w:rsid w:val="00796BFE"/>
    <w:rsid w:val="00797521"/>
    <w:rsid w:val="00797591"/>
    <w:rsid w:val="00797957"/>
    <w:rsid w:val="00797CCB"/>
    <w:rsid w:val="007A00A0"/>
    <w:rsid w:val="007A010D"/>
    <w:rsid w:val="007A0214"/>
    <w:rsid w:val="007A0E1E"/>
    <w:rsid w:val="007A1779"/>
    <w:rsid w:val="007A1B9C"/>
    <w:rsid w:val="007A1C5A"/>
    <w:rsid w:val="007A2F60"/>
    <w:rsid w:val="007A3414"/>
    <w:rsid w:val="007A44D8"/>
    <w:rsid w:val="007A5037"/>
    <w:rsid w:val="007A503C"/>
    <w:rsid w:val="007A5476"/>
    <w:rsid w:val="007A5BE5"/>
    <w:rsid w:val="007A5D9C"/>
    <w:rsid w:val="007A665D"/>
    <w:rsid w:val="007A6C83"/>
    <w:rsid w:val="007A6CDB"/>
    <w:rsid w:val="007A748F"/>
    <w:rsid w:val="007A78D0"/>
    <w:rsid w:val="007B0197"/>
    <w:rsid w:val="007B0BCE"/>
    <w:rsid w:val="007B1557"/>
    <w:rsid w:val="007B1D70"/>
    <w:rsid w:val="007B1FF5"/>
    <w:rsid w:val="007B2146"/>
    <w:rsid w:val="007B337E"/>
    <w:rsid w:val="007B3F14"/>
    <w:rsid w:val="007B492A"/>
    <w:rsid w:val="007B5E50"/>
    <w:rsid w:val="007B6491"/>
    <w:rsid w:val="007B6730"/>
    <w:rsid w:val="007B6F19"/>
    <w:rsid w:val="007C0854"/>
    <w:rsid w:val="007C0F2F"/>
    <w:rsid w:val="007C196D"/>
    <w:rsid w:val="007C19A5"/>
    <w:rsid w:val="007C1D6E"/>
    <w:rsid w:val="007C2DF4"/>
    <w:rsid w:val="007C30C9"/>
    <w:rsid w:val="007C5260"/>
    <w:rsid w:val="007C554A"/>
    <w:rsid w:val="007C6157"/>
    <w:rsid w:val="007C62A6"/>
    <w:rsid w:val="007C65B7"/>
    <w:rsid w:val="007C6639"/>
    <w:rsid w:val="007C71CB"/>
    <w:rsid w:val="007C730F"/>
    <w:rsid w:val="007D009F"/>
    <w:rsid w:val="007D04AC"/>
    <w:rsid w:val="007D0871"/>
    <w:rsid w:val="007D0C28"/>
    <w:rsid w:val="007D1B4A"/>
    <w:rsid w:val="007D1FC4"/>
    <w:rsid w:val="007D2B40"/>
    <w:rsid w:val="007D2E8A"/>
    <w:rsid w:val="007D33F5"/>
    <w:rsid w:val="007D386C"/>
    <w:rsid w:val="007D3B61"/>
    <w:rsid w:val="007D3D2E"/>
    <w:rsid w:val="007D3EDF"/>
    <w:rsid w:val="007D53C4"/>
    <w:rsid w:val="007D5983"/>
    <w:rsid w:val="007D6313"/>
    <w:rsid w:val="007D686C"/>
    <w:rsid w:val="007D68CE"/>
    <w:rsid w:val="007D6A0A"/>
    <w:rsid w:val="007D6FD9"/>
    <w:rsid w:val="007D74AA"/>
    <w:rsid w:val="007D7F83"/>
    <w:rsid w:val="007E000E"/>
    <w:rsid w:val="007E0D5D"/>
    <w:rsid w:val="007E1077"/>
    <w:rsid w:val="007E1DD3"/>
    <w:rsid w:val="007E2AA9"/>
    <w:rsid w:val="007E31A1"/>
    <w:rsid w:val="007E31C9"/>
    <w:rsid w:val="007E3918"/>
    <w:rsid w:val="007E427C"/>
    <w:rsid w:val="007E42F9"/>
    <w:rsid w:val="007E4D3B"/>
    <w:rsid w:val="007E522D"/>
    <w:rsid w:val="007E5D3A"/>
    <w:rsid w:val="007E5F25"/>
    <w:rsid w:val="007F054D"/>
    <w:rsid w:val="007F1865"/>
    <w:rsid w:val="007F1F86"/>
    <w:rsid w:val="007F2737"/>
    <w:rsid w:val="007F34D8"/>
    <w:rsid w:val="007F4291"/>
    <w:rsid w:val="007F442F"/>
    <w:rsid w:val="007F7D27"/>
    <w:rsid w:val="00800C4E"/>
    <w:rsid w:val="00800E2B"/>
    <w:rsid w:val="008012AA"/>
    <w:rsid w:val="0080164A"/>
    <w:rsid w:val="00801DE4"/>
    <w:rsid w:val="008034AA"/>
    <w:rsid w:val="00803C19"/>
    <w:rsid w:val="00804495"/>
    <w:rsid w:val="008054E0"/>
    <w:rsid w:val="008054F4"/>
    <w:rsid w:val="0080569E"/>
    <w:rsid w:val="00805A49"/>
    <w:rsid w:val="00805F19"/>
    <w:rsid w:val="008069AA"/>
    <w:rsid w:val="0080733A"/>
    <w:rsid w:val="008114A0"/>
    <w:rsid w:val="0081158C"/>
    <w:rsid w:val="00811E71"/>
    <w:rsid w:val="0081365C"/>
    <w:rsid w:val="00814391"/>
    <w:rsid w:val="008144B5"/>
    <w:rsid w:val="008173C1"/>
    <w:rsid w:val="008174BE"/>
    <w:rsid w:val="008177B1"/>
    <w:rsid w:val="00817809"/>
    <w:rsid w:val="00820079"/>
    <w:rsid w:val="008200FF"/>
    <w:rsid w:val="00820440"/>
    <w:rsid w:val="00820A8D"/>
    <w:rsid w:val="00820D7F"/>
    <w:rsid w:val="008213B3"/>
    <w:rsid w:val="00821873"/>
    <w:rsid w:val="00821FA0"/>
    <w:rsid w:val="0082241D"/>
    <w:rsid w:val="008233B9"/>
    <w:rsid w:val="008239BD"/>
    <w:rsid w:val="00824165"/>
    <w:rsid w:val="008250C7"/>
    <w:rsid w:val="0082534D"/>
    <w:rsid w:val="008260C5"/>
    <w:rsid w:val="008265A2"/>
    <w:rsid w:val="00826725"/>
    <w:rsid w:val="00826C53"/>
    <w:rsid w:val="0082718B"/>
    <w:rsid w:val="00827751"/>
    <w:rsid w:val="00827EFE"/>
    <w:rsid w:val="0083046D"/>
    <w:rsid w:val="008307BD"/>
    <w:rsid w:val="00830BBE"/>
    <w:rsid w:val="00830D77"/>
    <w:rsid w:val="00831354"/>
    <w:rsid w:val="008319B1"/>
    <w:rsid w:val="00831D54"/>
    <w:rsid w:val="00832472"/>
    <w:rsid w:val="0083298C"/>
    <w:rsid w:val="00833087"/>
    <w:rsid w:val="00834943"/>
    <w:rsid w:val="00834B1B"/>
    <w:rsid w:val="00834D63"/>
    <w:rsid w:val="00834F18"/>
    <w:rsid w:val="00834FF7"/>
    <w:rsid w:val="0083512C"/>
    <w:rsid w:val="0083528E"/>
    <w:rsid w:val="008352C6"/>
    <w:rsid w:val="008359E0"/>
    <w:rsid w:val="00836132"/>
    <w:rsid w:val="00837EDA"/>
    <w:rsid w:val="008405FB"/>
    <w:rsid w:val="00840827"/>
    <w:rsid w:val="008408B7"/>
    <w:rsid w:val="00841611"/>
    <w:rsid w:val="00841C82"/>
    <w:rsid w:val="00841EE3"/>
    <w:rsid w:val="00841F07"/>
    <w:rsid w:val="0084210B"/>
    <w:rsid w:val="008425A5"/>
    <w:rsid w:val="008425B7"/>
    <w:rsid w:val="00843F22"/>
    <w:rsid w:val="00843FFC"/>
    <w:rsid w:val="00844236"/>
    <w:rsid w:val="00845327"/>
    <w:rsid w:val="0084628F"/>
    <w:rsid w:val="0084680F"/>
    <w:rsid w:val="00846BFE"/>
    <w:rsid w:val="00846D7F"/>
    <w:rsid w:val="00846FDF"/>
    <w:rsid w:val="0084747D"/>
    <w:rsid w:val="008474B3"/>
    <w:rsid w:val="00847A33"/>
    <w:rsid w:val="00850467"/>
    <w:rsid w:val="008507CF"/>
    <w:rsid w:val="00850D4B"/>
    <w:rsid w:val="00850F4B"/>
    <w:rsid w:val="00851062"/>
    <w:rsid w:val="00851495"/>
    <w:rsid w:val="00851503"/>
    <w:rsid w:val="00851680"/>
    <w:rsid w:val="00852889"/>
    <w:rsid w:val="00853051"/>
    <w:rsid w:val="00853190"/>
    <w:rsid w:val="00854EF2"/>
    <w:rsid w:val="00855CEF"/>
    <w:rsid w:val="0085607E"/>
    <w:rsid w:val="0085654E"/>
    <w:rsid w:val="0086055B"/>
    <w:rsid w:val="008612A4"/>
    <w:rsid w:val="00861535"/>
    <w:rsid w:val="00861889"/>
    <w:rsid w:val="00861E3E"/>
    <w:rsid w:val="008624C2"/>
    <w:rsid w:val="00862843"/>
    <w:rsid w:val="008632CD"/>
    <w:rsid w:val="008634ED"/>
    <w:rsid w:val="00863729"/>
    <w:rsid w:val="008639BB"/>
    <w:rsid w:val="00864915"/>
    <w:rsid w:val="00864935"/>
    <w:rsid w:val="00864E63"/>
    <w:rsid w:val="00865540"/>
    <w:rsid w:val="00865873"/>
    <w:rsid w:val="00865918"/>
    <w:rsid w:val="00866037"/>
    <w:rsid w:val="008662FA"/>
    <w:rsid w:val="008722CB"/>
    <w:rsid w:val="008726C5"/>
    <w:rsid w:val="00872907"/>
    <w:rsid w:val="00872E9E"/>
    <w:rsid w:val="00873578"/>
    <w:rsid w:val="008735F9"/>
    <w:rsid w:val="00873B61"/>
    <w:rsid w:val="00873FB6"/>
    <w:rsid w:val="00874058"/>
    <w:rsid w:val="00874725"/>
    <w:rsid w:val="00874ED1"/>
    <w:rsid w:val="00874FE0"/>
    <w:rsid w:val="00875663"/>
    <w:rsid w:val="00875CA6"/>
    <w:rsid w:val="00875D6E"/>
    <w:rsid w:val="00876D87"/>
    <w:rsid w:val="008774DF"/>
    <w:rsid w:val="008776D5"/>
    <w:rsid w:val="008778F7"/>
    <w:rsid w:val="00877A3A"/>
    <w:rsid w:val="00877A8D"/>
    <w:rsid w:val="0088009D"/>
    <w:rsid w:val="008805C4"/>
    <w:rsid w:val="008805D0"/>
    <w:rsid w:val="00880811"/>
    <w:rsid w:val="00881752"/>
    <w:rsid w:val="0088299B"/>
    <w:rsid w:val="00882F38"/>
    <w:rsid w:val="00883139"/>
    <w:rsid w:val="00883384"/>
    <w:rsid w:val="00883A72"/>
    <w:rsid w:val="00884160"/>
    <w:rsid w:val="00885948"/>
    <w:rsid w:val="00885E93"/>
    <w:rsid w:val="00885FC9"/>
    <w:rsid w:val="008864EE"/>
    <w:rsid w:val="008869CB"/>
    <w:rsid w:val="00887140"/>
    <w:rsid w:val="00887219"/>
    <w:rsid w:val="008872AF"/>
    <w:rsid w:val="00890033"/>
    <w:rsid w:val="0089052D"/>
    <w:rsid w:val="0089086F"/>
    <w:rsid w:val="00892E28"/>
    <w:rsid w:val="008932E4"/>
    <w:rsid w:val="008933A9"/>
    <w:rsid w:val="0089388A"/>
    <w:rsid w:val="0089452D"/>
    <w:rsid w:val="00894562"/>
    <w:rsid w:val="008959D7"/>
    <w:rsid w:val="00896C27"/>
    <w:rsid w:val="00897376"/>
    <w:rsid w:val="00897CEF"/>
    <w:rsid w:val="008A085E"/>
    <w:rsid w:val="008A0F8F"/>
    <w:rsid w:val="008A1755"/>
    <w:rsid w:val="008A1C53"/>
    <w:rsid w:val="008A2220"/>
    <w:rsid w:val="008A2255"/>
    <w:rsid w:val="008A295D"/>
    <w:rsid w:val="008A29D1"/>
    <w:rsid w:val="008A2CE9"/>
    <w:rsid w:val="008A37DB"/>
    <w:rsid w:val="008A389F"/>
    <w:rsid w:val="008A391B"/>
    <w:rsid w:val="008A3A9E"/>
    <w:rsid w:val="008A3B7B"/>
    <w:rsid w:val="008A4262"/>
    <w:rsid w:val="008A4574"/>
    <w:rsid w:val="008A4A9A"/>
    <w:rsid w:val="008A526C"/>
    <w:rsid w:val="008A53DE"/>
    <w:rsid w:val="008A576D"/>
    <w:rsid w:val="008A5F07"/>
    <w:rsid w:val="008A6640"/>
    <w:rsid w:val="008A6FBA"/>
    <w:rsid w:val="008A737B"/>
    <w:rsid w:val="008B01F7"/>
    <w:rsid w:val="008B051F"/>
    <w:rsid w:val="008B0D6B"/>
    <w:rsid w:val="008B16CC"/>
    <w:rsid w:val="008B24B1"/>
    <w:rsid w:val="008B25C7"/>
    <w:rsid w:val="008B321F"/>
    <w:rsid w:val="008B395B"/>
    <w:rsid w:val="008B3E89"/>
    <w:rsid w:val="008B3F05"/>
    <w:rsid w:val="008B3FE7"/>
    <w:rsid w:val="008B40AF"/>
    <w:rsid w:val="008B514B"/>
    <w:rsid w:val="008B54E6"/>
    <w:rsid w:val="008B5895"/>
    <w:rsid w:val="008B58E0"/>
    <w:rsid w:val="008B59D6"/>
    <w:rsid w:val="008B5C01"/>
    <w:rsid w:val="008B5D63"/>
    <w:rsid w:val="008B6191"/>
    <w:rsid w:val="008B677F"/>
    <w:rsid w:val="008B7004"/>
    <w:rsid w:val="008C037C"/>
    <w:rsid w:val="008C14F3"/>
    <w:rsid w:val="008C39C4"/>
    <w:rsid w:val="008C3DDA"/>
    <w:rsid w:val="008C417C"/>
    <w:rsid w:val="008C4D89"/>
    <w:rsid w:val="008C5359"/>
    <w:rsid w:val="008C555F"/>
    <w:rsid w:val="008C5962"/>
    <w:rsid w:val="008C5968"/>
    <w:rsid w:val="008C602E"/>
    <w:rsid w:val="008C652E"/>
    <w:rsid w:val="008C6870"/>
    <w:rsid w:val="008C77FD"/>
    <w:rsid w:val="008D0769"/>
    <w:rsid w:val="008D09FC"/>
    <w:rsid w:val="008D0C9D"/>
    <w:rsid w:val="008D12B5"/>
    <w:rsid w:val="008D1E02"/>
    <w:rsid w:val="008D258D"/>
    <w:rsid w:val="008D3840"/>
    <w:rsid w:val="008D46E4"/>
    <w:rsid w:val="008D490A"/>
    <w:rsid w:val="008D49FF"/>
    <w:rsid w:val="008D534C"/>
    <w:rsid w:val="008D7ADB"/>
    <w:rsid w:val="008E0130"/>
    <w:rsid w:val="008E01AA"/>
    <w:rsid w:val="008E14D2"/>
    <w:rsid w:val="008E1998"/>
    <w:rsid w:val="008E2C02"/>
    <w:rsid w:val="008E2EC1"/>
    <w:rsid w:val="008E3637"/>
    <w:rsid w:val="008E4040"/>
    <w:rsid w:val="008E43A8"/>
    <w:rsid w:val="008E4E74"/>
    <w:rsid w:val="008E5303"/>
    <w:rsid w:val="008E5640"/>
    <w:rsid w:val="008E6241"/>
    <w:rsid w:val="008E65EF"/>
    <w:rsid w:val="008E702D"/>
    <w:rsid w:val="008E7130"/>
    <w:rsid w:val="008E72BB"/>
    <w:rsid w:val="008E7683"/>
    <w:rsid w:val="008E787A"/>
    <w:rsid w:val="008F01A3"/>
    <w:rsid w:val="008F04E3"/>
    <w:rsid w:val="008F071D"/>
    <w:rsid w:val="008F0737"/>
    <w:rsid w:val="008F0778"/>
    <w:rsid w:val="008F0D6B"/>
    <w:rsid w:val="008F1CE7"/>
    <w:rsid w:val="008F3032"/>
    <w:rsid w:val="008F37C8"/>
    <w:rsid w:val="008F3F88"/>
    <w:rsid w:val="008F41EB"/>
    <w:rsid w:val="008F535D"/>
    <w:rsid w:val="008F5424"/>
    <w:rsid w:val="008F55B4"/>
    <w:rsid w:val="008F61B7"/>
    <w:rsid w:val="008F6CCE"/>
    <w:rsid w:val="008F705B"/>
    <w:rsid w:val="009007A9"/>
    <w:rsid w:val="00900D08"/>
    <w:rsid w:val="00901520"/>
    <w:rsid w:val="009033BA"/>
    <w:rsid w:val="009034E6"/>
    <w:rsid w:val="0090356D"/>
    <w:rsid w:val="00904580"/>
    <w:rsid w:val="00904B1B"/>
    <w:rsid w:val="00905FC9"/>
    <w:rsid w:val="00906F6D"/>
    <w:rsid w:val="0091037F"/>
    <w:rsid w:val="00912E3A"/>
    <w:rsid w:val="00912E79"/>
    <w:rsid w:val="00913F7E"/>
    <w:rsid w:val="00914A42"/>
    <w:rsid w:val="00914C7F"/>
    <w:rsid w:val="00914F6B"/>
    <w:rsid w:val="009150D5"/>
    <w:rsid w:val="009155D8"/>
    <w:rsid w:val="00917763"/>
    <w:rsid w:val="00920B08"/>
    <w:rsid w:val="00922446"/>
    <w:rsid w:val="00922C74"/>
    <w:rsid w:val="0092352D"/>
    <w:rsid w:val="00923AA9"/>
    <w:rsid w:val="00923E58"/>
    <w:rsid w:val="00925064"/>
    <w:rsid w:val="00926CC0"/>
    <w:rsid w:val="0092702A"/>
    <w:rsid w:val="00927ED1"/>
    <w:rsid w:val="00930FB3"/>
    <w:rsid w:val="0093199C"/>
    <w:rsid w:val="00931BC1"/>
    <w:rsid w:val="00932697"/>
    <w:rsid w:val="009326A6"/>
    <w:rsid w:val="009337EF"/>
    <w:rsid w:val="00933B22"/>
    <w:rsid w:val="00933F6E"/>
    <w:rsid w:val="0093423D"/>
    <w:rsid w:val="0093497B"/>
    <w:rsid w:val="00934B33"/>
    <w:rsid w:val="00934BE9"/>
    <w:rsid w:val="0093507B"/>
    <w:rsid w:val="00935A82"/>
    <w:rsid w:val="00935D8C"/>
    <w:rsid w:val="009360D9"/>
    <w:rsid w:val="00936428"/>
    <w:rsid w:val="00937470"/>
    <w:rsid w:val="009375DF"/>
    <w:rsid w:val="009401E4"/>
    <w:rsid w:val="00940954"/>
    <w:rsid w:val="00940B0B"/>
    <w:rsid w:val="0094203A"/>
    <w:rsid w:val="00942F3F"/>
    <w:rsid w:val="009430C1"/>
    <w:rsid w:val="0094357B"/>
    <w:rsid w:val="00943919"/>
    <w:rsid w:val="00943CED"/>
    <w:rsid w:val="00943EE8"/>
    <w:rsid w:val="00944061"/>
    <w:rsid w:val="009441E6"/>
    <w:rsid w:val="00944744"/>
    <w:rsid w:val="00944D41"/>
    <w:rsid w:val="00945772"/>
    <w:rsid w:val="009466B0"/>
    <w:rsid w:val="0094682F"/>
    <w:rsid w:val="00946A3A"/>
    <w:rsid w:val="00946C64"/>
    <w:rsid w:val="00947AD0"/>
    <w:rsid w:val="00947FC4"/>
    <w:rsid w:val="0095179E"/>
    <w:rsid w:val="00951C8D"/>
    <w:rsid w:val="00953505"/>
    <w:rsid w:val="00953E0A"/>
    <w:rsid w:val="009545F0"/>
    <w:rsid w:val="00954612"/>
    <w:rsid w:val="009548A6"/>
    <w:rsid w:val="009550B7"/>
    <w:rsid w:val="0095533C"/>
    <w:rsid w:val="00955514"/>
    <w:rsid w:val="00955AC3"/>
    <w:rsid w:val="00955C43"/>
    <w:rsid w:val="00956541"/>
    <w:rsid w:val="00957281"/>
    <w:rsid w:val="00957459"/>
    <w:rsid w:val="009612A5"/>
    <w:rsid w:val="00961847"/>
    <w:rsid w:val="009628CE"/>
    <w:rsid w:val="00964DEF"/>
    <w:rsid w:val="009653BE"/>
    <w:rsid w:val="00965AD0"/>
    <w:rsid w:val="00966AE7"/>
    <w:rsid w:val="009671A9"/>
    <w:rsid w:val="0096760D"/>
    <w:rsid w:val="00967725"/>
    <w:rsid w:val="009706BA"/>
    <w:rsid w:val="00970D12"/>
    <w:rsid w:val="009712E4"/>
    <w:rsid w:val="00971DC6"/>
    <w:rsid w:val="00972762"/>
    <w:rsid w:val="00972BA9"/>
    <w:rsid w:val="0097454D"/>
    <w:rsid w:val="009756B8"/>
    <w:rsid w:val="009762CA"/>
    <w:rsid w:val="00976717"/>
    <w:rsid w:val="009769A7"/>
    <w:rsid w:val="00976F12"/>
    <w:rsid w:val="00976FB9"/>
    <w:rsid w:val="00977E68"/>
    <w:rsid w:val="00980A99"/>
    <w:rsid w:val="009824D5"/>
    <w:rsid w:val="0098293A"/>
    <w:rsid w:val="00982A51"/>
    <w:rsid w:val="009834FE"/>
    <w:rsid w:val="00983819"/>
    <w:rsid w:val="00983A49"/>
    <w:rsid w:val="00984D0E"/>
    <w:rsid w:val="00984E85"/>
    <w:rsid w:val="00985078"/>
    <w:rsid w:val="009856DD"/>
    <w:rsid w:val="00985E34"/>
    <w:rsid w:val="00986181"/>
    <w:rsid w:val="00986D14"/>
    <w:rsid w:val="00987778"/>
    <w:rsid w:val="009877CD"/>
    <w:rsid w:val="00987EE3"/>
    <w:rsid w:val="009915C7"/>
    <w:rsid w:val="0099179C"/>
    <w:rsid w:val="00991C14"/>
    <w:rsid w:val="00991D7E"/>
    <w:rsid w:val="00991FF8"/>
    <w:rsid w:val="00992316"/>
    <w:rsid w:val="00993865"/>
    <w:rsid w:val="00993A53"/>
    <w:rsid w:val="00993CA5"/>
    <w:rsid w:val="00993F0F"/>
    <w:rsid w:val="0099413B"/>
    <w:rsid w:val="00994512"/>
    <w:rsid w:val="00994A00"/>
    <w:rsid w:val="00994D89"/>
    <w:rsid w:val="009951E7"/>
    <w:rsid w:val="00995C0B"/>
    <w:rsid w:val="00995C40"/>
    <w:rsid w:val="00997104"/>
    <w:rsid w:val="009A0100"/>
    <w:rsid w:val="009A13A7"/>
    <w:rsid w:val="009A1574"/>
    <w:rsid w:val="009A1CBE"/>
    <w:rsid w:val="009A1F1F"/>
    <w:rsid w:val="009A2432"/>
    <w:rsid w:val="009A37E2"/>
    <w:rsid w:val="009A3D18"/>
    <w:rsid w:val="009A4FA8"/>
    <w:rsid w:val="009A525B"/>
    <w:rsid w:val="009A58F5"/>
    <w:rsid w:val="009A5B54"/>
    <w:rsid w:val="009A657F"/>
    <w:rsid w:val="009A697D"/>
    <w:rsid w:val="009A6B8B"/>
    <w:rsid w:val="009A6F18"/>
    <w:rsid w:val="009A74CD"/>
    <w:rsid w:val="009A75FD"/>
    <w:rsid w:val="009B01C5"/>
    <w:rsid w:val="009B042F"/>
    <w:rsid w:val="009B0D7B"/>
    <w:rsid w:val="009B186A"/>
    <w:rsid w:val="009B18A3"/>
    <w:rsid w:val="009B1BE6"/>
    <w:rsid w:val="009B1C3E"/>
    <w:rsid w:val="009B1E69"/>
    <w:rsid w:val="009B3259"/>
    <w:rsid w:val="009B3B2E"/>
    <w:rsid w:val="009B3D7F"/>
    <w:rsid w:val="009B3ED8"/>
    <w:rsid w:val="009B4054"/>
    <w:rsid w:val="009B4202"/>
    <w:rsid w:val="009B4B37"/>
    <w:rsid w:val="009B4CAA"/>
    <w:rsid w:val="009B56D5"/>
    <w:rsid w:val="009B5E8E"/>
    <w:rsid w:val="009B6100"/>
    <w:rsid w:val="009B735F"/>
    <w:rsid w:val="009B77E2"/>
    <w:rsid w:val="009C0CB9"/>
    <w:rsid w:val="009C136A"/>
    <w:rsid w:val="009C1737"/>
    <w:rsid w:val="009C19B6"/>
    <w:rsid w:val="009C1ABE"/>
    <w:rsid w:val="009C1D6A"/>
    <w:rsid w:val="009C29B0"/>
    <w:rsid w:val="009C2D8D"/>
    <w:rsid w:val="009C39F8"/>
    <w:rsid w:val="009C4939"/>
    <w:rsid w:val="009C4D21"/>
    <w:rsid w:val="009C5F54"/>
    <w:rsid w:val="009C60D3"/>
    <w:rsid w:val="009C628B"/>
    <w:rsid w:val="009C6744"/>
    <w:rsid w:val="009C6832"/>
    <w:rsid w:val="009C6935"/>
    <w:rsid w:val="009C7009"/>
    <w:rsid w:val="009C7064"/>
    <w:rsid w:val="009C7200"/>
    <w:rsid w:val="009C79CD"/>
    <w:rsid w:val="009C7E68"/>
    <w:rsid w:val="009D0E39"/>
    <w:rsid w:val="009D104A"/>
    <w:rsid w:val="009D29AC"/>
    <w:rsid w:val="009D3A23"/>
    <w:rsid w:val="009D3EE8"/>
    <w:rsid w:val="009D42E2"/>
    <w:rsid w:val="009D5484"/>
    <w:rsid w:val="009D57C8"/>
    <w:rsid w:val="009D5AC9"/>
    <w:rsid w:val="009D6095"/>
    <w:rsid w:val="009D7767"/>
    <w:rsid w:val="009E0286"/>
    <w:rsid w:val="009E045D"/>
    <w:rsid w:val="009E04EB"/>
    <w:rsid w:val="009E05D5"/>
    <w:rsid w:val="009E1653"/>
    <w:rsid w:val="009E20E8"/>
    <w:rsid w:val="009E2308"/>
    <w:rsid w:val="009E237E"/>
    <w:rsid w:val="009E272A"/>
    <w:rsid w:val="009E2BFF"/>
    <w:rsid w:val="009E3BD0"/>
    <w:rsid w:val="009E3FE4"/>
    <w:rsid w:val="009E5170"/>
    <w:rsid w:val="009E5464"/>
    <w:rsid w:val="009E69B5"/>
    <w:rsid w:val="009E6C78"/>
    <w:rsid w:val="009E6EB6"/>
    <w:rsid w:val="009E6F30"/>
    <w:rsid w:val="009E7365"/>
    <w:rsid w:val="009F0303"/>
    <w:rsid w:val="009F1436"/>
    <w:rsid w:val="009F1821"/>
    <w:rsid w:val="009F2CBB"/>
    <w:rsid w:val="009F41B4"/>
    <w:rsid w:val="009F45B7"/>
    <w:rsid w:val="009F4793"/>
    <w:rsid w:val="009F4FD7"/>
    <w:rsid w:val="009F5EB4"/>
    <w:rsid w:val="009F6988"/>
    <w:rsid w:val="009F6CB9"/>
    <w:rsid w:val="009F72F0"/>
    <w:rsid w:val="009F7301"/>
    <w:rsid w:val="009F7351"/>
    <w:rsid w:val="009F7494"/>
    <w:rsid w:val="009F7C4D"/>
    <w:rsid w:val="00A0022C"/>
    <w:rsid w:val="00A014FF"/>
    <w:rsid w:val="00A017D2"/>
    <w:rsid w:val="00A019AC"/>
    <w:rsid w:val="00A029FA"/>
    <w:rsid w:val="00A03E62"/>
    <w:rsid w:val="00A04273"/>
    <w:rsid w:val="00A04B34"/>
    <w:rsid w:val="00A051C9"/>
    <w:rsid w:val="00A05DB8"/>
    <w:rsid w:val="00A06249"/>
    <w:rsid w:val="00A065DA"/>
    <w:rsid w:val="00A06A78"/>
    <w:rsid w:val="00A06E9E"/>
    <w:rsid w:val="00A0729B"/>
    <w:rsid w:val="00A076C0"/>
    <w:rsid w:val="00A07B66"/>
    <w:rsid w:val="00A101CF"/>
    <w:rsid w:val="00A10887"/>
    <w:rsid w:val="00A10C81"/>
    <w:rsid w:val="00A10F56"/>
    <w:rsid w:val="00A11019"/>
    <w:rsid w:val="00A112D8"/>
    <w:rsid w:val="00A11AFC"/>
    <w:rsid w:val="00A11B9E"/>
    <w:rsid w:val="00A120FC"/>
    <w:rsid w:val="00A12877"/>
    <w:rsid w:val="00A148D2"/>
    <w:rsid w:val="00A14D8D"/>
    <w:rsid w:val="00A15746"/>
    <w:rsid w:val="00A15CED"/>
    <w:rsid w:val="00A15F51"/>
    <w:rsid w:val="00A164FD"/>
    <w:rsid w:val="00A16678"/>
    <w:rsid w:val="00A16E91"/>
    <w:rsid w:val="00A178F3"/>
    <w:rsid w:val="00A20787"/>
    <w:rsid w:val="00A2095C"/>
    <w:rsid w:val="00A20F55"/>
    <w:rsid w:val="00A210C9"/>
    <w:rsid w:val="00A21141"/>
    <w:rsid w:val="00A2133E"/>
    <w:rsid w:val="00A214DF"/>
    <w:rsid w:val="00A2160B"/>
    <w:rsid w:val="00A21976"/>
    <w:rsid w:val="00A21AA7"/>
    <w:rsid w:val="00A2277C"/>
    <w:rsid w:val="00A22A26"/>
    <w:rsid w:val="00A22BE5"/>
    <w:rsid w:val="00A23047"/>
    <w:rsid w:val="00A249B0"/>
    <w:rsid w:val="00A24B15"/>
    <w:rsid w:val="00A25289"/>
    <w:rsid w:val="00A261F5"/>
    <w:rsid w:val="00A26869"/>
    <w:rsid w:val="00A269EC"/>
    <w:rsid w:val="00A26CFA"/>
    <w:rsid w:val="00A26D49"/>
    <w:rsid w:val="00A2757C"/>
    <w:rsid w:val="00A277D5"/>
    <w:rsid w:val="00A30CDD"/>
    <w:rsid w:val="00A311C8"/>
    <w:rsid w:val="00A31426"/>
    <w:rsid w:val="00A316C8"/>
    <w:rsid w:val="00A317E2"/>
    <w:rsid w:val="00A3216C"/>
    <w:rsid w:val="00A32D5D"/>
    <w:rsid w:val="00A333AB"/>
    <w:rsid w:val="00A336A9"/>
    <w:rsid w:val="00A349FF"/>
    <w:rsid w:val="00A34F7E"/>
    <w:rsid w:val="00A357A9"/>
    <w:rsid w:val="00A35C6F"/>
    <w:rsid w:val="00A36A00"/>
    <w:rsid w:val="00A36AA2"/>
    <w:rsid w:val="00A3720B"/>
    <w:rsid w:val="00A37660"/>
    <w:rsid w:val="00A37701"/>
    <w:rsid w:val="00A377AF"/>
    <w:rsid w:val="00A37DD6"/>
    <w:rsid w:val="00A37F82"/>
    <w:rsid w:val="00A4018B"/>
    <w:rsid w:val="00A40364"/>
    <w:rsid w:val="00A40984"/>
    <w:rsid w:val="00A40B01"/>
    <w:rsid w:val="00A42225"/>
    <w:rsid w:val="00A42902"/>
    <w:rsid w:val="00A4423C"/>
    <w:rsid w:val="00A444AC"/>
    <w:rsid w:val="00A4493A"/>
    <w:rsid w:val="00A44B4C"/>
    <w:rsid w:val="00A44D02"/>
    <w:rsid w:val="00A44EA5"/>
    <w:rsid w:val="00A45730"/>
    <w:rsid w:val="00A4592B"/>
    <w:rsid w:val="00A46798"/>
    <w:rsid w:val="00A47523"/>
    <w:rsid w:val="00A5067B"/>
    <w:rsid w:val="00A50F51"/>
    <w:rsid w:val="00A5295A"/>
    <w:rsid w:val="00A52981"/>
    <w:rsid w:val="00A539C5"/>
    <w:rsid w:val="00A54D79"/>
    <w:rsid w:val="00A55D6E"/>
    <w:rsid w:val="00A55E6B"/>
    <w:rsid w:val="00A56126"/>
    <w:rsid w:val="00A56319"/>
    <w:rsid w:val="00A57F02"/>
    <w:rsid w:val="00A57F62"/>
    <w:rsid w:val="00A61309"/>
    <w:rsid w:val="00A61C2C"/>
    <w:rsid w:val="00A62152"/>
    <w:rsid w:val="00A62A24"/>
    <w:rsid w:val="00A6326D"/>
    <w:rsid w:val="00A63272"/>
    <w:rsid w:val="00A63A64"/>
    <w:rsid w:val="00A63C7D"/>
    <w:rsid w:val="00A64495"/>
    <w:rsid w:val="00A6471C"/>
    <w:rsid w:val="00A65161"/>
    <w:rsid w:val="00A66043"/>
    <w:rsid w:val="00A66215"/>
    <w:rsid w:val="00A66577"/>
    <w:rsid w:val="00A678BD"/>
    <w:rsid w:val="00A679F5"/>
    <w:rsid w:val="00A67EB3"/>
    <w:rsid w:val="00A711F0"/>
    <w:rsid w:val="00A71530"/>
    <w:rsid w:val="00A72D5C"/>
    <w:rsid w:val="00A72F5C"/>
    <w:rsid w:val="00A73A4C"/>
    <w:rsid w:val="00A74490"/>
    <w:rsid w:val="00A75A39"/>
    <w:rsid w:val="00A75D2A"/>
    <w:rsid w:val="00A8069D"/>
    <w:rsid w:val="00A814AC"/>
    <w:rsid w:val="00A81822"/>
    <w:rsid w:val="00A8292F"/>
    <w:rsid w:val="00A83393"/>
    <w:rsid w:val="00A8377F"/>
    <w:rsid w:val="00A83985"/>
    <w:rsid w:val="00A83D12"/>
    <w:rsid w:val="00A8417A"/>
    <w:rsid w:val="00A8481D"/>
    <w:rsid w:val="00A8487E"/>
    <w:rsid w:val="00A851B1"/>
    <w:rsid w:val="00A85B55"/>
    <w:rsid w:val="00A8639F"/>
    <w:rsid w:val="00A86BA7"/>
    <w:rsid w:val="00A90D43"/>
    <w:rsid w:val="00A9183C"/>
    <w:rsid w:val="00A9190B"/>
    <w:rsid w:val="00A921CE"/>
    <w:rsid w:val="00A926B5"/>
    <w:rsid w:val="00A93BEC"/>
    <w:rsid w:val="00A93D2F"/>
    <w:rsid w:val="00A95AEE"/>
    <w:rsid w:val="00A95C6E"/>
    <w:rsid w:val="00A9652F"/>
    <w:rsid w:val="00A96792"/>
    <w:rsid w:val="00A97476"/>
    <w:rsid w:val="00A9749C"/>
    <w:rsid w:val="00A976CB"/>
    <w:rsid w:val="00AA07C5"/>
    <w:rsid w:val="00AA1089"/>
    <w:rsid w:val="00AA207A"/>
    <w:rsid w:val="00AA22DB"/>
    <w:rsid w:val="00AA2756"/>
    <w:rsid w:val="00AA2832"/>
    <w:rsid w:val="00AA2B38"/>
    <w:rsid w:val="00AA35C6"/>
    <w:rsid w:val="00AA407D"/>
    <w:rsid w:val="00AA4748"/>
    <w:rsid w:val="00AA4E52"/>
    <w:rsid w:val="00AA4FBA"/>
    <w:rsid w:val="00AA4FC3"/>
    <w:rsid w:val="00AA72F2"/>
    <w:rsid w:val="00AA78A2"/>
    <w:rsid w:val="00AB04CA"/>
    <w:rsid w:val="00AB1A41"/>
    <w:rsid w:val="00AB1C4D"/>
    <w:rsid w:val="00AB1DDB"/>
    <w:rsid w:val="00AB237B"/>
    <w:rsid w:val="00AB274B"/>
    <w:rsid w:val="00AB30D5"/>
    <w:rsid w:val="00AB4F1E"/>
    <w:rsid w:val="00AB5C6D"/>
    <w:rsid w:val="00AB6462"/>
    <w:rsid w:val="00AB6754"/>
    <w:rsid w:val="00AB7200"/>
    <w:rsid w:val="00AB7326"/>
    <w:rsid w:val="00AC2910"/>
    <w:rsid w:val="00AC3304"/>
    <w:rsid w:val="00AC36C8"/>
    <w:rsid w:val="00AC45E4"/>
    <w:rsid w:val="00AC6614"/>
    <w:rsid w:val="00AC668B"/>
    <w:rsid w:val="00AC703F"/>
    <w:rsid w:val="00AC705B"/>
    <w:rsid w:val="00AD0074"/>
    <w:rsid w:val="00AD0D0C"/>
    <w:rsid w:val="00AD11C1"/>
    <w:rsid w:val="00AD2212"/>
    <w:rsid w:val="00AD38A7"/>
    <w:rsid w:val="00AD3C3C"/>
    <w:rsid w:val="00AD452B"/>
    <w:rsid w:val="00AD5C88"/>
    <w:rsid w:val="00AD5D7B"/>
    <w:rsid w:val="00AD5DD3"/>
    <w:rsid w:val="00AD5EC2"/>
    <w:rsid w:val="00AD5FB4"/>
    <w:rsid w:val="00AD6C9C"/>
    <w:rsid w:val="00AD6D5E"/>
    <w:rsid w:val="00AD7F5A"/>
    <w:rsid w:val="00AE04CA"/>
    <w:rsid w:val="00AE0548"/>
    <w:rsid w:val="00AE0DAF"/>
    <w:rsid w:val="00AE0E64"/>
    <w:rsid w:val="00AE1698"/>
    <w:rsid w:val="00AE1F69"/>
    <w:rsid w:val="00AE21F5"/>
    <w:rsid w:val="00AE2490"/>
    <w:rsid w:val="00AE2616"/>
    <w:rsid w:val="00AE26FA"/>
    <w:rsid w:val="00AE2707"/>
    <w:rsid w:val="00AE309C"/>
    <w:rsid w:val="00AE3131"/>
    <w:rsid w:val="00AE3859"/>
    <w:rsid w:val="00AE3D2D"/>
    <w:rsid w:val="00AE4A73"/>
    <w:rsid w:val="00AE5CE8"/>
    <w:rsid w:val="00AE6A1C"/>
    <w:rsid w:val="00AE6A3F"/>
    <w:rsid w:val="00AE7A8B"/>
    <w:rsid w:val="00AF117F"/>
    <w:rsid w:val="00AF129B"/>
    <w:rsid w:val="00AF1A7D"/>
    <w:rsid w:val="00AF328B"/>
    <w:rsid w:val="00AF440A"/>
    <w:rsid w:val="00AF45BF"/>
    <w:rsid w:val="00AF4AC9"/>
    <w:rsid w:val="00AF4B4E"/>
    <w:rsid w:val="00AF5C92"/>
    <w:rsid w:val="00AF641D"/>
    <w:rsid w:val="00AF67D2"/>
    <w:rsid w:val="00AF77AF"/>
    <w:rsid w:val="00AF7D7C"/>
    <w:rsid w:val="00AF7E36"/>
    <w:rsid w:val="00B0094B"/>
    <w:rsid w:val="00B00B03"/>
    <w:rsid w:val="00B00DAF"/>
    <w:rsid w:val="00B00EF9"/>
    <w:rsid w:val="00B00F11"/>
    <w:rsid w:val="00B021FD"/>
    <w:rsid w:val="00B02616"/>
    <w:rsid w:val="00B02AF7"/>
    <w:rsid w:val="00B03AE9"/>
    <w:rsid w:val="00B03B3B"/>
    <w:rsid w:val="00B04936"/>
    <w:rsid w:val="00B050B5"/>
    <w:rsid w:val="00B0566B"/>
    <w:rsid w:val="00B05B41"/>
    <w:rsid w:val="00B05FF3"/>
    <w:rsid w:val="00B060D9"/>
    <w:rsid w:val="00B07BB7"/>
    <w:rsid w:val="00B10079"/>
    <w:rsid w:val="00B11D23"/>
    <w:rsid w:val="00B12485"/>
    <w:rsid w:val="00B125E0"/>
    <w:rsid w:val="00B12E8D"/>
    <w:rsid w:val="00B131BE"/>
    <w:rsid w:val="00B13AAB"/>
    <w:rsid w:val="00B13E45"/>
    <w:rsid w:val="00B149F8"/>
    <w:rsid w:val="00B15896"/>
    <w:rsid w:val="00B15B28"/>
    <w:rsid w:val="00B15EB7"/>
    <w:rsid w:val="00B16A85"/>
    <w:rsid w:val="00B204D4"/>
    <w:rsid w:val="00B20BA3"/>
    <w:rsid w:val="00B20F36"/>
    <w:rsid w:val="00B21E54"/>
    <w:rsid w:val="00B22334"/>
    <w:rsid w:val="00B22530"/>
    <w:rsid w:val="00B2254F"/>
    <w:rsid w:val="00B2260B"/>
    <w:rsid w:val="00B22E82"/>
    <w:rsid w:val="00B23378"/>
    <w:rsid w:val="00B2370F"/>
    <w:rsid w:val="00B237BD"/>
    <w:rsid w:val="00B23F93"/>
    <w:rsid w:val="00B2412B"/>
    <w:rsid w:val="00B24547"/>
    <w:rsid w:val="00B254B4"/>
    <w:rsid w:val="00B26C79"/>
    <w:rsid w:val="00B26DAB"/>
    <w:rsid w:val="00B27020"/>
    <w:rsid w:val="00B301A3"/>
    <w:rsid w:val="00B303EC"/>
    <w:rsid w:val="00B308FF"/>
    <w:rsid w:val="00B3101E"/>
    <w:rsid w:val="00B3127E"/>
    <w:rsid w:val="00B31464"/>
    <w:rsid w:val="00B31D1F"/>
    <w:rsid w:val="00B3271D"/>
    <w:rsid w:val="00B339FF"/>
    <w:rsid w:val="00B3411C"/>
    <w:rsid w:val="00B34D34"/>
    <w:rsid w:val="00B351EA"/>
    <w:rsid w:val="00B36F08"/>
    <w:rsid w:val="00B379E6"/>
    <w:rsid w:val="00B4005A"/>
    <w:rsid w:val="00B422C6"/>
    <w:rsid w:val="00B42410"/>
    <w:rsid w:val="00B4262A"/>
    <w:rsid w:val="00B42A00"/>
    <w:rsid w:val="00B42C49"/>
    <w:rsid w:val="00B42D1E"/>
    <w:rsid w:val="00B44229"/>
    <w:rsid w:val="00B44728"/>
    <w:rsid w:val="00B44D1C"/>
    <w:rsid w:val="00B458A1"/>
    <w:rsid w:val="00B459CB"/>
    <w:rsid w:val="00B46305"/>
    <w:rsid w:val="00B46E87"/>
    <w:rsid w:val="00B474A2"/>
    <w:rsid w:val="00B47665"/>
    <w:rsid w:val="00B50929"/>
    <w:rsid w:val="00B50CFF"/>
    <w:rsid w:val="00B510F2"/>
    <w:rsid w:val="00B519E3"/>
    <w:rsid w:val="00B5203E"/>
    <w:rsid w:val="00B5318A"/>
    <w:rsid w:val="00B532E8"/>
    <w:rsid w:val="00B5370A"/>
    <w:rsid w:val="00B54286"/>
    <w:rsid w:val="00B54FB3"/>
    <w:rsid w:val="00B550E9"/>
    <w:rsid w:val="00B56D78"/>
    <w:rsid w:val="00B5777A"/>
    <w:rsid w:val="00B60A8D"/>
    <w:rsid w:val="00B618C7"/>
    <w:rsid w:val="00B61DA6"/>
    <w:rsid w:val="00B626ED"/>
    <w:rsid w:val="00B62BC9"/>
    <w:rsid w:val="00B640CA"/>
    <w:rsid w:val="00B653B5"/>
    <w:rsid w:val="00B660EB"/>
    <w:rsid w:val="00B668F9"/>
    <w:rsid w:val="00B66BDD"/>
    <w:rsid w:val="00B67744"/>
    <w:rsid w:val="00B67D3A"/>
    <w:rsid w:val="00B708CA"/>
    <w:rsid w:val="00B70CC1"/>
    <w:rsid w:val="00B710D0"/>
    <w:rsid w:val="00B71CE3"/>
    <w:rsid w:val="00B72323"/>
    <w:rsid w:val="00B7279B"/>
    <w:rsid w:val="00B72B8D"/>
    <w:rsid w:val="00B74BD0"/>
    <w:rsid w:val="00B76425"/>
    <w:rsid w:val="00B7697A"/>
    <w:rsid w:val="00B76ABA"/>
    <w:rsid w:val="00B76BBC"/>
    <w:rsid w:val="00B77106"/>
    <w:rsid w:val="00B7738F"/>
    <w:rsid w:val="00B8001B"/>
    <w:rsid w:val="00B8043C"/>
    <w:rsid w:val="00B80551"/>
    <w:rsid w:val="00B82C4F"/>
    <w:rsid w:val="00B83A71"/>
    <w:rsid w:val="00B83EE5"/>
    <w:rsid w:val="00B85142"/>
    <w:rsid w:val="00B85268"/>
    <w:rsid w:val="00B8527B"/>
    <w:rsid w:val="00B8592A"/>
    <w:rsid w:val="00B8625A"/>
    <w:rsid w:val="00B866C6"/>
    <w:rsid w:val="00B86A54"/>
    <w:rsid w:val="00B876A2"/>
    <w:rsid w:val="00B90582"/>
    <w:rsid w:val="00B90BBA"/>
    <w:rsid w:val="00B913FA"/>
    <w:rsid w:val="00B9259A"/>
    <w:rsid w:val="00B925CC"/>
    <w:rsid w:val="00B934DC"/>
    <w:rsid w:val="00B94880"/>
    <w:rsid w:val="00B94FEE"/>
    <w:rsid w:val="00B9501D"/>
    <w:rsid w:val="00B951D2"/>
    <w:rsid w:val="00B95D69"/>
    <w:rsid w:val="00B96C94"/>
    <w:rsid w:val="00B976C0"/>
    <w:rsid w:val="00BA4747"/>
    <w:rsid w:val="00BA4DD2"/>
    <w:rsid w:val="00BA52D5"/>
    <w:rsid w:val="00BA6205"/>
    <w:rsid w:val="00BA6C53"/>
    <w:rsid w:val="00BA76A0"/>
    <w:rsid w:val="00BA7AA6"/>
    <w:rsid w:val="00BB03CF"/>
    <w:rsid w:val="00BB14F0"/>
    <w:rsid w:val="00BB257F"/>
    <w:rsid w:val="00BB263C"/>
    <w:rsid w:val="00BB367D"/>
    <w:rsid w:val="00BB3B2F"/>
    <w:rsid w:val="00BB3BEA"/>
    <w:rsid w:val="00BB464B"/>
    <w:rsid w:val="00BB4EF2"/>
    <w:rsid w:val="00BB532E"/>
    <w:rsid w:val="00BB74F9"/>
    <w:rsid w:val="00BB7BE8"/>
    <w:rsid w:val="00BC0243"/>
    <w:rsid w:val="00BC0DAB"/>
    <w:rsid w:val="00BC1079"/>
    <w:rsid w:val="00BC15AF"/>
    <w:rsid w:val="00BC16D8"/>
    <w:rsid w:val="00BC17BF"/>
    <w:rsid w:val="00BC268E"/>
    <w:rsid w:val="00BC2765"/>
    <w:rsid w:val="00BC33FA"/>
    <w:rsid w:val="00BC3C37"/>
    <w:rsid w:val="00BC3EE5"/>
    <w:rsid w:val="00BC46F7"/>
    <w:rsid w:val="00BC5751"/>
    <w:rsid w:val="00BC6381"/>
    <w:rsid w:val="00BC7DE5"/>
    <w:rsid w:val="00BD0AD9"/>
    <w:rsid w:val="00BD1B53"/>
    <w:rsid w:val="00BD1C89"/>
    <w:rsid w:val="00BD203E"/>
    <w:rsid w:val="00BD313D"/>
    <w:rsid w:val="00BD3444"/>
    <w:rsid w:val="00BD407B"/>
    <w:rsid w:val="00BD5FAB"/>
    <w:rsid w:val="00BD643E"/>
    <w:rsid w:val="00BD6D15"/>
    <w:rsid w:val="00BD6F33"/>
    <w:rsid w:val="00BD7A0C"/>
    <w:rsid w:val="00BE2135"/>
    <w:rsid w:val="00BE26C7"/>
    <w:rsid w:val="00BE3085"/>
    <w:rsid w:val="00BE3634"/>
    <w:rsid w:val="00BE3BC3"/>
    <w:rsid w:val="00BE45A4"/>
    <w:rsid w:val="00BE4930"/>
    <w:rsid w:val="00BE4C8B"/>
    <w:rsid w:val="00BE6BA0"/>
    <w:rsid w:val="00BE74C6"/>
    <w:rsid w:val="00BE7E89"/>
    <w:rsid w:val="00BF02B1"/>
    <w:rsid w:val="00BF03E3"/>
    <w:rsid w:val="00BF0C70"/>
    <w:rsid w:val="00BF118F"/>
    <w:rsid w:val="00BF16AC"/>
    <w:rsid w:val="00BF1BA3"/>
    <w:rsid w:val="00BF1C47"/>
    <w:rsid w:val="00BF1E7B"/>
    <w:rsid w:val="00BF287F"/>
    <w:rsid w:val="00BF3194"/>
    <w:rsid w:val="00BF33AA"/>
    <w:rsid w:val="00BF3B5F"/>
    <w:rsid w:val="00BF3CED"/>
    <w:rsid w:val="00BF4B2B"/>
    <w:rsid w:val="00BF56EF"/>
    <w:rsid w:val="00BF5FAE"/>
    <w:rsid w:val="00BF63B2"/>
    <w:rsid w:val="00BF6874"/>
    <w:rsid w:val="00BF6BE1"/>
    <w:rsid w:val="00BF6D14"/>
    <w:rsid w:val="00BF6E10"/>
    <w:rsid w:val="00C00AD2"/>
    <w:rsid w:val="00C0132B"/>
    <w:rsid w:val="00C01BFF"/>
    <w:rsid w:val="00C021DD"/>
    <w:rsid w:val="00C02444"/>
    <w:rsid w:val="00C02BC6"/>
    <w:rsid w:val="00C0341F"/>
    <w:rsid w:val="00C03B29"/>
    <w:rsid w:val="00C04388"/>
    <w:rsid w:val="00C046FE"/>
    <w:rsid w:val="00C0510F"/>
    <w:rsid w:val="00C063F5"/>
    <w:rsid w:val="00C068C4"/>
    <w:rsid w:val="00C06E0F"/>
    <w:rsid w:val="00C06F2F"/>
    <w:rsid w:val="00C06FED"/>
    <w:rsid w:val="00C07BB1"/>
    <w:rsid w:val="00C10050"/>
    <w:rsid w:val="00C1169D"/>
    <w:rsid w:val="00C11CCF"/>
    <w:rsid w:val="00C120E6"/>
    <w:rsid w:val="00C12869"/>
    <w:rsid w:val="00C129B3"/>
    <w:rsid w:val="00C12DE8"/>
    <w:rsid w:val="00C13164"/>
    <w:rsid w:val="00C139FB"/>
    <w:rsid w:val="00C14A0A"/>
    <w:rsid w:val="00C14AD3"/>
    <w:rsid w:val="00C17BC4"/>
    <w:rsid w:val="00C20D4B"/>
    <w:rsid w:val="00C23070"/>
    <w:rsid w:val="00C233D2"/>
    <w:rsid w:val="00C24A9C"/>
    <w:rsid w:val="00C24B65"/>
    <w:rsid w:val="00C24FF3"/>
    <w:rsid w:val="00C25666"/>
    <w:rsid w:val="00C259BC"/>
    <w:rsid w:val="00C2701C"/>
    <w:rsid w:val="00C30061"/>
    <w:rsid w:val="00C30AC8"/>
    <w:rsid w:val="00C324A4"/>
    <w:rsid w:val="00C33283"/>
    <w:rsid w:val="00C33D72"/>
    <w:rsid w:val="00C33ED3"/>
    <w:rsid w:val="00C3446D"/>
    <w:rsid w:val="00C34734"/>
    <w:rsid w:val="00C34FFA"/>
    <w:rsid w:val="00C351F4"/>
    <w:rsid w:val="00C358D1"/>
    <w:rsid w:val="00C36444"/>
    <w:rsid w:val="00C37865"/>
    <w:rsid w:val="00C37A06"/>
    <w:rsid w:val="00C40CFE"/>
    <w:rsid w:val="00C4252C"/>
    <w:rsid w:val="00C43DFF"/>
    <w:rsid w:val="00C43E84"/>
    <w:rsid w:val="00C440E1"/>
    <w:rsid w:val="00C44427"/>
    <w:rsid w:val="00C44836"/>
    <w:rsid w:val="00C44942"/>
    <w:rsid w:val="00C45254"/>
    <w:rsid w:val="00C45939"/>
    <w:rsid w:val="00C45C0C"/>
    <w:rsid w:val="00C45C56"/>
    <w:rsid w:val="00C46B2C"/>
    <w:rsid w:val="00C470E1"/>
    <w:rsid w:val="00C47460"/>
    <w:rsid w:val="00C509F4"/>
    <w:rsid w:val="00C51207"/>
    <w:rsid w:val="00C5136B"/>
    <w:rsid w:val="00C51550"/>
    <w:rsid w:val="00C52555"/>
    <w:rsid w:val="00C52647"/>
    <w:rsid w:val="00C52C59"/>
    <w:rsid w:val="00C538B4"/>
    <w:rsid w:val="00C538B5"/>
    <w:rsid w:val="00C5471F"/>
    <w:rsid w:val="00C54A7C"/>
    <w:rsid w:val="00C55070"/>
    <w:rsid w:val="00C559E2"/>
    <w:rsid w:val="00C55B10"/>
    <w:rsid w:val="00C5618C"/>
    <w:rsid w:val="00C5665F"/>
    <w:rsid w:val="00C56741"/>
    <w:rsid w:val="00C56E61"/>
    <w:rsid w:val="00C601C3"/>
    <w:rsid w:val="00C605AE"/>
    <w:rsid w:val="00C60699"/>
    <w:rsid w:val="00C608D5"/>
    <w:rsid w:val="00C61427"/>
    <w:rsid w:val="00C615D8"/>
    <w:rsid w:val="00C61D66"/>
    <w:rsid w:val="00C62C41"/>
    <w:rsid w:val="00C63639"/>
    <w:rsid w:val="00C6393E"/>
    <w:rsid w:val="00C64557"/>
    <w:rsid w:val="00C64964"/>
    <w:rsid w:val="00C65CAA"/>
    <w:rsid w:val="00C666EF"/>
    <w:rsid w:val="00C66A50"/>
    <w:rsid w:val="00C66F9C"/>
    <w:rsid w:val="00C67F97"/>
    <w:rsid w:val="00C70AF6"/>
    <w:rsid w:val="00C710E4"/>
    <w:rsid w:val="00C72782"/>
    <w:rsid w:val="00C72930"/>
    <w:rsid w:val="00C72DA5"/>
    <w:rsid w:val="00C73219"/>
    <w:rsid w:val="00C74193"/>
    <w:rsid w:val="00C75766"/>
    <w:rsid w:val="00C75D9A"/>
    <w:rsid w:val="00C77179"/>
    <w:rsid w:val="00C775A4"/>
    <w:rsid w:val="00C776CC"/>
    <w:rsid w:val="00C77A50"/>
    <w:rsid w:val="00C77B4D"/>
    <w:rsid w:val="00C8008D"/>
    <w:rsid w:val="00C81DC8"/>
    <w:rsid w:val="00C831AF"/>
    <w:rsid w:val="00C833A8"/>
    <w:rsid w:val="00C85F90"/>
    <w:rsid w:val="00C8614E"/>
    <w:rsid w:val="00C8743A"/>
    <w:rsid w:val="00C874D6"/>
    <w:rsid w:val="00C87F01"/>
    <w:rsid w:val="00C9012F"/>
    <w:rsid w:val="00C90A8B"/>
    <w:rsid w:val="00C90E2F"/>
    <w:rsid w:val="00C9113F"/>
    <w:rsid w:val="00C91F59"/>
    <w:rsid w:val="00C92065"/>
    <w:rsid w:val="00C923B0"/>
    <w:rsid w:val="00C926D1"/>
    <w:rsid w:val="00C93658"/>
    <w:rsid w:val="00C9394A"/>
    <w:rsid w:val="00C94468"/>
    <w:rsid w:val="00C94723"/>
    <w:rsid w:val="00C959DC"/>
    <w:rsid w:val="00C95A1A"/>
    <w:rsid w:val="00C963EE"/>
    <w:rsid w:val="00C96500"/>
    <w:rsid w:val="00C9687D"/>
    <w:rsid w:val="00C96953"/>
    <w:rsid w:val="00C97173"/>
    <w:rsid w:val="00C97757"/>
    <w:rsid w:val="00C97B9B"/>
    <w:rsid w:val="00C97ED6"/>
    <w:rsid w:val="00CA00D8"/>
    <w:rsid w:val="00CA02D6"/>
    <w:rsid w:val="00CA0C2F"/>
    <w:rsid w:val="00CA130A"/>
    <w:rsid w:val="00CA1343"/>
    <w:rsid w:val="00CA15E9"/>
    <w:rsid w:val="00CA178C"/>
    <w:rsid w:val="00CA1DD5"/>
    <w:rsid w:val="00CA2B26"/>
    <w:rsid w:val="00CA2D6E"/>
    <w:rsid w:val="00CA34B7"/>
    <w:rsid w:val="00CA3C65"/>
    <w:rsid w:val="00CA43BE"/>
    <w:rsid w:val="00CA609D"/>
    <w:rsid w:val="00CA6350"/>
    <w:rsid w:val="00CA6C61"/>
    <w:rsid w:val="00CA6D96"/>
    <w:rsid w:val="00CA6F51"/>
    <w:rsid w:val="00CA7287"/>
    <w:rsid w:val="00CA7761"/>
    <w:rsid w:val="00CA7A64"/>
    <w:rsid w:val="00CB01B1"/>
    <w:rsid w:val="00CB0CCB"/>
    <w:rsid w:val="00CB1C26"/>
    <w:rsid w:val="00CB1CC8"/>
    <w:rsid w:val="00CB27B2"/>
    <w:rsid w:val="00CB2C3E"/>
    <w:rsid w:val="00CB2CC4"/>
    <w:rsid w:val="00CB3271"/>
    <w:rsid w:val="00CB361A"/>
    <w:rsid w:val="00CB48FC"/>
    <w:rsid w:val="00CB59C3"/>
    <w:rsid w:val="00CB5E07"/>
    <w:rsid w:val="00CC16F8"/>
    <w:rsid w:val="00CC1954"/>
    <w:rsid w:val="00CC1E29"/>
    <w:rsid w:val="00CC2BC5"/>
    <w:rsid w:val="00CC2E57"/>
    <w:rsid w:val="00CC39A7"/>
    <w:rsid w:val="00CC4EDF"/>
    <w:rsid w:val="00CC4F74"/>
    <w:rsid w:val="00CC5091"/>
    <w:rsid w:val="00CC56DC"/>
    <w:rsid w:val="00CC5E98"/>
    <w:rsid w:val="00CC5FF3"/>
    <w:rsid w:val="00CD07B5"/>
    <w:rsid w:val="00CD1EF1"/>
    <w:rsid w:val="00CD21EF"/>
    <w:rsid w:val="00CD2729"/>
    <w:rsid w:val="00CD37D3"/>
    <w:rsid w:val="00CD435A"/>
    <w:rsid w:val="00CD440B"/>
    <w:rsid w:val="00CD4CD9"/>
    <w:rsid w:val="00CD54DC"/>
    <w:rsid w:val="00CD79AE"/>
    <w:rsid w:val="00CD7E08"/>
    <w:rsid w:val="00CE0139"/>
    <w:rsid w:val="00CE03A0"/>
    <w:rsid w:val="00CE04DC"/>
    <w:rsid w:val="00CE0B56"/>
    <w:rsid w:val="00CE0E13"/>
    <w:rsid w:val="00CE2216"/>
    <w:rsid w:val="00CE2F5E"/>
    <w:rsid w:val="00CE2F82"/>
    <w:rsid w:val="00CE3065"/>
    <w:rsid w:val="00CE30CF"/>
    <w:rsid w:val="00CE39B7"/>
    <w:rsid w:val="00CE3AFF"/>
    <w:rsid w:val="00CE4E5F"/>
    <w:rsid w:val="00CE4F1A"/>
    <w:rsid w:val="00CE5B82"/>
    <w:rsid w:val="00CE7AFE"/>
    <w:rsid w:val="00CE7C60"/>
    <w:rsid w:val="00CF07F4"/>
    <w:rsid w:val="00CF0D31"/>
    <w:rsid w:val="00CF0DF2"/>
    <w:rsid w:val="00CF2A0B"/>
    <w:rsid w:val="00CF2AE1"/>
    <w:rsid w:val="00CF2B49"/>
    <w:rsid w:val="00CF3366"/>
    <w:rsid w:val="00CF35D3"/>
    <w:rsid w:val="00CF3859"/>
    <w:rsid w:val="00CF53A8"/>
    <w:rsid w:val="00CF55AF"/>
    <w:rsid w:val="00CF57B6"/>
    <w:rsid w:val="00CF6D14"/>
    <w:rsid w:val="00CF6FF1"/>
    <w:rsid w:val="00D00418"/>
    <w:rsid w:val="00D00904"/>
    <w:rsid w:val="00D00D54"/>
    <w:rsid w:val="00D0342D"/>
    <w:rsid w:val="00D03C48"/>
    <w:rsid w:val="00D03EAC"/>
    <w:rsid w:val="00D04BFF"/>
    <w:rsid w:val="00D0615D"/>
    <w:rsid w:val="00D06255"/>
    <w:rsid w:val="00D068AB"/>
    <w:rsid w:val="00D06F77"/>
    <w:rsid w:val="00D07C81"/>
    <w:rsid w:val="00D07E67"/>
    <w:rsid w:val="00D10F74"/>
    <w:rsid w:val="00D12712"/>
    <w:rsid w:val="00D12EA9"/>
    <w:rsid w:val="00D1333A"/>
    <w:rsid w:val="00D1382C"/>
    <w:rsid w:val="00D13FA9"/>
    <w:rsid w:val="00D14792"/>
    <w:rsid w:val="00D15984"/>
    <w:rsid w:val="00D15EC9"/>
    <w:rsid w:val="00D16394"/>
    <w:rsid w:val="00D164BF"/>
    <w:rsid w:val="00D167C3"/>
    <w:rsid w:val="00D168DD"/>
    <w:rsid w:val="00D16D46"/>
    <w:rsid w:val="00D171C2"/>
    <w:rsid w:val="00D172CD"/>
    <w:rsid w:val="00D1733D"/>
    <w:rsid w:val="00D1733E"/>
    <w:rsid w:val="00D17B93"/>
    <w:rsid w:val="00D17C3B"/>
    <w:rsid w:val="00D2045E"/>
    <w:rsid w:val="00D21014"/>
    <w:rsid w:val="00D21257"/>
    <w:rsid w:val="00D215E2"/>
    <w:rsid w:val="00D222E2"/>
    <w:rsid w:val="00D2246F"/>
    <w:rsid w:val="00D23592"/>
    <w:rsid w:val="00D24145"/>
    <w:rsid w:val="00D24795"/>
    <w:rsid w:val="00D24C36"/>
    <w:rsid w:val="00D25089"/>
    <w:rsid w:val="00D25141"/>
    <w:rsid w:val="00D26439"/>
    <w:rsid w:val="00D2644D"/>
    <w:rsid w:val="00D266B5"/>
    <w:rsid w:val="00D26890"/>
    <w:rsid w:val="00D26C59"/>
    <w:rsid w:val="00D26D9D"/>
    <w:rsid w:val="00D301EE"/>
    <w:rsid w:val="00D306FA"/>
    <w:rsid w:val="00D30B37"/>
    <w:rsid w:val="00D31E5B"/>
    <w:rsid w:val="00D329FA"/>
    <w:rsid w:val="00D34368"/>
    <w:rsid w:val="00D35459"/>
    <w:rsid w:val="00D35809"/>
    <w:rsid w:val="00D35C2D"/>
    <w:rsid w:val="00D36CC0"/>
    <w:rsid w:val="00D3779B"/>
    <w:rsid w:val="00D37D25"/>
    <w:rsid w:val="00D4025A"/>
    <w:rsid w:val="00D413CD"/>
    <w:rsid w:val="00D41A2B"/>
    <w:rsid w:val="00D424D5"/>
    <w:rsid w:val="00D4258E"/>
    <w:rsid w:val="00D42C50"/>
    <w:rsid w:val="00D42E85"/>
    <w:rsid w:val="00D43438"/>
    <w:rsid w:val="00D43633"/>
    <w:rsid w:val="00D439F9"/>
    <w:rsid w:val="00D452EA"/>
    <w:rsid w:val="00D4719A"/>
    <w:rsid w:val="00D47234"/>
    <w:rsid w:val="00D504B4"/>
    <w:rsid w:val="00D5117F"/>
    <w:rsid w:val="00D5174E"/>
    <w:rsid w:val="00D51DD4"/>
    <w:rsid w:val="00D51EC2"/>
    <w:rsid w:val="00D522D7"/>
    <w:rsid w:val="00D5285C"/>
    <w:rsid w:val="00D54710"/>
    <w:rsid w:val="00D54E5B"/>
    <w:rsid w:val="00D55486"/>
    <w:rsid w:val="00D5587A"/>
    <w:rsid w:val="00D55964"/>
    <w:rsid w:val="00D5650D"/>
    <w:rsid w:val="00D56607"/>
    <w:rsid w:val="00D56D0F"/>
    <w:rsid w:val="00D57B5A"/>
    <w:rsid w:val="00D62397"/>
    <w:rsid w:val="00D626C3"/>
    <w:rsid w:val="00D63492"/>
    <w:rsid w:val="00D63597"/>
    <w:rsid w:val="00D63A17"/>
    <w:rsid w:val="00D649FB"/>
    <w:rsid w:val="00D64AB4"/>
    <w:rsid w:val="00D64AD0"/>
    <w:rsid w:val="00D64B4E"/>
    <w:rsid w:val="00D6505D"/>
    <w:rsid w:val="00D669B1"/>
    <w:rsid w:val="00D6798D"/>
    <w:rsid w:val="00D67FE0"/>
    <w:rsid w:val="00D70EB4"/>
    <w:rsid w:val="00D717DE"/>
    <w:rsid w:val="00D7255E"/>
    <w:rsid w:val="00D726C1"/>
    <w:rsid w:val="00D735A8"/>
    <w:rsid w:val="00D73B4E"/>
    <w:rsid w:val="00D7466D"/>
    <w:rsid w:val="00D74C35"/>
    <w:rsid w:val="00D74F6C"/>
    <w:rsid w:val="00D75D2A"/>
    <w:rsid w:val="00D75E46"/>
    <w:rsid w:val="00D7662B"/>
    <w:rsid w:val="00D77855"/>
    <w:rsid w:val="00D807BF"/>
    <w:rsid w:val="00D8192C"/>
    <w:rsid w:val="00D83357"/>
    <w:rsid w:val="00D84556"/>
    <w:rsid w:val="00D84C04"/>
    <w:rsid w:val="00D85691"/>
    <w:rsid w:val="00D85C21"/>
    <w:rsid w:val="00D85CA8"/>
    <w:rsid w:val="00D865A4"/>
    <w:rsid w:val="00D87D2D"/>
    <w:rsid w:val="00D90C4C"/>
    <w:rsid w:val="00D917F2"/>
    <w:rsid w:val="00D927E4"/>
    <w:rsid w:val="00D92F7F"/>
    <w:rsid w:val="00D936C4"/>
    <w:rsid w:val="00D94075"/>
    <w:rsid w:val="00D9425C"/>
    <w:rsid w:val="00D947DB"/>
    <w:rsid w:val="00D954C7"/>
    <w:rsid w:val="00D9601E"/>
    <w:rsid w:val="00D96DAF"/>
    <w:rsid w:val="00D97141"/>
    <w:rsid w:val="00D972DB"/>
    <w:rsid w:val="00D975AB"/>
    <w:rsid w:val="00DA0414"/>
    <w:rsid w:val="00DA05BE"/>
    <w:rsid w:val="00DA10CA"/>
    <w:rsid w:val="00DA1110"/>
    <w:rsid w:val="00DA24FB"/>
    <w:rsid w:val="00DA3439"/>
    <w:rsid w:val="00DA4AC6"/>
    <w:rsid w:val="00DA5837"/>
    <w:rsid w:val="00DA5944"/>
    <w:rsid w:val="00DA601A"/>
    <w:rsid w:val="00DA6939"/>
    <w:rsid w:val="00DB05F1"/>
    <w:rsid w:val="00DB1D65"/>
    <w:rsid w:val="00DB2191"/>
    <w:rsid w:val="00DB2661"/>
    <w:rsid w:val="00DB29E1"/>
    <w:rsid w:val="00DB2A78"/>
    <w:rsid w:val="00DB2AFF"/>
    <w:rsid w:val="00DB3562"/>
    <w:rsid w:val="00DB4084"/>
    <w:rsid w:val="00DB5D02"/>
    <w:rsid w:val="00DB6165"/>
    <w:rsid w:val="00DB656B"/>
    <w:rsid w:val="00DB7DEF"/>
    <w:rsid w:val="00DC0B2E"/>
    <w:rsid w:val="00DC0E53"/>
    <w:rsid w:val="00DC0F27"/>
    <w:rsid w:val="00DC1086"/>
    <w:rsid w:val="00DC171B"/>
    <w:rsid w:val="00DC1957"/>
    <w:rsid w:val="00DC1E8E"/>
    <w:rsid w:val="00DC1FE5"/>
    <w:rsid w:val="00DC246A"/>
    <w:rsid w:val="00DC27C3"/>
    <w:rsid w:val="00DC2BFA"/>
    <w:rsid w:val="00DC357A"/>
    <w:rsid w:val="00DC3586"/>
    <w:rsid w:val="00DC411E"/>
    <w:rsid w:val="00DC59F2"/>
    <w:rsid w:val="00DC5F68"/>
    <w:rsid w:val="00DC66CF"/>
    <w:rsid w:val="00DC6BE2"/>
    <w:rsid w:val="00DC6D5E"/>
    <w:rsid w:val="00DD0800"/>
    <w:rsid w:val="00DD15B4"/>
    <w:rsid w:val="00DD162E"/>
    <w:rsid w:val="00DD1956"/>
    <w:rsid w:val="00DD2210"/>
    <w:rsid w:val="00DD2A9B"/>
    <w:rsid w:val="00DD31FC"/>
    <w:rsid w:val="00DD3DBA"/>
    <w:rsid w:val="00DD43E0"/>
    <w:rsid w:val="00DD47F2"/>
    <w:rsid w:val="00DD5B44"/>
    <w:rsid w:val="00DD5E14"/>
    <w:rsid w:val="00DD6442"/>
    <w:rsid w:val="00DD7389"/>
    <w:rsid w:val="00DE0233"/>
    <w:rsid w:val="00DE0390"/>
    <w:rsid w:val="00DE0453"/>
    <w:rsid w:val="00DE092E"/>
    <w:rsid w:val="00DE098A"/>
    <w:rsid w:val="00DE0CD3"/>
    <w:rsid w:val="00DE1684"/>
    <w:rsid w:val="00DE2037"/>
    <w:rsid w:val="00DE2CFD"/>
    <w:rsid w:val="00DE337B"/>
    <w:rsid w:val="00DE5405"/>
    <w:rsid w:val="00DE5CB3"/>
    <w:rsid w:val="00DE6C3F"/>
    <w:rsid w:val="00DE7B50"/>
    <w:rsid w:val="00DF0672"/>
    <w:rsid w:val="00DF0BB4"/>
    <w:rsid w:val="00DF1778"/>
    <w:rsid w:val="00DF28DB"/>
    <w:rsid w:val="00DF2ABB"/>
    <w:rsid w:val="00DF360A"/>
    <w:rsid w:val="00DF4438"/>
    <w:rsid w:val="00DF460E"/>
    <w:rsid w:val="00DF4649"/>
    <w:rsid w:val="00DF46C9"/>
    <w:rsid w:val="00DF4964"/>
    <w:rsid w:val="00DF5044"/>
    <w:rsid w:val="00DF5711"/>
    <w:rsid w:val="00DF5D4C"/>
    <w:rsid w:val="00DF6175"/>
    <w:rsid w:val="00DF6C98"/>
    <w:rsid w:val="00DF7046"/>
    <w:rsid w:val="00E00B7B"/>
    <w:rsid w:val="00E019C2"/>
    <w:rsid w:val="00E01FD3"/>
    <w:rsid w:val="00E024B0"/>
    <w:rsid w:val="00E028D0"/>
    <w:rsid w:val="00E028FB"/>
    <w:rsid w:val="00E02929"/>
    <w:rsid w:val="00E02B29"/>
    <w:rsid w:val="00E033D6"/>
    <w:rsid w:val="00E0366C"/>
    <w:rsid w:val="00E03D5F"/>
    <w:rsid w:val="00E0640A"/>
    <w:rsid w:val="00E0794B"/>
    <w:rsid w:val="00E079A6"/>
    <w:rsid w:val="00E101E3"/>
    <w:rsid w:val="00E10870"/>
    <w:rsid w:val="00E10B53"/>
    <w:rsid w:val="00E10E22"/>
    <w:rsid w:val="00E110E8"/>
    <w:rsid w:val="00E115D3"/>
    <w:rsid w:val="00E129D0"/>
    <w:rsid w:val="00E129E9"/>
    <w:rsid w:val="00E12BAB"/>
    <w:rsid w:val="00E13211"/>
    <w:rsid w:val="00E137D2"/>
    <w:rsid w:val="00E13E9D"/>
    <w:rsid w:val="00E14060"/>
    <w:rsid w:val="00E14480"/>
    <w:rsid w:val="00E14598"/>
    <w:rsid w:val="00E16F7B"/>
    <w:rsid w:val="00E2092C"/>
    <w:rsid w:val="00E2215E"/>
    <w:rsid w:val="00E22AA5"/>
    <w:rsid w:val="00E235B8"/>
    <w:rsid w:val="00E236B9"/>
    <w:rsid w:val="00E24398"/>
    <w:rsid w:val="00E24A1D"/>
    <w:rsid w:val="00E252DD"/>
    <w:rsid w:val="00E25348"/>
    <w:rsid w:val="00E263B6"/>
    <w:rsid w:val="00E26AA2"/>
    <w:rsid w:val="00E26AE2"/>
    <w:rsid w:val="00E273E6"/>
    <w:rsid w:val="00E31166"/>
    <w:rsid w:val="00E314C0"/>
    <w:rsid w:val="00E3278E"/>
    <w:rsid w:val="00E32A4C"/>
    <w:rsid w:val="00E32D30"/>
    <w:rsid w:val="00E32D69"/>
    <w:rsid w:val="00E33CC5"/>
    <w:rsid w:val="00E33D43"/>
    <w:rsid w:val="00E34550"/>
    <w:rsid w:val="00E3673C"/>
    <w:rsid w:val="00E36AA9"/>
    <w:rsid w:val="00E36CFB"/>
    <w:rsid w:val="00E36ECB"/>
    <w:rsid w:val="00E37971"/>
    <w:rsid w:val="00E402F6"/>
    <w:rsid w:val="00E40966"/>
    <w:rsid w:val="00E417FD"/>
    <w:rsid w:val="00E42FC4"/>
    <w:rsid w:val="00E4312A"/>
    <w:rsid w:val="00E43196"/>
    <w:rsid w:val="00E436C3"/>
    <w:rsid w:val="00E436F6"/>
    <w:rsid w:val="00E4390A"/>
    <w:rsid w:val="00E43B7E"/>
    <w:rsid w:val="00E43FC8"/>
    <w:rsid w:val="00E44709"/>
    <w:rsid w:val="00E448AA"/>
    <w:rsid w:val="00E44FAA"/>
    <w:rsid w:val="00E45700"/>
    <w:rsid w:val="00E45DBF"/>
    <w:rsid w:val="00E45EBA"/>
    <w:rsid w:val="00E4606A"/>
    <w:rsid w:val="00E46234"/>
    <w:rsid w:val="00E465C2"/>
    <w:rsid w:val="00E46BD9"/>
    <w:rsid w:val="00E46E9B"/>
    <w:rsid w:val="00E47705"/>
    <w:rsid w:val="00E50431"/>
    <w:rsid w:val="00E51101"/>
    <w:rsid w:val="00E51B78"/>
    <w:rsid w:val="00E52722"/>
    <w:rsid w:val="00E52BC1"/>
    <w:rsid w:val="00E52BE4"/>
    <w:rsid w:val="00E52DCC"/>
    <w:rsid w:val="00E532CE"/>
    <w:rsid w:val="00E53D59"/>
    <w:rsid w:val="00E5624F"/>
    <w:rsid w:val="00E575FC"/>
    <w:rsid w:val="00E57601"/>
    <w:rsid w:val="00E600B2"/>
    <w:rsid w:val="00E6068A"/>
    <w:rsid w:val="00E60B26"/>
    <w:rsid w:val="00E6114A"/>
    <w:rsid w:val="00E617C7"/>
    <w:rsid w:val="00E61FBF"/>
    <w:rsid w:val="00E62A9A"/>
    <w:rsid w:val="00E63114"/>
    <w:rsid w:val="00E63D28"/>
    <w:rsid w:val="00E64633"/>
    <w:rsid w:val="00E64A3E"/>
    <w:rsid w:val="00E654CE"/>
    <w:rsid w:val="00E66C88"/>
    <w:rsid w:val="00E66DAD"/>
    <w:rsid w:val="00E676C9"/>
    <w:rsid w:val="00E704D3"/>
    <w:rsid w:val="00E70B3C"/>
    <w:rsid w:val="00E71007"/>
    <w:rsid w:val="00E71014"/>
    <w:rsid w:val="00E717FE"/>
    <w:rsid w:val="00E72B96"/>
    <w:rsid w:val="00E72CF5"/>
    <w:rsid w:val="00E7321B"/>
    <w:rsid w:val="00E7532D"/>
    <w:rsid w:val="00E75765"/>
    <w:rsid w:val="00E75933"/>
    <w:rsid w:val="00E7666B"/>
    <w:rsid w:val="00E76EDF"/>
    <w:rsid w:val="00E7717B"/>
    <w:rsid w:val="00E77B3E"/>
    <w:rsid w:val="00E77F32"/>
    <w:rsid w:val="00E803D6"/>
    <w:rsid w:val="00E81187"/>
    <w:rsid w:val="00E8127C"/>
    <w:rsid w:val="00E8228A"/>
    <w:rsid w:val="00E82290"/>
    <w:rsid w:val="00E825B6"/>
    <w:rsid w:val="00E825D7"/>
    <w:rsid w:val="00E82FC0"/>
    <w:rsid w:val="00E83109"/>
    <w:rsid w:val="00E839F9"/>
    <w:rsid w:val="00E83B53"/>
    <w:rsid w:val="00E84ACD"/>
    <w:rsid w:val="00E85433"/>
    <w:rsid w:val="00E8547B"/>
    <w:rsid w:val="00E856D6"/>
    <w:rsid w:val="00E8624D"/>
    <w:rsid w:val="00E867F0"/>
    <w:rsid w:val="00E90F14"/>
    <w:rsid w:val="00E91052"/>
    <w:rsid w:val="00E910D7"/>
    <w:rsid w:val="00E91538"/>
    <w:rsid w:val="00E92265"/>
    <w:rsid w:val="00E92F39"/>
    <w:rsid w:val="00E93E09"/>
    <w:rsid w:val="00E9475B"/>
    <w:rsid w:val="00E948BD"/>
    <w:rsid w:val="00E94C56"/>
    <w:rsid w:val="00E955E0"/>
    <w:rsid w:val="00E95719"/>
    <w:rsid w:val="00E959C4"/>
    <w:rsid w:val="00E96104"/>
    <w:rsid w:val="00E961A6"/>
    <w:rsid w:val="00E961E5"/>
    <w:rsid w:val="00E97BF0"/>
    <w:rsid w:val="00EA1130"/>
    <w:rsid w:val="00EA1BEE"/>
    <w:rsid w:val="00EA4123"/>
    <w:rsid w:val="00EA51C5"/>
    <w:rsid w:val="00EA5756"/>
    <w:rsid w:val="00EA5C77"/>
    <w:rsid w:val="00EA5ECA"/>
    <w:rsid w:val="00EA5ED3"/>
    <w:rsid w:val="00EA5F94"/>
    <w:rsid w:val="00EA79BB"/>
    <w:rsid w:val="00EB0B39"/>
    <w:rsid w:val="00EB0DC7"/>
    <w:rsid w:val="00EB11E5"/>
    <w:rsid w:val="00EB1840"/>
    <w:rsid w:val="00EB289F"/>
    <w:rsid w:val="00EB34D3"/>
    <w:rsid w:val="00EB3CC3"/>
    <w:rsid w:val="00EB44B4"/>
    <w:rsid w:val="00EB49F7"/>
    <w:rsid w:val="00EB4C65"/>
    <w:rsid w:val="00EB6503"/>
    <w:rsid w:val="00EB6BC7"/>
    <w:rsid w:val="00EB721F"/>
    <w:rsid w:val="00EB792E"/>
    <w:rsid w:val="00EB7ACA"/>
    <w:rsid w:val="00EB7E92"/>
    <w:rsid w:val="00EC009D"/>
    <w:rsid w:val="00EC077F"/>
    <w:rsid w:val="00EC0794"/>
    <w:rsid w:val="00EC0CC7"/>
    <w:rsid w:val="00EC0CDA"/>
    <w:rsid w:val="00EC1217"/>
    <w:rsid w:val="00EC146F"/>
    <w:rsid w:val="00EC1CBB"/>
    <w:rsid w:val="00EC2964"/>
    <w:rsid w:val="00EC35D6"/>
    <w:rsid w:val="00EC4041"/>
    <w:rsid w:val="00EC46F4"/>
    <w:rsid w:val="00EC4FF8"/>
    <w:rsid w:val="00EC51AD"/>
    <w:rsid w:val="00EC5894"/>
    <w:rsid w:val="00EC5D32"/>
    <w:rsid w:val="00EC6CE1"/>
    <w:rsid w:val="00EC6D15"/>
    <w:rsid w:val="00EC6D25"/>
    <w:rsid w:val="00EC76A6"/>
    <w:rsid w:val="00EC7920"/>
    <w:rsid w:val="00EC7FAF"/>
    <w:rsid w:val="00ED1CE6"/>
    <w:rsid w:val="00ED1F6C"/>
    <w:rsid w:val="00ED203D"/>
    <w:rsid w:val="00ED2A30"/>
    <w:rsid w:val="00ED32D5"/>
    <w:rsid w:val="00ED43F9"/>
    <w:rsid w:val="00ED4711"/>
    <w:rsid w:val="00ED50EC"/>
    <w:rsid w:val="00ED5D57"/>
    <w:rsid w:val="00ED6E17"/>
    <w:rsid w:val="00ED7307"/>
    <w:rsid w:val="00ED78A2"/>
    <w:rsid w:val="00EE0038"/>
    <w:rsid w:val="00EE0395"/>
    <w:rsid w:val="00EE0E99"/>
    <w:rsid w:val="00EE0F19"/>
    <w:rsid w:val="00EE0F9E"/>
    <w:rsid w:val="00EE1925"/>
    <w:rsid w:val="00EE1B06"/>
    <w:rsid w:val="00EE1B4C"/>
    <w:rsid w:val="00EE1B5A"/>
    <w:rsid w:val="00EE1EFD"/>
    <w:rsid w:val="00EE2D0B"/>
    <w:rsid w:val="00EE2E86"/>
    <w:rsid w:val="00EE2F3C"/>
    <w:rsid w:val="00EE312C"/>
    <w:rsid w:val="00EE494E"/>
    <w:rsid w:val="00EE7589"/>
    <w:rsid w:val="00EE7766"/>
    <w:rsid w:val="00EF01FD"/>
    <w:rsid w:val="00EF034B"/>
    <w:rsid w:val="00EF0565"/>
    <w:rsid w:val="00EF0ABE"/>
    <w:rsid w:val="00EF1139"/>
    <w:rsid w:val="00EF1E8B"/>
    <w:rsid w:val="00EF248E"/>
    <w:rsid w:val="00EF3966"/>
    <w:rsid w:val="00EF3E26"/>
    <w:rsid w:val="00EF3EA0"/>
    <w:rsid w:val="00EF4215"/>
    <w:rsid w:val="00EF4B0B"/>
    <w:rsid w:val="00EF4F79"/>
    <w:rsid w:val="00EF534D"/>
    <w:rsid w:val="00EF6526"/>
    <w:rsid w:val="00EF65E4"/>
    <w:rsid w:val="00EF7E5F"/>
    <w:rsid w:val="00F0070A"/>
    <w:rsid w:val="00F00A3E"/>
    <w:rsid w:val="00F00D39"/>
    <w:rsid w:val="00F02373"/>
    <w:rsid w:val="00F023DC"/>
    <w:rsid w:val="00F02718"/>
    <w:rsid w:val="00F028DC"/>
    <w:rsid w:val="00F02923"/>
    <w:rsid w:val="00F02DE4"/>
    <w:rsid w:val="00F03225"/>
    <w:rsid w:val="00F032D3"/>
    <w:rsid w:val="00F03383"/>
    <w:rsid w:val="00F03583"/>
    <w:rsid w:val="00F03F72"/>
    <w:rsid w:val="00F04026"/>
    <w:rsid w:val="00F05014"/>
    <w:rsid w:val="00F05246"/>
    <w:rsid w:val="00F0604B"/>
    <w:rsid w:val="00F0720A"/>
    <w:rsid w:val="00F1011B"/>
    <w:rsid w:val="00F11040"/>
    <w:rsid w:val="00F110D5"/>
    <w:rsid w:val="00F11319"/>
    <w:rsid w:val="00F11781"/>
    <w:rsid w:val="00F119A9"/>
    <w:rsid w:val="00F12CD5"/>
    <w:rsid w:val="00F13389"/>
    <w:rsid w:val="00F13600"/>
    <w:rsid w:val="00F13BF4"/>
    <w:rsid w:val="00F13FAF"/>
    <w:rsid w:val="00F142E4"/>
    <w:rsid w:val="00F14421"/>
    <w:rsid w:val="00F148BD"/>
    <w:rsid w:val="00F1511E"/>
    <w:rsid w:val="00F15293"/>
    <w:rsid w:val="00F15CB3"/>
    <w:rsid w:val="00F15F48"/>
    <w:rsid w:val="00F16356"/>
    <w:rsid w:val="00F17760"/>
    <w:rsid w:val="00F20132"/>
    <w:rsid w:val="00F209D1"/>
    <w:rsid w:val="00F20AA9"/>
    <w:rsid w:val="00F2136E"/>
    <w:rsid w:val="00F21A60"/>
    <w:rsid w:val="00F2245F"/>
    <w:rsid w:val="00F224DC"/>
    <w:rsid w:val="00F23488"/>
    <w:rsid w:val="00F24F54"/>
    <w:rsid w:val="00F2691A"/>
    <w:rsid w:val="00F26A8E"/>
    <w:rsid w:val="00F27274"/>
    <w:rsid w:val="00F275B3"/>
    <w:rsid w:val="00F303EA"/>
    <w:rsid w:val="00F30930"/>
    <w:rsid w:val="00F31894"/>
    <w:rsid w:val="00F31D6D"/>
    <w:rsid w:val="00F329E6"/>
    <w:rsid w:val="00F32EE3"/>
    <w:rsid w:val="00F334C9"/>
    <w:rsid w:val="00F334F9"/>
    <w:rsid w:val="00F33757"/>
    <w:rsid w:val="00F33E21"/>
    <w:rsid w:val="00F3424E"/>
    <w:rsid w:val="00F3425B"/>
    <w:rsid w:val="00F34337"/>
    <w:rsid w:val="00F34748"/>
    <w:rsid w:val="00F34BBA"/>
    <w:rsid w:val="00F351BC"/>
    <w:rsid w:val="00F35215"/>
    <w:rsid w:val="00F353EB"/>
    <w:rsid w:val="00F354F3"/>
    <w:rsid w:val="00F35C21"/>
    <w:rsid w:val="00F35D9F"/>
    <w:rsid w:val="00F36610"/>
    <w:rsid w:val="00F375DE"/>
    <w:rsid w:val="00F40466"/>
    <w:rsid w:val="00F40F43"/>
    <w:rsid w:val="00F40F9A"/>
    <w:rsid w:val="00F418FC"/>
    <w:rsid w:val="00F4249A"/>
    <w:rsid w:val="00F42747"/>
    <w:rsid w:val="00F43061"/>
    <w:rsid w:val="00F43D42"/>
    <w:rsid w:val="00F44BC8"/>
    <w:rsid w:val="00F44D90"/>
    <w:rsid w:val="00F45C1A"/>
    <w:rsid w:val="00F463E5"/>
    <w:rsid w:val="00F47151"/>
    <w:rsid w:val="00F47F45"/>
    <w:rsid w:val="00F51465"/>
    <w:rsid w:val="00F5154E"/>
    <w:rsid w:val="00F51607"/>
    <w:rsid w:val="00F52021"/>
    <w:rsid w:val="00F52A9A"/>
    <w:rsid w:val="00F52D94"/>
    <w:rsid w:val="00F53632"/>
    <w:rsid w:val="00F537C3"/>
    <w:rsid w:val="00F53C23"/>
    <w:rsid w:val="00F54F4C"/>
    <w:rsid w:val="00F553CC"/>
    <w:rsid w:val="00F55B7E"/>
    <w:rsid w:val="00F55C41"/>
    <w:rsid w:val="00F55E67"/>
    <w:rsid w:val="00F560C2"/>
    <w:rsid w:val="00F56ACC"/>
    <w:rsid w:val="00F56BF9"/>
    <w:rsid w:val="00F5791B"/>
    <w:rsid w:val="00F57DFA"/>
    <w:rsid w:val="00F60415"/>
    <w:rsid w:val="00F616E0"/>
    <w:rsid w:val="00F621C6"/>
    <w:rsid w:val="00F6252F"/>
    <w:rsid w:val="00F62D94"/>
    <w:rsid w:val="00F62ED7"/>
    <w:rsid w:val="00F632DD"/>
    <w:rsid w:val="00F63333"/>
    <w:rsid w:val="00F636CC"/>
    <w:rsid w:val="00F63D1E"/>
    <w:rsid w:val="00F63DD2"/>
    <w:rsid w:val="00F643CF"/>
    <w:rsid w:val="00F64C46"/>
    <w:rsid w:val="00F6515C"/>
    <w:rsid w:val="00F655B2"/>
    <w:rsid w:val="00F65933"/>
    <w:rsid w:val="00F65F69"/>
    <w:rsid w:val="00F66169"/>
    <w:rsid w:val="00F66866"/>
    <w:rsid w:val="00F669F9"/>
    <w:rsid w:val="00F66ECF"/>
    <w:rsid w:val="00F6722C"/>
    <w:rsid w:val="00F6723F"/>
    <w:rsid w:val="00F705EC"/>
    <w:rsid w:val="00F706ED"/>
    <w:rsid w:val="00F70719"/>
    <w:rsid w:val="00F711AD"/>
    <w:rsid w:val="00F711F0"/>
    <w:rsid w:val="00F7179D"/>
    <w:rsid w:val="00F71D5A"/>
    <w:rsid w:val="00F72258"/>
    <w:rsid w:val="00F7372A"/>
    <w:rsid w:val="00F740C5"/>
    <w:rsid w:val="00F75200"/>
    <w:rsid w:val="00F752F7"/>
    <w:rsid w:val="00F75721"/>
    <w:rsid w:val="00F75779"/>
    <w:rsid w:val="00F76589"/>
    <w:rsid w:val="00F76D79"/>
    <w:rsid w:val="00F77AD6"/>
    <w:rsid w:val="00F81338"/>
    <w:rsid w:val="00F81884"/>
    <w:rsid w:val="00F81F2A"/>
    <w:rsid w:val="00F8260A"/>
    <w:rsid w:val="00F82727"/>
    <w:rsid w:val="00F83951"/>
    <w:rsid w:val="00F8407A"/>
    <w:rsid w:val="00F84893"/>
    <w:rsid w:val="00F848EE"/>
    <w:rsid w:val="00F852E2"/>
    <w:rsid w:val="00F858AD"/>
    <w:rsid w:val="00F85ACA"/>
    <w:rsid w:val="00F85CA6"/>
    <w:rsid w:val="00F85DC0"/>
    <w:rsid w:val="00F874B6"/>
    <w:rsid w:val="00F87605"/>
    <w:rsid w:val="00F876E9"/>
    <w:rsid w:val="00F906C8"/>
    <w:rsid w:val="00F90E6C"/>
    <w:rsid w:val="00F922C6"/>
    <w:rsid w:val="00F9231F"/>
    <w:rsid w:val="00F92758"/>
    <w:rsid w:val="00F93B0E"/>
    <w:rsid w:val="00F93FC0"/>
    <w:rsid w:val="00F940E5"/>
    <w:rsid w:val="00F946A8"/>
    <w:rsid w:val="00F94A7F"/>
    <w:rsid w:val="00F94F6B"/>
    <w:rsid w:val="00F95178"/>
    <w:rsid w:val="00F95434"/>
    <w:rsid w:val="00F958D6"/>
    <w:rsid w:val="00F95CE4"/>
    <w:rsid w:val="00F95F45"/>
    <w:rsid w:val="00F96199"/>
    <w:rsid w:val="00F97856"/>
    <w:rsid w:val="00FA0498"/>
    <w:rsid w:val="00FA089A"/>
    <w:rsid w:val="00FA0D19"/>
    <w:rsid w:val="00FA0E3D"/>
    <w:rsid w:val="00FA16D0"/>
    <w:rsid w:val="00FA183F"/>
    <w:rsid w:val="00FA1D62"/>
    <w:rsid w:val="00FA3A37"/>
    <w:rsid w:val="00FA44AE"/>
    <w:rsid w:val="00FA47F6"/>
    <w:rsid w:val="00FA4E55"/>
    <w:rsid w:val="00FA4F50"/>
    <w:rsid w:val="00FA63F0"/>
    <w:rsid w:val="00FA79AD"/>
    <w:rsid w:val="00FA7A6A"/>
    <w:rsid w:val="00FB0524"/>
    <w:rsid w:val="00FB054A"/>
    <w:rsid w:val="00FB08FE"/>
    <w:rsid w:val="00FB1D43"/>
    <w:rsid w:val="00FB259C"/>
    <w:rsid w:val="00FB26B2"/>
    <w:rsid w:val="00FB2D89"/>
    <w:rsid w:val="00FB3E47"/>
    <w:rsid w:val="00FB40C6"/>
    <w:rsid w:val="00FB461E"/>
    <w:rsid w:val="00FB4BDA"/>
    <w:rsid w:val="00FB4D60"/>
    <w:rsid w:val="00FB505D"/>
    <w:rsid w:val="00FB52D5"/>
    <w:rsid w:val="00FB5CE3"/>
    <w:rsid w:val="00FB659C"/>
    <w:rsid w:val="00FB69CC"/>
    <w:rsid w:val="00FB6A7C"/>
    <w:rsid w:val="00FB6D0F"/>
    <w:rsid w:val="00FB6F4C"/>
    <w:rsid w:val="00FB7277"/>
    <w:rsid w:val="00FB72EE"/>
    <w:rsid w:val="00FB7871"/>
    <w:rsid w:val="00FC0037"/>
    <w:rsid w:val="00FC17EA"/>
    <w:rsid w:val="00FC18E9"/>
    <w:rsid w:val="00FC249D"/>
    <w:rsid w:val="00FC2D58"/>
    <w:rsid w:val="00FC399C"/>
    <w:rsid w:val="00FC4F8F"/>
    <w:rsid w:val="00FC58BF"/>
    <w:rsid w:val="00FC5FA8"/>
    <w:rsid w:val="00FC7239"/>
    <w:rsid w:val="00FC7911"/>
    <w:rsid w:val="00FC7B87"/>
    <w:rsid w:val="00FC7CCB"/>
    <w:rsid w:val="00FD0E03"/>
    <w:rsid w:val="00FD140C"/>
    <w:rsid w:val="00FD1827"/>
    <w:rsid w:val="00FD222E"/>
    <w:rsid w:val="00FD373B"/>
    <w:rsid w:val="00FD3A48"/>
    <w:rsid w:val="00FD3B9E"/>
    <w:rsid w:val="00FD4A01"/>
    <w:rsid w:val="00FD4AD6"/>
    <w:rsid w:val="00FD689F"/>
    <w:rsid w:val="00FD69F7"/>
    <w:rsid w:val="00FD6DC1"/>
    <w:rsid w:val="00FD7C12"/>
    <w:rsid w:val="00FD7D47"/>
    <w:rsid w:val="00FE182F"/>
    <w:rsid w:val="00FE192A"/>
    <w:rsid w:val="00FE1AE5"/>
    <w:rsid w:val="00FE1F92"/>
    <w:rsid w:val="00FE2065"/>
    <w:rsid w:val="00FE2D10"/>
    <w:rsid w:val="00FE2DF7"/>
    <w:rsid w:val="00FE3211"/>
    <w:rsid w:val="00FE3A47"/>
    <w:rsid w:val="00FE3DE1"/>
    <w:rsid w:val="00FE3F68"/>
    <w:rsid w:val="00FE3FAB"/>
    <w:rsid w:val="00FE41F8"/>
    <w:rsid w:val="00FE42BB"/>
    <w:rsid w:val="00FE4746"/>
    <w:rsid w:val="00FE5127"/>
    <w:rsid w:val="00FE5432"/>
    <w:rsid w:val="00FE609B"/>
    <w:rsid w:val="00FE7056"/>
    <w:rsid w:val="00FE74DB"/>
    <w:rsid w:val="00FE77DD"/>
    <w:rsid w:val="00FE7AF3"/>
    <w:rsid w:val="00FE7D2D"/>
    <w:rsid w:val="00FF034B"/>
    <w:rsid w:val="00FF0D51"/>
    <w:rsid w:val="00FF1442"/>
    <w:rsid w:val="00FF1A91"/>
    <w:rsid w:val="00FF1C13"/>
    <w:rsid w:val="00FF1C79"/>
    <w:rsid w:val="00FF288F"/>
    <w:rsid w:val="00FF3845"/>
    <w:rsid w:val="00FF3EDD"/>
    <w:rsid w:val="00FF4DEC"/>
    <w:rsid w:val="00FF4ED2"/>
    <w:rsid w:val="00FF55E3"/>
    <w:rsid w:val="00FF56E1"/>
    <w:rsid w:val="00FF5AFE"/>
    <w:rsid w:val="00FF5B00"/>
    <w:rsid w:val="00FF5B74"/>
    <w:rsid w:val="00FF5D1B"/>
    <w:rsid w:val="00FF61BA"/>
    <w:rsid w:val="00FF6A4D"/>
    <w:rsid w:val="00FF6C94"/>
    <w:rsid w:val="00FF6FAE"/>
    <w:rsid w:val="00FF7B5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410BD585"/>
  <w15:docId w15:val="{6B7B2902-8C12-4672-89B7-8C96D0C3E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locked="1" w:semiHidden="1" w:uiPriority="39" w:unhideWhenUsed="1"/>
    <w:lsdException w:name="toc 2" w:locked="1" w:semiHidden="1" w:uiPriority="39" w:unhideWhenUsed="1"/>
    <w:lsdException w:name="toc 3" w:locked="1"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locked="1" w:semiHidden="1" w:unhideWhenUsed="1"/>
    <w:lsdException w:name="header" w:semiHidden="1" w:uiPriority="0" w:unhideWhenUsed="1"/>
    <w:lsdException w:name="footer" w:semiHidden="1" w:unhideWhenUsed="1"/>
    <w:lsdException w:name="index heading" w:semiHidden="1" w:uiPriority="0" w:unhideWhenUsed="1"/>
    <w:lsdException w:name="caption" w:locked="1" w:semiHidden="1" w:uiPriority="35" w:unhideWhenUsed="1" w:qFormat="1"/>
    <w:lsdException w:name="table of figures" w:semiHidden="1" w:uiPriority="0"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semiHidden="1" w:unhideWhenUsed="1"/>
    <w:lsdException w:name="endnote text" w:semiHidden="1"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uiPriority="0"/>
    <w:lsdException w:name="List 2" w:semiHidden="1" w:uiPriority="0" w:unhideWhenUsed="1"/>
    <w:lsdException w:name="List 3" w:semiHidden="1" w:uiPriority="0" w:unhideWhenUsed="1"/>
    <w:lsdException w:name="List 4" w:uiPriority="0"/>
    <w:lsdException w:name="List 5" w:uiPriority="0"/>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locked="1" w:uiPriority="10" w:qFormat="1"/>
    <w:lsdException w:name="Closing" w:semiHidden="1" w:uiPriority="0" w:unhideWhenUsed="1"/>
    <w:lsdException w:name="Signature" w:semiHidden="1" w:uiPriority="0"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locked="1" w:uiPriority="11" w:qFormat="1"/>
    <w:lsdException w:name="Salutation" w:uiPriority="0"/>
    <w:lsdException w:name="Date" w:uiPriority="0"/>
    <w:lsdException w:name="Body Text First Indent" w:uiPriority="0"/>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iPriority="0" w:unhideWhenUsed="1"/>
    <w:lsdException w:name="Plain Text" w:semiHidden="1" w:uiPriority="0" w:unhideWhenUsed="1"/>
    <w:lsdException w:name="E-mail Signature" w:locked="1" w:semiHidden="1" w:unhideWhenUsed="1"/>
    <w:lsdException w:name="HTML Top of Form" w:locked="1" w:semiHidden="1" w:unhideWhenUsed="1"/>
    <w:lsdException w:name="HTML Bottom of Form" w:locked="1" w:semiHidden="1" w:unhideWhenUsed="1"/>
    <w:lsdException w:name="Normal (Web)"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semiHidden="1" w:unhideWhenUsed="1"/>
    <w:lsdException w:name="No List"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iPriority="0"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772A"/>
    <w:rPr>
      <w:rFonts w:eastAsia="Times New Roman"/>
    </w:rPr>
  </w:style>
  <w:style w:type="paragraph" w:styleId="Heading1">
    <w:name w:val="heading 1"/>
    <w:basedOn w:val="Normal"/>
    <w:next w:val="Normal"/>
    <w:link w:val="Heading1Char"/>
    <w:uiPriority w:val="99"/>
    <w:qFormat/>
    <w:rsid w:val="003B5969"/>
    <w:pPr>
      <w:keepNext/>
      <w:numPr>
        <w:numId w:val="28"/>
      </w:numPr>
      <w:tabs>
        <w:tab w:val="left" w:pos="1152"/>
      </w:tabs>
      <w:spacing w:before="120" w:after="240"/>
      <w:outlineLvl w:val="0"/>
    </w:pPr>
    <w:rPr>
      <w:b/>
      <w:caps/>
      <w:color w:val="000000"/>
      <w:sz w:val="28"/>
    </w:rPr>
  </w:style>
  <w:style w:type="paragraph" w:styleId="Heading2">
    <w:name w:val="heading 2"/>
    <w:basedOn w:val="Normal"/>
    <w:next w:val="Normal"/>
    <w:link w:val="Heading2Char"/>
    <w:uiPriority w:val="99"/>
    <w:qFormat/>
    <w:rsid w:val="003B5969"/>
    <w:pPr>
      <w:keepNext/>
      <w:numPr>
        <w:ilvl w:val="1"/>
        <w:numId w:val="28"/>
      </w:numPr>
      <w:tabs>
        <w:tab w:val="left" w:pos="1152"/>
      </w:tabs>
      <w:spacing w:before="120" w:after="240"/>
      <w:outlineLvl w:val="1"/>
    </w:pPr>
    <w:rPr>
      <w:b/>
      <w:color w:val="000000"/>
      <w:sz w:val="28"/>
    </w:rPr>
  </w:style>
  <w:style w:type="paragraph" w:styleId="Heading3">
    <w:name w:val="heading 3"/>
    <w:aliases w:val="3 bullet,b,2"/>
    <w:basedOn w:val="Normal"/>
    <w:next w:val="Normal"/>
    <w:link w:val="Heading3Char"/>
    <w:uiPriority w:val="99"/>
    <w:qFormat/>
    <w:rsid w:val="003B5969"/>
    <w:pPr>
      <w:keepNext/>
      <w:numPr>
        <w:ilvl w:val="2"/>
        <w:numId w:val="28"/>
      </w:numPr>
      <w:tabs>
        <w:tab w:val="clear" w:pos="990"/>
        <w:tab w:val="num" w:pos="720"/>
        <w:tab w:val="left" w:pos="1152"/>
        <w:tab w:val="num" w:pos="6750"/>
      </w:tabs>
      <w:spacing w:before="120" w:after="240"/>
      <w:ind w:left="720"/>
      <w:outlineLvl w:val="2"/>
    </w:pPr>
    <w:rPr>
      <w:b/>
      <w:color w:val="000000"/>
      <w:sz w:val="24"/>
    </w:rPr>
  </w:style>
  <w:style w:type="paragraph" w:styleId="Heading4">
    <w:name w:val="heading 4"/>
    <w:aliases w:val="Tables and Figures"/>
    <w:basedOn w:val="Heading3"/>
    <w:next w:val="Normal"/>
    <w:link w:val="Heading4Char"/>
    <w:uiPriority w:val="99"/>
    <w:qFormat/>
    <w:rsid w:val="000261D0"/>
    <w:pPr>
      <w:numPr>
        <w:ilvl w:val="0"/>
        <w:numId w:val="0"/>
      </w:numPr>
      <w:ind w:left="720" w:hanging="720"/>
      <w:outlineLvl w:val="3"/>
    </w:pPr>
    <w:rPr>
      <w:lang w:val="en-GB"/>
    </w:rPr>
  </w:style>
  <w:style w:type="paragraph" w:styleId="Heading5">
    <w:name w:val="heading 5"/>
    <w:basedOn w:val="Normal"/>
    <w:next w:val="Normal"/>
    <w:link w:val="Heading5Char"/>
    <w:uiPriority w:val="99"/>
    <w:qFormat/>
    <w:rsid w:val="006D1A25"/>
    <w:pPr>
      <w:numPr>
        <w:ilvl w:val="4"/>
        <w:numId w:val="28"/>
      </w:numPr>
      <w:spacing w:before="240" w:after="60"/>
      <w:outlineLvl w:val="4"/>
    </w:pPr>
    <w:rPr>
      <w:sz w:val="22"/>
    </w:rPr>
  </w:style>
  <w:style w:type="paragraph" w:styleId="Heading6">
    <w:name w:val="heading 6"/>
    <w:basedOn w:val="Normal"/>
    <w:next w:val="Normal"/>
    <w:link w:val="Heading6Char"/>
    <w:uiPriority w:val="99"/>
    <w:qFormat/>
    <w:rsid w:val="006D1A25"/>
    <w:pPr>
      <w:numPr>
        <w:ilvl w:val="5"/>
        <w:numId w:val="28"/>
      </w:numPr>
      <w:spacing w:before="240" w:after="60"/>
      <w:outlineLvl w:val="5"/>
    </w:pPr>
    <w:rPr>
      <w:i/>
      <w:sz w:val="22"/>
    </w:rPr>
  </w:style>
  <w:style w:type="paragraph" w:styleId="Heading7">
    <w:name w:val="heading 7"/>
    <w:basedOn w:val="Normal"/>
    <w:next w:val="Normal"/>
    <w:link w:val="Heading7Char"/>
    <w:uiPriority w:val="99"/>
    <w:qFormat/>
    <w:rsid w:val="006D1A25"/>
    <w:pPr>
      <w:numPr>
        <w:ilvl w:val="6"/>
        <w:numId w:val="28"/>
      </w:numPr>
      <w:spacing w:before="240" w:after="60"/>
      <w:outlineLvl w:val="6"/>
    </w:pPr>
    <w:rPr>
      <w:rFonts w:ascii="Arial" w:hAnsi="Arial"/>
    </w:rPr>
  </w:style>
  <w:style w:type="paragraph" w:styleId="Heading8">
    <w:name w:val="heading 8"/>
    <w:basedOn w:val="Normal"/>
    <w:next w:val="Normal"/>
    <w:link w:val="Heading8Char"/>
    <w:uiPriority w:val="99"/>
    <w:qFormat/>
    <w:rsid w:val="006D1A25"/>
    <w:pPr>
      <w:numPr>
        <w:ilvl w:val="7"/>
        <w:numId w:val="28"/>
      </w:numPr>
      <w:spacing w:before="240" w:after="60"/>
      <w:outlineLvl w:val="7"/>
    </w:pPr>
    <w:rPr>
      <w:rFonts w:ascii="Arial" w:hAnsi="Arial"/>
      <w:i/>
    </w:rPr>
  </w:style>
  <w:style w:type="paragraph" w:styleId="Heading9">
    <w:name w:val="heading 9"/>
    <w:basedOn w:val="Normal"/>
    <w:next w:val="Normal"/>
    <w:link w:val="Heading9Char"/>
    <w:uiPriority w:val="99"/>
    <w:qFormat/>
    <w:rsid w:val="006D1A25"/>
    <w:pPr>
      <w:numPr>
        <w:ilvl w:val="8"/>
        <w:numId w:val="28"/>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3B5969"/>
    <w:rPr>
      <w:rFonts w:eastAsia="Times New Roman"/>
      <w:b/>
      <w:caps/>
      <w:color w:val="000000"/>
      <w:sz w:val="28"/>
    </w:rPr>
  </w:style>
  <w:style w:type="character" w:customStyle="1" w:styleId="Heading2Char">
    <w:name w:val="Heading 2 Char"/>
    <w:link w:val="Heading2"/>
    <w:uiPriority w:val="99"/>
    <w:locked/>
    <w:rsid w:val="003B5969"/>
    <w:rPr>
      <w:rFonts w:eastAsia="Times New Roman"/>
      <w:b/>
      <w:color w:val="000000"/>
      <w:sz w:val="28"/>
    </w:rPr>
  </w:style>
  <w:style w:type="character" w:customStyle="1" w:styleId="Heading3Char">
    <w:name w:val="Heading 3 Char"/>
    <w:aliases w:val="3 bullet Char,b Char,2 Char"/>
    <w:link w:val="Heading3"/>
    <w:uiPriority w:val="99"/>
    <w:locked/>
    <w:rsid w:val="003B5969"/>
    <w:rPr>
      <w:rFonts w:eastAsia="Times New Roman"/>
      <w:b/>
      <w:color w:val="000000"/>
      <w:sz w:val="24"/>
    </w:rPr>
  </w:style>
  <w:style w:type="character" w:customStyle="1" w:styleId="Heading4Char">
    <w:name w:val="Heading 4 Char"/>
    <w:aliases w:val="Tables and Figures Char"/>
    <w:link w:val="Heading4"/>
    <w:uiPriority w:val="99"/>
    <w:locked/>
    <w:rsid w:val="000261D0"/>
    <w:rPr>
      <w:rFonts w:eastAsia="Times New Roman"/>
      <w:b/>
      <w:color w:val="000000"/>
      <w:sz w:val="24"/>
      <w:lang w:val="en-GB"/>
    </w:rPr>
  </w:style>
  <w:style w:type="character" w:customStyle="1" w:styleId="Heading5Char">
    <w:name w:val="Heading 5 Char"/>
    <w:link w:val="Heading5"/>
    <w:uiPriority w:val="99"/>
    <w:locked/>
    <w:rsid w:val="006D1A25"/>
    <w:rPr>
      <w:rFonts w:eastAsia="Times New Roman"/>
      <w:sz w:val="22"/>
    </w:rPr>
  </w:style>
  <w:style w:type="character" w:customStyle="1" w:styleId="Heading6Char">
    <w:name w:val="Heading 6 Char"/>
    <w:link w:val="Heading6"/>
    <w:uiPriority w:val="99"/>
    <w:locked/>
    <w:rsid w:val="006D1A25"/>
    <w:rPr>
      <w:rFonts w:eastAsia="Times New Roman"/>
      <w:i/>
      <w:sz w:val="22"/>
    </w:rPr>
  </w:style>
  <w:style w:type="character" w:customStyle="1" w:styleId="Heading7Char">
    <w:name w:val="Heading 7 Char"/>
    <w:link w:val="Heading7"/>
    <w:uiPriority w:val="99"/>
    <w:locked/>
    <w:rsid w:val="006D1A25"/>
    <w:rPr>
      <w:rFonts w:ascii="Arial" w:eastAsia="Times New Roman" w:hAnsi="Arial"/>
    </w:rPr>
  </w:style>
  <w:style w:type="character" w:customStyle="1" w:styleId="Heading8Char">
    <w:name w:val="Heading 8 Char"/>
    <w:link w:val="Heading8"/>
    <w:uiPriority w:val="99"/>
    <w:locked/>
    <w:rsid w:val="006D1A25"/>
    <w:rPr>
      <w:rFonts w:ascii="Arial" w:eastAsia="Times New Roman" w:hAnsi="Arial"/>
      <w:i/>
    </w:rPr>
  </w:style>
  <w:style w:type="character" w:customStyle="1" w:styleId="Heading9Char">
    <w:name w:val="Heading 9 Char"/>
    <w:link w:val="Heading9"/>
    <w:uiPriority w:val="99"/>
    <w:locked/>
    <w:rsid w:val="006D1A25"/>
    <w:rPr>
      <w:rFonts w:ascii="Arial" w:eastAsia="Times New Roman" w:hAnsi="Arial"/>
      <w:b/>
      <w:i/>
      <w:sz w:val="18"/>
    </w:rPr>
  </w:style>
  <w:style w:type="paragraph" w:customStyle="1" w:styleId="MediumGrid21">
    <w:name w:val="Medium Grid 21"/>
    <w:link w:val="MediumGrid2Char"/>
    <w:uiPriority w:val="1"/>
    <w:qFormat/>
    <w:rsid w:val="00283BFB"/>
    <w:rPr>
      <w:sz w:val="22"/>
      <w:szCs w:val="22"/>
    </w:rPr>
  </w:style>
  <w:style w:type="paragraph" w:styleId="Header">
    <w:name w:val="header"/>
    <w:basedOn w:val="Normal"/>
    <w:link w:val="HeaderChar"/>
    <w:uiPriority w:val="99"/>
    <w:rsid w:val="006D1A25"/>
    <w:pPr>
      <w:tabs>
        <w:tab w:val="right" w:pos="8640"/>
        <w:tab w:val="right" w:pos="12960"/>
      </w:tabs>
    </w:pPr>
    <w:rPr>
      <w:noProof/>
    </w:rPr>
  </w:style>
  <w:style w:type="character" w:customStyle="1" w:styleId="HeaderChar">
    <w:name w:val="Header Char"/>
    <w:link w:val="Header"/>
    <w:uiPriority w:val="99"/>
    <w:locked/>
    <w:rsid w:val="006D1A25"/>
    <w:rPr>
      <w:rFonts w:eastAsia="Times New Roman" w:cs="Times New Roman"/>
      <w:noProof/>
      <w:lang w:val="en-US" w:eastAsia="en-US" w:bidi="ar-SA"/>
    </w:rPr>
  </w:style>
  <w:style w:type="paragraph" w:styleId="Footer">
    <w:name w:val="footer"/>
    <w:basedOn w:val="Normal"/>
    <w:link w:val="FooterChar"/>
    <w:uiPriority w:val="99"/>
    <w:rsid w:val="006D1A25"/>
    <w:pPr>
      <w:tabs>
        <w:tab w:val="right" w:pos="8640"/>
        <w:tab w:val="right" w:pos="12960"/>
      </w:tabs>
    </w:pPr>
    <w:rPr>
      <w:noProof/>
    </w:rPr>
  </w:style>
  <w:style w:type="character" w:customStyle="1" w:styleId="FooterChar">
    <w:name w:val="Footer Char"/>
    <w:link w:val="Footer"/>
    <w:uiPriority w:val="99"/>
    <w:locked/>
    <w:rsid w:val="006D1A25"/>
    <w:rPr>
      <w:rFonts w:eastAsia="Times New Roman" w:cs="Times New Roman"/>
      <w:noProof/>
      <w:lang w:val="en-US" w:eastAsia="en-US" w:bidi="ar-SA"/>
    </w:rPr>
  </w:style>
  <w:style w:type="paragraph" w:styleId="EndnoteText">
    <w:name w:val="endnote text"/>
    <w:basedOn w:val="BMSBodyText"/>
    <w:link w:val="EndnoteTextChar"/>
    <w:uiPriority w:val="99"/>
    <w:semiHidden/>
    <w:rsid w:val="006D1A25"/>
    <w:pPr>
      <w:tabs>
        <w:tab w:val="left" w:pos="360"/>
      </w:tabs>
      <w:ind w:left="360" w:hanging="360"/>
    </w:pPr>
  </w:style>
  <w:style w:type="character" w:customStyle="1" w:styleId="EndnoteTextChar">
    <w:name w:val="Endnote Text Char"/>
    <w:link w:val="EndnoteText"/>
    <w:uiPriority w:val="99"/>
    <w:semiHidden/>
    <w:locked/>
    <w:rsid w:val="006D1A25"/>
    <w:rPr>
      <w:rFonts w:eastAsia="Times New Roman" w:cs="Times New Roman"/>
      <w:color w:val="000000"/>
      <w:sz w:val="24"/>
    </w:rPr>
  </w:style>
  <w:style w:type="paragraph" w:customStyle="1" w:styleId="BMSBodyText">
    <w:name w:val="BMS Body Text"/>
    <w:link w:val="BMSBodyTextChar"/>
    <w:rsid w:val="003B5969"/>
    <w:pPr>
      <w:spacing w:before="240" w:after="240" w:line="360" w:lineRule="auto"/>
    </w:pPr>
    <w:rPr>
      <w:rFonts w:eastAsia="Times New Roman"/>
      <w:color w:val="000000"/>
      <w:sz w:val="24"/>
    </w:rPr>
  </w:style>
  <w:style w:type="character" w:customStyle="1" w:styleId="BMSBodyTextChar">
    <w:name w:val="BMS Body Text Char"/>
    <w:link w:val="BMSBodyText"/>
    <w:locked/>
    <w:rsid w:val="003B5969"/>
    <w:rPr>
      <w:rFonts w:eastAsia="Times New Roman"/>
      <w:color w:val="000000"/>
      <w:sz w:val="24"/>
    </w:rPr>
  </w:style>
  <w:style w:type="paragraph" w:styleId="TOC1">
    <w:name w:val="toc 1"/>
    <w:basedOn w:val="Normal"/>
    <w:next w:val="Normal"/>
    <w:uiPriority w:val="39"/>
    <w:rsid w:val="003B5969"/>
    <w:pPr>
      <w:tabs>
        <w:tab w:val="left" w:pos="1152"/>
        <w:tab w:val="right" w:leader="dot" w:pos="8640"/>
      </w:tabs>
      <w:spacing w:before="40" w:after="200"/>
      <w:ind w:left="720" w:right="720" w:hanging="720"/>
    </w:pPr>
    <w:rPr>
      <w:b/>
      <w:caps/>
      <w:sz w:val="28"/>
    </w:rPr>
  </w:style>
  <w:style w:type="paragraph" w:styleId="TOC2">
    <w:name w:val="toc 2"/>
    <w:basedOn w:val="Normal"/>
    <w:next w:val="Normal"/>
    <w:uiPriority w:val="39"/>
    <w:rsid w:val="00BF63B2"/>
    <w:pPr>
      <w:tabs>
        <w:tab w:val="left" w:pos="1152"/>
        <w:tab w:val="right" w:leader="dot" w:pos="8640"/>
      </w:tabs>
      <w:spacing w:after="120"/>
      <w:ind w:left="1440" w:right="720" w:hanging="720"/>
    </w:pPr>
    <w:rPr>
      <w:sz w:val="28"/>
    </w:rPr>
  </w:style>
  <w:style w:type="paragraph" w:styleId="TOC3">
    <w:name w:val="toc 3"/>
    <w:basedOn w:val="TOC2"/>
    <w:next w:val="Normal"/>
    <w:uiPriority w:val="39"/>
    <w:rsid w:val="00BF63B2"/>
    <w:pPr>
      <w:ind w:left="1872" w:right="144"/>
    </w:pPr>
    <w:rPr>
      <w:sz w:val="24"/>
    </w:rPr>
  </w:style>
  <w:style w:type="paragraph" w:styleId="TOC4">
    <w:name w:val="toc 4"/>
    <w:basedOn w:val="TOC2"/>
    <w:next w:val="Normal"/>
    <w:uiPriority w:val="39"/>
    <w:rsid w:val="006D1A25"/>
    <w:rPr>
      <w:sz w:val="24"/>
    </w:rPr>
  </w:style>
  <w:style w:type="paragraph" w:styleId="TOC5">
    <w:name w:val="toc 5"/>
    <w:basedOn w:val="Normal"/>
    <w:next w:val="Normal"/>
    <w:autoRedefine/>
    <w:uiPriority w:val="39"/>
    <w:rsid w:val="006D1A25"/>
    <w:rPr>
      <w:sz w:val="22"/>
    </w:rPr>
  </w:style>
  <w:style w:type="character" w:styleId="Hyperlink">
    <w:name w:val="Hyperlink"/>
    <w:uiPriority w:val="99"/>
    <w:rsid w:val="006D1A25"/>
    <w:rPr>
      <w:rFonts w:cs="Times New Roman"/>
      <w:color w:val="000000"/>
      <w:u w:val="none"/>
      <w:effect w:val="none"/>
    </w:rPr>
  </w:style>
  <w:style w:type="paragraph" w:customStyle="1" w:styleId="BMSTableTitle">
    <w:name w:val="BMS Table Title"/>
    <w:uiPriority w:val="99"/>
    <w:rsid w:val="006D1A25"/>
    <w:pPr>
      <w:keepNext/>
      <w:keepLines/>
      <w:tabs>
        <w:tab w:val="left" w:pos="2160"/>
      </w:tabs>
      <w:spacing w:before="120" w:after="120"/>
      <w:ind w:left="2160" w:hanging="2160"/>
    </w:pPr>
    <w:rPr>
      <w:rFonts w:eastAsia="Times New Roman"/>
      <w:b/>
      <w:sz w:val="24"/>
    </w:rPr>
  </w:style>
  <w:style w:type="paragraph" w:customStyle="1" w:styleId="BMSTableData">
    <w:name w:val="BMS Table Data"/>
    <w:uiPriority w:val="99"/>
    <w:rsid w:val="006D1A25"/>
    <w:pPr>
      <w:tabs>
        <w:tab w:val="left" w:pos="360"/>
      </w:tabs>
      <w:spacing w:line="187" w:lineRule="auto"/>
    </w:pPr>
    <w:rPr>
      <w:rFonts w:ascii="Courier New" w:eastAsia="Times New Roman" w:hAnsi="Courier New"/>
    </w:rPr>
  </w:style>
  <w:style w:type="character" w:styleId="EndnoteReference">
    <w:name w:val="endnote reference"/>
    <w:uiPriority w:val="99"/>
    <w:semiHidden/>
    <w:rsid w:val="006D1A25"/>
    <w:rPr>
      <w:rFonts w:cs="Times New Roman"/>
      <w:sz w:val="28"/>
      <w:vertAlign w:val="superscript"/>
    </w:rPr>
  </w:style>
  <w:style w:type="paragraph" w:styleId="TableofFigures">
    <w:name w:val="table of figures"/>
    <w:basedOn w:val="Normal"/>
    <w:next w:val="Normal"/>
    <w:uiPriority w:val="99"/>
    <w:semiHidden/>
    <w:rsid w:val="006D1A25"/>
    <w:pPr>
      <w:tabs>
        <w:tab w:val="left" w:pos="2160"/>
        <w:tab w:val="right" w:leader="dot" w:pos="8640"/>
      </w:tabs>
      <w:spacing w:after="120"/>
      <w:ind w:left="2160" w:right="720" w:hanging="2160"/>
    </w:pPr>
    <w:rPr>
      <w:noProof/>
      <w:sz w:val="24"/>
    </w:rPr>
  </w:style>
  <w:style w:type="character" w:customStyle="1" w:styleId="BMSTableNote">
    <w:name w:val="BMS Table Note"/>
    <w:uiPriority w:val="99"/>
    <w:rsid w:val="006D1A25"/>
    <w:rPr>
      <w:rFonts w:ascii="Times New Roman" w:hAnsi="Times New Roman" w:cs="Times New Roman"/>
      <w:color w:val="auto"/>
      <w:sz w:val="28"/>
      <w:vertAlign w:val="superscript"/>
    </w:rPr>
  </w:style>
  <w:style w:type="paragraph" w:customStyle="1" w:styleId="BMSTableNoteInfo">
    <w:name w:val="BMS Table Note Info"/>
    <w:basedOn w:val="BMSBodyText"/>
    <w:next w:val="BMSBodyText"/>
    <w:uiPriority w:val="99"/>
    <w:rsid w:val="006D1A25"/>
    <w:pPr>
      <w:tabs>
        <w:tab w:val="left" w:pos="216"/>
      </w:tabs>
      <w:spacing w:before="40" w:after="0" w:line="240" w:lineRule="auto"/>
      <w:ind w:left="216" w:hanging="216"/>
    </w:pPr>
    <w:rPr>
      <w:sz w:val="20"/>
    </w:rPr>
  </w:style>
  <w:style w:type="paragraph" w:customStyle="1" w:styleId="BMSBullets">
    <w:name w:val="BMS Bullets"/>
    <w:basedOn w:val="BMSBodyText"/>
    <w:link w:val="BMSBulletsChar"/>
    <w:rsid w:val="006D1A25"/>
    <w:pPr>
      <w:numPr>
        <w:numId w:val="14"/>
      </w:numPr>
      <w:spacing w:before="0" w:after="60" w:line="240" w:lineRule="auto"/>
    </w:pPr>
  </w:style>
  <w:style w:type="character" w:customStyle="1" w:styleId="BMSBulletsChar">
    <w:name w:val="BMS Bullets Char"/>
    <w:basedOn w:val="BMSBodyTextChar"/>
    <w:link w:val="BMSBullets"/>
    <w:locked/>
    <w:rsid w:val="006D1A25"/>
    <w:rPr>
      <w:rFonts w:eastAsia="Times New Roman"/>
      <w:color w:val="000000"/>
      <w:sz w:val="24"/>
    </w:rPr>
  </w:style>
  <w:style w:type="character" w:styleId="FollowedHyperlink">
    <w:name w:val="FollowedHyperlink"/>
    <w:uiPriority w:val="99"/>
    <w:rsid w:val="006D1A25"/>
    <w:rPr>
      <w:rFonts w:cs="Times New Roman"/>
      <w:color w:val="000000"/>
      <w:u w:val="none"/>
      <w:effect w:val="none"/>
    </w:rPr>
  </w:style>
  <w:style w:type="paragraph" w:customStyle="1" w:styleId="BMSEndnoteText">
    <w:name w:val="BMS Endnote Text"/>
    <w:basedOn w:val="BMSBodyText"/>
    <w:uiPriority w:val="99"/>
    <w:rsid w:val="006D1A25"/>
    <w:pPr>
      <w:tabs>
        <w:tab w:val="num" w:pos="360"/>
      </w:tabs>
      <w:ind w:left="360" w:hanging="360"/>
    </w:pPr>
  </w:style>
  <w:style w:type="paragraph" w:styleId="Title">
    <w:name w:val="Title"/>
    <w:basedOn w:val="Normal"/>
    <w:next w:val="Normal"/>
    <w:link w:val="TitleChar"/>
    <w:uiPriority w:val="99"/>
    <w:qFormat/>
    <w:rsid w:val="006D1A25"/>
    <w:pPr>
      <w:spacing w:before="120" w:after="240" w:line="300" w:lineRule="auto"/>
      <w:ind w:left="1152" w:hanging="1152"/>
    </w:pPr>
    <w:rPr>
      <w:rFonts w:ascii="Arial" w:hAnsi="Arial"/>
      <w:b/>
      <w:caps/>
      <w:kern w:val="28"/>
      <w:sz w:val="28"/>
    </w:rPr>
  </w:style>
  <w:style w:type="character" w:customStyle="1" w:styleId="TitleChar">
    <w:name w:val="Title Char"/>
    <w:link w:val="Title"/>
    <w:uiPriority w:val="99"/>
    <w:locked/>
    <w:rsid w:val="006D1A25"/>
    <w:rPr>
      <w:rFonts w:ascii="Arial" w:hAnsi="Arial" w:cs="Times New Roman"/>
      <w:b/>
      <w:caps/>
      <w:kern w:val="28"/>
      <w:sz w:val="28"/>
      <w:lang w:val="en-US" w:eastAsia="en-US" w:bidi="ar-SA"/>
    </w:rPr>
  </w:style>
  <w:style w:type="paragraph" w:customStyle="1" w:styleId="BMSTableHeader">
    <w:name w:val="BMS Table Header"/>
    <w:basedOn w:val="BMSTableText"/>
    <w:uiPriority w:val="99"/>
    <w:rsid w:val="006D1A25"/>
    <w:rPr>
      <w:b/>
    </w:rPr>
  </w:style>
  <w:style w:type="paragraph" w:customStyle="1" w:styleId="BMSTableText">
    <w:name w:val="BMS Table Text"/>
    <w:uiPriority w:val="99"/>
    <w:rsid w:val="006D1A25"/>
    <w:pPr>
      <w:tabs>
        <w:tab w:val="left" w:pos="360"/>
      </w:tabs>
      <w:spacing w:before="60" w:after="60"/>
      <w:jc w:val="center"/>
    </w:pPr>
    <w:rPr>
      <w:rFonts w:eastAsia="Times New Roman"/>
    </w:rPr>
  </w:style>
  <w:style w:type="paragraph" w:customStyle="1" w:styleId="BMSFooter">
    <w:name w:val="BMS Footer"/>
    <w:uiPriority w:val="99"/>
    <w:rsid w:val="006D1A25"/>
    <w:pPr>
      <w:tabs>
        <w:tab w:val="right" w:pos="8640"/>
        <w:tab w:val="right" w:pos="12960"/>
      </w:tabs>
      <w:spacing w:before="120"/>
    </w:pPr>
    <w:rPr>
      <w:rFonts w:eastAsia="Times New Roman"/>
    </w:rPr>
  </w:style>
  <w:style w:type="paragraph" w:customStyle="1" w:styleId="BMSHeader">
    <w:name w:val="BMS Header"/>
    <w:next w:val="BMSBodyText"/>
    <w:uiPriority w:val="99"/>
    <w:rsid w:val="006D1A25"/>
    <w:pPr>
      <w:pBdr>
        <w:bottom w:val="single" w:sz="4" w:space="1" w:color="auto"/>
      </w:pBdr>
      <w:tabs>
        <w:tab w:val="right" w:pos="8640"/>
        <w:tab w:val="right" w:pos="12960"/>
      </w:tabs>
      <w:spacing w:after="120"/>
    </w:pPr>
    <w:rPr>
      <w:rFonts w:eastAsia="Times New Roman"/>
    </w:rPr>
  </w:style>
  <w:style w:type="paragraph" w:customStyle="1" w:styleId="BMSHeading1">
    <w:name w:val="BMS Heading 1"/>
    <w:next w:val="BMSBodyText"/>
    <w:rsid w:val="003B5969"/>
    <w:pPr>
      <w:keepNext/>
      <w:keepLines/>
      <w:numPr>
        <w:numId w:val="11"/>
      </w:numPr>
      <w:tabs>
        <w:tab w:val="left" w:pos="1152"/>
      </w:tabs>
      <w:spacing w:before="120" w:after="240"/>
      <w:outlineLvl w:val="0"/>
    </w:pPr>
    <w:rPr>
      <w:rFonts w:eastAsia="Times New Roman"/>
      <w:b/>
      <w:caps/>
      <w:color w:val="000000"/>
      <w:sz w:val="28"/>
    </w:rPr>
  </w:style>
  <w:style w:type="paragraph" w:customStyle="1" w:styleId="BMSHeading2">
    <w:name w:val="BMS Heading 2"/>
    <w:next w:val="BMSBodyText"/>
    <w:rsid w:val="006D1A25"/>
    <w:pPr>
      <w:keepNext/>
      <w:keepLines/>
      <w:numPr>
        <w:ilvl w:val="1"/>
        <w:numId w:val="11"/>
      </w:numPr>
      <w:tabs>
        <w:tab w:val="left" w:pos="1152"/>
      </w:tabs>
      <w:spacing w:before="120" w:after="240"/>
      <w:outlineLvl w:val="1"/>
    </w:pPr>
    <w:rPr>
      <w:rFonts w:ascii="Arial" w:eastAsia="Times New Roman" w:hAnsi="Arial"/>
      <w:b/>
      <w:color w:val="000000"/>
      <w:sz w:val="28"/>
    </w:rPr>
  </w:style>
  <w:style w:type="paragraph" w:customStyle="1" w:styleId="BMSHeading3">
    <w:name w:val="BMS Heading 3"/>
    <w:next w:val="BMSBodyText"/>
    <w:link w:val="BMSHeading3Char"/>
    <w:rsid w:val="00292AF5"/>
    <w:pPr>
      <w:keepNext/>
      <w:keepLines/>
      <w:numPr>
        <w:ilvl w:val="2"/>
        <w:numId w:val="11"/>
      </w:numPr>
      <w:tabs>
        <w:tab w:val="left" w:pos="1152"/>
      </w:tabs>
      <w:spacing w:before="120" w:after="240"/>
      <w:outlineLvl w:val="2"/>
    </w:pPr>
    <w:rPr>
      <w:rFonts w:ascii="Arial" w:eastAsia="Times New Roman" w:hAnsi="Arial"/>
      <w:b/>
      <w:color w:val="000000"/>
      <w:sz w:val="24"/>
    </w:rPr>
  </w:style>
  <w:style w:type="character" w:customStyle="1" w:styleId="BMSHeading3Char">
    <w:name w:val="BMS Heading 3 Char"/>
    <w:link w:val="BMSHeading3"/>
    <w:locked/>
    <w:rsid w:val="00292AF5"/>
    <w:rPr>
      <w:rFonts w:ascii="Arial" w:eastAsia="Times New Roman" w:hAnsi="Arial"/>
      <w:b/>
      <w:color w:val="000000"/>
      <w:sz w:val="24"/>
    </w:rPr>
  </w:style>
  <w:style w:type="paragraph" w:customStyle="1" w:styleId="BMSHeading4">
    <w:name w:val="BMS Heading 4"/>
    <w:next w:val="BMSBodyText"/>
    <w:rsid w:val="006D1A25"/>
    <w:pPr>
      <w:keepNext/>
      <w:keepLines/>
      <w:numPr>
        <w:ilvl w:val="3"/>
        <w:numId w:val="11"/>
      </w:numPr>
      <w:tabs>
        <w:tab w:val="left" w:pos="1152"/>
      </w:tabs>
      <w:spacing w:before="120" w:after="240"/>
      <w:outlineLvl w:val="3"/>
    </w:pPr>
    <w:rPr>
      <w:rFonts w:ascii="Arial" w:eastAsia="Times New Roman" w:hAnsi="Arial"/>
      <w:b/>
      <w:i/>
      <w:color w:val="000000"/>
      <w:sz w:val="24"/>
    </w:rPr>
  </w:style>
  <w:style w:type="paragraph" w:customStyle="1" w:styleId="BMSTitle">
    <w:name w:val="BMS Title"/>
    <w:next w:val="BMSBodyText"/>
    <w:uiPriority w:val="99"/>
    <w:rsid w:val="006D1A25"/>
    <w:pPr>
      <w:spacing w:before="120" w:after="240"/>
    </w:pPr>
    <w:rPr>
      <w:rFonts w:ascii="Arial" w:eastAsia="Times New Roman" w:hAnsi="Arial"/>
      <w:b/>
      <w:caps/>
      <w:sz w:val="28"/>
    </w:rPr>
  </w:style>
  <w:style w:type="paragraph" w:customStyle="1" w:styleId="BMSFigureCaption">
    <w:name w:val="BMS Figure Caption"/>
    <w:basedOn w:val="BMSTableTitle"/>
    <w:uiPriority w:val="99"/>
    <w:rsid w:val="006D1A25"/>
  </w:style>
  <w:style w:type="paragraph" w:styleId="Caption">
    <w:name w:val="caption"/>
    <w:basedOn w:val="Normal"/>
    <w:next w:val="Normal"/>
    <w:uiPriority w:val="35"/>
    <w:qFormat/>
    <w:rsid w:val="006D1A25"/>
    <w:pPr>
      <w:spacing w:before="120" w:after="120"/>
    </w:pPr>
    <w:rPr>
      <w:b/>
    </w:rPr>
  </w:style>
  <w:style w:type="character" w:styleId="CommentReference">
    <w:name w:val="annotation reference"/>
    <w:uiPriority w:val="99"/>
    <w:rsid w:val="006D1A25"/>
    <w:rPr>
      <w:rFonts w:cs="Times New Roman"/>
      <w:sz w:val="16"/>
    </w:rPr>
  </w:style>
  <w:style w:type="character" w:customStyle="1" w:styleId="BMSSuperscript">
    <w:name w:val="BMS Superscript"/>
    <w:uiPriority w:val="99"/>
    <w:rsid w:val="006D1A25"/>
    <w:rPr>
      <w:sz w:val="28"/>
      <w:vertAlign w:val="superscript"/>
    </w:rPr>
  </w:style>
  <w:style w:type="character" w:customStyle="1" w:styleId="BMSSubscript">
    <w:name w:val="BMS Subscript"/>
    <w:uiPriority w:val="99"/>
    <w:rsid w:val="006D1A25"/>
    <w:rPr>
      <w:sz w:val="28"/>
      <w:vertAlign w:val="subscript"/>
    </w:rPr>
  </w:style>
  <w:style w:type="paragraph" w:customStyle="1" w:styleId="BMSBodyTextSmall">
    <w:name w:val="BMS Body Text Small"/>
    <w:basedOn w:val="BMSBodyText"/>
    <w:uiPriority w:val="99"/>
    <w:rsid w:val="006D1A25"/>
    <w:pPr>
      <w:spacing w:before="0" w:line="240" w:lineRule="auto"/>
    </w:pPr>
    <w:rPr>
      <w:sz w:val="20"/>
    </w:rPr>
  </w:style>
  <w:style w:type="paragraph" w:customStyle="1" w:styleId="BMSHeadingCentered">
    <w:name w:val="BMS Heading Centered"/>
    <w:uiPriority w:val="99"/>
    <w:rsid w:val="006D1A25"/>
    <w:pPr>
      <w:keepNext/>
      <w:keepLines/>
      <w:spacing w:before="120" w:after="240"/>
      <w:jc w:val="center"/>
      <w:outlineLvl w:val="0"/>
    </w:pPr>
    <w:rPr>
      <w:rFonts w:ascii="Arial" w:eastAsia="Times New Roman" w:hAnsi="Arial"/>
      <w:b/>
      <w:caps/>
      <w:noProof/>
      <w:sz w:val="28"/>
    </w:rPr>
  </w:style>
  <w:style w:type="paragraph" w:customStyle="1" w:styleId="BMSTableTextLarge">
    <w:name w:val="BMS Table Text Large"/>
    <w:basedOn w:val="BMSTableText"/>
    <w:uiPriority w:val="99"/>
    <w:rsid w:val="006D1A25"/>
    <w:rPr>
      <w:sz w:val="24"/>
    </w:rPr>
  </w:style>
  <w:style w:type="character" w:customStyle="1" w:styleId="BMSInstructionText">
    <w:name w:val="BMS Instruction Text"/>
    <w:rsid w:val="006D1A25"/>
    <w:rPr>
      <w:rFonts w:ascii="Times New Roman" w:hAnsi="Times New Roman" w:cs="Times New Roman"/>
      <w:i/>
      <w:vanish/>
      <w:color w:val="FF0000"/>
      <w:sz w:val="24"/>
      <w:u w:val="none"/>
      <w:vertAlign w:val="baseline"/>
    </w:rPr>
  </w:style>
  <w:style w:type="paragraph" w:customStyle="1" w:styleId="BMSHeadingAppendix">
    <w:name w:val="BMS Heading Appendix"/>
    <w:next w:val="BMSBodyText"/>
    <w:uiPriority w:val="99"/>
    <w:rsid w:val="006D1A25"/>
    <w:pPr>
      <w:keepNext/>
      <w:keepLines/>
      <w:numPr>
        <w:numId w:val="10"/>
      </w:numPr>
      <w:tabs>
        <w:tab w:val="clear" w:pos="1800"/>
        <w:tab w:val="left" w:pos="2160"/>
      </w:tabs>
      <w:spacing w:before="120" w:after="240"/>
      <w:ind w:left="2160" w:hanging="2160"/>
      <w:outlineLvl w:val="0"/>
    </w:pPr>
    <w:rPr>
      <w:rFonts w:ascii="Arial" w:eastAsia="Times New Roman" w:hAnsi="Arial"/>
      <w:b/>
      <w:caps/>
      <w:sz w:val="28"/>
    </w:rPr>
  </w:style>
  <w:style w:type="paragraph" w:customStyle="1" w:styleId="BMSTableHeaderLarge">
    <w:name w:val="BMS Table Header Large"/>
    <w:basedOn w:val="BMSTableHeader"/>
    <w:uiPriority w:val="99"/>
    <w:rsid w:val="006F1CCF"/>
    <w:pPr>
      <w:jc w:val="left"/>
    </w:pPr>
    <w:rPr>
      <w:sz w:val="24"/>
    </w:rPr>
  </w:style>
  <w:style w:type="paragraph" w:customStyle="1" w:styleId="BMSOutlineNumbering">
    <w:name w:val="BMS Outline Numbering"/>
    <w:basedOn w:val="BMSBodyText"/>
    <w:uiPriority w:val="99"/>
    <w:rsid w:val="006D1A25"/>
    <w:pPr>
      <w:numPr>
        <w:numId w:val="12"/>
      </w:numPr>
      <w:spacing w:before="0" w:after="60" w:line="240" w:lineRule="auto"/>
    </w:pPr>
  </w:style>
  <w:style w:type="paragraph" w:customStyle="1" w:styleId="BMSTableInfo">
    <w:name w:val="BMS Table Info"/>
    <w:basedOn w:val="BMSTableNoteInfo"/>
    <w:uiPriority w:val="99"/>
    <w:rsid w:val="006D1A25"/>
    <w:pPr>
      <w:ind w:left="0" w:firstLine="0"/>
    </w:pPr>
  </w:style>
  <w:style w:type="paragraph" w:customStyle="1" w:styleId="BMSListText">
    <w:name w:val="BMS List Text"/>
    <w:basedOn w:val="BMSBodyText"/>
    <w:uiPriority w:val="99"/>
    <w:rsid w:val="006D1A25"/>
    <w:pPr>
      <w:spacing w:before="0" w:after="0" w:line="240" w:lineRule="auto"/>
    </w:pPr>
  </w:style>
  <w:style w:type="paragraph" w:customStyle="1" w:styleId="BMSTableDataCompact">
    <w:name w:val="BMS Table Data Compact"/>
    <w:basedOn w:val="BMSTableData"/>
    <w:uiPriority w:val="99"/>
    <w:rsid w:val="006D1A25"/>
    <w:rPr>
      <w:spacing w:val="-22"/>
    </w:rPr>
  </w:style>
  <w:style w:type="paragraph" w:customStyle="1" w:styleId="BMSTableTitleData">
    <w:name w:val="BMS Table Title Data"/>
    <w:basedOn w:val="BMSTableTitle"/>
    <w:uiPriority w:val="99"/>
    <w:rsid w:val="006D1A25"/>
    <w:pPr>
      <w:tabs>
        <w:tab w:val="clear" w:pos="2160"/>
      </w:tabs>
      <w:spacing w:before="0" w:after="0" w:line="187" w:lineRule="auto"/>
      <w:ind w:left="0" w:firstLine="0"/>
    </w:pPr>
    <w:rPr>
      <w:rFonts w:ascii="Courier New" w:hAnsi="Courier New"/>
      <w:b w:val="0"/>
      <w:sz w:val="20"/>
    </w:rPr>
  </w:style>
  <w:style w:type="paragraph" w:customStyle="1" w:styleId="BMSBulletsSmall">
    <w:name w:val="BMS Bullets Small"/>
    <w:basedOn w:val="BMSBullets"/>
    <w:uiPriority w:val="99"/>
    <w:rsid w:val="006D1A25"/>
    <w:rPr>
      <w:sz w:val="20"/>
    </w:rPr>
  </w:style>
  <w:style w:type="paragraph" w:customStyle="1" w:styleId="BMSOutlineNumberingSmall">
    <w:name w:val="BMS Outline Numbering Small"/>
    <w:basedOn w:val="BMSOutlineNumbering"/>
    <w:uiPriority w:val="99"/>
    <w:rsid w:val="006D1A25"/>
    <w:rPr>
      <w:sz w:val="20"/>
    </w:rPr>
  </w:style>
  <w:style w:type="paragraph" w:styleId="CommentText">
    <w:name w:val="annotation text"/>
    <w:basedOn w:val="Normal"/>
    <w:link w:val="CommentTextChar"/>
    <w:uiPriority w:val="99"/>
    <w:rsid w:val="006D1A25"/>
  </w:style>
  <w:style w:type="character" w:customStyle="1" w:styleId="CommentTextChar">
    <w:name w:val="Comment Text Char"/>
    <w:link w:val="CommentText"/>
    <w:uiPriority w:val="99"/>
    <w:locked/>
    <w:rsid w:val="006D1A25"/>
    <w:rPr>
      <w:rFonts w:eastAsia="Times New Roman" w:cs="Times New Roman"/>
    </w:rPr>
  </w:style>
  <w:style w:type="paragraph" w:styleId="BodyText">
    <w:name w:val="Body Text"/>
    <w:basedOn w:val="Normal"/>
    <w:link w:val="BodyTextChar"/>
    <w:uiPriority w:val="99"/>
    <w:rsid w:val="006D1A25"/>
    <w:rPr>
      <w:rFonts w:ascii="Arial" w:hAnsi="Arial"/>
      <w:sz w:val="16"/>
    </w:rPr>
  </w:style>
  <w:style w:type="character" w:customStyle="1" w:styleId="BodyTextChar">
    <w:name w:val="Body Text Char"/>
    <w:link w:val="BodyText"/>
    <w:uiPriority w:val="99"/>
    <w:locked/>
    <w:rsid w:val="006D1A25"/>
    <w:rPr>
      <w:rFonts w:ascii="Arial" w:hAnsi="Arial" w:cs="Times New Roman"/>
      <w:sz w:val="16"/>
    </w:rPr>
  </w:style>
  <w:style w:type="paragraph" w:styleId="BodyTextIndent">
    <w:name w:val="Body Text Indent"/>
    <w:basedOn w:val="Normal"/>
    <w:link w:val="BodyTextIndentChar"/>
    <w:uiPriority w:val="99"/>
    <w:rsid w:val="006D1A25"/>
    <w:pPr>
      <w:widowControl w:val="0"/>
      <w:spacing w:line="235" w:lineRule="auto"/>
      <w:ind w:left="360" w:hanging="360"/>
      <w:jc w:val="both"/>
    </w:pPr>
    <w:rPr>
      <w:rFonts w:ascii="Arial" w:hAnsi="Arial"/>
      <w:sz w:val="24"/>
    </w:rPr>
  </w:style>
  <w:style w:type="character" w:customStyle="1" w:styleId="BodyTextIndentChar">
    <w:name w:val="Body Text Indent Char"/>
    <w:link w:val="BodyTextIndent"/>
    <w:uiPriority w:val="99"/>
    <w:locked/>
    <w:rsid w:val="006D1A25"/>
    <w:rPr>
      <w:rFonts w:ascii="Arial" w:hAnsi="Arial" w:cs="Times New Roman"/>
      <w:snapToGrid w:val="0"/>
      <w:sz w:val="24"/>
    </w:rPr>
  </w:style>
  <w:style w:type="paragraph" w:styleId="BlockText">
    <w:name w:val="Block Text"/>
    <w:basedOn w:val="Normal"/>
    <w:uiPriority w:val="99"/>
    <w:rsid w:val="006D1A25"/>
    <w:pPr>
      <w:spacing w:after="120"/>
      <w:ind w:left="1440" w:right="1440"/>
    </w:pPr>
  </w:style>
  <w:style w:type="paragraph" w:styleId="ListBullet">
    <w:name w:val="List Bullet"/>
    <w:basedOn w:val="Normal"/>
    <w:autoRedefine/>
    <w:uiPriority w:val="99"/>
    <w:rsid w:val="006D1A25"/>
    <w:pPr>
      <w:tabs>
        <w:tab w:val="num" w:pos="360"/>
      </w:tabs>
      <w:ind w:left="360" w:hanging="360"/>
    </w:pPr>
  </w:style>
  <w:style w:type="paragraph" w:customStyle="1" w:styleId="BulletMSText">
    <w:name w:val="BulletMSText"/>
    <w:basedOn w:val="ListBullet"/>
    <w:uiPriority w:val="99"/>
    <w:rsid w:val="006D1A25"/>
    <w:pPr>
      <w:suppressAutoHyphens/>
      <w:spacing w:after="160"/>
      <w:jc w:val="both"/>
    </w:pPr>
    <w:rPr>
      <w:color w:val="0000FF"/>
      <w:sz w:val="24"/>
    </w:rPr>
  </w:style>
  <w:style w:type="paragraph" w:customStyle="1" w:styleId="BMSListNumbering">
    <w:name w:val="BMS List Numbering"/>
    <w:basedOn w:val="BMSBodyText"/>
    <w:uiPriority w:val="99"/>
    <w:rsid w:val="006D1A25"/>
    <w:pPr>
      <w:numPr>
        <w:numId w:val="13"/>
      </w:numPr>
    </w:pPr>
  </w:style>
  <w:style w:type="paragraph" w:styleId="BodyText2">
    <w:name w:val="Body Text 2"/>
    <w:basedOn w:val="Normal"/>
    <w:link w:val="BodyText2Char"/>
    <w:uiPriority w:val="99"/>
    <w:rsid w:val="006D1A25"/>
    <w:pPr>
      <w:spacing w:after="120" w:line="480" w:lineRule="auto"/>
    </w:pPr>
  </w:style>
  <w:style w:type="character" w:customStyle="1" w:styleId="BodyText2Char">
    <w:name w:val="Body Text 2 Char"/>
    <w:link w:val="BodyText2"/>
    <w:uiPriority w:val="99"/>
    <w:locked/>
    <w:rsid w:val="006D1A25"/>
    <w:rPr>
      <w:rFonts w:eastAsia="Times New Roman" w:cs="Times New Roman"/>
    </w:rPr>
  </w:style>
  <w:style w:type="paragraph" w:styleId="BodyText3">
    <w:name w:val="Body Text 3"/>
    <w:basedOn w:val="Normal"/>
    <w:link w:val="BodyText3Char"/>
    <w:uiPriority w:val="99"/>
    <w:rsid w:val="006D1A25"/>
    <w:pPr>
      <w:spacing w:after="120"/>
    </w:pPr>
    <w:rPr>
      <w:sz w:val="16"/>
    </w:rPr>
  </w:style>
  <w:style w:type="character" w:customStyle="1" w:styleId="BodyText3Char">
    <w:name w:val="Body Text 3 Char"/>
    <w:link w:val="BodyText3"/>
    <w:uiPriority w:val="99"/>
    <w:locked/>
    <w:rsid w:val="006D1A25"/>
    <w:rPr>
      <w:rFonts w:eastAsia="Times New Roman" w:cs="Times New Roman"/>
      <w:sz w:val="16"/>
    </w:rPr>
  </w:style>
  <w:style w:type="paragraph" w:styleId="BodyTextFirstIndent">
    <w:name w:val="Body Text First Indent"/>
    <w:basedOn w:val="BodyText"/>
    <w:link w:val="BodyTextFirstIndentChar"/>
    <w:uiPriority w:val="99"/>
    <w:rsid w:val="006D1A25"/>
    <w:pPr>
      <w:spacing w:after="120"/>
      <w:ind w:firstLine="210"/>
    </w:pPr>
    <w:rPr>
      <w:rFonts w:ascii="Times New Roman" w:hAnsi="Times New Roman"/>
      <w:sz w:val="20"/>
    </w:rPr>
  </w:style>
  <w:style w:type="character" w:customStyle="1" w:styleId="BodyTextFirstIndentChar">
    <w:name w:val="Body Text First Indent Char"/>
    <w:basedOn w:val="BodyTextChar"/>
    <w:link w:val="BodyTextFirstIndent"/>
    <w:uiPriority w:val="99"/>
    <w:locked/>
    <w:rsid w:val="006D1A25"/>
    <w:rPr>
      <w:rFonts w:ascii="Arial" w:hAnsi="Arial" w:cs="Times New Roman"/>
      <w:sz w:val="16"/>
    </w:rPr>
  </w:style>
  <w:style w:type="paragraph" w:styleId="BodyTextFirstIndent2">
    <w:name w:val="Body Text First Indent 2"/>
    <w:basedOn w:val="BodyTextIndent"/>
    <w:link w:val="BodyTextFirstIndent2Char"/>
    <w:uiPriority w:val="99"/>
    <w:rsid w:val="006D1A25"/>
    <w:pPr>
      <w:widowControl/>
      <w:spacing w:after="120" w:line="240" w:lineRule="auto"/>
      <w:ind w:firstLine="210"/>
      <w:jc w:val="left"/>
    </w:pPr>
    <w:rPr>
      <w:rFonts w:ascii="Times New Roman" w:hAnsi="Times New Roman"/>
      <w:sz w:val="20"/>
    </w:rPr>
  </w:style>
  <w:style w:type="character" w:customStyle="1" w:styleId="BodyTextFirstIndent2Char">
    <w:name w:val="Body Text First Indent 2 Char"/>
    <w:basedOn w:val="BodyTextIndentChar"/>
    <w:link w:val="BodyTextFirstIndent2"/>
    <w:uiPriority w:val="99"/>
    <w:locked/>
    <w:rsid w:val="006D1A25"/>
    <w:rPr>
      <w:rFonts w:ascii="Arial" w:hAnsi="Arial" w:cs="Times New Roman"/>
      <w:snapToGrid w:val="0"/>
      <w:sz w:val="24"/>
    </w:rPr>
  </w:style>
  <w:style w:type="paragraph" w:styleId="BodyTextIndent2">
    <w:name w:val="Body Text Indent 2"/>
    <w:basedOn w:val="Normal"/>
    <w:link w:val="BodyTextIndent2Char"/>
    <w:uiPriority w:val="99"/>
    <w:rsid w:val="006D1A25"/>
    <w:pPr>
      <w:spacing w:after="120" w:line="480" w:lineRule="auto"/>
      <w:ind w:left="360"/>
    </w:pPr>
  </w:style>
  <w:style w:type="character" w:customStyle="1" w:styleId="BodyTextIndent2Char">
    <w:name w:val="Body Text Indent 2 Char"/>
    <w:link w:val="BodyTextIndent2"/>
    <w:uiPriority w:val="99"/>
    <w:locked/>
    <w:rsid w:val="006D1A25"/>
    <w:rPr>
      <w:rFonts w:eastAsia="Times New Roman" w:cs="Times New Roman"/>
    </w:rPr>
  </w:style>
  <w:style w:type="paragraph" w:styleId="BodyTextIndent3">
    <w:name w:val="Body Text Indent 3"/>
    <w:basedOn w:val="Normal"/>
    <w:link w:val="BodyTextIndent3Char"/>
    <w:uiPriority w:val="99"/>
    <w:rsid w:val="006D1A25"/>
    <w:pPr>
      <w:spacing w:after="120"/>
      <w:ind w:left="360"/>
    </w:pPr>
    <w:rPr>
      <w:sz w:val="16"/>
    </w:rPr>
  </w:style>
  <w:style w:type="character" w:customStyle="1" w:styleId="BodyTextIndent3Char">
    <w:name w:val="Body Text Indent 3 Char"/>
    <w:link w:val="BodyTextIndent3"/>
    <w:uiPriority w:val="99"/>
    <w:locked/>
    <w:rsid w:val="006D1A25"/>
    <w:rPr>
      <w:rFonts w:eastAsia="Times New Roman" w:cs="Times New Roman"/>
      <w:sz w:val="16"/>
    </w:rPr>
  </w:style>
  <w:style w:type="paragraph" w:styleId="Closing">
    <w:name w:val="Closing"/>
    <w:basedOn w:val="Normal"/>
    <w:link w:val="ClosingChar"/>
    <w:uiPriority w:val="99"/>
    <w:rsid w:val="006D1A25"/>
    <w:pPr>
      <w:ind w:left="4320"/>
    </w:pPr>
  </w:style>
  <w:style w:type="character" w:customStyle="1" w:styleId="ClosingChar">
    <w:name w:val="Closing Char"/>
    <w:link w:val="Closing"/>
    <w:uiPriority w:val="99"/>
    <w:locked/>
    <w:rsid w:val="006D1A25"/>
    <w:rPr>
      <w:rFonts w:eastAsia="Times New Roman" w:cs="Times New Roman"/>
    </w:rPr>
  </w:style>
  <w:style w:type="paragraph" w:styleId="Date">
    <w:name w:val="Date"/>
    <w:basedOn w:val="Normal"/>
    <w:next w:val="Normal"/>
    <w:link w:val="DateChar"/>
    <w:uiPriority w:val="99"/>
    <w:rsid w:val="006D1A25"/>
  </w:style>
  <w:style w:type="character" w:customStyle="1" w:styleId="DateChar">
    <w:name w:val="Date Char"/>
    <w:link w:val="Date"/>
    <w:uiPriority w:val="99"/>
    <w:locked/>
    <w:rsid w:val="006D1A25"/>
    <w:rPr>
      <w:rFonts w:eastAsia="Times New Roman" w:cs="Times New Roman"/>
    </w:rPr>
  </w:style>
  <w:style w:type="character" w:customStyle="1" w:styleId="DocumentMapChar">
    <w:name w:val="Document Map Char"/>
    <w:link w:val="DocumentMap"/>
    <w:uiPriority w:val="99"/>
    <w:semiHidden/>
    <w:locked/>
    <w:rsid w:val="006D1A25"/>
    <w:rPr>
      <w:rFonts w:ascii="Tahoma" w:hAnsi="Tahoma" w:cs="Times New Roman"/>
      <w:shd w:val="clear" w:color="auto" w:fill="000080"/>
    </w:rPr>
  </w:style>
  <w:style w:type="paragraph" w:styleId="DocumentMap">
    <w:name w:val="Document Map"/>
    <w:basedOn w:val="Normal"/>
    <w:link w:val="DocumentMapChar"/>
    <w:uiPriority w:val="99"/>
    <w:semiHidden/>
    <w:rsid w:val="006D1A25"/>
    <w:pPr>
      <w:shd w:val="clear" w:color="auto" w:fill="000080"/>
    </w:pPr>
    <w:rPr>
      <w:rFonts w:ascii="Tahoma" w:hAnsi="Tahoma"/>
    </w:rPr>
  </w:style>
  <w:style w:type="character" w:customStyle="1" w:styleId="DocumentMapChar1">
    <w:name w:val="Document Map Char1"/>
    <w:uiPriority w:val="99"/>
    <w:semiHidden/>
    <w:locked/>
    <w:rsid w:val="00B618C7"/>
    <w:rPr>
      <w:rFonts w:eastAsia="Times New Roman" w:cs="Times New Roman"/>
      <w:sz w:val="2"/>
    </w:rPr>
  </w:style>
  <w:style w:type="paragraph" w:styleId="EnvelopeAddress">
    <w:name w:val="envelope address"/>
    <w:basedOn w:val="Normal"/>
    <w:uiPriority w:val="99"/>
    <w:rsid w:val="006D1A25"/>
    <w:pPr>
      <w:framePr w:w="7920" w:h="1980" w:hRule="exact" w:hSpace="180" w:wrap="auto" w:hAnchor="page" w:xAlign="center" w:yAlign="bottom"/>
      <w:ind w:left="2880"/>
    </w:pPr>
    <w:rPr>
      <w:rFonts w:ascii="Arial" w:hAnsi="Arial"/>
      <w:sz w:val="24"/>
    </w:rPr>
  </w:style>
  <w:style w:type="paragraph" w:styleId="EnvelopeReturn">
    <w:name w:val="envelope return"/>
    <w:basedOn w:val="Normal"/>
    <w:uiPriority w:val="99"/>
    <w:rsid w:val="006D1A25"/>
    <w:rPr>
      <w:rFonts w:ascii="Arial" w:hAnsi="Arial"/>
    </w:rPr>
  </w:style>
  <w:style w:type="paragraph" w:styleId="FootnoteText">
    <w:name w:val="footnote text"/>
    <w:basedOn w:val="Normal"/>
    <w:link w:val="FootnoteTextChar"/>
    <w:uiPriority w:val="99"/>
    <w:rsid w:val="006D1A25"/>
  </w:style>
  <w:style w:type="character" w:customStyle="1" w:styleId="FootnoteTextChar">
    <w:name w:val="Footnote Text Char"/>
    <w:link w:val="FootnoteText"/>
    <w:uiPriority w:val="99"/>
    <w:locked/>
    <w:rsid w:val="006D1A25"/>
    <w:rPr>
      <w:rFonts w:eastAsia="Times New Roman" w:cs="Times New Roman"/>
    </w:rPr>
  </w:style>
  <w:style w:type="paragraph" w:styleId="List">
    <w:name w:val="List"/>
    <w:basedOn w:val="Normal"/>
    <w:uiPriority w:val="99"/>
    <w:rsid w:val="006D1A25"/>
    <w:pPr>
      <w:ind w:left="360" w:hanging="360"/>
    </w:pPr>
  </w:style>
  <w:style w:type="paragraph" w:styleId="List2">
    <w:name w:val="List 2"/>
    <w:basedOn w:val="Normal"/>
    <w:uiPriority w:val="99"/>
    <w:rsid w:val="006D1A25"/>
    <w:pPr>
      <w:ind w:left="720" w:hanging="360"/>
    </w:pPr>
  </w:style>
  <w:style w:type="paragraph" w:styleId="List3">
    <w:name w:val="List 3"/>
    <w:basedOn w:val="Normal"/>
    <w:uiPriority w:val="99"/>
    <w:rsid w:val="006D1A25"/>
    <w:pPr>
      <w:ind w:left="1080" w:hanging="360"/>
    </w:pPr>
  </w:style>
  <w:style w:type="paragraph" w:styleId="List4">
    <w:name w:val="List 4"/>
    <w:basedOn w:val="Normal"/>
    <w:uiPriority w:val="99"/>
    <w:rsid w:val="006D1A25"/>
    <w:pPr>
      <w:ind w:left="1440" w:hanging="360"/>
    </w:pPr>
  </w:style>
  <w:style w:type="paragraph" w:styleId="List5">
    <w:name w:val="List 5"/>
    <w:basedOn w:val="Normal"/>
    <w:uiPriority w:val="99"/>
    <w:rsid w:val="006D1A25"/>
    <w:pPr>
      <w:ind w:left="1800" w:hanging="360"/>
    </w:pPr>
  </w:style>
  <w:style w:type="paragraph" w:styleId="ListBullet2">
    <w:name w:val="List Bullet 2"/>
    <w:basedOn w:val="Normal"/>
    <w:autoRedefine/>
    <w:uiPriority w:val="99"/>
    <w:rsid w:val="006D1A25"/>
    <w:pPr>
      <w:numPr>
        <w:numId w:val="1"/>
      </w:numPr>
      <w:tabs>
        <w:tab w:val="clear" w:pos="360"/>
        <w:tab w:val="num" w:pos="720"/>
        <w:tab w:val="num" w:pos="1080"/>
      </w:tabs>
      <w:ind w:left="720"/>
    </w:pPr>
  </w:style>
  <w:style w:type="paragraph" w:styleId="ListBullet3">
    <w:name w:val="List Bullet 3"/>
    <w:basedOn w:val="Normal"/>
    <w:autoRedefine/>
    <w:uiPriority w:val="99"/>
    <w:rsid w:val="006D1A25"/>
    <w:pPr>
      <w:numPr>
        <w:numId w:val="2"/>
      </w:numPr>
      <w:tabs>
        <w:tab w:val="clear" w:pos="720"/>
        <w:tab w:val="num" w:pos="1080"/>
        <w:tab w:val="num" w:pos="1800"/>
      </w:tabs>
      <w:ind w:left="1080"/>
    </w:pPr>
  </w:style>
  <w:style w:type="paragraph" w:styleId="ListBullet4">
    <w:name w:val="List Bullet 4"/>
    <w:basedOn w:val="Normal"/>
    <w:autoRedefine/>
    <w:uiPriority w:val="99"/>
    <w:rsid w:val="006D1A25"/>
    <w:pPr>
      <w:numPr>
        <w:numId w:val="3"/>
      </w:numPr>
      <w:tabs>
        <w:tab w:val="clear" w:pos="1080"/>
        <w:tab w:val="num" w:pos="1440"/>
      </w:tabs>
      <w:ind w:left="1440"/>
    </w:pPr>
  </w:style>
  <w:style w:type="paragraph" w:styleId="ListBullet5">
    <w:name w:val="List Bullet 5"/>
    <w:basedOn w:val="Normal"/>
    <w:autoRedefine/>
    <w:uiPriority w:val="99"/>
    <w:rsid w:val="006D1A25"/>
    <w:pPr>
      <w:numPr>
        <w:numId w:val="4"/>
      </w:numPr>
      <w:tabs>
        <w:tab w:val="clear" w:pos="1440"/>
        <w:tab w:val="num" w:pos="720"/>
        <w:tab w:val="num" w:pos="1800"/>
      </w:tabs>
      <w:ind w:left="1800"/>
    </w:pPr>
  </w:style>
  <w:style w:type="paragraph" w:styleId="ListContinue">
    <w:name w:val="List Continue"/>
    <w:basedOn w:val="Normal"/>
    <w:uiPriority w:val="99"/>
    <w:rsid w:val="006D1A25"/>
    <w:pPr>
      <w:spacing w:after="120"/>
      <w:ind w:left="360"/>
    </w:pPr>
  </w:style>
  <w:style w:type="paragraph" w:styleId="ListContinue2">
    <w:name w:val="List Continue 2"/>
    <w:basedOn w:val="Normal"/>
    <w:uiPriority w:val="99"/>
    <w:rsid w:val="006D1A25"/>
    <w:pPr>
      <w:spacing w:after="120"/>
      <w:ind w:left="720"/>
    </w:pPr>
  </w:style>
  <w:style w:type="paragraph" w:styleId="ListContinue3">
    <w:name w:val="List Continue 3"/>
    <w:basedOn w:val="Normal"/>
    <w:uiPriority w:val="99"/>
    <w:rsid w:val="006D1A25"/>
    <w:pPr>
      <w:spacing w:after="120"/>
      <w:ind w:left="1080"/>
    </w:pPr>
  </w:style>
  <w:style w:type="paragraph" w:styleId="ListContinue4">
    <w:name w:val="List Continue 4"/>
    <w:basedOn w:val="Normal"/>
    <w:uiPriority w:val="99"/>
    <w:rsid w:val="006D1A25"/>
    <w:pPr>
      <w:spacing w:after="120"/>
      <w:ind w:left="1440"/>
    </w:pPr>
  </w:style>
  <w:style w:type="paragraph" w:styleId="ListContinue5">
    <w:name w:val="List Continue 5"/>
    <w:basedOn w:val="Normal"/>
    <w:uiPriority w:val="99"/>
    <w:rsid w:val="006D1A25"/>
    <w:pPr>
      <w:spacing w:after="120"/>
      <w:ind w:left="1800"/>
    </w:pPr>
  </w:style>
  <w:style w:type="paragraph" w:styleId="ListNumber">
    <w:name w:val="List Number"/>
    <w:basedOn w:val="Normal"/>
    <w:uiPriority w:val="99"/>
    <w:rsid w:val="006D1A25"/>
    <w:pPr>
      <w:numPr>
        <w:numId w:val="5"/>
      </w:numPr>
      <w:tabs>
        <w:tab w:val="clear" w:pos="1800"/>
        <w:tab w:val="num" w:pos="1080"/>
      </w:tabs>
      <w:ind w:left="360"/>
    </w:pPr>
  </w:style>
  <w:style w:type="paragraph" w:styleId="ListNumber2">
    <w:name w:val="List Number 2"/>
    <w:basedOn w:val="Normal"/>
    <w:uiPriority w:val="99"/>
    <w:rsid w:val="006D1A25"/>
    <w:pPr>
      <w:numPr>
        <w:numId w:val="6"/>
      </w:numPr>
      <w:tabs>
        <w:tab w:val="clear" w:pos="360"/>
        <w:tab w:val="num" w:pos="720"/>
        <w:tab w:val="num" w:pos="1440"/>
      </w:tabs>
      <w:ind w:left="720"/>
    </w:pPr>
  </w:style>
  <w:style w:type="paragraph" w:styleId="ListNumber3">
    <w:name w:val="List Number 3"/>
    <w:basedOn w:val="Normal"/>
    <w:uiPriority w:val="99"/>
    <w:rsid w:val="006D1A25"/>
    <w:pPr>
      <w:numPr>
        <w:numId w:val="7"/>
      </w:numPr>
      <w:tabs>
        <w:tab w:val="clear" w:pos="720"/>
        <w:tab w:val="num" w:pos="1080"/>
        <w:tab w:val="num" w:pos="1800"/>
      </w:tabs>
      <w:ind w:left="1080"/>
    </w:pPr>
  </w:style>
  <w:style w:type="paragraph" w:styleId="ListNumber4">
    <w:name w:val="List Number 4"/>
    <w:basedOn w:val="Normal"/>
    <w:uiPriority w:val="99"/>
    <w:rsid w:val="006D1A25"/>
    <w:pPr>
      <w:numPr>
        <w:numId w:val="8"/>
      </w:numPr>
      <w:tabs>
        <w:tab w:val="clear" w:pos="1080"/>
        <w:tab w:val="num" w:pos="1440"/>
      </w:tabs>
      <w:ind w:left="1440"/>
    </w:pPr>
  </w:style>
  <w:style w:type="paragraph" w:styleId="ListNumber5">
    <w:name w:val="List Number 5"/>
    <w:basedOn w:val="Normal"/>
    <w:uiPriority w:val="99"/>
    <w:rsid w:val="006D1A25"/>
    <w:pPr>
      <w:numPr>
        <w:numId w:val="9"/>
      </w:numPr>
      <w:tabs>
        <w:tab w:val="clear" w:pos="1440"/>
        <w:tab w:val="num" w:pos="720"/>
        <w:tab w:val="num" w:pos="1800"/>
      </w:tabs>
      <w:ind w:left="1800"/>
    </w:pPr>
  </w:style>
  <w:style w:type="paragraph" w:styleId="MacroText">
    <w:name w:val="macro"/>
    <w:link w:val="MacroTextChar"/>
    <w:uiPriority w:val="99"/>
    <w:semiHidden/>
    <w:rsid w:val="006D1A25"/>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rPr>
  </w:style>
  <w:style w:type="character" w:customStyle="1" w:styleId="MacroTextChar">
    <w:name w:val="Macro Text Char"/>
    <w:link w:val="MacroText"/>
    <w:uiPriority w:val="99"/>
    <w:semiHidden/>
    <w:locked/>
    <w:rsid w:val="006D1A25"/>
    <w:rPr>
      <w:rFonts w:ascii="Courier New" w:eastAsia="Times New Roman" w:hAnsi="Courier New"/>
      <w:lang w:val="en-US" w:eastAsia="en-US" w:bidi="ar-SA"/>
    </w:rPr>
  </w:style>
  <w:style w:type="paragraph" w:styleId="MessageHeader">
    <w:name w:val="Message Header"/>
    <w:basedOn w:val="Normal"/>
    <w:link w:val="MessageHeaderChar"/>
    <w:uiPriority w:val="99"/>
    <w:rsid w:val="006D1A25"/>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sz w:val="24"/>
    </w:rPr>
  </w:style>
  <w:style w:type="character" w:customStyle="1" w:styleId="MessageHeaderChar">
    <w:name w:val="Message Header Char"/>
    <w:link w:val="MessageHeader"/>
    <w:uiPriority w:val="99"/>
    <w:locked/>
    <w:rsid w:val="006D1A25"/>
    <w:rPr>
      <w:rFonts w:ascii="Arial" w:hAnsi="Arial" w:cs="Times New Roman"/>
      <w:sz w:val="24"/>
      <w:shd w:val="pct20" w:color="auto" w:fill="auto"/>
    </w:rPr>
  </w:style>
  <w:style w:type="paragraph" w:styleId="NormalIndent">
    <w:name w:val="Normal Indent"/>
    <w:basedOn w:val="Normal"/>
    <w:uiPriority w:val="99"/>
    <w:rsid w:val="006D1A25"/>
    <w:pPr>
      <w:ind w:left="720"/>
    </w:pPr>
  </w:style>
  <w:style w:type="paragraph" w:styleId="NoteHeading">
    <w:name w:val="Note Heading"/>
    <w:basedOn w:val="Normal"/>
    <w:next w:val="Normal"/>
    <w:link w:val="NoteHeadingChar"/>
    <w:uiPriority w:val="99"/>
    <w:rsid w:val="006D1A25"/>
  </w:style>
  <w:style w:type="character" w:customStyle="1" w:styleId="NoteHeadingChar">
    <w:name w:val="Note Heading Char"/>
    <w:link w:val="NoteHeading"/>
    <w:uiPriority w:val="99"/>
    <w:locked/>
    <w:rsid w:val="006D1A25"/>
    <w:rPr>
      <w:rFonts w:eastAsia="Times New Roman" w:cs="Times New Roman"/>
    </w:rPr>
  </w:style>
  <w:style w:type="paragraph" w:styleId="PlainText">
    <w:name w:val="Plain Text"/>
    <w:basedOn w:val="Normal"/>
    <w:link w:val="PlainTextChar"/>
    <w:uiPriority w:val="99"/>
    <w:rsid w:val="006D1A25"/>
    <w:rPr>
      <w:rFonts w:ascii="Courier New" w:hAnsi="Courier New"/>
    </w:rPr>
  </w:style>
  <w:style w:type="character" w:customStyle="1" w:styleId="PlainTextChar">
    <w:name w:val="Plain Text Char"/>
    <w:link w:val="PlainText"/>
    <w:uiPriority w:val="99"/>
    <w:locked/>
    <w:rsid w:val="006D1A25"/>
    <w:rPr>
      <w:rFonts w:ascii="Courier New" w:hAnsi="Courier New" w:cs="Times New Roman"/>
    </w:rPr>
  </w:style>
  <w:style w:type="paragraph" w:styleId="Salutation">
    <w:name w:val="Salutation"/>
    <w:basedOn w:val="Normal"/>
    <w:next w:val="Normal"/>
    <w:link w:val="SalutationChar"/>
    <w:uiPriority w:val="99"/>
    <w:rsid w:val="006D1A25"/>
  </w:style>
  <w:style w:type="character" w:customStyle="1" w:styleId="SalutationChar">
    <w:name w:val="Salutation Char"/>
    <w:link w:val="Salutation"/>
    <w:uiPriority w:val="99"/>
    <w:locked/>
    <w:rsid w:val="006D1A25"/>
    <w:rPr>
      <w:rFonts w:eastAsia="Times New Roman" w:cs="Times New Roman"/>
    </w:rPr>
  </w:style>
  <w:style w:type="paragraph" w:styleId="Signature">
    <w:name w:val="Signature"/>
    <w:basedOn w:val="Normal"/>
    <w:link w:val="SignatureChar"/>
    <w:uiPriority w:val="99"/>
    <w:rsid w:val="006D1A25"/>
    <w:pPr>
      <w:ind w:left="4320"/>
    </w:pPr>
  </w:style>
  <w:style w:type="character" w:customStyle="1" w:styleId="SignatureChar">
    <w:name w:val="Signature Char"/>
    <w:link w:val="Signature"/>
    <w:uiPriority w:val="99"/>
    <w:locked/>
    <w:rsid w:val="006D1A25"/>
    <w:rPr>
      <w:rFonts w:eastAsia="Times New Roman" w:cs="Times New Roman"/>
    </w:rPr>
  </w:style>
  <w:style w:type="paragraph" w:styleId="Subtitle">
    <w:name w:val="Subtitle"/>
    <w:basedOn w:val="Normal"/>
    <w:link w:val="SubtitleChar"/>
    <w:uiPriority w:val="99"/>
    <w:qFormat/>
    <w:rsid w:val="006D1A25"/>
    <w:pPr>
      <w:spacing w:after="60"/>
      <w:jc w:val="center"/>
      <w:outlineLvl w:val="1"/>
    </w:pPr>
    <w:rPr>
      <w:rFonts w:ascii="Arial" w:hAnsi="Arial"/>
      <w:sz w:val="24"/>
    </w:rPr>
  </w:style>
  <w:style w:type="character" w:customStyle="1" w:styleId="SubtitleChar">
    <w:name w:val="Subtitle Char"/>
    <w:link w:val="Subtitle"/>
    <w:uiPriority w:val="99"/>
    <w:locked/>
    <w:rsid w:val="006D1A25"/>
    <w:rPr>
      <w:rFonts w:ascii="Arial" w:hAnsi="Arial" w:cs="Times New Roman"/>
      <w:sz w:val="24"/>
    </w:rPr>
  </w:style>
  <w:style w:type="paragraph" w:styleId="BalloonText">
    <w:name w:val="Balloon Text"/>
    <w:basedOn w:val="Normal"/>
    <w:link w:val="BalloonTextChar"/>
    <w:uiPriority w:val="99"/>
    <w:semiHidden/>
    <w:rsid w:val="006D1A25"/>
    <w:rPr>
      <w:rFonts w:ascii="Tahoma" w:hAnsi="Tahoma" w:cs="Tahoma"/>
      <w:sz w:val="16"/>
      <w:szCs w:val="16"/>
    </w:rPr>
  </w:style>
  <w:style w:type="character" w:customStyle="1" w:styleId="BalloonTextChar">
    <w:name w:val="Balloon Text Char"/>
    <w:link w:val="BalloonText"/>
    <w:uiPriority w:val="99"/>
    <w:semiHidden/>
    <w:locked/>
    <w:rsid w:val="006D1A25"/>
    <w:rPr>
      <w:rFonts w:ascii="Tahoma" w:hAnsi="Tahoma" w:cs="Tahoma"/>
      <w:sz w:val="16"/>
      <w:szCs w:val="16"/>
    </w:rPr>
  </w:style>
  <w:style w:type="paragraph" w:styleId="NormalWeb">
    <w:name w:val="Normal (Web)"/>
    <w:basedOn w:val="Normal"/>
    <w:uiPriority w:val="99"/>
    <w:rsid w:val="006D1A25"/>
    <w:pPr>
      <w:spacing w:before="100" w:beforeAutospacing="1" w:after="100" w:afterAutospacing="1"/>
    </w:pPr>
    <w:rPr>
      <w:color w:val="000000"/>
      <w:sz w:val="24"/>
      <w:szCs w:val="24"/>
    </w:rPr>
  </w:style>
  <w:style w:type="character" w:styleId="Strong">
    <w:name w:val="Strong"/>
    <w:uiPriority w:val="99"/>
    <w:qFormat/>
    <w:rsid w:val="006D1A25"/>
    <w:rPr>
      <w:rFonts w:cs="Times New Roman"/>
      <w:b/>
      <w:bCs/>
    </w:rPr>
  </w:style>
  <w:style w:type="paragraph" w:customStyle="1" w:styleId="Default">
    <w:name w:val="Default"/>
    <w:rsid w:val="006D1A25"/>
    <w:pPr>
      <w:autoSpaceDE w:val="0"/>
      <w:autoSpaceDN w:val="0"/>
      <w:adjustRightInd w:val="0"/>
    </w:pPr>
    <w:rPr>
      <w:rFonts w:ascii="Century Schoolbook" w:eastAsia="Times New Roman" w:hAnsi="Century Schoolbook" w:cs="Century Schoolbook"/>
      <w:color w:val="000000"/>
      <w:sz w:val="24"/>
      <w:szCs w:val="24"/>
    </w:rPr>
  </w:style>
  <w:style w:type="character" w:customStyle="1" w:styleId="CommentSubjectChar">
    <w:name w:val="Comment Subject Char"/>
    <w:link w:val="CommentSubject"/>
    <w:uiPriority w:val="99"/>
    <w:semiHidden/>
    <w:locked/>
    <w:rsid w:val="006D1A25"/>
    <w:rPr>
      <w:rFonts w:eastAsia="Times New Roman" w:cs="Times New Roman"/>
      <w:b/>
      <w:bCs/>
    </w:rPr>
  </w:style>
  <w:style w:type="paragraph" w:styleId="CommentSubject">
    <w:name w:val="annotation subject"/>
    <w:basedOn w:val="CommentText"/>
    <w:next w:val="CommentText"/>
    <w:link w:val="CommentSubjectChar"/>
    <w:uiPriority w:val="99"/>
    <w:semiHidden/>
    <w:rsid w:val="006D1A25"/>
    <w:rPr>
      <w:b/>
      <w:bCs/>
    </w:rPr>
  </w:style>
  <w:style w:type="character" w:customStyle="1" w:styleId="CommentSubjectChar1">
    <w:name w:val="Comment Subject Char1"/>
    <w:uiPriority w:val="99"/>
    <w:semiHidden/>
    <w:locked/>
    <w:rsid w:val="00B618C7"/>
    <w:rPr>
      <w:rFonts w:eastAsia="Times New Roman" w:cs="Times New Roman"/>
      <w:b/>
      <w:bCs/>
      <w:sz w:val="20"/>
      <w:szCs w:val="20"/>
    </w:rPr>
  </w:style>
  <w:style w:type="character" w:styleId="FootnoteReference">
    <w:name w:val="footnote reference"/>
    <w:uiPriority w:val="99"/>
    <w:rsid w:val="006D1A25"/>
    <w:rPr>
      <w:rFonts w:cs="Times New Roman"/>
      <w:vertAlign w:val="superscript"/>
    </w:rPr>
  </w:style>
  <w:style w:type="paragraph" w:customStyle="1" w:styleId="StyleAGHeading2Left0">
    <w:name w:val="Style AG Heading 2 + Left:  0&quot;"/>
    <w:basedOn w:val="Normal"/>
    <w:uiPriority w:val="99"/>
    <w:rsid w:val="006D1A25"/>
    <w:pPr>
      <w:spacing w:before="360" w:after="240"/>
    </w:pPr>
    <w:rPr>
      <w:rFonts w:ascii="Palatino" w:eastAsia="SimSun" w:hAnsi="Palatino"/>
      <w:b/>
      <w:bCs/>
      <w:spacing w:val="5"/>
      <w:sz w:val="26"/>
    </w:rPr>
  </w:style>
  <w:style w:type="paragraph" w:customStyle="1" w:styleId="AGBodyText">
    <w:name w:val="AG Body Text"/>
    <w:basedOn w:val="Normal"/>
    <w:uiPriority w:val="99"/>
    <w:rsid w:val="006D1A25"/>
    <w:pPr>
      <w:spacing w:before="120" w:after="240" w:line="300" w:lineRule="exact"/>
      <w:ind w:left="1800"/>
    </w:pPr>
    <w:rPr>
      <w:rFonts w:ascii="Palatino" w:eastAsia="SimSun" w:hAnsi="Palatino"/>
      <w:sz w:val="21"/>
    </w:rPr>
  </w:style>
  <w:style w:type="paragraph" w:customStyle="1" w:styleId="ColorfulShading-Accent11">
    <w:name w:val="Colorful Shading - Accent 11"/>
    <w:hidden/>
    <w:uiPriority w:val="99"/>
    <w:semiHidden/>
    <w:rsid w:val="006D1A25"/>
    <w:rPr>
      <w:rFonts w:eastAsia="Times New Roman"/>
    </w:rPr>
  </w:style>
  <w:style w:type="paragraph" w:styleId="TOC6">
    <w:name w:val="toc 6"/>
    <w:basedOn w:val="TOC1"/>
    <w:next w:val="Normal"/>
    <w:uiPriority w:val="39"/>
    <w:rsid w:val="00202F2A"/>
    <w:pPr>
      <w:tabs>
        <w:tab w:val="clear" w:pos="1152"/>
        <w:tab w:val="left" w:pos="2160"/>
      </w:tabs>
      <w:ind w:left="2160" w:hanging="2160"/>
    </w:pPr>
  </w:style>
  <w:style w:type="paragraph" w:styleId="TOC7">
    <w:name w:val="toc 7"/>
    <w:basedOn w:val="Normal"/>
    <w:next w:val="Normal"/>
    <w:autoRedefine/>
    <w:uiPriority w:val="39"/>
    <w:rsid w:val="00202F2A"/>
    <w:rPr>
      <w:sz w:val="22"/>
    </w:rPr>
  </w:style>
  <w:style w:type="paragraph" w:styleId="TOC8">
    <w:name w:val="toc 8"/>
    <w:basedOn w:val="Normal"/>
    <w:next w:val="Normal"/>
    <w:autoRedefine/>
    <w:uiPriority w:val="39"/>
    <w:rsid w:val="00202F2A"/>
    <w:rPr>
      <w:sz w:val="22"/>
    </w:rPr>
  </w:style>
  <w:style w:type="paragraph" w:styleId="TOC9">
    <w:name w:val="toc 9"/>
    <w:basedOn w:val="TOC1"/>
    <w:next w:val="Normal"/>
    <w:uiPriority w:val="39"/>
    <w:rsid w:val="00202F2A"/>
    <w:pPr>
      <w:tabs>
        <w:tab w:val="clear" w:pos="1152"/>
        <w:tab w:val="left" w:pos="1872"/>
      </w:tabs>
      <w:ind w:left="1872" w:hanging="1872"/>
    </w:pPr>
  </w:style>
  <w:style w:type="paragraph" w:styleId="Index1">
    <w:name w:val="index 1"/>
    <w:basedOn w:val="Normal"/>
    <w:next w:val="Normal"/>
    <w:autoRedefine/>
    <w:uiPriority w:val="99"/>
    <w:semiHidden/>
    <w:rsid w:val="00202F2A"/>
    <w:pPr>
      <w:ind w:left="200" w:hanging="200"/>
    </w:pPr>
  </w:style>
  <w:style w:type="paragraph" w:styleId="Index2">
    <w:name w:val="index 2"/>
    <w:basedOn w:val="Normal"/>
    <w:next w:val="Normal"/>
    <w:autoRedefine/>
    <w:uiPriority w:val="99"/>
    <w:semiHidden/>
    <w:rsid w:val="00202F2A"/>
    <w:pPr>
      <w:ind w:left="400" w:hanging="200"/>
    </w:pPr>
  </w:style>
  <w:style w:type="paragraph" w:styleId="Index3">
    <w:name w:val="index 3"/>
    <w:basedOn w:val="Normal"/>
    <w:next w:val="Normal"/>
    <w:autoRedefine/>
    <w:uiPriority w:val="99"/>
    <w:semiHidden/>
    <w:rsid w:val="00202F2A"/>
    <w:pPr>
      <w:ind w:left="600" w:hanging="200"/>
    </w:pPr>
  </w:style>
  <w:style w:type="paragraph" w:styleId="Index4">
    <w:name w:val="index 4"/>
    <w:basedOn w:val="Normal"/>
    <w:next w:val="Normal"/>
    <w:autoRedefine/>
    <w:uiPriority w:val="99"/>
    <w:semiHidden/>
    <w:rsid w:val="00202F2A"/>
    <w:pPr>
      <w:ind w:left="800" w:hanging="200"/>
    </w:pPr>
  </w:style>
  <w:style w:type="paragraph" w:styleId="Index5">
    <w:name w:val="index 5"/>
    <w:basedOn w:val="Normal"/>
    <w:next w:val="Normal"/>
    <w:autoRedefine/>
    <w:uiPriority w:val="99"/>
    <w:semiHidden/>
    <w:rsid w:val="00202F2A"/>
    <w:pPr>
      <w:ind w:left="1000" w:hanging="200"/>
    </w:pPr>
  </w:style>
  <w:style w:type="paragraph" w:styleId="Index6">
    <w:name w:val="index 6"/>
    <w:basedOn w:val="Normal"/>
    <w:next w:val="Normal"/>
    <w:autoRedefine/>
    <w:uiPriority w:val="99"/>
    <w:semiHidden/>
    <w:rsid w:val="00202F2A"/>
    <w:pPr>
      <w:ind w:left="1200" w:hanging="200"/>
    </w:pPr>
  </w:style>
  <w:style w:type="paragraph" w:styleId="Index7">
    <w:name w:val="index 7"/>
    <w:basedOn w:val="Normal"/>
    <w:next w:val="Normal"/>
    <w:autoRedefine/>
    <w:uiPriority w:val="99"/>
    <w:semiHidden/>
    <w:rsid w:val="00202F2A"/>
    <w:pPr>
      <w:ind w:left="1400" w:hanging="200"/>
    </w:pPr>
  </w:style>
  <w:style w:type="paragraph" w:styleId="Index8">
    <w:name w:val="index 8"/>
    <w:basedOn w:val="Normal"/>
    <w:next w:val="Normal"/>
    <w:autoRedefine/>
    <w:uiPriority w:val="99"/>
    <w:semiHidden/>
    <w:rsid w:val="00202F2A"/>
    <w:pPr>
      <w:ind w:left="1600" w:hanging="200"/>
    </w:pPr>
  </w:style>
  <w:style w:type="paragraph" w:styleId="Index9">
    <w:name w:val="index 9"/>
    <w:basedOn w:val="Normal"/>
    <w:next w:val="Normal"/>
    <w:autoRedefine/>
    <w:uiPriority w:val="99"/>
    <w:semiHidden/>
    <w:rsid w:val="00202F2A"/>
    <w:pPr>
      <w:ind w:left="1800" w:hanging="200"/>
    </w:pPr>
  </w:style>
  <w:style w:type="paragraph" w:styleId="IndexHeading">
    <w:name w:val="index heading"/>
    <w:basedOn w:val="Normal"/>
    <w:next w:val="Index1"/>
    <w:uiPriority w:val="99"/>
    <w:semiHidden/>
    <w:rsid w:val="00202F2A"/>
    <w:rPr>
      <w:rFonts w:ascii="Arial" w:hAnsi="Arial"/>
      <w:b/>
    </w:rPr>
  </w:style>
  <w:style w:type="paragraph" w:styleId="TableofAuthorities">
    <w:name w:val="table of authorities"/>
    <w:basedOn w:val="Normal"/>
    <w:next w:val="Normal"/>
    <w:uiPriority w:val="99"/>
    <w:semiHidden/>
    <w:rsid w:val="00202F2A"/>
    <w:pPr>
      <w:ind w:left="200" w:hanging="200"/>
    </w:pPr>
  </w:style>
  <w:style w:type="paragraph" w:styleId="TOAHeading">
    <w:name w:val="toa heading"/>
    <w:basedOn w:val="Normal"/>
    <w:next w:val="Normal"/>
    <w:uiPriority w:val="99"/>
    <w:semiHidden/>
    <w:rsid w:val="00202F2A"/>
    <w:pPr>
      <w:spacing w:before="120"/>
    </w:pPr>
    <w:rPr>
      <w:rFonts w:ascii="Arial" w:hAnsi="Arial"/>
      <w:b/>
      <w:sz w:val="24"/>
    </w:rPr>
  </w:style>
  <w:style w:type="paragraph" w:customStyle="1" w:styleId="ColorfulList-Accent11">
    <w:name w:val="Colorful List - Accent 11"/>
    <w:basedOn w:val="Normal"/>
    <w:uiPriority w:val="34"/>
    <w:qFormat/>
    <w:rsid w:val="00F03F72"/>
    <w:pPr>
      <w:ind w:left="720"/>
    </w:pPr>
    <w:rPr>
      <w:rFonts w:eastAsia="SimSun"/>
      <w:sz w:val="24"/>
      <w:szCs w:val="22"/>
      <w:lang w:eastAsia="zh-CN"/>
    </w:rPr>
  </w:style>
  <w:style w:type="character" w:customStyle="1" w:styleId="yshortcuts">
    <w:name w:val="yshortcuts"/>
    <w:basedOn w:val="DefaultParagraphFont"/>
    <w:rsid w:val="00AA4FC3"/>
  </w:style>
  <w:style w:type="character" w:customStyle="1" w:styleId="spelle">
    <w:name w:val="spelle"/>
    <w:basedOn w:val="DefaultParagraphFont"/>
    <w:rsid w:val="00AA4FC3"/>
  </w:style>
  <w:style w:type="paragraph" w:customStyle="1" w:styleId="AGTitleTextB">
    <w:name w:val="AG Title Text B"/>
    <w:basedOn w:val="Normal"/>
    <w:rsid w:val="003B34AA"/>
    <w:pPr>
      <w:ind w:left="5760"/>
    </w:pPr>
    <w:rPr>
      <w:rFonts w:ascii="Palatino" w:eastAsia="SimSun" w:hAnsi="Palatino"/>
      <w:sz w:val="19"/>
    </w:rPr>
  </w:style>
  <w:style w:type="paragraph" w:customStyle="1" w:styleId="AGBodyTextChar1">
    <w:name w:val="AG Body Text Char1"/>
    <w:basedOn w:val="Normal"/>
    <w:rsid w:val="003B34AA"/>
    <w:pPr>
      <w:spacing w:before="120" w:after="240" w:line="300" w:lineRule="exact"/>
      <w:ind w:left="1800"/>
    </w:pPr>
    <w:rPr>
      <w:rFonts w:ascii="Palatino" w:eastAsia="SimSun" w:hAnsi="Palatino"/>
      <w:sz w:val="21"/>
    </w:rPr>
  </w:style>
  <w:style w:type="paragraph" w:customStyle="1" w:styleId="AGBullet">
    <w:name w:val="AG Bullet"/>
    <w:basedOn w:val="ColorfulList-Accent11"/>
    <w:uiPriority w:val="99"/>
    <w:rsid w:val="002E6DC4"/>
    <w:pPr>
      <w:numPr>
        <w:numId w:val="15"/>
      </w:numPr>
      <w:spacing w:before="120" w:after="120" w:line="264" w:lineRule="auto"/>
      <w:contextualSpacing/>
    </w:pPr>
    <w:rPr>
      <w:rFonts w:eastAsia="Times New Roman"/>
      <w:sz w:val="22"/>
      <w:lang w:eastAsia="en-US"/>
    </w:rPr>
  </w:style>
  <w:style w:type="paragraph" w:customStyle="1" w:styleId="AGbodytext0">
    <w:name w:val="AG body text"/>
    <w:basedOn w:val="Normal"/>
    <w:link w:val="AGbodytextChar"/>
    <w:qFormat/>
    <w:rsid w:val="002E6DC4"/>
    <w:pPr>
      <w:spacing w:before="120" w:after="120" w:line="360" w:lineRule="auto"/>
    </w:pPr>
    <w:rPr>
      <w:sz w:val="22"/>
      <w:szCs w:val="22"/>
      <w:lang w:val="en-GB"/>
    </w:rPr>
  </w:style>
  <w:style w:type="character" w:customStyle="1" w:styleId="AGbodytextChar">
    <w:name w:val="AG body text Char"/>
    <w:link w:val="AGbodytext0"/>
    <w:rsid w:val="002E6DC4"/>
    <w:rPr>
      <w:rFonts w:eastAsia="Times New Roman"/>
      <w:sz w:val="22"/>
      <w:szCs w:val="22"/>
      <w:lang w:val="en-GB"/>
    </w:rPr>
  </w:style>
  <w:style w:type="character" w:customStyle="1" w:styleId="MediumGrid2Char">
    <w:name w:val="Medium Grid 2 Char"/>
    <w:link w:val="MediumGrid21"/>
    <w:uiPriority w:val="1"/>
    <w:rsid w:val="00294069"/>
    <w:rPr>
      <w:sz w:val="22"/>
      <w:szCs w:val="22"/>
    </w:rPr>
  </w:style>
  <w:style w:type="paragraph" w:customStyle="1" w:styleId="Style2">
    <w:name w:val="Style2"/>
    <w:basedOn w:val="Normal"/>
    <w:link w:val="Style2Char"/>
    <w:qFormat/>
    <w:rsid w:val="009B4CAA"/>
    <w:pPr>
      <w:spacing w:line="480" w:lineRule="auto"/>
    </w:pPr>
    <w:rPr>
      <w:rFonts w:ascii="Arial" w:hAnsi="Arial"/>
      <w:i/>
      <w:szCs w:val="24"/>
    </w:rPr>
  </w:style>
  <w:style w:type="character" w:customStyle="1" w:styleId="Style2Char">
    <w:name w:val="Style2 Char"/>
    <w:link w:val="Style2"/>
    <w:rsid w:val="009B4CAA"/>
    <w:rPr>
      <w:rFonts w:ascii="Arial" w:eastAsia="Times New Roman" w:hAnsi="Arial"/>
      <w:i/>
      <w:szCs w:val="24"/>
    </w:rPr>
  </w:style>
  <w:style w:type="paragraph" w:customStyle="1" w:styleId="Tablecaption">
    <w:name w:val="Table caption"/>
    <w:basedOn w:val="Normal"/>
    <w:next w:val="BodyText"/>
    <w:uiPriority w:val="99"/>
    <w:rsid w:val="00F66866"/>
    <w:pPr>
      <w:jc w:val="center"/>
    </w:pPr>
    <w:rPr>
      <w:color w:val="FF0000"/>
      <w:sz w:val="22"/>
      <w:szCs w:val="22"/>
    </w:rPr>
  </w:style>
  <w:style w:type="paragraph" w:customStyle="1" w:styleId="Style1">
    <w:name w:val="Style1"/>
    <w:basedOn w:val="Normal"/>
    <w:link w:val="Style1Char"/>
    <w:qFormat/>
    <w:rsid w:val="00072D17"/>
    <w:pPr>
      <w:spacing w:line="480" w:lineRule="auto"/>
    </w:pPr>
    <w:rPr>
      <w:rFonts w:ascii="Arial" w:hAnsi="Arial" w:cs="Arial"/>
      <w:b/>
    </w:rPr>
  </w:style>
  <w:style w:type="character" w:customStyle="1" w:styleId="Style1Char">
    <w:name w:val="Style1 Char"/>
    <w:link w:val="Style1"/>
    <w:rsid w:val="00072D17"/>
    <w:rPr>
      <w:rFonts w:ascii="Arial" w:eastAsia="Times New Roman" w:hAnsi="Arial" w:cs="Arial"/>
      <w:b/>
    </w:rPr>
  </w:style>
  <w:style w:type="paragraph" w:customStyle="1" w:styleId="TOCHeading1">
    <w:name w:val="TOC Heading1"/>
    <w:basedOn w:val="Heading1"/>
    <w:next w:val="Normal"/>
    <w:uiPriority w:val="39"/>
    <w:semiHidden/>
    <w:unhideWhenUsed/>
    <w:qFormat/>
    <w:rsid w:val="001D4351"/>
    <w:pPr>
      <w:keepLines/>
      <w:numPr>
        <w:numId w:val="0"/>
      </w:numPr>
      <w:tabs>
        <w:tab w:val="clear" w:pos="1152"/>
      </w:tabs>
      <w:spacing w:before="480" w:after="0" w:line="276" w:lineRule="auto"/>
      <w:outlineLvl w:val="9"/>
    </w:pPr>
    <w:rPr>
      <w:rFonts w:ascii="Cambria" w:eastAsia="MS Gothic" w:hAnsi="Cambria"/>
      <w:bCs/>
      <w:caps w:val="0"/>
      <w:color w:val="365F91"/>
      <w:szCs w:val="28"/>
      <w:lang w:eastAsia="ja-JP"/>
    </w:rPr>
  </w:style>
  <w:style w:type="character" w:customStyle="1" w:styleId="st1">
    <w:name w:val="st1"/>
    <w:rsid w:val="0011606E"/>
  </w:style>
  <w:style w:type="character" w:customStyle="1" w:styleId="data">
    <w:name w:val="data"/>
    <w:rsid w:val="00D927E4"/>
  </w:style>
  <w:style w:type="paragraph" w:styleId="Revision">
    <w:name w:val="Revision"/>
    <w:hidden/>
    <w:uiPriority w:val="99"/>
    <w:semiHidden/>
    <w:rsid w:val="00091567"/>
    <w:rPr>
      <w:rFonts w:eastAsia="Times New Roman"/>
    </w:rPr>
  </w:style>
  <w:style w:type="paragraph" w:styleId="ListParagraph">
    <w:name w:val="List Paragraph"/>
    <w:basedOn w:val="Normal"/>
    <w:uiPriority w:val="34"/>
    <w:qFormat/>
    <w:rsid w:val="00C77A50"/>
    <w:pPr>
      <w:spacing w:after="200" w:line="288" w:lineRule="auto"/>
      <w:ind w:left="720"/>
      <w:contextualSpacing/>
    </w:pPr>
    <w:rPr>
      <w:rFonts w:ascii="Calibri" w:eastAsia="SimSun" w:hAnsi="Calibri"/>
      <w:i/>
      <w:iCs/>
      <w:lang w:eastAsia="zh-CN"/>
    </w:rPr>
  </w:style>
  <w:style w:type="paragraph" w:customStyle="1" w:styleId="Style3">
    <w:name w:val="Style3"/>
    <w:basedOn w:val="Heading7"/>
    <w:qFormat/>
    <w:rsid w:val="007E0D5D"/>
    <w:pPr>
      <w:numPr>
        <w:ilvl w:val="0"/>
        <w:numId w:val="25"/>
      </w:numPr>
      <w:spacing w:line="360" w:lineRule="auto"/>
    </w:pPr>
    <w:rPr>
      <w:rFonts w:ascii="Times New Roman" w:hAnsi="Times New Roman"/>
      <w:b/>
      <w:sz w:val="24"/>
      <w:szCs w:val="24"/>
    </w:rPr>
  </w:style>
  <w:style w:type="paragraph" w:customStyle="1" w:styleId="xl77">
    <w:name w:val="xl77"/>
    <w:basedOn w:val="Normal"/>
    <w:rsid w:val="00D8192C"/>
    <w:pPr>
      <w:spacing w:before="100" w:beforeAutospacing="1" w:after="100" w:afterAutospacing="1"/>
    </w:pPr>
    <w:rPr>
      <w:sz w:val="24"/>
      <w:szCs w:val="24"/>
    </w:rPr>
  </w:style>
  <w:style w:type="paragraph" w:customStyle="1" w:styleId="xl78">
    <w:name w:val="xl78"/>
    <w:basedOn w:val="Normal"/>
    <w:rsid w:val="00D8192C"/>
    <w:pPr>
      <w:spacing w:before="100" w:beforeAutospacing="1" w:after="100" w:afterAutospacing="1"/>
      <w:textAlignment w:val="center"/>
    </w:pPr>
  </w:style>
  <w:style w:type="paragraph" w:customStyle="1" w:styleId="xl79">
    <w:name w:val="xl79"/>
    <w:basedOn w:val="Normal"/>
    <w:rsid w:val="00D8192C"/>
    <w:pPr>
      <w:spacing w:before="100" w:beforeAutospacing="1" w:after="100" w:afterAutospacing="1"/>
      <w:jc w:val="both"/>
      <w:textAlignment w:val="center"/>
    </w:pPr>
    <w:rPr>
      <w:b/>
      <w:bCs/>
      <w:color w:val="000000"/>
    </w:rPr>
  </w:style>
  <w:style w:type="paragraph" w:customStyle="1" w:styleId="xl80">
    <w:name w:val="xl80"/>
    <w:basedOn w:val="Normal"/>
    <w:rsid w:val="00D8192C"/>
    <w:pPr>
      <w:spacing w:before="100" w:beforeAutospacing="1" w:after="100" w:afterAutospacing="1"/>
    </w:pPr>
    <w:rPr>
      <w:sz w:val="24"/>
      <w:szCs w:val="24"/>
    </w:rPr>
  </w:style>
  <w:style w:type="paragraph" w:customStyle="1" w:styleId="xl81">
    <w:name w:val="xl81"/>
    <w:basedOn w:val="Normal"/>
    <w:rsid w:val="00D8192C"/>
    <w:pPr>
      <w:spacing w:before="100" w:beforeAutospacing="1" w:after="100" w:afterAutospacing="1"/>
      <w:textAlignment w:val="center"/>
    </w:pPr>
    <w:rPr>
      <w:b/>
      <w:bCs/>
      <w:color w:val="000000"/>
    </w:rPr>
  </w:style>
  <w:style w:type="paragraph" w:customStyle="1" w:styleId="xl82">
    <w:name w:val="xl82"/>
    <w:basedOn w:val="Normal"/>
    <w:rsid w:val="00D8192C"/>
    <w:pPr>
      <w:spacing w:before="100" w:beforeAutospacing="1" w:after="100" w:afterAutospacing="1"/>
      <w:textAlignment w:val="center"/>
    </w:pPr>
  </w:style>
  <w:style w:type="paragraph" w:customStyle="1" w:styleId="xl83">
    <w:name w:val="xl83"/>
    <w:basedOn w:val="Normal"/>
    <w:rsid w:val="00D8192C"/>
    <w:pPr>
      <w:spacing w:before="100" w:beforeAutospacing="1" w:after="100" w:afterAutospacing="1"/>
      <w:textAlignment w:val="center"/>
    </w:pPr>
    <w:rPr>
      <w:color w:val="0000FF"/>
      <w:sz w:val="24"/>
      <w:szCs w:val="24"/>
      <w:u w:val="single"/>
    </w:rPr>
  </w:style>
  <w:style w:type="paragraph" w:customStyle="1" w:styleId="xl84">
    <w:name w:val="xl84"/>
    <w:basedOn w:val="Normal"/>
    <w:rsid w:val="00D8192C"/>
    <w:pPr>
      <w:spacing w:before="100" w:beforeAutospacing="1" w:after="100" w:afterAutospacing="1"/>
      <w:textAlignment w:val="top"/>
    </w:pPr>
    <w:rPr>
      <w:sz w:val="24"/>
      <w:szCs w:val="24"/>
    </w:rPr>
  </w:style>
  <w:style w:type="paragraph" w:customStyle="1" w:styleId="xl85">
    <w:name w:val="xl85"/>
    <w:basedOn w:val="Normal"/>
    <w:rsid w:val="00D8192C"/>
    <w:pPr>
      <w:spacing w:before="100" w:beforeAutospacing="1" w:after="100" w:afterAutospacing="1"/>
      <w:textAlignment w:val="center"/>
    </w:pPr>
    <w:rPr>
      <w:color w:val="000000"/>
    </w:rPr>
  </w:style>
  <w:style w:type="paragraph" w:customStyle="1" w:styleId="xl86">
    <w:name w:val="xl86"/>
    <w:basedOn w:val="Normal"/>
    <w:rsid w:val="00D8192C"/>
    <w:pPr>
      <w:spacing w:before="100" w:beforeAutospacing="1" w:after="100" w:afterAutospacing="1"/>
      <w:textAlignment w:val="center"/>
    </w:pPr>
    <w:rPr>
      <w:color w:val="000000"/>
    </w:rPr>
  </w:style>
  <w:style w:type="paragraph" w:customStyle="1" w:styleId="xl87">
    <w:name w:val="xl87"/>
    <w:basedOn w:val="Normal"/>
    <w:rsid w:val="00D8192C"/>
    <w:pPr>
      <w:spacing w:before="100" w:beforeAutospacing="1" w:after="100" w:afterAutospacing="1"/>
      <w:textAlignment w:val="center"/>
    </w:pPr>
    <w:rPr>
      <w:b/>
      <w:bCs/>
      <w:color w:val="000000"/>
    </w:rPr>
  </w:style>
  <w:style w:type="paragraph" w:customStyle="1" w:styleId="xl88">
    <w:name w:val="xl88"/>
    <w:basedOn w:val="Normal"/>
    <w:rsid w:val="00D8192C"/>
    <w:pPr>
      <w:spacing w:before="100" w:beforeAutospacing="1" w:after="100" w:afterAutospacing="1"/>
      <w:textAlignment w:val="center"/>
    </w:pPr>
    <w:rPr>
      <w:b/>
      <w:bCs/>
      <w:color w:val="000000"/>
    </w:rPr>
  </w:style>
  <w:style w:type="paragraph" w:customStyle="1" w:styleId="xl89">
    <w:name w:val="xl89"/>
    <w:basedOn w:val="Normal"/>
    <w:rsid w:val="00D8192C"/>
    <w:pPr>
      <w:pBdr>
        <w:bottom w:val="single" w:sz="8" w:space="0" w:color="auto"/>
      </w:pBdr>
      <w:spacing w:before="100" w:beforeAutospacing="1" w:after="100" w:afterAutospacing="1"/>
      <w:jc w:val="center"/>
      <w:textAlignment w:val="center"/>
    </w:pPr>
    <w:rPr>
      <w:b/>
      <w:bCs/>
      <w:color w:val="000000"/>
      <w:sz w:val="24"/>
      <w:szCs w:val="24"/>
    </w:rPr>
  </w:style>
  <w:style w:type="paragraph" w:customStyle="1" w:styleId="xl90">
    <w:name w:val="xl90"/>
    <w:basedOn w:val="Normal"/>
    <w:rsid w:val="00D8192C"/>
    <w:pPr>
      <w:spacing w:before="100" w:beforeAutospacing="1" w:after="100" w:afterAutospacing="1"/>
      <w:jc w:val="center"/>
      <w:textAlignment w:val="center"/>
    </w:pPr>
    <w:rPr>
      <w:b/>
      <w:bCs/>
      <w:color w:val="000000"/>
      <w:sz w:val="24"/>
      <w:szCs w:val="24"/>
    </w:rPr>
  </w:style>
  <w:style w:type="paragraph" w:customStyle="1" w:styleId="xl91">
    <w:name w:val="xl91"/>
    <w:basedOn w:val="Normal"/>
    <w:rsid w:val="00D8192C"/>
    <w:pPr>
      <w:spacing w:before="100" w:beforeAutospacing="1" w:after="100" w:afterAutospacing="1"/>
      <w:jc w:val="both"/>
      <w:textAlignment w:val="center"/>
    </w:pPr>
    <w:rPr>
      <w:color w:val="0000FF"/>
      <w:sz w:val="24"/>
      <w:szCs w:val="24"/>
      <w:u w:val="single"/>
    </w:rPr>
  </w:style>
  <w:style w:type="paragraph" w:customStyle="1" w:styleId="xl92">
    <w:name w:val="xl92"/>
    <w:basedOn w:val="Normal"/>
    <w:rsid w:val="00D8192C"/>
    <w:pPr>
      <w:pBdr>
        <w:top w:val="single" w:sz="8" w:space="0" w:color="auto"/>
      </w:pBdr>
      <w:spacing w:before="100" w:beforeAutospacing="1" w:after="100" w:afterAutospacing="1"/>
      <w:textAlignment w:val="center"/>
    </w:pPr>
  </w:style>
  <w:style w:type="paragraph" w:customStyle="1" w:styleId="xl93">
    <w:name w:val="xl93"/>
    <w:basedOn w:val="Normal"/>
    <w:rsid w:val="00D8192C"/>
    <w:pPr>
      <w:pBdr>
        <w:top w:val="single" w:sz="8" w:space="0" w:color="auto"/>
      </w:pBdr>
      <w:spacing w:before="100" w:beforeAutospacing="1" w:after="100" w:afterAutospacing="1"/>
      <w:textAlignment w:val="center"/>
    </w:pPr>
  </w:style>
  <w:style w:type="paragraph" w:customStyle="1" w:styleId="xl94">
    <w:name w:val="xl94"/>
    <w:basedOn w:val="Normal"/>
    <w:rsid w:val="00D8192C"/>
    <w:pPr>
      <w:spacing w:before="100" w:beforeAutospacing="1" w:after="100" w:afterAutospacing="1"/>
      <w:jc w:val="both"/>
      <w:textAlignment w:val="center"/>
    </w:pPr>
  </w:style>
  <w:style w:type="paragraph" w:customStyle="1" w:styleId="xl95">
    <w:name w:val="xl95"/>
    <w:basedOn w:val="Normal"/>
    <w:rsid w:val="00D8192C"/>
    <w:pPr>
      <w:spacing w:before="100" w:beforeAutospacing="1" w:after="100" w:afterAutospacing="1"/>
      <w:textAlignment w:val="center"/>
    </w:pPr>
  </w:style>
  <w:style w:type="paragraph" w:customStyle="1" w:styleId="xl96">
    <w:name w:val="xl96"/>
    <w:basedOn w:val="Normal"/>
    <w:rsid w:val="00D8192C"/>
    <w:pPr>
      <w:pBdr>
        <w:bottom w:val="single" w:sz="4" w:space="0" w:color="auto"/>
      </w:pBdr>
      <w:spacing w:before="100" w:beforeAutospacing="1" w:after="100" w:afterAutospacing="1"/>
      <w:textAlignment w:val="center"/>
    </w:pPr>
  </w:style>
  <w:style w:type="paragraph" w:customStyle="1" w:styleId="xl97">
    <w:name w:val="xl97"/>
    <w:basedOn w:val="Normal"/>
    <w:rsid w:val="00D8192C"/>
    <w:pPr>
      <w:pBdr>
        <w:bottom w:val="single" w:sz="4" w:space="0" w:color="auto"/>
      </w:pBdr>
      <w:spacing w:before="100" w:beforeAutospacing="1" w:after="100" w:afterAutospacing="1"/>
      <w:textAlignment w:val="center"/>
    </w:pPr>
  </w:style>
  <w:style w:type="paragraph" w:customStyle="1" w:styleId="xl98">
    <w:name w:val="xl98"/>
    <w:basedOn w:val="Normal"/>
    <w:rsid w:val="00D8192C"/>
    <w:pPr>
      <w:pBdr>
        <w:top w:val="single" w:sz="4" w:space="0" w:color="auto"/>
      </w:pBdr>
      <w:spacing w:before="100" w:beforeAutospacing="1" w:after="100" w:afterAutospacing="1"/>
      <w:jc w:val="center"/>
      <w:textAlignment w:val="center"/>
    </w:pPr>
    <w:rPr>
      <w:b/>
      <w:bCs/>
      <w:color w:val="000000"/>
    </w:rPr>
  </w:style>
  <w:style w:type="paragraph" w:customStyle="1" w:styleId="xl99">
    <w:name w:val="xl99"/>
    <w:basedOn w:val="Normal"/>
    <w:rsid w:val="00D8192C"/>
    <w:pPr>
      <w:pBdr>
        <w:top w:val="single" w:sz="4" w:space="0" w:color="auto"/>
      </w:pBdr>
      <w:spacing w:before="100" w:beforeAutospacing="1" w:after="100" w:afterAutospacing="1"/>
      <w:textAlignment w:val="center"/>
    </w:pPr>
  </w:style>
  <w:style w:type="paragraph" w:customStyle="1" w:styleId="xl100">
    <w:name w:val="xl100"/>
    <w:basedOn w:val="Normal"/>
    <w:rsid w:val="00D8192C"/>
    <w:pPr>
      <w:spacing w:before="100" w:beforeAutospacing="1" w:after="100" w:afterAutospacing="1"/>
      <w:jc w:val="center"/>
      <w:textAlignment w:val="center"/>
    </w:pPr>
    <w:rPr>
      <w:b/>
      <w:bCs/>
      <w:color w:val="000000"/>
    </w:rPr>
  </w:style>
  <w:style w:type="paragraph" w:customStyle="1" w:styleId="xl101">
    <w:name w:val="xl101"/>
    <w:basedOn w:val="Normal"/>
    <w:rsid w:val="00D8192C"/>
    <w:pPr>
      <w:pBdr>
        <w:bottom w:val="single" w:sz="4" w:space="0" w:color="auto"/>
      </w:pBdr>
      <w:spacing w:before="100" w:beforeAutospacing="1" w:after="100" w:afterAutospacing="1"/>
      <w:jc w:val="center"/>
      <w:textAlignment w:val="center"/>
    </w:pPr>
    <w:rPr>
      <w:b/>
      <w:bCs/>
      <w:color w:val="000000"/>
    </w:rPr>
  </w:style>
  <w:style w:type="paragraph" w:customStyle="1" w:styleId="xl102">
    <w:name w:val="xl102"/>
    <w:basedOn w:val="Normal"/>
    <w:rsid w:val="00D8192C"/>
    <w:pPr>
      <w:pBdr>
        <w:bottom w:val="single" w:sz="4" w:space="0" w:color="auto"/>
      </w:pBdr>
      <w:spacing w:before="100" w:beforeAutospacing="1" w:after="100" w:afterAutospacing="1"/>
      <w:textAlignment w:val="center"/>
    </w:pPr>
    <w:rPr>
      <w:b/>
      <w:bCs/>
      <w:color w:val="000000"/>
    </w:rPr>
  </w:style>
  <w:style w:type="paragraph" w:customStyle="1" w:styleId="xl103">
    <w:name w:val="xl103"/>
    <w:basedOn w:val="Normal"/>
    <w:rsid w:val="00D8192C"/>
    <w:pPr>
      <w:pBdr>
        <w:bottom w:val="single" w:sz="4" w:space="0" w:color="auto"/>
      </w:pBdr>
      <w:spacing w:before="100" w:beforeAutospacing="1" w:after="100" w:afterAutospacing="1"/>
    </w:pPr>
    <w:rPr>
      <w:sz w:val="24"/>
      <w:szCs w:val="24"/>
    </w:rPr>
  </w:style>
  <w:style w:type="paragraph" w:customStyle="1" w:styleId="xl104">
    <w:name w:val="xl104"/>
    <w:basedOn w:val="Normal"/>
    <w:rsid w:val="00D8192C"/>
    <w:pPr>
      <w:pBdr>
        <w:bottom w:val="single" w:sz="4" w:space="0" w:color="auto"/>
      </w:pBdr>
      <w:spacing w:before="100" w:beforeAutospacing="1" w:after="100" w:afterAutospacing="1"/>
    </w:pPr>
    <w:rPr>
      <w:sz w:val="24"/>
      <w:szCs w:val="24"/>
    </w:rPr>
  </w:style>
  <w:style w:type="paragraph" w:customStyle="1" w:styleId="xl105">
    <w:name w:val="xl105"/>
    <w:basedOn w:val="Normal"/>
    <w:rsid w:val="00D8192C"/>
    <w:pPr>
      <w:pBdr>
        <w:top w:val="single" w:sz="8" w:space="0" w:color="auto"/>
      </w:pBdr>
      <w:spacing w:before="100" w:beforeAutospacing="1" w:after="100" w:afterAutospacing="1"/>
      <w:jc w:val="right"/>
      <w:textAlignment w:val="center"/>
    </w:pPr>
    <w:rPr>
      <w:sz w:val="24"/>
      <w:szCs w:val="24"/>
    </w:rPr>
  </w:style>
  <w:style w:type="paragraph" w:customStyle="1" w:styleId="xl106">
    <w:name w:val="xl106"/>
    <w:basedOn w:val="Normal"/>
    <w:rsid w:val="00D8192C"/>
    <w:pPr>
      <w:spacing w:before="100" w:beforeAutospacing="1" w:after="100" w:afterAutospacing="1"/>
      <w:jc w:val="right"/>
      <w:textAlignment w:val="center"/>
    </w:pPr>
    <w:rPr>
      <w:sz w:val="24"/>
      <w:szCs w:val="24"/>
    </w:rPr>
  </w:style>
  <w:style w:type="paragraph" w:customStyle="1" w:styleId="xl107">
    <w:name w:val="xl107"/>
    <w:basedOn w:val="Normal"/>
    <w:rsid w:val="00D8192C"/>
    <w:pPr>
      <w:pBdr>
        <w:bottom w:val="single" w:sz="4" w:space="0" w:color="auto"/>
      </w:pBdr>
      <w:spacing w:before="100" w:beforeAutospacing="1" w:after="100" w:afterAutospacing="1"/>
      <w:jc w:val="right"/>
      <w:textAlignment w:val="center"/>
    </w:pPr>
    <w:rPr>
      <w:sz w:val="24"/>
      <w:szCs w:val="24"/>
    </w:rPr>
  </w:style>
  <w:style w:type="paragraph" w:customStyle="1" w:styleId="xl108">
    <w:name w:val="xl108"/>
    <w:basedOn w:val="Normal"/>
    <w:rsid w:val="00D8192C"/>
    <w:pPr>
      <w:pBdr>
        <w:top w:val="single" w:sz="4" w:space="0" w:color="auto"/>
      </w:pBdr>
      <w:spacing w:before="100" w:beforeAutospacing="1" w:after="100" w:afterAutospacing="1"/>
      <w:jc w:val="right"/>
      <w:textAlignment w:val="center"/>
    </w:pPr>
    <w:rPr>
      <w:sz w:val="24"/>
      <w:szCs w:val="24"/>
    </w:rPr>
  </w:style>
  <w:style w:type="paragraph" w:customStyle="1" w:styleId="xl109">
    <w:name w:val="xl109"/>
    <w:basedOn w:val="Normal"/>
    <w:rsid w:val="00D8192C"/>
    <w:pPr>
      <w:pBdr>
        <w:bottom w:val="single" w:sz="4" w:space="0" w:color="auto"/>
      </w:pBdr>
      <w:spacing w:before="100" w:beforeAutospacing="1" w:after="100" w:afterAutospacing="1"/>
      <w:jc w:val="right"/>
    </w:pPr>
    <w:rPr>
      <w:sz w:val="24"/>
      <w:szCs w:val="24"/>
    </w:rPr>
  </w:style>
  <w:style w:type="paragraph" w:customStyle="1" w:styleId="xl110">
    <w:name w:val="xl110"/>
    <w:basedOn w:val="Normal"/>
    <w:rsid w:val="00D8192C"/>
    <w:pPr>
      <w:spacing w:before="100" w:beforeAutospacing="1" w:after="100" w:afterAutospacing="1"/>
      <w:jc w:val="right"/>
    </w:pPr>
    <w:rPr>
      <w:sz w:val="24"/>
      <w:szCs w:val="24"/>
    </w:rPr>
  </w:style>
  <w:style w:type="paragraph" w:customStyle="1" w:styleId="xl111">
    <w:name w:val="xl111"/>
    <w:basedOn w:val="Normal"/>
    <w:rsid w:val="00D8192C"/>
    <w:pPr>
      <w:pBdr>
        <w:bottom w:val="single" w:sz="8" w:space="0" w:color="auto"/>
      </w:pBdr>
      <w:spacing w:before="100" w:beforeAutospacing="1" w:after="100" w:afterAutospacing="1"/>
      <w:jc w:val="center"/>
      <w:textAlignment w:val="center"/>
    </w:pPr>
    <w:rPr>
      <w:b/>
      <w:bCs/>
      <w:color w:val="000000"/>
      <w:sz w:val="24"/>
      <w:szCs w:val="24"/>
    </w:rPr>
  </w:style>
  <w:style w:type="paragraph" w:customStyle="1" w:styleId="xl112">
    <w:name w:val="xl112"/>
    <w:basedOn w:val="Normal"/>
    <w:rsid w:val="00D8192C"/>
    <w:pPr>
      <w:pBdr>
        <w:bottom w:val="single" w:sz="4" w:space="0" w:color="auto"/>
      </w:pBdr>
      <w:spacing w:before="100" w:beforeAutospacing="1" w:after="100" w:afterAutospacing="1"/>
      <w:jc w:val="both"/>
      <w:textAlignment w:val="center"/>
    </w:pPr>
    <w:rPr>
      <w:b/>
      <w:bCs/>
      <w:color w:val="000000"/>
    </w:rPr>
  </w:style>
  <w:style w:type="paragraph" w:customStyle="1" w:styleId="xl113">
    <w:name w:val="xl113"/>
    <w:basedOn w:val="Normal"/>
    <w:rsid w:val="00D8192C"/>
    <w:pPr>
      <w:pBdr>
        <w:bottom w:val="single" w:sz="4" w:space="0" w:color="auto"/>
      </w:pBdr>
      <w:spacing w:before="100" w:beforeAutospacing="1" w:after="100" w:afterAutospacing="1"/>
      <w:jc w:val="both"/>
      <w:textAlignment w:val="center"/>
    </w:pPr>
  </w:style>
  <w:style w:type="paragraph" w:customStyle="1" w:styleId="xl114">
    <w:name w:val="xl114"/>
    <w:basedOn w:val="Normal"/>
    <w:rsid w:val="00D8192C"/>
    <w:pPr>
      <w:spacing w:before="100" w:beforeAutospacing="1" w:after="100" w:afterAutospacing="1"/>
      <w:jc w:val="right"/>
      <w:textAlignment w:val="center"/>
    </w:pPr>
    <w:rPr>
      <w:sz w:val="24"/>
      <w:szCs w:val="24"/>
    </w:rPr>
  </w:style>
  <w:style w:type="paragraph" w:customStyle="1" w:styleId="xl115">
    <w:name w:val="xl115"/>
    <w:basedOn w:val="Normal"/>
    <w:rsid w:val="00D8192C"/>
    <w:pPr>
      <w:pBdr>
        <w:top w:val="single" w:sz="4" w:space="0" w:color="auto"/>
      </w:pBdr>
      <w:spacing w:before="100" w:beforeAutospacing="1" w:after="100" w:afterAutospacing="1"/>
      <w:textAlignment w:val="center"/>
    </w:pPr>
  </w:style>
  <w:style w:type="paragraph" w:customStyle="1" w:styleId="xl116">
    <w:name w:val="xl116"/>
    <w:basedOn w:val="Normal"/>
    <w:rsid w:val="00D8192C"/>
    <w:pPr>
      <w:pBdr>
        <w:bottom w:val="single" w:sz="4" w:space="0" w:color="auto"/>
      </w:pBdr>
      <w:spacing w:before="100" w:beforeAutospacing="1" w:after="100" w:afterAutospacing="1"/>
    </w:pPr>
    <w:rPr>
      <w:b/>
      <w:bCs/>
      <w:sz w:val="24"/>
      <w:szCs w:val="24"/>
    </w:rPr>
  </w:style>
  <w:style w:type="paragraph" w:customStyle="1" w:styleId="xl117">
    <w:name w:val="xl117"/>
    <w:basedOn w:val="Normal"/>
    <w:rsid w:val="00D8192C"/>
    <w:pPr>
      <w:spacing w:before="100" w:beforeAutospacing="1" w:after="100" w:afterAutospacing="1"/>
      <w:jc w:val="center"/>
      <w:textAlignment w:val="center"/>
    </w:pPr>
    <w:rPr>
      <w:b/>
      <w:bCs/>
      <w:sz w:val="24"/>
      <w:szCs w:val="24"/>
    </w:rPr>
  </w:style>
  <w:style w:type="paragraph" w:styleId="TOCHeading">
    <w:name w:val="TOC Heading"/>
    <w:basedOn w:val="Heading1"/>
    <w:next w:val="Normal"/>
    <w:uiPriority w:val="39"/>
    <w:semiHidden/>
    <w:unhideWhenUsed/>
    <w:qFormat/>
    <w:rsid w:val="00B519E3"/>
    <w:pPr>
      <w:keepLines/>
      <w:numPr>
        <w:numId w:val="0"/>
      </w:numPr>
      <w:tabs>
        <w:tab w:val="clear" w:pos="1152"/>
      </w:tabs>
      <w:spacing w:before="480" w:after="0" w:line="276" w:lineRule="auto"/>
      <w:outlineLvl w:val="9"/>
    </w:pPr>
    <w:rPr>
      <w:rFonts w:asciiTheme="majorHAnsi" w:eastAsiaTheme="majorEastAsia" w:hAnsiTheme="majorHAnsi" w:cstheme="majorBidi"/>
      <w:bCs/>
      <w:caps w:val="0"/>
      <w:color w:val="365F91" w:themeColor="accent1" w:themeShade="BF"/>
      <w:szCs w:val="28"/>
      <w:lang w:eastAsia="ja-JP"/>
    </w:rPr>
  </w:style>
  <w:style w:type="table" w:styleId="TableGrid">
    <w:name w:val="Table Grid"/>
    <w:basedOn w:val="TableNormal"/>
    <w:uiPriority w:val="59"/>
    <w:locked/>
    <w:rsid w:val="009D29AC"/>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72738">
      <w:bodyDiv w:val="1"/>
      <w:marLeft w:val="0"/>
      <w:marRight w:val="0"/>
      <w:marTop w:val="0"/>
      <w:marBottom w:val="0"/>
      <w:divBdr>
        <w:top w:val="none" w:sz="0" w:space="0" w:color="auto"/>
        <w:left w:val="none" w:sz="0" w:space="0" w:color="auto"/>
        <w:bottom w:val="none" w:sz="0" w:space="0" w:color="auto"/>
        <w:right w:val="none" w:sz="0" w:space="0" w:color="auto"/>
      </w:divBdr>
    </w:div>
    <w:div w:id="27486624">
      <w:bodyDiv w:val="1"/>
      <w:marLeft w:val="0"/>
      <w:marRight w:val="0"/>
      <w:marTop w:val="0"/>
      <w:marBottom w:val="0"/>
      <w:divBdr>
        <w:top w:val="none" w:sz="0" w:space="0" w:color="auto"/>
        <w:left w:val="none" w:sz="0" w:space="0" w:color="auto"/>
        <w:bottom w:val="none" w:sz="0" w:space="0" w:color="auto"/>
        <w:right w:val="none" w:sz="0" w:space="0" w:color="auto"/>
      </w:divBdr>
    </w:div>
    <w:div w:id="54663369">
      <w:bodyDiv w:val="1"/>
      <w:marLeft w:val="0"/>
      <w:marRight w:val="0"/>
      <w:marTop w:val="0"/>
      <w:marBottom w:val="0"/>
      <w:divBdr>
        <w:top w:val="none" w:sz="0" w:space="0" w:color="auto"/>
        <w:left w:val="none" w:sz="0" w:space="0" w:color="auto"/>
        <w:bottom w:val="none" w:sz="0" w:space="0" w:color="auto"/>
        <w:right w:val="none" w:sz="0" w:space="0" w:color="auto"/>
      </w:divBdr>
    </w:div>
    <w:div w:id="71707162">
      <w:bodyDiv w:val="1"/>
      <w:marLeft w:val="0"/>
      <w:marRight w:val="0"/>
      <w:marTop w:val="0"/>
      <w:marBottom w:val="0"/>
      <w:divBdr>
        <w:top w:val="none" w:sz="0" w:space="0" w:color="auto"/>
        <w:left w:val="none" w:sz="0" w:space="0" w:color="auto"/>
        <w:bottom w:val="none" w:sz="0" w:space="0" w:color="auto"/>
        <w:right w:val="none" w:sz="0" w:space="0" w:color="auto"/>
      </w:divBdr>
    </w:div>
    <w:div w:id="79446084">
      <w:bodyDiv w:val="1"/>
      <w:marLeft w:val="0"/>
      <w:marRight w:val="0"/>
      <w:marTop w:val="0"/>
      <w:marBottom w:val="0"/>
      <w:divBdr>
        <w:top w:val="none" w:sz="0" w:space="0" w:color="auto"/>
        <w:left w:val="none" w:sz="0" w:space="0" w:color="auto"/>
        <w:bottom w:val="none" w:sz="0" w:space="0" w:color="auto"/>
        <w:right w:val="none" w:sz="0" w:space="0" w:color="auto"/>
      </w:divBdr>
      <w:divsChild>
        <w:div w:id="2114980715">
          <w:marLeft w:val="547"/>
          <w:marRight w:val="0"/>
          <w:marTop w:val="115"/>
          <w:marBottom w:val="0"/>
          <w:divBdr>
            <w:top w:val="none" w:sz="0" w:space="0" w:color="auto"/>
            <w:left w:val="none" w:sz="0" w:space="0" w:color="auto"/>
            <w:bottom w:val="none" w:sz="0" w:space="0" w:color="auto"/>
            <w:right w:val="none" w:sz="0" w:space="0" w:color="auto"/>
          </w:divBdr>
        </w:div>
      </w:divsChild>
    </w:div>
    <w:div w:id="88476273">
      <w:bodyDiv w:val="1"/>
      <w:marLeft w:val="0"/>
      <w:marRight w:val="0"/>
      <w:marTop w:val="0"/>
      <w:marBottom w:val="0"/>
      <w:divBdr>
        <w:top w:val="none" w:sz="0" w:space="0" w:color="auto"/>
        <w:left w:val="none" w:sz="0" w:space="0" w:color="auto"/>
        <w:bottom w:val="none" w:sz="0" w:space="0" w:color="auto"/>
        <w:right w:val="none" w:sz="0" w:space="0" w:color="auto"/>
      </w:divBdr>
    </w:div>
    <w:div w:id="93718431">
      <w:bodyDiv w:val="1"/>
      <w:marLeft w:val="0"/>
      <w:marRight w:val="0"/>
      <w:marTop w:val="0"/>
      <w:marBottom w:val="0"/>
      <w:divBdr>
        <w:top w:val="none" w:sz="0" w:space="0" w:color="auto"/>
        <w:left w:val="none" w:sz="0" w:space="0" w:color="auto"/>
        <w:bottom w:val="none" w:sz="0" w:space="0" w:color="auto"/>
        <w:right w:val="none" w:sz="0" w:space="0" w:color="auto"/>
      </w:divBdr>
    </w:div>
    <w:div w:id="96483769">
      <w:bodyDiv w:val="1"/>
      <w:marLeft w:val="0"/>
      <w:marRight w:val="0"/>
      <w:marTop w:val="0"/>
      <w:marBottom w:val="0"/>
      <w:divBdr>
        <w:top w:val="none" w:sz="0" w:space="0" w:color="auto"/>
        <w:left w:val="none" w:sz="0" w:space="0" w:color="auto"/>
        <w:bottom w:val="none" w:sz="0" w:space="0" w:color="auto"/>
        <w:right w:val="none" w:sz="0" w:space="0" w:color="auto"/>
      </w:divBdr>
    </w:div>
    <w:div w:id="114495300">
      <w:bodyDiv w:val="1"/>
      <w:marLeft w:val="0"/>
      <w:marRight w:val="0"/>
      <w:marTop w:val="0"/>
      <w:marBottom w:val="0"/>
      <w:divBdr>
        <w:top w:val="none" w:sz="0" w:space="0" w:color="auto"/>
        <w:left w:val="none" w:sz="0" w:space="0" w:color="auto"/>
        <w:bottom w:val="none" w:sz="0" w:space="0" w:color="auto"/>
        <w:right w:val="none" w:sz="0" w:space="0" w:color="auto"/>
      </w:divBdr>
    </w:div>
    <w:div w:id="127363923">
      <w:bodyDiv w:val="1"/>
      <w:marLeft w:val="0"/>
      <w:marRight w:val="0"/>
      <w:marTop w:val="0"/>
      <w:marBottom w:val="0"/>
      <w:divBdr>
        <w:top w:val="none" w:sz="0" w:space="0" w:color="auto"/>
        <w:left w:val="none" w:sz="0" w:space="0" w:color="auto"/>
        <w:bottom w:val="none" w:sz="0" w:space="0" w:color="auto"/>
        <w:right w:val="none" w:sz="0" w:space="0" w:color="auto"/>
      </w:divBdr>
    </w:div>
    <w:div w:id="145903492">
      <w:bodyDiv w:val="1"/>
      <w:marLeft w:val="0"/>
      <w:marRight w:val="0"/>
      <w:marTop w:val="0"/>
      <w:marBottom w:val="0"/>
      <w:divBdr>
        <w:top w:val="none" w:sz="0" w:space="0" w:color="auto"/>
        <w:left w:val="none" w:sz="0" w:space="0" w:color="auto"/>
        <w:bottom w:val="none" w:sz="0" w:space="0" w:color="auto"/>
        <w:right w:val="none" w:sz="0" w:space="0" w:color="auto"/>
      </w:divBdr>
    </w:div>
    <w:div w:id="146560063">
      <w:bodyDiv w:val="1"/>
      <w:marLeft w:val="0"/>
      <w:marRight w:val="0"/>
      <w:marTop w:val="0"/>
      <w:marBottom w:val="0"/>
      <w:divBdr>
        <w:top w:val="none" w:sz="0" w:space="0" w:color="auto"/>
        <w:left w:val="none" w:sz="0" w:space="0" w:color="auto"/>
        <w:bottom w:val="none" w:sz="0" w:space="0" w:color="auto"/>
        <w:right w:val="none" w:sz="0" w:space="0" w:color="auto"/>
      </w:divBdr>
    </w:div>
    <w:div w:id="168371398">
      <w:bodyDiv w:val="1"/>
      <w:marLeft w:val="0"/>
      <w:marRight w:val="0"/>
      <w:marTop w:val="0"/>
      <w:marBottom w:val="0"/>
      <w:divBdr>
        <w:top w:val="none" w:sz="0" w:space="0" w:color="auto"/>
        <w:left w:val="none" w:sz="0" w:space="0" w:color="auto"/>
        <w:bottom w:val="none" w:sz="0" w:space="0" w:color="auto"/>
        <w:right w:val="none" w:sz="0" w:space="0" w:color="auto"/>
      </w:divBdr>
    </w:div>
    <w:div w:id="183714751">
      <w:bodyDiv w:val="1"/>
      <w:marLeft w:val="0"/>
      <w:marRight w:val="0"/>
      <w:marTop w:val="0"/>
      <w:marBottom w:val="0"/>
      <w:divBdr>
        <w:top w:val="none" w:sz="0" w:space="0" w:color="auto"/>
        <w:left w:val="none" w:sz="0" w:space="0" w:color="auto"/>
        <w:bottom w:val="none" w:sz="0" w:space="0" w:color="auto"/>
        <w:right w:val="none" w:sz="0" w:space="0" w:color="auto"/>
      </w:divBdr>
    </w:div>
    <w:div w:id="189539544">
      <w:bodyDiv w:val="1"/>
      <w:marLeft w:val="0"/>
      <w:marRight w:val="0"/>
      <w:marTop w:val="0"/>
      <w:marBottom w:val="0"/>
      <w:divBdr>
        <w:top w:val="none" w:sz="0" w:space="0" w:color="auto"/>
        <w:left w:val="none" w:sz="0" w:space="0" w:color="auto"/>
        <w:bottom w:val="none" w:sz="0" w:space="0" w:color="auto"/>
        <w:right w:val="none" w:sz="0" w:space="0" w:color="auto"/>
      </w:divBdr>
    </w:div>
    <w:div w:id="197935712">
      <w:bodyDiv w:val="1"/>
      <w:marLeft w:val="0"/>
      <w:marRight w:val="0"/>
      <w:marTop w:val="0"/>
      <w:marBottom w:val="0"/>
      <w:divBdr>
        <w:top w:val="none" w:sz="0" w:space="0" w:color="auto"/>
        <w:left w:val="none" w:sz="0" w:space="0" w:color="auto"/>
        <w:bottom w:val="none" w:sz="0" w:space="0" w:color="auto"/>
        <w:right w:val="none" w:sz="0" w:space="0" w:color="auto"/>
      </w:divBdr>
    </w:div>
    <w:div w:id="209541040">
      <w:bodyDiv w:val="1"/>
      <w:marLeft w:val="0"/>
      <w:marRight w:val="0"/>
      <w:marTop w:val="0"/>
      <w:marBottom w:val="0"/>
      <w:divBdr>
        <w:top w:val="none" w:sz="0" w:space="0" w:color="auto"/>
        <w:left w:val="none" w:sz="0" w:space="0" w:color="auto"/>
        <w:bottom w:val="none" w:sz="0" w:space="0" w:color="auto"/>
        <w:right w:val="none" w:sz="0" w:space="0" w:color="auto"/>
      </w:divBdr>
    </w:div>
    <w:div w:id="221671568">
      <w:bodyDiv w:val="1"/>
      <w:marLeft w:val="0"/>
      <w:marRight w:val="0"/>
      <w:marTop w:val="0"/>
      <w:marBottom w:val="0"/>
      <w:divBdr>
        <w:top w:val="none" w:sz="0" w:space="0" w:color="auto"/>
        <w:left w:val="none" w:sz="0" w:space="0" w:color="auto"/>
        <w:bottom w:val="none" w:sz="0" w:space="0" w:color="auto"/>
        <w:right w:val="none" w:sz="0" w:space="0" w:color="auto"/>
      </w:divBdr>
    </w:div>
    <w:div w:id="227427361">
      <w:bodyDiv w:val="1"/>
      <w:marLeft w:val="0"/>
      <w:marRight w:val="0"/>
      <w:marTop w:val="0"/>
      <w:marBottom w:val="0"/>
      <w:divBdr>
        <w:top w:val="none" w:sz="0" w:space="0" w:color="auto"/>
        <w:left w:val="none" w:sz="0" w:space="0" w:color="auto"/>
        <w:bottom w:val="none" w:sz="0" w:space="0" w:color="auto"/>
        <w:right w:val="none" w:sz="0" w:space="0" w:color="auto"/>
      </w:divBdr>
    </w:div>
    <w:div w:id="241138089">
      <w:bodyDiv w:val="1"/>
      <w:marLeft w:val="0"/>
      <w:marRight w:val="0"/>
      <w:marTop w:val="0"/>
      <w:marBottom w:val="0"/>
      <w:divBdr>
        <w:top w:val="none" w:sz="0" w:space="0" w:color="auto"/>
        <w:left w:val="none" w:sz="0" w:space="0" w:color="auto"/>
        <w:bottom w:val="none" w:sz="0" w:space="0" w:color="auto"/>
        <w:right w:val="none" w:sz="0" w:space="0" w:color="auto"/>
      </w:divBdr>
    </w:div>
    <w:div w:id="245112015">
      <w:bodyDiv w:val="1"/>
      <w:marLeft w:val="0"/>
      <w:marRight w:val="0"/>
      <w:marTop w:val="0"/>
      <w:marBottom w:val="0"/>
      <w:divBdr>
        <w:top w:val="none" w:sz="0" w:space="0" w:color="auto"/>
        <w:left w:val="none" w:sz="0" w:space="0" w:color="auto"/>
        <w:bottom w:val="none" w:sz="0" w:space="0" w:color="auto"/>
        <w:right w:val="none" w:sz="0" w:space="0" w:color="auto"/>
      </w:divBdr>
    </w:div>
    <w:div w:id="251091311">
      <w:bodyDiv w:val="1"/>
      <w:marLeft w:val="0"/>
      <w:marRight w:val="0"/>
      <w:marTop w:val="0"/>
      <w:marBottom w:val="0"/>
      <w:divBdr>
        <w:top w:val="none" w:sz="0" w:space="0" w:color="auto"/>
        <w:left w:val="none" w:sz="0" w:space="0" w:color="auto"/>
        <w:bottom w:val="none" w:sz="0" w:space="0" w:color="auto"/>
        <w:right w:val="none" w:sz="0" w:space="0" w:color="auto"/>
      </w:divBdr>
    </w:div>
    <w:div w:id="254214258">
      <w:bodyDiv w:val="1"/>
      <w:marLeft w:val="0"/>
      <w:marRight w:val="0"/>
      <w:marTop w:val="0"/>
      <w:marBottom w:val="0"/>
      <w:divBdr>
        <w:top w:val="none" w:sz="0" w:space="0" w:color="auto"/>
        <w:left w:val="none" w:sz="0" w:space="0" w:color="auto"/>
        <w:bottom w:val="none" w:sz="0" w:space="0" w:color="auto"/>
        <w:right w:val="none" w:sz="0" w:space="0" w:color="auto"/>
      </w:divBdr>
    </w:div>
    <w:div w:id="255290948">
      <w:bodyDiv w:val="1"/>
      <w:marLeft w:val="0"/>
      <w:marRight w:val="0"/>
      <w:marTop w:val="0"/>
      <w:marBottom w:val="0"/>
      <w:divBdr>
        <w:top w:val="none" w:sz="0" w:space="0" w:color="auto"/>
        <w:left w:val="none" w:sz="0" w:space="0" w:color="auto"/>
        <w:bottom w:val="none" w:sz="0" w:space="0" w:color="auto"/>
        <w:right w:val="none" w:sz="0" w:space="0" w:color="auto"/>
      </w:divBdr>
    </w:div>
    <w:div w:id="266012167">
      <w:bodyDiv w:val="1"/>
      <w:marLeft w:val="0"/>
      <w:marRight w:val="0"/>
      <w:marTop w:val="0"/>
      <w:marBottom w:val="0"/>
      <w:divBdr>
        <w:top w:val="none" w:sz="0" w:space="0" w:color="auto"/>
        <w:left w:val="none" w:sz="0" w:space="0" w:color="auto"/>
        <w:bottom w:val="none" w:sz="0" w:space="0" w:color="auto"/>
        <w:right w:val="none" w:sz="0" w:space="0" w:color="auto"/>
      </w:divBdr>
    </w:div>
    <w:div w:id="271518730">
      <w:bodyDiv w:val="1"/>
      <w:marLeft w:val="0"/>
      <w:marRight w:val="0"/>
      <w:marTop w:val="0"/>
      <w:marBottom w:val="0"/>
      <w:divBdr>
        <w:top w:val="none" w:sz="0" w:space="0" w:color="auto"/>
        <w:left w:val="none" w:sz="0" w:space="0" w:color="auto"/>
        <w:bottom w:val="none" w:sz="0" w:space="0" w:color="auto"/>
        <w:right w:val="none" w:sz="0" w:space="0" w:color="auto"/>
      </w:divBdr>
    </w:div>
    <w:div w:id="295647087">
      <w:bodyDiv w:val="1"/>
      <w:marLeft w:val="0"/>
      <w:marRight w:val="0"/>
      <w:marTop w:val="0"/>
      <w:marBottom w:val="0"/>
      <w:divBdr>
        <w:top w:val="none" w:sz="0" w:space="0" w:color="auto"/>
        <w:left w:val="none" w:sz="0" w:space="0" w:color="auto"/>
        <w:bottom w:val="none" w:sz="0" w:space="0" w:color="auto"/>
        <w:right w:val="none" w:sz="0" w:space="0" w:color="auto"/>
      </w:divBdr>
    </w:div>
    <w:div w:id="303043686">
      <w:bodyDiv w:val="1"/>
      <w:marLeft w:val="0"/>
      <w:marRight w:val="0"/>
      <w:marTop w:val="0"/>
      <w:marBottom w:val="0"/>
      <w:divBdr>
        <w:top w:val="none" w:sz="0" w:space="0" w:color="auto"/>
        <w:left w:val="none" w:sz="0" w:space="0" w:color="auto"/>
        <w:bottom w:val="none" w:sz="0" w:space="0" w:color="auto"/>
        <w:right w:val="none" w:sz="0" w:space="0" w:color="auto"/>
      </w:divBdr>
    </w:div>
    <w:div w:id="329141052">
      <w:bodyDiv w:val="1"/>
      <w:marLeft w:val="0"/>
      <w:marRight w:val="0"/>
      <w:marTop w:val="0"/>
      <w:marBottom w:val="0"/>
      <w:divBdr>
        <w:top w:val="none" w:sz="0" w:space="0" w:color="auto"/>
        <w:left w:val="none" w:sz="0" w:space="0" w:color="auto"/>
        <w:bottom w:val="none" w:sz="0" w:space="0" w:color="auto"/>
        <w:right w:val="none" w:sz="0" w:space="0" w:color="auto"/>
      </w:divBdr>
    </w:div>
    <w:div w:id="333339524">
      <w:bodyDiv w:val="1"/>
      <w:marLeft w:val="0"/>
      <w:marRight w:val="0"/>
      <w:marTop w:val="0"/>
      <w:marBottom w:val="0"/>
      <w:divBdr>
        <w:top w:val="none" w:sz="0" w:space="0" w:color="auto"/>
        <w:left w:val="none" w:sz="0" w:space="0" w:color="auto"/>
        <w:bottom w:val="none" w:sz="0" w:space="0" w:color="auto"/>
        <w:right w:val="none" w:sz="0" w:space="0" w:color="auto"/>
      </w:divBdr>
    </w:div>
    <w:div w:id="342244320">
      <w:bodyDiv w:val="1"/>
      <w:marLeft w:val="0"/>
      <w:marRight w:val="0"/>
      <w:marTop w:val="0"/>
      <w:marBottom w:val="0"/>
      <w:divBdr>
        <w:top w:val="none" w:sz="0" w:space="0" w:color="auto"/>
        <w:left w:val="none" w:sz="0" w:space="0" w:color="auto"/>
        <w:bottom w:val="none" w:sz="0" w:space="0" w:color="auto"/>
        <w:right w:val="none" w:sz="0" w:space="0" w:color="auto"/>
      </w:divBdr>
    </w:div>
    <w:div w:id="346831766">
      <w:bodyDiv w:val="1"/>
      <w:marLeft w:val="0"/>
      <w:marRight w:val="0"/>
      <w:marTop w:val="0"/>
      <w:marBottom w:val="0"/>
      <w:divBdr>
        <w:top w:val="none" w:sz="0" w:space="0" w:color="auto"/>
        <w:left w:val="none" w:sz="0" w:space="0" w:color="auto"/>
        <w:bottom w:val="none" w:sz="0" w:space="0" w:color="auto"/>
        <w:right w:val="none" w:sz="0" w:space="0" w:color="auto"/>
      </w:divBdr>
    </w:div>
    <w:div w:id="350111648">
      <w:bodyDiv w:val="1"/>
      <w:marLeft w:val="0"/>
      <w:marRight w:val="0"/>
      <w:marTop w:val="0"/>
      <w:marBottom w:val="0"/>
      <w:divBdr>
        <w:top w:val="none" w:sz="0" w:space="0" w:color="auto"/>
        <w:left w:val="none" w:sz="0" w:space="0" w:color="auto"/>
        <w:bottom w:val="none" w:sz="0" w:space="0" w:color="auto"/>
        <w:right w:val="none" w:sz="0" w:space="0" w:color="auto"/>
      </w:divBdr>
    </w:div>
    <w:div w:id="360396741">
      <w:bodyDiv w:val="1"/>
      <w:marLeft w:val="0"/>
      <w:marRight w:val="0"/>
      <w:marTop w:val="0"/>
      <w:marBottom w:val="0"/>
      <w:divBdr>
        <w:top w:val="none" w:sz="0" w:space="0" w:color="auto"/>
        <w:left w:val="none" w:sz="0" w:space="0" w:color="auto"/>
        <w:bottom w:val="none" w:sz="0" w:space="0" w:color="auto"/>
        <w:right w:val="none" w:sz="0" w:space="0" w:color="auto"/>
      </w:divBdr>
    </w:div>
    <w:div w:id="362747642">
      <w:bodyDiv w:val="1"/>
      <w:marLeft w:val="0"/>
      <w:marRight w:val="0"/>
      <w:marTop w:val="0"/>
      <w:marBottom w:val="0"/>
      <w:divBdr>
        <w:top w:val="none" w:sz="0" w:space="0" w:color="auto"/>
        <w:left w:val="none" w:sz="0" w:space="0" w:color="auto"/>
        <w:bottom w:val="none" w:sz="0" w:space="0" w:color="auto"/>
        <w:right w:val="none" w:sz="0" w:space="0" w:color="auto"/>
      </w:divBdr>
    </w:div>
    <w:div w:id="399523572">
      <w:bodyDiv w:val="1"/>
      <w:marLeft w:val="0"/>
      <w:marRight w:val="0"/>
      <w:marTop w:val="0"/>
      <w:marBottom w:val="0"/>
      <w:divBdr>
        <w:top w:val="none" w:sz="0" w:space="0" w:color="auto"/>
        <w:left w:val="none" w:sz="0" w:space="0" w:color="auto"/>
        <w:bottom w:val="none" w:sz="0" w:space="0" w:color="auto"/>
        <w:right w:val="none" w:sz="0" w:space="0" w:color="auto"/>
      </w:divBdr>
    </w:div>
    <w:div w:id="402021672">
      <w:bodyDiv w:val="1"/>
      <w:marLeft w:val="0"/>
      <w:marRight w:val="0"/>
      <w:marTop w:val="0"/>
      <w:marBottom w:val="0"/>
      <w:divBdr>
        <w:top w:val="none" w:sz="0" w:space="0" w:color="auto"/>
        <w:left w:val="none" w:sz="0" w:space="0" w:color="auto"/>
        <w:bottom w:val="none" w:sz="0" w:space="0" w:color="auto"/>
        <w:right w:val="none" w:sz="0" w:space="0" w:color="auto"/>
      </w:divBdr>
    </w:div>
    <w:div w:id="403339879">
      <w:bodyDiv w:val="1"/>
      <w:marLeft w:val="0"/>
      <w:marRight w:val="0"/>
      <w:marTop w:val="0"/>
      <w:marBottom w:val="0"/>
      <w:divBdr>
        <w:top w:val="none" w:sz="0" w:space="0" w:color="auto"/>
        <w:left w:val="none" w:sz="0" w:space="0" w:color="auto"/>
        <w:bottom w:val="none" w:sz="0" w:space="0" w:color="auto"/>
        <w:right w:val="none" w:sz="0" w:space="0" w:color="auto"/>
      </w:divBdr>
    </w:div>
    <w:div w:id="409936631">
      <w:bodyDiv w:val="1"/>
      <w:marLeft w:val="0"/>
      <w:marRight w:val="0"/>
      <w:marTop w:val="0"/>
      <w:marBottom w:val="0"/>
      <w:divBdr>
        <w:top w:val="none" w:sz="0" w:space="0" w:color="auto"/>
        <w:left w:val="none" w:sz="0" w:space="0" w:color="auto"/>
        <w:bottom w:val="none" w:sz="0" w:space="0" w:color="auto"/>
        <w:right w:val="none" w:sz="0" w:space="0" w:color="auto"/>
      </w:divBdr>
    </w:div>
    <w:div w:id="422916139">
      <w:bodyDiv w:val="1"/>
      <w:marLeft w:val="0"/>
      <w:marRight w:val="0"/>
      <w:marTop w:val="0"/>
      <w:marBottom w:val="0"/>
      <w:divBdr>
        <w:top w:val="none" w:sz="0" w:space="0" w:color="auto"/>
        <w:left w:val="none" w:sz="0" w:space="0" w:color="auto"/>
        <w:bottom w:val="none" w:sz="0" w:space="0" w:color="auto"/>
        <w:right w:val="none" w:sz="0" w:space="0" w:color="auto"/>
      </w:divBdr>
    </w:div>
    <w:div w:id="436485911">
      <w:bodyDiv w:val="1"/>
      <w:marLeft w:val="0"/>
      <w:marRight w:val="0"/>
      <w:marTop w:val="0"/>
      <w:marBottom w:val="0"/>
      <w:divBdr>
        <w:top w:val="none" w:sz="0" w:space="0" w:color="auto"/>
        <w:left w:val="none" w:sz="0" w:space="0" w:color="auto"/>
        <w:bottom w:val="none" w:sz="0" w:space="0" w:color="auto"/>
        <w:right w:val="none" w:sz="0" w:space="0" w:color="auto"/>
      </w:divBdr>
    </w:div>
    <w:div w:id="436951484">
      <w:bodyDiv w:val="1"/>
      <w:marLeft w:val="0"/>
      <w:marRight w:val="0"/>
      <w:marTop w:val="0"/>
      <w:marBottom w:val="0"/>
      <w:divBdr>
        <w:top w:val="none" w:sz="0" w:space="0" w:color="auto"/>
        <w:left w:val="none" w:sz="0" w:space="0" w:color="auto"/>
        <w:bottom w:val="none" w:sz="0" w:space="0" w:color="auto"/>
        <w:right w:val="none" w:sz="0" w:space="0" w:color="auto"/>
      </w:divBdr>
    </w:div>
    <w:div w:id="439565434">
      <w:bodyDiv w:val="1"/>
      <w:marLeft w:val="0"/>
      <w:marRight w:val="0"/>
      <w:marTop w:val="0"/>
      <w:marBottom w:val="0"/>
      <w:divBdr>
        <w:top w:val="none" w:sz="0" w:space="0" w:color="auto"/>
        <w:left w:val="none" w:sz="0" w:space="0" w:color="auto"/>
        <w:bottom w:val="none" w:sz="0" w:space="0" w:color="auto"/>
        <w:right w:val="none" w:sz="0" w:space="0" w:color="auto"/>
      </w:divBdr>
      <w:divsChild>
        <w:div w:id="1191919991">
          <w:marLeft w:val="1166"/>
          <w:marRight w:val="0"/>
          <w:marTop w:val="86"/>
          <w:marBottom w:val="0"/>
          <w:divBdr>
            <w:top w:val="none" w:sz="0" w:space="0" w:color="auto"/>
            <w:left w:val="none" w:sz="0" w:space="0" w:color="auto"/>
            <w:bottom w:val="none" w:sz="0" w:space="0" w:color="auto"/>
            <w:right w:val="none" w:sz="0" w:space="0" w:color="auto"/>
          </w:divBdr>
        </w:div>
        <w:div w:id="1233419797">
          <w:marLeft w:val="1166"/>
          <w:marRight w:val="0"/>
          <w:marTop w:val="86"/>
          <w:marBottom w:val="0"/>
          <w:divBdr>
            <w:top w:val="none" w:sz="0" w:space="0" w:color="auto"/>
            <w:left w:val="none" w:sz="0" w:space="0" w:color="auto"/>
            <w:bottom w:val="none" w:sz="0" w:space="0" w:color="auto"/>
            <w:right w:val="none" w:sz="0" w:space="0" w:color="auto"/>
          </w:divBdr>
        </w:div>
        <w:div w:id="1294409922">
          <w:marLeft w:val="547"/>
          <w:marRight w:val="0"/>
          <w:marTop w:val="154"/>
          <w:marBottom w:val="0"/>
          <w:divBdr>
            <w:top w:val="none" w:sz="0" w:space="0" w:color="auto"/>
            <w:left w:val="none" w:sz="0" w:space="0" w:color="auto"/>
            <w:bottom w:val="none" w:sz="0" w:space="0" w:color="auto"/>
            <w:right w:val="none" w:sz="0" w:space="0" w:color="auto"/>
          </w:divBdr>
        </w:div>
        <w:div w:id="1530604322">
          <w:marLeft w:val="1166"/>
          <w:marRight w:val="0"/>
          <w:marTop w:val="86"/>
          <w:marBottom w:val="0"/>
          <w:divBdr>
            <w:top w:val="none" w:sz="0" w:space="0" w:color="auto"/>
            <w:left w:val="none" w:sz="0" w:space="0" w:color="auto"/>
            <w:bottom w:val="none" w:sz="0" w:space="0" w:color="auto"/>
            <w:right w:val="none" w:sz="0" w:space="0" w:color="auto"/>
          </w:divBdr>
        </w:div>
        <w:div w:id="2120442873">
          <w:marLeft w:val="1166"/>
          <w:marRight w:val="0"/>
          <w:marTop w:val="86"/>
          <w:marBottom w:val="0"/>
          <w:divBdr>
            <w:top w:val="none" w:sz="0" w:space="0" w:color="auto"/>
            <w:left w:val="none" w:sz="0" w:space="0" w:color="auto"/>
            <w:bottom w:val="none" w:sz="0" w:space="0" w:color="auto"/>
            <w:right w:val="none" w:sz="0" w:space="0" w:color="auto"/>
          </w:divBdr>
        </w:div>
      </w:divsChild>
    </w:div>
    <w:div w:id="448744852">
      <w:bodyDiv w:val="1"/>
      <w:marLeft w:val="0"/>
      <w:marRight w:val="0"/>
      <w:marTop w:val="0"/>
      <w:marBottom w:val="0"/>
      <w:divBdr>
        <w:top w:val="none" w:sz="0" w:space="0" w:color="auto"/>
        <w:left w:val="none" w:sz="0" w:space="0" w:color="auto"/>
        <w:bottom w:val="none" w:sz="0" w:space="0" w:color="auto"/>
        <w:right w:val="none" w:sz="0" w:space="0" w:color="auto"/>
      </w:divBdr>
    </w:div>
    <w:div w:id="458770441">
      <w:bodyDiv w:val="1"/>
      <w:marLeft w:val="0"/>
      <w:marRight w:val="0"/>
      <w:marTop w:val="0"/>
      <w:marBottom w:val="0"/>
      <w:divBdr>
        <w:top w:val="none" w:sz="0" w:space="0" w:color="auto"/>
        <w:left w:val="none" w:sz="0" w:space="0" w:color="auto"/>
        <w:bottom w:val="none" w:sz="0" w:space="0" w:color="auto"/>
        <w:right w:val="none" w:sz="0" w:space="0" w:color="auto"/>
      </w:divBdr>
    </w:div>
    <w:div w:id="465440744">
      <w:bodyDiv w:val="1"/>
      <w:marLeft w:val="0"/>
      <w:marRight w:val="0"/>
      <w:marTop w:val="0"/>
      <w:marBottom w:val="0"/>
      <w:divBdr>
        <w:top w:val="none" w:sz="0" w:space="0" w:color="auto"/>
        <w:left w:val="none" w:sz="0" w:space="0" w:color="auto"/>
        <w:bottom w:val="none" w:sz="0" w:space="0" w:color="auto"/>
        <w:right w:val="none" w:sz="0" w:space="0" w:color="auto"/>
      </w:divBdr>
    </w:div>
    <w:div w:id="468935367">
      <w:bodyDiv w:val="1"/>
      <w:marLeft w:val="0"/>
      <w:marRight w:val="0"/>
      <w:marTop w:val="0"/>
      <w:marBottom w:val="0"/>
      <w:divBdr>
        <w:top w:val="none" w:sz="0" w:space="0" w:color="auto"/>
        <w:left w:val="none" w:sz="0" w:space="0" w:color="auto"/>
        <w:bottom w:val="none" w:sz="0" w:space="0" w:color="auto"/>
        <w:right w:val="none" w:sz="0" w:space="0" w:color="auto"/>
      </w:divBdr>
    </w:div>
    <w:div w:id="472872084">
      <w:bodyDiv w:val="1"/>
      <w:marLeft w:val="0"/>
      <w:marRight w:val="0"/>
      <w:marTop w:val="0"/>
      <w:marBottom w:val="0"/>
      <w:divBdr>
        <w:top w:val="none" w:sz="0" w:space="0" w:color="auto"/>
        <w:left w:val="none" w:sz="0" w:space="0" w:color="auto"/>
        <w:bottom w:val="none" w:sz="0" w:space="0" w:color="auto"/>
        <w:right w:val="none" w:sz="0" w:space="0" w:color="auto"/>
      </w:divBdr>
    </w:div>
    <w:div w:id="473956732">
      <w:bodyDiv w:val="1"/>
      <w:marLeft w:val="0"/>
      <w:marRight w:val="0"/>
      <w:marTop w:val="0"/>
      <w:marBottom w:val="0"/>
      <w:divBdr>
        <w:top w:val="none" w:sz="0" w:space="0" w:color="auto"/>
        <w:left w:val="none" w:sz="0" w:space="0" w:color="auto"/>
        <w:bottom w:val="none" w:sz="0" w:space="0" w:color="auto"/>
        <w:right w:val="none" w:sz="0" w:space="0" w:color="auto"/>
      </w:divBdr>
    </w:div>
    <w:div w:id="501430631">
      <w:bodyDiv w:val="1"/>
      <w:marLeft w:val="0"/>
      <w:marRight w:val="0"/>
      <w:marTop w:val="0"/>
      <w:marBottom w:val="0"/>
      <w:divBdr>
        <w:top w:val="none" w:sz="0" w:space="0" w:color="auto"/>
        <w:left w:val="none" w:sz="0" w:space="0" w:color="auto"/>
        <w:bottom w:val="none" w:sz="0" w:space="0" w:color="auto"/>
        <w:right w:val="none" w:sz="0" w:space="0" w:color="auto"/>
      </w:divBdr>
    </w:div>
    <w:div w:id="501629308">
      <w:bodyDiv w:val="1"/>
      <w:marLeft w:val="0"/>
      <w:marRight w:val="0"/>
      <w:marTop w:val="0"/>
      <w:marBottom w:val="0"/>
      <w:divBdr>
        <w:top w:val="none" w:sz="0" w:space="0" w:color="auto"/>
        <w:left w:val="none" w:sz="0" w:space="0" w:color="auto"/>
        <w:bottom w:val="none" w:sz="0" w:space="0" w:color="auto"/>
        <w:right w:val="none" w:sz="0" w:space="0" w:color="auto"/>
      </w:divBdr>
    </w:div>
    <w:div w:id="501774243">
      <w:bodyDiv w:val="1"/>
      <w:marLeft w:val="0"/>
      <w:marRight w:val="0"/>
      <w:marTop w:val="0"/>
      <w:marBottom w:val="0"/>
      <w:divBdr>
        <w:top w:val="none" w:sz="0" w:space="0" w:color="auto"/>
        <w:left w:val="none" w:sz="0" w:space="0" w:color="auto"/>
        <w:bottom w:val="none" w:sz="0" w:space="0" w:color="auto"/>
        <w:right w:val="none" w:sz="0" w:space="0" w:color="auto"/>
      </w:divBdr>
    </w:div>
    <w:div w:id="506293173">
      <w:bodyDiv w:val="1"/>
      <w:marLeft w:val="0"/>
      <w:marRight w:val="0"/>
      <w:marTop w:val="0"/>
      <w:marBottom w:val="0"/>
      <w:divBdr>
        <w:top w:val="none" w:sz="0" w:space="0" w:color="auto"/>
        <w:left w:val="none" w:sz="0" w:space="0" w:color="auto"/>
        <w:bottom w:val="none" w:sz="0" w:space="0" w:color="auto"/>
        <w:right w:val="none" w:sz="0" w:space="0" w:color="auto"/>
      </w:divBdr>
    </w:div>
    <w:div w:id="517815736">
      <w:bodyDiv w:val="1"/>
      <w:marLeft w:val="0"/>
      <w:marRight w:val="0"/>
      <w:marTop w:val="0"/>
      <w:marBottom w:val="0"/>
      <w:divBdr>
        <w:top w:val="none" w:sz="0" w:space="0" w:color="auto"/>
        <w:left w:val="none" w:sz="0" w:space="0" w:color="auto"/>
        <w:bottom w:val="none" w:sz="0" w:space="0" w:color="auto"/>
        <w:right w:val="none" w:sz="0" w:space="0" w:color="auto"/>
      </w:divBdr>
    </w:div>
    <w:div w:id="527329166">
      <w:bodyDiv w:val="1"/>
      <w:marLeft w:val="0"/>
      <w:marRight w:val="0"/>
      <w:marTop w:val="0"/>
      <w:marBottom w:val="0"/>
      <w:divBdr>
        <w:top w:val="none" w:sz="0" w:space="0" w:color="auto"/>
        <w:left w:val="none" w:sz="0" w:space="0" w:color="auto"/>
        <w:bottom w:val="none" w:sz="0" w:space="0" w:color="auto"/>
        <w:right w:val="none" w:sz="0" w:space="0" w:color="auto"/>
      </w:divBdr>
    </w:div>
    <w:div w:id="545603223">
      <w:bodyDiv w:val="1"/>
      <w:marLeft w:val="0"/>
      <w:marRight w:val="0"/>
      <w:marTop w:val="0"/>
      <w:marBottom w:val="0"/>
      <w:divBdr>
        <w:top w:val="none" w:sz="0" w:space="0" w:color="auto"/>
        <w:left w:val="none" w:sz="0" w:space="0" w:color="auto"/>
        <w:bottom w:val="none" w:sz="0" w:space="0" w:color="auto"/>
        <w:right w:val="none" w:sz="0" w:space="0" w:color="auto"/>
      </w:divBdr>
    </w:div>
    <w:div w:id="554004960">
      <w:bodyDiv w:val="1"/>
      <w:marLeft w:val="0"/>
      <w:marRight w:val="0"/>
      <w:marTop w:val="0"/>
      <w:marBottom w:val="0"/>
      <w:divBdr>
        <w:top w:val="none" w:sz="0" w:space="0" w:color="auto"/>
        <w:left w:val="none" w:sz="0" w:space="0" w:color="auto"/>
        <w:bottom w:val="none" w:sz="0" w:space="0" w:color="auto"/>
        <w:right w:val="none" w:sz="0" w:space="0" w:color="auto"/>
      </w:divBdr>
    </w:div>
    <w:div w:id="580872054">
      <w:bodyDiv w:val="1"/>
      <w:marLeft w:val="0"/>
      <w:marRight w:val="0"/>
      <w:marTop w:val="0"/>
      <w:marBottom w:val="0"/>
      <w:divBdr>
        <w:top w:val="none" w:sz="0" w:space="0" w:color="auto"/>
        <w:left w:val="none" w:sz="0" w:space="0" w:color="auto"/>
        <w:bottom w:val="none" w:sz="0" w:space="0" w:color="auto"/>
        <w:right w:val="none" w:sz="0" w:space="0" w:color="auto"/>
      </w:divBdr>
    </w:div>
    <w:div w:id="583805096">
      <w:bodyDiv w:val="1"/>
      <w:marLeft w:val="0"/>
      <w:marRight w:val="0"/>
      <w:marTop w:val="0"/>
      <w:marBottom w:val="0"/>
      <w:divBdr>
        <w:top w:val="none" w:sz="0" w:space="0" w:color="auto"/>
        <w:left w:val="none" w:sz="0" w:space="0" w:color="auto"/>
        <w:bottom w:val="none" w:sz="0" w:space="0" w:color="auto"/>
        <w:right w:val="none" w:sz="0" w:space="0" w:color="auto"/>
      </w:divBdr>
    </w:div>
    <w:div w:id="586426768">
      <w:bodyDiv w:val="1"/>
      <w:marLeft w:val="0"/>
      <w:marRight w:val="0"/>
      <w:marTop w:val="0"/>
      <w:marBottom w:val="0"/>
      <w:divBdr>
        <w:top w:val="none" w:sz="0" w:space="0" w:color="auto"/>
        <w:left w:val="none" w:sz="0" w:space="0" w:color="auto"/>
        <w:bottom w:val="none" w:sz="0" w:space="0" w:color="auto"/>
        <w:right w:val="none" w:sz="0" w:space="0" w:color="auto"/>
      </w:divBdr>
    </w:div>
    <w:div w:id="590744991">
      <w:bodyDiv w:val="1"/>
      <w:marLeft w:val="0"/>
      <w:marRight w:val="0"/>
      <w:marTop w:val="0"/>
      <w:marBottom w:val="0"/>
      <w:divBdr>
        <w:top w:val="none" w:sz="0" w:space="0" w:color="auto"/>
        <w:left w:val="none" w:sz="0" w:space="0" w:color="auto"/>
        <w:bottom w:val="none" w:sz="0" w:space="0" w:color="auto"/>
        <w:right w:val="none" w:sz="0" w:space="0" w:color="auto"/>
      </w:divBdr>
    </w:div>
    <w:div w:id="598028733">
      <w:bodyDiv w:val="1"/>
      <w:marLeft w:val="0"/>
      <w:marRight w:val="0"/>
      <w:marTop w:val="0"/>
      <w:marBottom w:val="0"/>
      <w:divBdr>
        <w:top w:val="none" w:sz="0" w:space="0" w:color="auto"/>
        <w:left w:val="none" w:sz="0" w:space="0" w:color="auto"/>
        <w:bottom w:val="none" w:sz="0" w:space="0" w:color="auto"/>
        <w:right w:val="none" w:sz="0" w:space="0" w:color="auto"/>
      </w:divBdr>
    </w:div>
    <w:div w:id="608855006">
      <w:bodyDiv w:val="1"/>
      <w:marLeft w:val="0"/>
      <w:marRight w:val="0"/>
      <w:marTop w:val="0"/>
      <w:marBottom w:val="0"/>
      <w:divBdr>
        <w:top w:val="none" w:sz="0" w:space="0" w:color="auto"/>
        <w:left w:val="none" w:sz="0" w:space="0" w:color="auto"/>
        <w:bottom w:val="none" w:sz="0" w:space="0" w:color="auto"/>
        <w:right w:val="none" w:sz="0" w:space="0" w:color="auto"/>
      </w:divBdr>
    </w:div>
    <w:div w:id="622619215">
      <w:bodyDiv w:val="1"/>
      <w:marLeft w:val="0"/>
      <w:marRight w:val="0"/>
      <w:marTop w:val="0"/>
      <w:marBottom w:val="0"/>
      <w:divBdr>
        <w:top w:val="none" w:sz="0" w:space="0" w:color="auto"/>
        <w:left w:val="none" w:sz="0" w:space="0" w:color="auto"/>
        <w:bottom w:val="none" w:sz="0" w:space="0" w:color="auto"/>
        <w:right w:val="none" w:sz="0" w:space="0" w:color="auto"/>
      </w:divBdr>
    </w:div>
    <w:div w:id="624896535">
      <w:bodyDiv w:val="1"/>
      <w:marLeft w:val="0"/>
      <w:marRight w:val="0"/>
      <w:marTop w:val="0"/>
      <w:marBottom w:val="0"/>
      <w:divBdr>
        <w:top w:val="none" w:sz="0" w:space="0" w:color="auto"/>
        <w:left w:val="none" w:sz="0" w:space="0" w:color="auto"/>
        <w:bottom w:val="none" w:sz="0" w:space="0" w:color="auto"/>
        <w:right w:val="none" w:sz="0" w:space="0" w:color="auto"/>
      </w:divBdr>
    </w:div>
    <w:div w:id="626930885">
      <w:bodyDiv w:val="1"/>
      <w:marLeft w:val="0"/>
      <w:marRight w:val="0"/>
      <w:marTop w:val="0"/>
      <w:marBottom w:val="0"/>
      <w:divBdr>
        <w:top w:val="none" w:sz="0" w:space="0" w:color="auto"/>
        <w:left w:val="none" w:sz="0" w:space="0" w:color="auto"/>
        <w:bottom w:val="none" w:sz="0" w:space="0" w:color="auto"/>
        <w:right w:val="none" w:sz="0" w:space="0" w:color="auto"/>
      </w:divBdr>
    </w:div>
    <w:div w:id="646398824">
      <w:bodyDiv w:val="1"/>
      <w:marLeft w:val="0"/>
      <w:marRight w:val="0"/>
      <w:marTop w:val="0"/>
      <w:marBottom w:val="0"/>
      <w:divBdr>
        <w:top w:val="none" w:sz="0" w:space="0" w:color="auto"/>
        <w:left w:val="none" w:sz="0" w:space="0" w:color="auto"/>
        <w:bottom w:val="none" w:sz="0" w:space="0" w:color="auto"/>
        <w:right w:val="none" w:sz="0" w:space="0" w:color="auto"/>
      </w:divBdr>
    </w:div>
    <w:div w:id="654146099">
      <w:bodyDiv w:val="1"/>
      <w:marLeft w:val="0"/>
      <w:marRight w:val="0"/>
      <w:marTop w:val="0"/>
      <w:marBottom w:val="0"/>
      <w:divBdr>
        <w:top w:val="none" w:sz="0" w:space="0" w:color="auto"/>
        <w:left w:val="none" w:sz="0" w:space="0" w:color="auto"/>
        <w:bottom w:val="none" w:sz="0" w:space="0" w:color="auto"/>
        <w:right w:val="none" w:sz="0" w:space="0" w:color="auto"/>
      </w:divBdr>
    </w:div>
    <w:div w:id="657879800">
      <w:bodyDiv w:val="1"/>
      <w:marLeft w:val="0"/>
      <w:marRight w:val="0"/>
      <w:marTop w:val="0"/>
      <w:marBottom w:val="0"/>
      <w:divBdr>
        <w:top w:val="none" w:sz="0" w:space="0" w:color="auto"/>
        <w:left w:val="none" w:sz="0" w:space="0" w:color="auto"/>
        <w:bottom w:val="none" w:sz="0" w:space="0" w:color="auto"/>
        <w:right w:val="none" w:sz="0" w:space="0" w:color="auto"/>
      </w:divBdr>
      <w:divsChild>
        <w:div w:id="1390572093">
          <w:marLeft w:val="547"/>
          <w:marRight w:val="0"/>
          <w:marTop w:val="96"/>
          <w:marBottom w:val="0"/>
          <w:divBdr>
            <w:top w:val="none" w:sz="0" w:space="0" w:color="auto"/>
            <w:left w:val="none" w:sz="0" w:space="0" w:color="auto"/>
            <w:bottom w:val="none" w:sz="0" w:space="0" w:color="auto"/>
            <w:right w:val="none" w:sz="0" w:space="0" w:color="auto"/>
          </w:divBdr>
        </w:div>
      </w:divsChild>
    </w:div>
    <w:div w:id="665205726">
      <w:bodyDiv w:val="1"/>
      <w:marLeft w:val="0"/>
      <w:marRight w:val="0"/>
      <w:marTop w:val="0"/>
      <w:marBottom w:val="0"/>
      <w:divBdr>
        <w:top w:val="none" w:sz="0" w:space="0" w:color="auto"/>
        <w:left w:val="none" w:sz="0" w:space="0" w:color="auto"/>
        <w:bottom w:val="none" w:sz="0" w:space="0" w:color="auto"/>
        <w:right w:val="none" w:sz="0" w:space="0" w:color="auto"/>
      </w:divBdr>
    </w:div>
    <w:div w:id="669066815">
      <w:bodyDiv w:val="1"/>
      <w:marLeft w:val="0"/>
      <w:marRight w:val="0"/>
      <w:marTop w:val="0"/>
      <w:marBottom w:val="0"/>
      <w:divBdr>
        <w:top w:val="none" w:sz="0" w:space="0" w:color="auto"/>
        <w:left w:val="none" w:sz="0" w:space="0" w:color="auto"/>
        <w:bottom w:val="none" w:sz="0" w:space="0" w:color="auto"/>
        <w:right w:val="none" w:sz="0" w:space="0" w:color="auto"/>
      </w:divBdr>
    </w:div>
    <w:div w:id="671298918">
      <w:bodyDiv w:val="1"/>
      <w:marLeft w:val="0"/>
      <w:marRight w:val="0"/>
      <w:marTop w:val="0"/>
      <w:marBottom w:val="0"/>
      <w:divBdr>
        <w:top w:val="none" w:sz="0" w:space="0" w:color="auto"/>
        <w:left w:val="none" w:sz="0" w:space="0" w:color="auto"/>
        <w:bottom w:val="none" w:sz="0" w:space="0" w:color="auto"/>
        <w:right w:val="none" w:sz="0" w:space="0" w:color="auto"/>
      </w:divBdr>
    </w:div>
    <w:div w:id="673383640">
      <w:bodyDiv w:val="1"/>
      <w:marLeft w:val="0"/>
      <w:marRight w:val="0"/>
      <w:marTop w:val="0"/>
      <w:marBottom w:val="0"/>
      <w:divBdr>
        <w:top w:val="none" w:sz="0" w:space="0" w:color="auto"/>
        <w:left w:val="none" w:sz="0" w:space="0" w:color="auto"/>
        <w:bottom w:val="none" w:sz="0" w:space="0" w:color="auto"/>
        <w:right w:val="none" w:sz="0" w:space="0" w:color="auto"/>
      </w:divBdr>
    </w:div>
    <w:div w:id="683631368">
      <w:bodyDiv w:val="1"/>
      <w:marLeft w:val="0"/>
      <w:marRight w:val="0"/>
      <w:marTop w:val="0"/>
      <w:marBottom w:val="0"/>
      <w:divBdr>
        <w:top w:val="none" w:sz="0" w:space="0" w:color="auto"/>
        <w:left w:val="none" w:sz="0" w:space="0" w:color="auto"/>
        <w:bottom w:val="none" w:sz="0" w:space="0" w:color="auto"/>
        <w:right w:val="none" w:sz="0" w:space="0" w:color="auto"/>
      </w:divBdr>
    </w:div>
    <w:div w:id="694961598">
      <w:bodyDiv w:val="1"/>
      <w:marLeft w:val="0"/>
      <w:marRight w:val="0"/>
      <w:marTop w:val="0"/>
      <w:marBottom w:val="0"/>
      <w:divBdr>
        <w:top w:val="none" w:sz="0" w:space="0" w:color="auto"/>
        <w:left w:val="none" w:sz="0" w:space="0" w:color="auto"/>
        <w:bottom w:val="none" w:sz="0" w:space="0" w:color="auto"/>
        <w:right w:val="none" w:sz="0" w:space="0" w:color="auto"/>
      </w:divBdr>
    </w:div>
    <w:div w:id="699862069">
      <w:bodyDiv w:val="1"/>
      <w:marLeft w:val="0"/>
      <w:marRight w:val="0"/>
      <w:marTop w:val="0"/>
      <w:marBottom w:val="0"/>
      <w:divBdr>
        <w:top w:val="none" w:sz="0" w:space="0" w:color="auto"/>
        <w:left w:val="none" w:sz="0" w:space="0" w:color="auto"/>
        <w:bottom w:val="none" w:sz="0" w:space="0" w:color="auto"/>
        <w:right w:val="none" w:sz="0" w:space="0" w:color="auto"/>
      </w:divBdr>
    </w:div>
    <w:div w:id="700935250">
      <w:bodyDiv w:val="1"/>
      <w:marLeft w:val="0"/>
      <w:marRight w:val="0"/>
      <w:marTop w:val="0"/>
      <w:marBottom w:val="0"/>
      <w:divBdr>
        <w:top w:val="none" w:sz="0" w:space="0" w:color="auto"/>
        <w:left w:val="none" w:sz="0" w:space="0" w:color="auto"/>
        <w:bottom w:val="none" w:sz="0" w:space="0" w:color="auto"/>
        <w:right w:val="none" w:sz="0" w:space="0" w:color="auto"/>
      </w:divBdr>
    </w:div>
    <w:div w:id="701899283">
      <w:bodyDiv w:val="1"/>
      <w:marLeft w:val="0"/>
      <w:marRight w:val="0"/>
      <w:marTop w:val="0"/>
      <w:marBottom w:val="0"/>
      <w:divBdr>
        <w:top w:val="none" w:sz="0" w:space="0" w:color="auto"/>
        <w:left w:val="none" w:sz="0" w:space="0" w:color="auto"/>
        <w:bottom w:val="none" w:sz="0" w:space="0" w:color="auto"/>
        <w:right w:val="none" w:sz="0" w:space="0" w:color="auto"/>
      </w:divBdr>
    </w:div>
    <w:div w:id="702094834">
      <w:bodyDiv w:val="1"/>
      <w:marLeft w:val="0"/>
      <w:marRight w:val="0"/>
      <w:marTop w:val="0"/>
      <w:marBottom w:val="0"/>
      <w:divBdr>
        <w:top w:val="none" w:sz="0" w:space="0" w:color="auto"/>
        <w:left w:val="none" w:sz="0" w:space="0" w:color="auto"/>
        <w:bottom w:val="none" w:sz="0" w:space="0" w:color="auto"/>
        <w:right w:val="none" w:sz="0" w:space="0" w:color="auto"/>
      </w:divBdr>
      <w:divsChild>
        <w:div w:id="1761293273">
          <w:marLeft w:val="547"/>
          <w:marRight w:val="0"/>
          <w:marTop w:val="134"/>
          <w:marBottom w:val="0"/>
          <w:divBdr>
            <w:top w:val="none" w:sz="0" w:space="0" w:color="auto"/>
            <w:left w:val="none" w:sz="0" w:space="0" w:color="auto"/>
            <w:bottom w:val="none" w:sz="0" w:space="0" w:color="auto"/>
            <w:right w:val="none" w:sz="0" w:space="0" w:color="auto"/>
          </w:divBdr>
        </w:div>
      </w:divsChild>
    </w:div>
    <w:div w:id="709384258">
      <w:bodyDiv w:val="1"/>
      <w:marLeft w:val="0"/>
      <w:marRight w:val="0"/>
      <w:marTop w:val="0"/>
      <w:marBottom w:val="0"/>
      <w:divBdr>
        <w:top w:val="none" w:sz="0" w:space="0" w:color="auto"/>
        <w:left w:val="none" w:sz="0" w:space="0" w:color="auto"/>
        <w:bottom w:val="none" w:sz="0" w:space="0" w:color="auto"/>
        <w:right w:val="none" w:sz="0" w:space="0" w:color="auto"/>
      </w:divBdr>
    </w:div>
    <w:div w:id="716508132">
      <w:bodyDiv w:val="1"/>
      <w:marLeft w:val="0"/>
      <w:marRight w:val="0"/>
      <w:marTop w:val="0"/>
      <w:marBottom w:val="0"/>
      <w:divBdr>
        <w:top w:val="none" w:sz="0" w:space="0" w:color="auto"/>
        <w:left w:val="none" w:sz="0" w:space="0" w:color="auto"/>
        <w:bottom w:val="none" w:sz="0" w:space="0" w:color="auto"/>
        <w:right w:val="none" w:sz="0" w:space="0" w:color="auto"/>
      </w:divBdr>
    </w:div>
    <w:div w:id="729547390">
      <w:bodyDiv w:val="1"/>
      <w:marLeft w:val="0"/>
      <w:marRight w:val="0"/>
      <w:marTop w:val="0"/>
      <w:marBottom w:val="0"/>
      <w:divBdr>
        <w:top w:val="none" w:sz="0" w:space="0" w:color="auto"/>
        <w:left w:val="none" w:sz="0" w:space="0" w:color="auto"/>
        <w:bottom w:val="none" w:sz="0" w:space="0" w:color="auto"/>
        <w:right w:val="none" w:sz="0" w:space="0" w:color="auto"/>
      </w:divBdr>
    </w:div>
    <w:div w:id="733772837">
      <w:bodyDiv w:val="1"/>
      <w:marLeft w:val="0"/>
      <w:marRight w:val="0"/>
      <w:marTop w:val="0"/>
      <w:marBottom w:val="0"/>
      <w:divBdr>
        <w:top w:val="none" w:sz="0" w:space="0" w:color="auto"/>
        <w:left w:val="none" w:sz="0" w:space="0" w:color="auto"/>
        <w:bottom w:val="none" w:sz="0" w:space="0" w:color="auto"/>
        <w:right w:val="none" w:sz="0" w:space="0" w:color="auto"/>
      </w:divBdr>
    </w:div>
    <w:div w:id="773787170">
      <w:bodyDiv w:val="1"/>
      <w:marLeft w:val="0"/>
      <w:marRight w:val="0"/>
      <w:marTop w:val="0"/>
      <w:marBottom w:val="0"/>
      <w:divBdr>
        <w:top w:val="none" w:sz="0" w:space="0" w:color="auto"/>
        <w:left w:val="none" w:sz="0" w:space="0" w:color="auto"/>
        <w:bottom w:val="none" w:sz="0" w:space="0" w:color="auto"/>
        <w:right w:val="none" w:sz="0" w:space="0" w:color="auto"/>
      </w:divBdr>
    </w:div>
    <w:div w:id="787356804">
      <w:bodyDiv w:val="1"/>
      <w:marLeft w:val="0"/>
      <w:marRight w:val="0"/>
      <w:marTop w:val="0"/>
      <w:marBottom w:val="0"/>
      <w:divBdr>
        <w:top w:val="none" w:sz="0" w:space="0" w:color="auto"/>
        <w:left w:val="none" w:sz="0" w:space="0" w:color="auto"/>
        <w:bottom w:val="none" w:sz="0" w:space="0" w:color="auto"/>
        <w:right w:val="none" w:sz="0" w:space="0" w:color="auto"/>
      </w:divBdr>
    </w:div>
    <w:div w:id="794327132">
      <w:bodyDiv w:val="1"/>
      <w:marLeft w:val="0"/>
      <w:marRight w:val="0"/>
      <w:marTop w:val="0"/>
      <w:marBottom w:val="0"/>
      <w:divBdr>
        <w:top w:val="none" w:sz="0" w:space="0" w:color="auto"/>
        <w:left w:val="none" w:sz="0" w:space="0" w:color="auto"/>
        <w:bottom w:val="none" w:sz="0" w:space="0" w:color="auto"/>
        <w:right w:val="none" w:sz="0" w:space="0" w:color="auto"/>
      </w:divBdr>
      <w:divsChild>
        <w:div w:id="1017580112">
          <w:marLeft w:val="547"/>
          <w:marRight w:val="0"/>
          <w:marTop w:val="115"/>
          <w:marBottom w:val="0"/>
          <w:divBdr>
            <w:top w:val="none" w:sz="0" w:space="0" w:color="auto"/>
            <w:left w:val="none" w:sz="0" w:space="0" w:color="auto"/>
            <w:bottom w:val="none" w:sz="0" w:space="0" w:color="auto"/>
            <w:right w:val="none" w:sz="0" w:space="0" w:color="auto"/>
          </w:divBdr>
        </w:div>
      </w:divsChild>
    </w:div>
    <w:div w:id="794984414">
      <w:bodyDiv w:val="1"/>
      <w:marLeft w:val="0"/>
      <w:marRight w:val="0"/>
      <w:marTop w:val="0"/>
      <w:marBottom w:val="0"/>
      <w:divBdr>
        <w:top w:val="none" w:sz="0" w:space="0" w:color="auto"/>
        <w:left w:val="none" w:sz="0" w:space="0" w:color="auto"/>
        <w:bottom w:val="none" w:sz="0" w:space="0" w:color="auto"/>
        <w:right w:val="none" w:sz="0" w:space="0" w:color="auto"/>
      </w:divBdr>
    </w:div>
    <w:div w:id="797188865">
      <w:bodyDiv w:val="1"/>
      <w:marLeft w:val="0"/>
      <w:marRight w:val="0"/>
      <w:marTop w:val="0"/>
      <w:marBottom w:val="0"/>
      <w:divBdr>
        <w:top w:val="none" w:sz="0" w:space="0" w:color="auto"/>
        <w:left w:val="none" w:sz="0" w:space="0" w:color="auto"/>
        <w:bottom w:val="none" w:sz="0" w:space="0" w:color="auto"/>
        <w:right w:val="none" w:sz="0" w:space="0" w:color="auto"/>
      </w:divBdr>
      <w:divsChild>
        <w:div w:id="361370500">
          <w:marLeft w:val="2520"/>
          <w:marRight w:val="0"/>
          <w:marTop w:val="77"/>
          <w:marBottom w:val="0"/>
          <w:divBdr>
            <w:top w:val="none" w:sz="0" w:space="0" w:color="auto"/>
            <w:left w:val="none" w:sz="0" w:space="0" w:color="auto"/>
            <w:bottom w:val="none" w:sz="0" w:space="0" w:color="auto"/>
            <w:right w:val="none" w:sz="0" w:space="0" w:color="auto"/>
          </w:divBdr>
        </w:div>
        <w:div w:id="1383676999">
          <w:marLeft w:val="1800"/>
          <w:marRight w:val="0"/>
          <w:marTop w:val="86"/>
          <w:marBottom w:val="0"/>
          <w:divBdr>
            <w:top w:val="none" w:sz="0" w:space="0" w:color="auto"/>
            <w:left w:val="none" w:sz="0" w:space="0" w:color="auto"/>
            <w:bottom w:val="none" w:sz="0" w:space="0" w:color="auto"/>
            <w:right w:val="none" w:sz="0" w:space="0" w:color="auto"/>
          </w:divBdr>
        </w:div>
        <w:div w:id="1559049695">
          <w:marLeft w:val="1166"/>
          <w:marRight w:val="0"/>
          <w:marTop w:val="86"/>
          <w:marBottom w:val="0"/>
          <w:divBdr>
            <w:top w:val="none" w:sz="0" w:space="0" w:color="auto"/>
            <w:left w:val="none" w:sz="0" w:space="0" w:color="auto"/>
            <w:bottom w:val="none" w:sz="0" w:space="0" w:color="auto"/>
            <w:right w:val="none" w:sz="0" w:space="0" w:color="auto"/>
          </w:divBdr>
        </w:div>
        <w:div w:id="2141999103">
          <w:marLeft w:val="2520"/>
          <w:marRight w:val="0"/>
          <w:marTop w:val="77"/>
          <w:marBottom w:val="0"/>
          <w:divBdr>
            <w:top w:val="none" w:sz="0" w:space="0" w:color="auto"/>
            <w:left w:val="none" w:sz="0" w:space="0" w:color="auto"/>
            <w:bottom w:val="none" w:sz="0" w:space="0" w:color="auto"/>
            <w:right w:val="none" w:sz="0" w:space="0" w:color="auto"/>
          </w:divBdr>
        </w:div>
      </w:divsChild>
    </w:div>
    <w:div w:id="801340876">
      <w:bodyDiv w:val="1"/>
      <w:marLeft w:val="0"/>
      <w:marRight w:val="0"/>
      <w:marTop w:val="0"/>
      <w:marBottom w:val="0"/>
      <w:divBdr>
        <w:top w:val="none" w:sz="0" w:space="0" w:color="auto"/>
        <w:left w:val="none" w:sz="0" w:space="0" w:color="auto"/>
        <w:bottom w:val="none" w:sz="0" w:space="0" w:color="auto"/>
        <w:right w:val="none" w:sz="0" w:space="0" w:color="auto"/>
      </w:divBdr>
    </w:div>
    <w:div w:id="807666031">
      <w:bodyDiv w:val="1"/>
      <w:marLeft w:val="0"/>
      <w:marRight w:val="0"/>
      <w:marTop w:val="0"/>
      <w:marBottom w:val="0"/>
      <w:divBdr>
        <w:top w:val="none" w:sz="0" w:space="0" w:color="auto"/>
        <w:left w:val="none" w:sz="0" w:space="0" w:color="auto"/>
        <w:bottom w:val="none" w:sz="0" w:space="0" w:color="auto"/>
        <w:right w:val="none" w:sz="0" w:space="0" w:color="auto"/>
      </w:divBdr>
    </w:div>
    <w:div w:id="811409167">
      <w:bodyDiv w:val="1"/>
      <w:marLeft w:val="0"/>
      <w:marRight w:val="0"/>
      <w:marTop w:val="0"/>
      <w:marBottom w:val="0"/>
      <w:divBdr>
        <w:top w:val="none" w:sz="0" w:space="0" w:color="auto"/>
        <w:left w:val="none" w:sz="0" w:space="0" w:color="auto"/>
        <w:bottom w:val="none" w:sz="0" w:space="0" w:color="auto"/>
        <w:right w:val="none" w:sz="0" w:space="0" w:color="auto"/>
      </w:divBdr>
    </w:div>
    <w:div w:id="818964545">
      <w:bodyDiv w:val="1"/>
      <w:marLeft w:val="0"/>
      <w:marRight w:val="0"/>
      <w:marTop w:val="0"/>
      <w:marBottom w:val="0"/>
      <w:divBdr>
        <w:top w:val="none" w:sz="0" w:space="0" w:color="auto"/>
        <w:left w:val="none" w:sz="0" w:space="0" w:color="auto"/>
        <w:bottom w:val="none" w:sz="0" w:space="0" w:color="auto"/>
        <w:right w:val="none" w:sz="0" w:space="0" w:color="auto"/>
      </w:divBdr>
    </w:div>
    <w:div w:id="838231535">
      <w:bodyDiv w:val="1"/>
      <w:marLeft w:val="0"/>
      <w:marRight w:val="0"/>
      <w:marTop w:val="0"/>
      <w:marBottom w:val="0"/>
      <w:divBdr>
        <w:top w:val="none" w:sz="0" w:space="0" w:color="auto"/>
        <w:left w:val="none" w:sz="0" w:space="0" w:color="auto"/>
        <w:bottom w:val="none" w:sz="0" w:space="0" w:color="auto"/>
        <w:right w:val="none" w:sz="0" w:space="0" w:color="auto"/>
      </w:divBdr>
    </w:div>
    <w:div w:id="839346052">
      <w:bodyDiv w:val="1"/>
      <w:marLeft w:val="0"/>
      <w:marRight w:val="0"/>
      <w:marTop w:val="0"/>
      <w:marBottom w:val="0"/>
      <w:divBdr>
        <w:top w:val="none" w:sz="0" w:space="0" w:color="auto"/>
        <w:left w:val="none" w:sz="0" w:space="0" w:color="auto"/>
        <w:bottom w:val="none" w:sz="0" w:space="0" w:color="auto"/>
        <w:right w:val="none" w:sz="0" w:space="0" w:color="auto"/>
      </w:divBdr>
    </w:div>
    <w:div w:id="845175692">
      <w:bodyDiv w:val="1"/>
      <w:marLeft w:val="0"/>
      <w:marRight w:val="0"/>
      <w:marTop w:val="0"/>
      <w:marBottom w:val="0"/>
      <w:divBdr>
        <w:top w:val="none" w:sz="0" w:space="0" w:color="auto"/>
        <w:left w:val="none" w:sz="0" w:space="0" w:color="auto"/>
        <w:bottom w:val="none" w:sz="0" w:space="0" w:color="auto"/>
        <w:right w:val="none" w:sz="0" w:space="0" w:color="auto"/>
      </w:divBdr>
    </w:div>
    <w:div w:id="856700038">
      <w:bodyDiv w:val="1"/>
      <w:marLeft w:val="0"/>
      <w:marRight w:val="0"/>
      <w:marTop w:val="0"/>
      <w:marBottom w:val="0"/>
      <w:divBdr>
        <w:top w:val="none" w:sz="0" w:space="0" w:color="auto"/>
        <w:left w:val="none" w:sz="0" w:space="0" w:color="auto"/>
        <w:bottom w:val="none" w:sz="0" w:space="0" w:color="auto"/>
        <w:right w:val="none" w:sz="0" w:space="0" w:color="auto"/>
      </w:divBdr>
    </w:div>
    <w:div w:id="872572284">
      <w:bodyDiv w:val="1"/>
      <w:marLeft w:val="0"/>
      <w:marRight w:val="0"/>
      <w:marTop w:val="0"/>
      <w:marBottom w:val="0"/>
      <w:divBdr>
        <w:top w:val="none" w:sz="0" w:space="0" w:color="auto"/>
        <w:left w:val="none" w:sz="0" w:space="0" w:color="auto"/>
        <w:bottom w:val="none" w:sz="0" w:space="0" w:color="auto"/>
        <w:right w:val="none" w:sz="0" w:space="0" w:color="auto"/>
      </w:divBdr>
    </w:div>
    <w:div w:id="885793754">
      <w:bodyDiv w:val="1"/>
      <w:marLeft w:val="0"/>
      <w:marRight w:val="0"/>
      <w:marTop w:val="0"/>
      <w:marBottom w:val="0"/>
      <w:divBdr>
        <w:top w:val="none" w:sz="0" w:space="0" w:color="auto"/>
        <w:left w:val="none" w:sz="0" w:space="0" w:color="auto"/>
        <w:bottom w:val="none" w:sz="0" w:space="0" w:color="auto"/>
        <w:right w:val="none" w:sz="0" w:space="0" w:color="auto"/>
      </w:divBdr>
    </w:div>
    <w:div w:id="908685213">
      <w:bodyDiv w:val="1"/>
      <w:marLeft w:val="0"/>
      <w:marRight w:val="0"/>
      <w:marTop w:val="0"/>
      <w:marBottom w:val="0"/>
      <w:divBdr>
        <w:top w:val="none" w:sz="0" w:space="0" w:color="auto"/>
        <w:left w:val="none" w:sz="0" w:space="0" w:color="auto"/>
        <w:bottom w:val="none" w:sz="0" w:space="0" w:color="auto"/>
        <w:right w:val="none" w:sz="0" w:space="0" w:color="auto"/>
      </w:divBdr>
    </w:div>
    <w:div w:id="925116161">
      <w:bodyDiv w:val="1"/>
      <w:marLeft w:val="0"/>
      <w:marRight w:val="0"/>
      <w:marTop w:val="0"/>
      <w:marBottom w:val="0"/>
      <w:divBdr>
        <w:top w:val="none" w:sz="0" w:space="0" w:color="auto"/>
        <w:left w:val="none" w:sz="0" w:space="0" w:color="auto"/>
        <w:bottom w:val="none" w:sz="0" w:space="0" w:color="auto"/>
        <w:right w:val="none" w:sz="0" w:space="0" w:color="auto"/>
      </w:divBdr>
    </w:div>
    <w:div w:id="939679379">
      <w:bodyDiv w:val="1"/>
      <w:marLeft w:val="0"/>
      <w:marRight w:val="0"/>
      <w:marTop w:val="0"/>
      <w:marBottom w:val="0"/>
      <w:divBdr>
        <w:top w:val="none" w:sz="0" w:space="0" w:color="auto"/>
        <w:left w:val="none" w:sz="0" w:space="0" w:color="auto"/>
        <w:bottom w:val="none" w:sz="0" w:space="0" w:color="auto"/>
        <w:right w:val="none" w:sz="0" w:space="0" w:color="auto"/>
      </w:divBdr>
      <w:divsChild>
        <w:div w:id="1585138958">
          <w:marLeft w:val="547"/>
          <w:marRight w:val="0"/>
          <w:marTop w:val="96"/>
          <w:marBottom w:val="0"/>
          <w:divBdr>
            <w:top w:val="none" w:sz="0" w:space="0" w:color="auto"/>
            <w:left w:val="none" w:sz="0" w:space="0" w:color="auto"/>
            <w:bottom w:val="none" w:sz="0" w:space="0" w:color="auto"/>
            <w:right w:val="none" w:sz="0" w:space="0" w:color="auto"/>
          </w:divBdr>
        </w:div>
      </w:divsChild>
    </w:div>
    <w:div w:id="949163092">
      <w:bodyDiv w:val="1"/>
      <w:marLeft w:val="0"/>
      <w:marRight w:val="0"/>
      <w:marTop w:val="0"/>
      <w:marBottom w:val="0"/>
      <w:divBdr>
        <w:top w:val="none" w:sz="0" w:space="0" w:color="auto"/>
        <w:left w:val="none" w:sz="0" w:space="0" w:color="auto"/>
        <w:bottom w:val="none" w:sz="0" w:space="0" w:color="auto"/>
        <w:right w:val="none" w:sz="0" w:space="0" w:color="auto"/>
      </w:divBdr>
    </w:div>
    <w:div w:id="952521108">
      <w:bodyDiv w:val="1"/>
      <w:marLeft w:val="0"/>
      <w:marRight w:val="0"/>
      <w:marTop w:val="0"/>
      <w:marBottom w:val="0"/>
      <w:divBdr>
        <w:top w:val="none" w:sz="0" w:space="0" w:color="auto"/>
        <w:left w:val="none" w:sz="0" w:space="0" w:color="auto"/>
        <w:bottom w:val="none" w:sz="0" w:space="0" w:color="auto"/>
        <w:right w:val="none" w:sz="0" w:space="0" w:color="auto"/>
      </w:divBdr>
    </w:div>
    <w:div w:id="960921584">
      <w:bodyDiv w:val="1"/>
      <w:marLeft w:val="0"/>
      <w:marRight w:val="0"/>
      <w:marTop w:val="0"/>
      <w:marBottom w:val="0"/>
      <w:divBdr>
        <w:top w:val="none" w:sz="0" w:space="0" w:color="auto"/>
        <w:left w:val="none" w:sz="0" w:space="0" w:color="auto"/>
        <w:bottom w:val="none" w:sz="0" w:space="0" w:color="auto"/>
        <w:right w:val="none" w:sz="0" w:space="0" w:color="auto"/>
      </w:divBdr>
    </w:div>
    <w:div w:id="964040535">
      <w:bodyDiv w:val="1"/>
      <w:marLeft w:val="0"/>
      <w:marRight w:val="0"/>
      <w:marTop w:val="0"/>
      <w:marBottom w:val="0"/>
      <w:divBdr>
        <w:top w:val="none" w:sz="0" w:space="0" w:color="auto"/>
        <w:left w:val="none" w:sz="0" w:space="0" w:color="auto"/>
        <w:bottom w:val="none" w:sz="0" w:space="0" w:color="auto"/>
        <w:right w:val="none" w:sz="0" w:space="0" w:color="auto"/>
      </w:divBdr>
    </w:div>
    <w:div w:id="975916255">
      <w:bodyDiv w:val="1"/>
      <w:marLeft w:val="0"/>
      <w:marRight w:val="0"/>
      <w:marTop w:val="0"/>
      <w:marBottom w:val="0"/>
      <w:divBdr>
        <w:top w:val="none" w:sz="0" w:space="0" w:color="auto"/>
        <w:left w:val="none" w:sz="0" w:space="0" w:color="auto"/>
        <w:bottom w:val="none" w:sz="0" w:space="0" w:color="auto"/>
        <w:right w:val="none" w:sz="0" w:space="0" w:color="auto"/>
      </w:divBdr>
    </w:div>
    <w:div w:id="999774936">
      <w:bodyDiv w:val="1"/>
      <w:marLeft w:val="0"/>
      <w:marRight w:val="0"/>
      <w:marTop w:val="0"/>
      <w:marBottom w:val="0"/>
      <w:divBdr>
        <w:top w:val="none" w:sz="0" w:space="0" w:color="auto"/>
        <w:left w:val="none" w:sz="0" w:space="0" w:color="auto"/>
        <w:bottom w:val="none" w:sz="0" w:space="0" w:color="auto"/>
        <w:right w:val="none" w:sz="0" w:space="0" w:color="auto"/>
      </w:divBdr>
    </w:div>
    <w:div w:id="1002078088">
      <w:bodyDiv w:val="1"/>
      <w:marLeft w:val="0"/>
      <w:marRight w:val="0"/>
      <w:marTop w:val="0"/>
      <w:marBottom w:val="0"/>
      <w:divBdr>
        <w:top w:val="none" w:sz="0" w:space="0" w:color="auto"/>
        <w:left w:val="none" w:sz="0" w:space="0" w:color="auto"/>
        <w:bottom w:val="none" w:sz="0" w:space="0" w:color="auto"/>
        <w:right w:val="none" w:sz="0" w:space="0" w:color="auto"/>
      </w:divBdr>
    </w:div>
    <w:div w:id="1006127477">
      <w:bodyDiv w:val="1"/>
      <w:marLeft w:val="0"/>
      <w:marRight w:val="0"/>
      <w:marTop w:val="0"/>
      <w:marBottom w:val="0"/>
      <w:divBdr>
        <w:top w:val="none" w:sz="0" w:space="0" w:color="auto"/>
        <w:left w:val="none" w:sz="0" w:space="0" w:color="auto"/>
        <w:bottom w:val="none" w:sz="0" w:space="0" w:color="auto"/>
        <w:right w:val="none" w:sz="0" w:space="0" w:color="auto"/>
      </w:divBdr>
    </w:div>
    <w:div w:id="1010984546">
      <w:bodyDiv w:val="1"/>
      <w:marLeft w:val="0"/>
      <w:marRight w:val="0"/>
      <w:marTop w:val="0"/>
      <w:marBottom w:val="0"/>
      <w:divBdr>
        <w:top w:val="none" w:sz="0" w:space="0" w:color="auto"/>
        <w:left w:val="none" w:sz="0" w:space="0" w:color="auto"/>
        <w:bottom w:val="none" w:sz="0" w:space="0" w:color="auto"/>
        <w:right w:val="none" w:sz="0" w:space="0" w:color="auto"/>
      </w:divBdr>
    </w:div>
    <w:div w:id="1027832733">
      <w:bodyDiv w:val="1"/>
      <w:marLeft w:val="0"/>
      <w:marRight w:val="0"/>
      <w:marTop w:val="0"/>
      <w:marBottom w:val="0"/>
      <w:divBdr>
        <w:top w:val="none" w:sz="0" w:space="0" w:color="auto"/>
        <w:left w:val="none" w:sz="0" w:space="0" w:color="auto"/>
        <w:bottom w:val="none" w:sz="0" w:space="0" w:color="auto"/>
        <w:right w:val="none" w:sz="0" w:space="0" w:color="auto"/>
      </w:divBdr>
    </w:div>
    <w:div w:id="1030228848">
      <w:bodyDiv w:val="1"/>
      <w:marLeft w:val="0"/>
      <w:marRight w:val="0"/>
      <w:marTop w:val="0"/>
      <w:marBottom w:val="0"/>
      <w:divBdr>
        <w:top w:val="none" w:sz="0" w:space="0" w:color="auto"/>
        <w:left w:val="none" w:sz="0" w:space="0" w:color="auto"/>
        <w:bottom w:val="none" w:sz="0" w:space="0" w:color="auto"/>
        <w:right w:val="none" w:sz="0" w:space="0" w:color="auto"/>
      </w:divBdr>
    </w:div>
    <w:div w:id="1030569405">
      <w:bodyDiv w:val="1"/>
      <w:marLeft w:val="0"/>
      <w:marRight w:val="0"/>
      <w:marTop w:val="0"/>
      <w:marBottom w:val="0"/>
      <w:divBdr>
        <w:top w:val="none" w:sz="0" w:space="0" w:color="auto"/>
        <w:left w:val="none" w:sz="0" w:space="0" w:color="auto"/>
        <w:bottom w:val="none" w:sz="0" w:space="0" w:color="auto"/>
        <w:right w:val="none" w:sz="0" w:space="0" w:color="auto"/>
      </w:divBdr>
    </w:div>
    <w:div w:id="1036076768">
      <w:bodyDiv w:val="1"/>
      <w:marLeft w:val="0"/>
      <w:marRight w:val="0"/>
      <w:marTop w:val="0"/>
      <w:marBottom w:val="0"/>
      <w:divBdr>
        <w:top w:val="none" w:sz="0" w:space="0" w:color="auto"/>
        <w:left w:val="none" w:sz="0" w:space="0" w:color="auto"/>
        <w:bottom w:val="none" w:sz="0" w:space="0" w:color="auto"/>
        <w:right w:val="none" w:sz="0" w:space="0" w:color="auto"/>
      </w:divBdr>
    </w:div>
    <w:div w:id="1059747410">
      <w:bodyDiv w:val="1"/>
      <w:marLeft w:val="0"/>
      <w:marRight w:val="0"/>
      <w:marTop w:val="0"/>
      <w:marBottom w:val="0"/>
      <w:divBdr>
        <w:top w:val="none" w:sz="0" w:space="0" w:color="auto"/>
        <w:left w:val="none" w:sz="0" w:space="0" w:color="auto"/>
        <w:bottom w:val="none" w:sz="0" w:space="0" w:color="auto"/>
        <w:right w:val="none" w:sz="0" w:space="0" w:color="auto"/>
      </w:divBdr>
    </w:div>
    <w:div w:id="1062872375">
      <w:bodyDiv w:val="1"/>
      <w:marLeft w:val="0"/>
      <w:marRight w:val="0"/>
      <w:marTop w:val="0"/>
      <w:marBottom w:val="0"/>
      <w:divBdr>
        <w:top w:val="none" w:sz="0" w:space="0" w:color="auto"/>
        <w:left w:val="none" w:sz="0" w:space="0" w:color="auto"/>
        <w:bottom w:val="none" w:sz="0" w:space="0" w:color="auto"/>
        <w:right w:val="none" w:sz="0" w:space="0" w:color="auto"/>
      </w:divBdr>
    </w:div>
    <w:div w:id="1091967608">
      <w:bodyDiv w:val="1"/>
      <w:marLeft w:val="0"/>
      <w:marRight w:val="0"/>
      <w:marTop w:val="0"/>
      <w:marBottom w:val="0"/>
      <w:divBdr>
        <w:top w:val="none" w:sz="0" w:space="0" w:color="auto"/>
        <w:left w:val="none" w:sz="0" w:space="0" w:color="auto"/>
        <w:bottom w:val="none" w:sz="0" w:space="0" w:color="auto"/>
        <w:right w:val="none" w:sz="0" w:space="0" w:color="auto"/>
      </w:divBdr>
    </w:div>
    <w:div w:id="1092894672">
      <w:bodyDiv w:val="1"/>
      <w:marLeft w:val="0"/>
      <w:marRight w:val="0"/>
      <w:marTop w:val="0"/>
      <w:marBottom w:val="0"/>
      <w:divBdr>
        <w:top w:val="none" w:sz="0" w:space="0" w:color="auto"/>
        <w:left w:val="none" w:sz="0" w:space="0" w:color="auto"/>
        <w:bottom w:val="none" w:sz="0" w:space="0" w:color="auto"/>
        <w:right w:val="none" w:sz="0" w:space="0" w:color="auto"/>
      </w:divBdr>
      <w:divsChild>
        <w:div w:id="290523728">
          <w:marLeft w:val="2520"/>
          <w:marRight w:val="0"/>
          <w:marTop w:val="77"/>
          <w:marBottom w:val="0"/>
          <w:divBdr>
            <w:top w:val="none" w:sz="0" w:space="0" w:color="auto"/>
            <w:left w:val="none" w:sz="0" w:space="0" w:color="auto"/>
            <w:bottom w:val="none" w:sz="0" w:space="0" w:color="auto"/>
            <w:right w:val="none" w:sz="0" w:space="0" w:color="auto"/>
          </w:divBdr>
        </w:div>
        <w:div w:id="424153204">
          <w:marLeft w:val="2520"/>
          <w:marRight w:val="0"/>
          <w:marTop w:val="77"/>
          <w:marBottom w:val="0"/>
          <w:divBdr>
            <w:top w:val="none" w:sz="0" w:space="0" w:color="auto"/>
            <w:left w:val="none" w:sz="0" w:space="0" w:color="auto"/>
            <w:bottom w:val="none" w:sz="0" w:space="0" w:color="auto"/>
            <w:right w:val="none" w:sz="0" w:space="0" w:color="auto"/>
          </w:divBdr>
        </w:div>
        <w:div w:id="431820672">
          <w:marLeft w:val="3240"/>
          <w:marRight w:val="0"/>
          <w:marTop w:val="67"/>
          <w:marBottom w:val="0"/>
          <w:divBdr>
            <w:top w:val="none" w:sz="0" w:space="0" w:color="auto"/>
            <w:left w:val="none" w:sz="0" w:space="0" w:color="auto"/>
            <w:bottom w:val="none" w:sz="0" w:space="0" w:color="auto"/>
            <w:right w:val="none" w:sz="0" w:space="0" w:color="auto"/>
          </w:divBdr>
        </w:div>
        <w:div w:id="465589112">
          <w:marLeft w:val="3240"/>
          <w:marRight w:val="0"/>
          <w:marTop w:val="67"/>
          <w:marBottom w:val="0"/>
          <w:divBdr>
            <w:top w:val="none" w:sz="0" w:space="0" w:color="auto"/>
            <w:left w:val="none" w:sz="0" w:space="0" w:color="auto"/>
            <w:bottom w:val="none" w:sz="0" w:space="0" w:color="auto"/>
            <w:right w:val="none" w:sz="0" w:space="0" w:color="auto"/>
          </w:divBdr>
        </w:div>
        <w:div w:id="806122598">
          <w:marLeft w:val="3240"/>
          <w:marRight w:val="0"/>
          <w:marTop w:val="67"/>
          <w:marBottom w:val="0"/>
          <w:divBdr>
            <w:top w:val="none" w:sz="0" w:space="0" w:color="auto"/>
            <w:left w:val="none" w:sz="0" w:space="0" w:color="auto"/>
            <w:bottom w:val="none" w:sz="0" w:space="0" w:color="auto"/>
            <w:right w:val="none" w:sz="0" w:space="0" w:color="auto"/>
          </w:divBdr>
        </w:div>
        <w:div w:id="889147638">
          <w:marLeft w:val="3240"/>
          <w:marRight w:val="0"/>
          <w:marTop w:val="67"/>
          <w:marBottom w:val="0"/>
          <w:divBdr>
            <w:top w:val="none" w:sz="0" w:space="0" w:color="auto"/>
            <w:left w:val="none" w:sz="0" w:space="0" w:color="auto"/>
            <w:bottom w:val="none" w:sz="0" w:space="0" w:color="auto"/>
            <w:right w:val="none" w:sz="0" w:space="0" w:color="auto"/>
          </w:divBdr>
        </w:div>
        <w:div w:id="1047679204">
          <w:marLeft w:val="1166"/>
          <w:marRight w:val="0"/>
          <w:marTop w:val="86"/>
          <w:marBottom w:val="0"/>
          <w:divBdr>
            <w:top w:val="none" w:sz="0" w:space="0" w:color="auto"/>
            <w:left w:val="none" w:sz="0" w:space="0" w:color="auto"/>
            <w:bottom w:val="none" w:sz="0" w:space="0" w:color="auto"/>
            <w:right w:val="none" w:sz="0" w:space="0" w:color="auto"/>
          </w:divBdr>
        </w:div>
        <w:div w:id="1398283057">
          <w:marLeft w:val="3240"/>
          <w:marRight w:val="0"/>
          <w:marTop w:val="67"/>
          <w:marBottom w:val="0"/>
          <w:divBdr>
            <w:top w:val="none" w:sz="0" w:space="0" w:color="auto"/>
            <w:left w:val="none" w:sz="0" w:space="0" w:color="auto"/>
            <w:bottom w:val="none" w:sz="0" w:space="0" w:color="auto"/>
            <w:right w:val="none" w:sz="0" w:space="0" w:color="auto"/>
          </w:divBdr>
        </w:div>
        <w:div w:id="1760642193">
          <w:marLeft w:val="1800"/>
          <w:marRight w:val="0"/>
          <w:marTop w:val="86"/>
          <w:marBottom w:val="0"/>
          <w:divBdr>
            <w:top w:val="none" w:sz="0" w:space="0" w:color="auto"/>
            <w:left w:val="none" w:sz="0" w:space="0" w:color="auto"/>
            <w:bottom w:val="none" w:sz="0" w:space="0" w:color="auto"/>
            <w:right w:val="none" w:sz="0" w:space="0" w:color="auto"/>
          </w:divBdr>
        </w:div>
      </w:divsChild>
    </w:div>
    <w:div w:id="1113941426">
      <w:bodyDiv w:val="1"/>
      <w:marLeft w:val="0"/>
      <w:marRight w:val="0"/>
      <w:marTop w:val="0"/>
      <w:marBottom w:val="0"/>
      <w:divBdr>
        <w:top w:val="none" w:sz="0" w:space="0" w:color="auto"/>
        <w:left w:val="none" w:sz="0" w:space="0" w:color="auto"/>
        <w:bottom w:val="none" w:sz="0" w:space="0" w:color="auto"/>
        <w:right w:val="none" w:sz="0" w:space="0" w:color="auto"/>
      </w:divBdr>
    </w:div>
    <w:div w:id="1119110625">
      <w:bodyDiv w:val="1"/>
      <w:marLeft w:val="0"/>
      <w:marRight w:val="0"/>
      <w:marTop w:val="0"/>
      <w:marBottom w:val="0"/>
      <w:divBdr>
        <w:top w:val="none" w:sz="0" w:space="0" w:color="auto"/>
        <w:left w:val="none" w:sz="0" w:space="0" w:color="auto"/>
        <w:bottom w:val="none" w:sz="0" w:space="0" w:color="auto"/>
        <w:right w:val="none" w:sz="0" w:space="0" w:color="auto"/>
      </w:divBdr>
    </w:div>
    <w:div w:id="1132137434">
      <w:bodyDiv w:val="1"/>
      <w:marLeft w:val="0"/>
      <w:marRight w:val="0"/>
      <w:marTop w:val="0"/>
      <w:marBottom w:val="0"/>
      <w:divBdr>
        <w:top w:val="none" w:sz="0" w:space="0" w:color="auto"/>
        <w:left w:val="none" w:sz="0" w:space="0" w:color="auto"/>
        <w:bottom w:val="none" w:sz="0" w:space="0" w:color="auto"/>
        <w:right w:val="none" w:sz="0" w:space="0" w:color="auto"/>
      </w:divBdr>
    </w:div>
    <w:div w:id="1140196653">
      <w:bodyDiv w:val="1"/>
      <w:marLeft w:val="0"/>
      <w:marRight w:val="0"/>
      <w:marTop w:val="0"/>
      <w:marBottom w:val="0"/>
      <w:divBdr>
        <w:top w:val="none" w:sz="0" w:space="0" w:color="auto"/>
        <w:left w:val="none" w:sz="0" w:space="0" w:color="auto"/>
        <w:bottom w:val="none" w:sz="0" w:space="0" w:color="auto"/>
        <w:right w:val="none" w:sz="0" w:space="0" w:color="auto"/>
      </w:divBdr>
    </w:div>
    <w:div w:id="1162697417">
      <w:bodyDiv w:val="1"/>
      <w:marLeft w:val="0"/>
      <w:marRight w:val="0"/>
      <w:marTop w:val="0"/>
      <w:marBottom w:val="0"/>
      <w:divBdr>
        <w:top w:val="none" w:sz="0" w:space="0" w:color="auto"/>
        <w:left w:val="none" w:sz="0" w:space="0" w:color="auto"/>
        <w:bottom w:val="none" w:sz="0" w:space="0" w:color="auto"/>
        <w:right w:val="none" w:sz="0" w:space="0" w:color="auto"/>
      </w:divBdr>
    </w:div>
    <w:div w:id="1174342085">
      <w:bodyDiv w:val="1"/>
      <w:marLeft w:val="0"/>
      <w:marRight w:val="0"/>
      <w:marTop w:val="0"/>
      <w:marBottom w:val="0"/>
      <w:divBdr>
        <w:top w:val="none" w:sz="0" w:space="0" w:color="auto"/>
        <w:left w:val="none" w:sz="0" w:space="0" w:color="auto"/>
        <w:bottom w:val="none" w:sz="0" w:space="0" w:color="auto"/>
        <w:right w:val="none" w:sz="0" w:space="0" w:color="auto"/>
      </w:divBdr>
    </w:div>
    <w:div w:id="1181890358">
      <w:bodyDiv w:val="1"/>
      <w:marLeft w:val="0"/>
      <w:marRight w:val="0"/>
      <w:marTop w:val="0"/>
      <w:marBottom w:val="0"/>
      <w:divBdr>
        <w:top w:val="none" w:sz="0" w:space="0" w:color="auto"/>
        <w:left w:val="none" w:sz="0" w:space="0" w:color="auto"/>
        <w:bottom w:val="none" w:sz="0" w:space="0" w:color="auto"/>
        <w:right w:val="none" w:sz="0" w:space="0" w:color="auto"/>
      </w:divBdr>
    </w:div>
    <w:div w:id="1190878482">
      <w:bodyDiv w:val="1"/>
      <w:marLeft w:val="0"/>
      <w:marRight w:val="0"/>
      <w:marTop w:val="0"/>
      <w:marBottom w:val="0"/>
      <w:divBdr>
        <w:top w:val="none" w:sz="0" w:space="0" w:color="auto"/>
        <w:left w:val="none" w:sz="0" w:space="0" w:color="auto"/>
        <w:bottom w:val="none" w:sz="0" w:space="0" w:color="auto"/>
        <w:right w:val="none" w:sz="0" w:space="0" w:color="auto"/>
      </w:divBdr>
    </w:div>
    <w:div w:id="1193300107">
      <w:bodyDiv w:val="1"/>
      <w:marLeft w:val="0"/>
      <w:marRight w:val="0"/>
      <w:marTop w:val="0"/>
      <w:marBottom w:val="0"/>
      <w:divBdr>
        <w:top w:val="none" w:sz="0" w:space="0" w:color="auto"/>
        <w:left w:val="none" w:sz="0" w:space="0" w:color="auto"/>
        <w:bottom w:val="none" w:sz="0" w:space="0" w:color="auto"/>
        <w:right w:val="none" w:sz="0" w:space="0" w:color="auto"/>
      </w:divBdr>
    </w:div>
    <w:div w:id="1198852998">
      <w:marLeft w:val="0"/>
      <w:marRight w:val="0"/>
      <w:marTop w:val="0"/>
      <w:marBottom w:val="0"/>
      <w:divBdr>
        <w:top w:val="none" w:sz="0" w:space="0" w:color="auto"/>
        <w:left w:val="none" w:sz="0" w:space="0" w:color="auto"/>
        <w:bottom w:val="none" w:sz="0" w:space="0" w:color="auto"/>
        <w:right w:val="none" w:sz="0" w:space="0" w:color="auto"/>
      </w:divBdr>
    </w:div>
    <w:div w:id="1210070432">
      <w:bodyDiv w:val="1"/>
      <w:marLeft w:val="0"/>
      <w:marRight w:val="0"/>
      <w:marTop w:val="0"/>
      <w:marBottom w:val="0"/>
      <w:divBdr>
        <w:top w:val="none" w:sz="0" w:space="0" w:color="auto"/>
        <w:left w:val="none" w:sz="0" w:space="0" w:color="auto"/>
        <w:bottom w:val="none" w:sz="0" w:space="0" w:color="auto"/>
        <w:right w:val="none" w:sz="0" w:space="0" w:color="auto"/>
      </w:divBdr>
    </w:div>
    <w:div w:id="1223639827">
      <w:bodyDiv w:val="1"/>
      <w:marLeft w:val="0"/>
      <w:marRight w:val="0"/>
      <w:marTop w:val="0"/>
      <w:marBottom w:val="0"/>
      <w:divBdr>
        <w:top w:val="none" w:sz="0" w:space="0" w:color="auto"/>
        <w:left w:val="none" w:sz="0" w:space="0" w:color="auto"/>
        <w:bottom w:val="none" w:sz="0" w:space="0" w:color="auto"/>
        <w:right w:val="none" w:sz="0" w:space="0" w:color="auto"/>
      </w:divBdr>
    </w:div>
    <w:div w:id="1226601555">
      <w:bodyDiv w:val="1"/>
      <w:marLeft w:val="0"/>
      <w:marRight w:val="0"/>
      <w:marTop w:val="0"/>
      <w:marBottom w:val="0"/>
      <w:divBdr>
        <w:top w:val="none" w:sz="0" w:space="0" w:color="auto"/>
        <w:left w:val="none" w:sz="0" w:space="0" w:color="auto"/>
        <w:bottom w:val="none" w:sz="0" w:space="0" w:color="auto"/>
        <w:right w:val="none" w:sz="0" w:space="0" w:color="auto"/>
      </w:divBdr>
    </w:div>
    <w:div w:id="1229923310">
      <w:bodyDiv w:val="1"/>
      <w:marLeft w:val="0"/>
      <w:marRight w:val="0"/>
      <w:marTop w:val="0"/>
      <w:marBottom w:val="0"/>
      <w:divBdr>
        <w:top w:val="none" w:sz="0" w:space="0" w:color="auto"/>
        <w:left w:val="none" w:sz="0" w:space="0" w:color="auto"/>
        <w:bottom w:val="none" w:sz="0" w:space="0" w:color="auto"/>
        <w:right w:val="none" w:sz="0" w:space="0" w:color="auto"/>
      </w:divBdr>
    </w:div>
    <w:div w:id="1232155679">
      <w:bodyDiv w:val="1"/>
      <w:marLeft w:val="0"/>
      <w:marRight w:val="0"/>
      <w:marTop w:val="0"/>
      <w:marBottom w:val="0"/>
      <w:divBdr>
        <w:top w:val="none" w:sz="0" w:space="0" w:color="auto"/>
        <w:left w:val="none" w:sz="0" w:space="0" w:color="auto"/>
        <w:bottom w:val="none" w:sz="0" w:space="0" w:color="auto"/>
        <w:right w:val="none" w:sz="0" w:space="0" w:color="auto"/>
      </w:divBdr>
    </w:div>
    <w:div w:id="1237283321">
      <w:bodyDiv w:val="1"/>
      <w:marLeft w:val="0"/>
      <w:marRight w:val="0"/>
      <w:marTop w:val="0"/>
      <w:marBottom w:val="0"/>
      <w:divBdr>
        <w:top w:val="none" w:sz="0" w:space="0" w:color="auto"/>
        <w:left w:val="none" w:sz="0" w:space="0" w:color="auto"/>
        <w:bottom w:val="none" w:sz="0" w:space="0" w:color="auto"/>
        <w:right w:val="none" w:sz="0" w:space="0" w:color="auto"/>
      </w:divBdr>
    </w:div>
    <w:div w:id="1238859141">
      <w:bodyDiv w:val="1"/>
      <w:marLeft w:val="0"/>
      <w:marRight w:val="0"/>
      <w:marTop w:val="0"/>
      <w:marBottom w:val="0"/>
      <w:divBdr>
        <w:top w:val="none" w:sz="0" w:space="0" w:color="auto"/>
        <w:left w:val="none" w:sz="0" w:space="0" w:color="auto"/>
        <w:bottom w:val="none" w:sz="0" w:space="0" w:color="auto"/>
        <w:right w:val="none" w:sz="0" w:space="0" w:color="auto"/>
      </w:divBdr>
    </w:div>
    <w:div w:id="1255433299">
      <w:bodyDiv w:val="1"/>
      <w:marLeft w:val="0"/>
      <w:marRight w:val="0"/>
      <w:marTop w:val="0"/>
      <w:marBottom w:val="0"/>
      <w:divBdr>
        <w:top w:val="none" w:sz="0" w:space="0" w:color="auto"/>
        <w:left w:val="none" w:sz="0" w:space="0" w:color="auto"/>
        <w:bottom w:val="none" w:sz="0" w:space="0" w:color="auto"/>
        <w:right w:val="none" w:sz="0" w:space="0" w:color="auto"/>
      </w:divBdr>
    </w:div>
    <w:div w:id="1260136424">
      <w:bodyDiv w:val="1"/>
      <w:marLeft w:val="0"/>
      <w:marRight w:val="0"/>
      <w:marTop w:val="0"/>
      <w:marBottom w:val="0"/>
      <w:divBdr>
        <w:top w:val="none" w:sz="0" w:space="0" w:color="auto"/>
        <w:left w:val="none" w:sz="0" w:space="0" w:color="auto"/>
        <w:bottom w:val="none" w:sz="0" w:space="0" w:color="auto"/>
        <w:right w:val="none" w:sz="0" w:space="0" w:color="auto"/>
      </w:divBdr>
    </w:div>
    <w:div w:id="1261715375">
      <w:bodyDiv w:val="1"/>
      <w:marLeft w:val="0"/>
      <w:marRight w:val="0"/>
      <w:marTop w:val="0"/>
      <w:marBottom w:val="0"/>
      <w:divBdr>
        <w:top w:val="none" w:sz="0" w:space="0" w:color="auto"/>
        <w:left w:val="none" w:sz="0" w:space="0" w:color="auto"/>
        <w:bottom w:val="none" w:sz="0" w:space="0" w:color="auto"/>
        <w:right w:val="none" w:sz="0" w:space="0" w:color="auto"/>
      </w:divBdr>
    </w:div>
    <w:div w:id="1266882659">
      <w:bodyDiv w:val="1"/>
      <w:marLeft w:val="0"/>
      <w:marRight w:val="0"/>
      <w:marTop w:val="0"/>
      <w:marBottom w:val="0"/>
      <w:divBdr>
        <w:top w:val="none" w:sz="0" w:space="0" w:color="auto"/>
        <w:left w:val="none" w:sz="0" w:space="0" w:color="auto"/>
        <w:bottom w:val="none" w:sz="0" w:space="0" w:color="auto"/>
        <w:right w:val="none" w:sz="0" w:space="0" w:color="auto"/>
      </w:divBdr>
    </w:div>
    <w:div w:id="1270626290">
      <w:bodyDiv w:val="1"/>
      <w:marLeft w:val="0"/>
      <w:marRight w:val="0"/>
      <w:marTop w:val="0"/>
      <w:marBottom w:val="0"/>
      <w:divBdr>
        <w:top w:val="none" w:sz="0" w:space="0" w:color="auto"/>
        <w:left w:val="none" w:sz="0" w:space="0" w:color="auto"/>
        <w:bottom w:val="none" w:sz="0" w:space="0" w:color="auto"/>
        <w:right w:val="none" w:sz="0" w:space="0" w:color="auto"/>
      </w:divBdr>
    </w:div>
    <w:div w:id="1278871737">
      <w:bodyDiv w:val="1"/>
      <w:marLeft w:val="0"/>
      <w:marRight w:val="0"/>
      <w:marTop w:val="0"/>
      <w:marBottom w:val="0"/>
      <w:divBdr>
        <w:top w:val="none" w:sz="0" w:space="0" w:color="auto"/>
        <w:left w:val="none" w:sz="0" w:space="0" w:color="auto"/>
        <w:bottom w:val="none" w:sz="0" w:space="0" w:color="auto"/>
        <w:right w:val="none" w:sz="0" w:space="0" w:color="auto"/>
      </w:divBdr>
    </w:div>
    <w:div w:id="1294292762">
      <w:bodyDiv w:val="1"/>
      <w:marLeft w:val="0"/>
      <w:marRight w:val="0"/>
      <w:marTop w:val="0"/>
      <w:marBottom w:val="0"/>
      <w:divBdr>
        <w:top w:val="none" w:sz="0" w:space="0" w:color="auto"/>
        <w:left w:val="none" w:sz="0" w:space="0" w:color="auto"/>
        <w:bottom w:val="none" w:sz="0" w:space="0" w:color="auto"/>
        <w:right w:val="none" w:sz="0" w:space="0" w:color="auto"/>
      </w:divBdr>
      <w:divsChild>
        <w:div w:id="229311173">
          <w:marLeft w:val="547"/>
          <w:marRight w:val="0"/>
          <w:marTop w:val="154"/>
          <w:marBottom w:val="0"/>
          <w:divBdr>
            <w:top w:val="none" w:sz="0" w:space="0" w:color="auto"/>
            <w:left w:val="none" w:sz="0" w:space="0" w:color="auto"/>
            <w:bottom w:val="none" w:sz="0" w:space="0" w:color="auto"/>
            <w:right w:val="none" w:sz="0" w:space="0" w:color="auto"/>
          </w:divBdr>
        </w:div>
        <w:div w:id="954946565">
          <w:marLeft w:val="1166"/>
          <w:marRight w:val="0"/>
          <w:marTop w:val="86"/>
          <w:marBottom w:val="0"/>
          <w:divBdr>
            <w:top w:val="none" w:sz="0" w:space="0" w:color="auto"/>
            <w:left w:val="none" w:sz="0" w:space="0" w:color="auto"/>
            <w:bottom w:val="none" w:sz="0" w:space="0" w:color="auto"/>
            <w:right w:val="none" w:sz="0" w:space="0" w:color="auto"/>
          </w:divBdr>
        </w:div>
        <w:div w:id="1202551819">
          <w:marLeft w:val="1166"/>
          <w:marRight w:val="0"/>
          <w:marTop w:val="86"/>
          <w:marBottom w:val="0"/>
          <w:divBdr>
            <w:top w:val="none" w:sz="0" w:space="0" w:color="auto"/>
            <w:left w:val="none" w:sz="0" w:space="0" w:color="auto"/>
            <w:bottom w:val="none" w:sz="0" w:space="0" w:color="auto"/>
            <w:right w:val="none" w:sz="0" w:space="0" w:color="auto"/>
          </w:divBdr>
        </w:div>
        <w:div w:id="1535728485">
          <w:marLeft w:val="1166"/>
          <w:marRight w:val="0"/>
          <w:marTop w:val="86"/>
          <w:marBottom w:val="0"/>
          <w:divBdr>
            <w:top w:val="none" w:sz="0" w:space="0" w:color="auto"/>
            <w:left w:val="none" w:sz="0" w:space="0" w:color="auto"/>
            <w:bottom w:val="none" w:sz="0" w:space="0" w:color="auto"/>
            <w:right w:val="none" w:sz="0" w:space="0" w:color="auto"/>
          </w:divBdr>
        </w:div>
        <w:div w:id="1931309303">
          <w:marLeft w:val="1166"/>
          <w:marRight w:val="0"/>
          <w:marTop w:val="86"/>
          <w:marBottom w:val="0"/>
          <w:divBdr>
            <w:top w:val="none" w:sz="0" w:space="0" w:color="auto"/>
            <w:left w:val="none" w:sz="0" w:space="0" w:color="auto"/>
            <w:bottom w:val="none" w:sz="0" w:space="0" w:color="auto"/>
            <w:right w:val="none" w:sz="0" w:space="0" w:color="auto"/>
          </w:divBdr>
        </w:div>
      </w:divsChild>
    </w:div>
    <w:div w:id="1298681437">
      <w:bodyDiv w:val="1"/>
      <w:marLeft w:val="0"/>
      <w:marRight w:val="0"/>
      <w:marTop w:val="0"/>
      <w:marBottom w:val="0"/>
      <w:divBdr>
        <w:top w:val="none" w:sz="0" w:space="0" w:color="auto"/>
        <w:left w:val="none" w:sz="0" w:space="0" w:color="auto"/>
        <w:bottom w:val="none" w:sz="0" w:space="0" w:color="auto"/>
        <w:right w:val="none" w:sz="0" w:space="0" w:color="auto"/>
      </w:divBdr>
    </w:div>
    <w:div w:id="1301959675">
      <w:bodyDiv w:val="1"/>
      <w:marLeft w:val="0"/>
      <w:marRight w:val="0"/>
      <w:marTop w:val="0"/>
      <w:marBottom w:val="0"/>
      <w:divBdr>
        <w:top w:val="none" w:sz="0" w:space="0" w:color="auto"/>
        <w:left w:val="none" w:sz="0" w:space="0" w:color="auto"/>
        <w:bottom w:val="none" w:sz="0" w:space="0" w:color="auto"/>
        <w:right w:val="none" w:sz="0" w:space="0" w:color="auto"/>
      </w:divBdr>
    </w:div>
    <w:div w:id="1302153378">
      <w:bodyDiv w:val="1"/>
      <w:marLeft w:val="0"/>
      <w:marRight w:val="0"/>
      <w:marTop w:val="0"/>
      <w:marBottom w:val="0"/>
      <w:divBdr>
        <w:top w:val="none" w:sz="0" w:space="0" w:color="auto"/>
        <w:left w:val="none" w:sz="0" w:space="0" w:color="auto"/>
        <w:bottom w:val="none" w:sz="0" w:space="0" w:color="auto"/>
        <w:right w:val="none" w:sz="0" w:space="0" w:color="auto"/>
      </w:divBdr>
    </w:div>
    <w:div w:id="1304655661">
      <w:bodyDiv w:val="1"/>
      <w:marLeft w:val="0"/>
      <w:marRight w:val="0"/>
      <w:marTop w:val="0"/>
      <w:marBottom w:val="0"/>
      <w:divBdr>
        <w:top w:val="none" w:sz="0" w:space="0" w:color="auto"/>
        <w:left w:val="none" w:sz="0" w:space="0" w:color="auto"/>
        <w:bottom w:val="none" w:sz="0" w:space="0" w:color="auto"/>
        <w:right w:val="none" w:sz="0" w:space="0" w:color="auto"/>
      </w:divBdr>
    </w:div>
    <w:div w:id="1305891345">
      <w:bodyDiv w:val="1"/>
      <w:marLeft w:val="0"/>
      <w:marRight w:val="0"/>
      <w:marTop w:val="0"/>
      <w:marBottom w:val="0"/>
      <w:divBdr>
        <w:top w:val="none" w:sz="0" w:space="0" w:color="auto"/>
        <w:left w:val="none" w:sz="0" w:space="0" w:color="auto"/>
        <w:bottom w:val="none" w:sz="0" w:space="0" w:color="auto"/>
        <w:right w:val="none" w:sz="0" w:space="0" w:color="auto"/>
      </w:divBdr>
      <w:divsChild>
        <w:div w:id="1857764375">
          <w:marLeft w:val="547"/>
          <w:marRight w:val="0"/>
          <w:marTop w:val="115"/>
          <w:marBottom w:val="0"/>
          <w:divBdr>
            <w:top w:val="none" w:sz="0" w:space="0" w:color="auto"/>
            <w:left w:val="none" w:sz="0" w:space="0" w:color="auto"/>
            <w:bottom w:val="none" w:sz="0" w:space="0" w:color="auto"/>
            <w:right w:val="none" w:sz="0" w:space="0" w:color="auto"/>
          </w:divBdr>
        </w:div>
      </w:divsChild>
    </w:div>
    <w:div w:id="1318876305">
      <w:bodyDiv w:val="1"/>
      <w:marLeft w:val="0"/>
      <w:marRight w:val="0"/>
      <w:marTop w:val="0"/>
      <w:marBottom w:val="0"/>
      <w:divBdr>
        <w:top w:val="none" w:sz="0" w:space="0" w:color="auto"/>
        <w:left w:val="none" w:sz="0" w:space="0" w:color="auto"/>
        <w:bottom w:val="none" w:sz="0" w:space="0" w:color="auto"/>
        <w:right w:val="none" w:sz="0" w:space="0" w:color="auto"/>
      </w:divBdr>
    </w:div>
    <w:div w:id="1320114008">
      <w:bodyDiv w:val="1"/>
      <w:marLeft w:val="0"/>
      <w:marRight w:val="0"/>
      <w:marTop w:val="0"/>
      <w:marBottom w:val="0"/>
      <w:divBdr>
        <w:top w:val="none" w:sz="0" w:space="0" w:color="auto"/>
        <w:left w:val="none" w:sz="0" w:space="0" w:color="auto"/>
        <w:bottom w:val="none" w:sz="0" w:space="0" w:color="auto"/>
        <w:right w:val="none" w:sz="0" w:space="0" w:color="auto"/>
      </w:divBdr>
    </w:div>
    <w:div w:id="1349140955">
      <w:bodyDiv w:val="1"/>
      <w:marLeft w:val="0"/>
      <w:marRight w:val="0"/>
      <w:marTop w:val="0"/>
      <w:marBottom w:val="0"/>
      <w:divBdr>
        <w:top w:val="none" w:sz="0" w:space="0" w:color="auto"/>
        <w:left w:val="none" w:sz="0" w:space="0" w:color="auto"/>
        <w:bottom w:val="none" w:sz="0" w:space="0" w:color="auto"/>
        <w:right w:val="none" w:sz="0" w:space="0" w:color="auto"/>
      </w:divBdr>
    </w:div>
    <w:div w:id="1356619167">
      <w:bodyDiv w:val="1"/>
      <w:marLeft w:val="0"/>
      <w:marRight w:val="0"/>
      <w:marTop w:val="0"/>
      <w:marBottom w:val="0"/>
      <w:divBdr>
        <w:top w:val="none" w:sz="0" w:space="0" w:color="auto"/>
        <w:left w:val="none" w:sz="0" w:space="0" w:color="auto"/>
        <w:bottom w:val="none" w:sz="0" w:space="0" w:color="auto"/>
        <w:right w:val="none" w:sz="0" w:space="0" w:color="auto"/>
      </w:divBdr>
    </w:div>
    <w:div w:id="1358392435">
      <w:bodyDiv w:val="1"/>
      <w:marLeft w:val="0"/>
      <w:marRight w:val="0"/>
      <w:marTop w:val="0"/>
      <w:marBottom w:val="0"/>
      <w:divBdr>
        <w:top w:val="none" w:sz="0" w:space="0" w:color="auto"/>
        <w:left w:val="none" w:sz="0" w:space="0" w:color="auto"/>
        <w:bottom w:val="none" w:sz="0" w:space="0" w:color="auto"/>
        <w:right w:val="none" w:sz="0" w:space="0" w:color="auto"/>
      </w:divBdr>
    </w:div>
    <w:div w:id="1372537813">
      <w:bodyDiv w:val="1"/>
      <w:marLeft w:val="0"/>
      <w:marRight w:val="0"/>
      <w:marTop w:val="0"/>
      <w:marBottom w:val="0"/>
      <w:divBdr>
        <w:top w:val="none" w:sz="0" w:space="0" w:color="auto"/>
        <w:left w:val="none" w:sz="0" w:space="0" w:color="auto"/>
        <w:bottom w:val="none" w:sz="0" w:space="0" w:color="auto"/>
        <w:right w:val="none" w:sz="0" w:space="0" w:color="auto"/>
      </w:divBdr>
    </w:div>
    <w:div w:id="1385371072">
      <w:bodyDiv w:val="1"/>
      <w:marLeft w:val="0"/>
      <w:marRight w:val="0"/>
      <w:marTop w:val="0"/>
      <w:marBottom w:val="0"/>
      <w:divBdr>
        <w:top w:val="none" w:sz="0" w:space="0" w:color="auto"/>
        <w:left w:val="none" w:sz="0" w:space="0" w:color="auto"/>
        <w:bottom w:val="none" w:sz="0" w:space="0" w:color="auto"/>
        <w:right w:val="none" w:sz="0" w:space="0" w:color="auto"/>
      </w:divBdr>
    </w:div>
    <w:div w:id="1387022761">
      <w:bodyDiv w:val="1"/>
      <w:marLeft w:val="0"/>
      <w:marRight w:val="0"/>
      <w:marTop w:val="0"/>
      <w:marBottom w:val="0"/>
      <w:divBdr>
        <w:top w:val="none" w:sz="0" w:space="0" w:color="auto"/>
        <w:left w:val="none" w:sz="0" w:space="0" w:color="auto"/>
        <w:bottom w:val="none" w:sz="0" w:space="0" w:color="auto"/>
        <w:right w:val="none" w:sz="0" w:space="0" w:color="auto"/>
      </w:divBdr>
    </w:div>
    <w:div w:id="1391229814">
      <w:bodyDiv w:val="1"/>
      <w:marLeft w:val="0"/>
      <w:marRight w:val="0"/>
      <w:marTop w:val="0"/>
      <w:marBottom w:val="0"/>
      <w:divBdr>
        <w:top w:val="none" w:sz="0" w:space="0" w:color="auto"/>
        <w:left w:val="none" w:sz="0" w:space="0" w:color="auto"/>
        <w:bottom w:val="none" w:sz="0" w:space="0" w:color="auto"/>
        <w:right w:val="none" w:sz="0" w:space="0" w:color="auto"/>
      </w:divBdr>
    </w:div>
    <w:div w:id="1405907480">
      <w:bodyDiv w:val="1"/>
      <w:marLeft w:val="0"/>
      <w:marRight w:val="0"/>
      <w:marTop w:val="0"/>
      <w:marBottom w:val="0"/>
      <w:divBdr>
        <w:top w:val="none" w:sz="0" w:space="0" w:color="auto"/>
        <w:left w:val="none" w:sz="0" w:space="0" w:color="auto"/>
        <w:bottom w:val="none" w:sz="0" w:space="0" w:color="auto"/>
        <w:right w:val="none" w:sz="0" w:space="0" w:color="auto"/>
      </w:divBdr>
    </w:div>
    <w:div w:id="1407849107">
      <w:bodyDiv w:val="1"/>
      <w:marLeft w:val="0"/>
      <w:marRight w:val="0"/>
      <w:marTop w:val="0"/>
      <w:marBottom w:val="0"/>
      <w:divBdr>
        <w:top w:val="none" w:sz="0" w:space="0" w:color="auto"/>
        <w:left w:val="none" w:sz="0" w:space="0" w:color="auto"/>
        <w:bottom w:val="none" w:sz="0" w:space="0" w:color="auto"/>
        <w:right w:val="none" w:sz="0" w:space="0" w:color="auto"/>
      </w:divBdr>
    </w:div>
    <w:div w:id="1411661833">
      <w:bodyDiv w:val="1"/>
      <w:marLeft w:val="0"/>
      <w:marRight w:val="0"/>
      <w:marTop w:val="0"/>
      <w:marBottom w:val="0"/>
      <w:divBdr>
        <w:top w:val="none" w:sz="0" w:space="0" w:color="auto"/>
        <w:left w:val="none" w:sz="0" w:space="0" w:color="auto"/>
        <w:bottom w:val="none" w:sz="0" w:space="0" w:color="auto"/>
        <w:right w:val="none" w:sz="0" w:space="0" w:color="auto"/>
      </w:divBdr>
      <w:divsChild>
        <w:div w:id="239873952">
          <w:marLeft w:val="0"/>
          <w:marRight w:val="0"/>
          <w:marTop w:val="0"/>
          <w:marBottom w:val="0"/>
          <w:divBdr>
            <w:top w:val="none" w:sz="0" w:space="0" w:color="auto"/>
            <w:left w:val="none" w:sz="0" w:space="0" w:color="auto"/>
            <w:bottom w:val="none" w:sz="0" w:space="0" w:color="auto"/>
            <w:right w:val="none" w:sz="0" w:space="0" w:color="auto"/>
          </w:divBdr>
        </w:div>
        <w:div w:id="502474586">
          <w:marLeft w:val="0"/>
          <w:marRight w:val="0"/>
          <w:marTop w:val="0"/>
          <w:marBottom w:val="0"/>
          <w:divBdr>
            <w:top w:val="none" w:sz="0" w:space="0" w:color="auto"/>
            <w:left w:val="none" w:sz="0" w:space="0" w:color="auto"/>
            <w:bottom w:val="none" w:sz="0" w:space="0" w:color="auto"/>
            <w:right w:val="none" w:sz="0" w:space="0" w:color="auto"/>
          </w:divBdr>
        </w:div>
        <w:div w:id="729037633">
          <w:marLeft w:val="0"/>
          <w:marRight w:val="0"/>
          <w:marTop w:val="0"/>
          <w:marBottom w:val="0"/>
          <w:divBdr>
            <w:top w:val="none" w:sz="0" w:space="0" w:color="auto"/>
            <w:left w:val="none" w:sz="0" w:space="0" w:color="auto"/>
            <w:bottom w:val="none" w:sz="0" w:space="0" w:color="auto"/>
            <w:right w:val="none" w:sz="0" w:space="0" w:color="auto"/>
          </w:divBdr>
        </w:div>
      </w:divsChild>
    </w:div>
    <w:div w:id="1443918962">
      <w:bodyDiv w:val="1"/>
      <w:marLeft w:val="0"/>
      <w:marRight w:val="0"/>
      <w:marTop w:val="0"/>
      <w:marBottom w:val="0"/>
      <w:divBdr>
        <w:top w:val="none" w:sz="0" w:space="0" w:color="auto"/>
        <w:left w:val="none" w:sz="0" w:space="0" w:color="auto"/>
        <w:bottom w:val="none" w:sz="0" w:space="0" w:color="auto"/>
        <w:right w:val="none" w:sz="0" w:space="0" w:color="auto"/>
      </w:divBdr>
    </w:div>
    <w:div w:id="1448545258">
      <w:bodyDiv w:val="1"/>
      <w:marLeft w:val="0"/>
      <w:marRight w:val="0"/>
      <w:marTop w:val="0"/>
      <w:marBottom w:val="0"/>
      <w:divBdr>
        <w:top w:val="none" w:sz="0" w:space="0" w:color="auto"/>
        <w:left w:val="none" w:sz="0" w:space="0" w:color="auto"/>
        <w:bottom w:val="none" w:sz="0" w:space="0" w:color="auto"/>
        <w:right w:val="none" w:sz="0" w:space="0" w:color="auto"/>
      </w:divBdr>
    </w:div>
    <w:div w:id="1454134230">
      <w:bodyDiv w:val="1"/>
      <w:marLeft w:val="0"/>
      <w:marRight w:val="0"/>
      <w:marTop w:val="0"/>
      <w:marBottom w:val="0"/>
      <w:divBdr>
        <w:top w:val="none" w:sz="0" w:space="0" w:color="auto"/>
        <w:left w:val="none" w:sz="0" w:space="0" w:color="auto"/>
        <w:bottom w:val="none" w:sz="0" w:space="0" w:color="auto"/>
        <w:right w:val="none" w:sz="0" w:space="0" w:color="auto"/>
      </w:divBdr>
    </w:div>
    <w:div w:id="1456680212">
      <w:bodyDiv w:val="1"/>
      <w:marLeft w:val="0"/>
      <w:marRight w:val="0"/>
      <w:marTop w:val="0"/>
      <w:marBottom w:val="0"/>
      <w:divBdr>
        <w:top w:val="none" w:sz="0" w:space="0" w:color="auto"/>
        <w:left w:val="none" w:sz="0" w:space="0" w:color="auto"/>
        <w:bottom w:val="none" w:sz="0" w:space="0" w:color="auto"/>
        <w:right w:val="none" w:sz="0" w:space="0" w:color="auto"/>
      </w:divBdr>
    </w:div>
    <w:div w:id="1472750341">
      <w:bodyDiv w:val="1"/>
      <w:marLeft w:val="0"/>
      <w:marRight w:val="0"/>
      <w:marTop w:val="0"/>
      <w:marBottom w:val="0"/>
      <w:divBdr>
        <w:top w:val="none" w:sz="0" w:space="0" w:color="auto"/>
        <w:left w:val="none" w:sz="0" w:space="0" w:color="auto"/>
        <w:bottom w:val="none" w:sz="0" w:space="0" w:color="auto"/>
        <w:right w:val="none" w:sz="0" w:space="0" w:color="auto"/>
      </w:divBdr>
    </w:div>
    <w:div w:id="1478299314">
      <w:bodyDiv w:val="1"/>
      <w:marLeft w:val="0"/>
      <w:marRight w:val="0"/>
      <w:marTop w:val="0"/>
      <w:marBottom w:val="0"/>
      <w:divBdr>
        <w:top w:val="none" w:sz="0" w:space="0" w:color="auto"/>
        <w:left w:val="none" w:sz="0" w:space="0" w:color="auto"/>
        <w:bottom w:val="none" w:sz="0" w:space="0" w:color="auto"/>
        <w:right w:val="none" w:sz="0" w:space="0" w:color="auto"/>
      </w:divBdr>
    </w:div>
    <w:div w:id="1486050879">
      <w:bodyDiv w:val="1"/>
      <w:marLeft w:val="0"/>
      <w:marRight w:val="0"/>
      <w:marTop w:val="0"/>
      <w:marBottom w:val="0"/>
      <w:divBdr>
        <w:top w:val="none" w:sz="0" w:space="0" w:color="auto"/>
        <w:left w:val="none" w:sz="0" w:space="0" w:color="auto"/>
        <w:bottom w:val="none" w:sz="0" w:space="0" w:color="auto"/>
        <w:right w:val="none" w:sz="0" w:space="0" w:color="auto"/>
      </w:divBdr>
    </w:div>
    <w:div w:id="1500346054">
      <w:bodyDiv w:val="1"/>
      <w:marLeft w:val="0"/>
      <w:marRight w:val="0"/>
      <w:marTop w:val="0"/>
      <w:marBottom w:val="0"/>
      <w:divBdr>
        <w:top w:val="none" w:sz="0" w:space="0" w:color="auto"/>
        <w:left w:val="none" w:sz="0" w:space="0" w:color="auto"/>
        <w:bottom w:val="none" w:sz="0" w:space="0" w:color="auto"/>
        <w:right w:val="none" w:sz="0" w:space="0" w:color="auto"/>
      </w:divBdr>
    </w:div>
    <w:div w:id="1511598903">
      <w:bodyDiv w:val="1"/>
      <w:marLeft w:val="0"/>
      <w:marRight w:val="0"/>
      <w:marTop w:val="0"/>
      <w:marBottom w:val="0"/>
      <w:divBdr>
        <w:top w:val="none" w:sz="0" w:space="0" w:color="auto"/>
        <w:left w:val="none" w:sz="0" w:space="0" w:color="auto"/>
        <w:bottom w:val="none" w:sz="0" w:space="0" w:color="auto"/>
        <w:right w:val="none" w:sz="0" w:space="0" w:color="auto"/>
      </w:divBdr>
    </w:div>
    <w:div w:id="1517033702">
      <w:bodyDiv w:val="1"/>
      <w:marLeft w:val="0"/>
      <w:marRight w:val="0"/>
      <w:marTop w:val="0"/>
      <w:marBottom w:val="0"/>
      <w:divBdr>
        <w:top w:val="none" w:sz="0" w:space="0" w:color="auto"/>
        <w:left w:val="none" w:sz="0" w:space="0" w:color="auto"/>
        <w:bottom w:val="none" w:sz="0" w:space="0" w:color="auto"/>
        <w:right w:val="none" w:sz="0" w:space="0" w:color="auto"/>
      </w:divBdr>
      <w:divsChild>
        <w:div w:id="1265646185">
          <w:marLeft w:val="0"/>
          <w:marRight w:val="0"/>
          <w:marTop w:val="0"/>
          <w:marBottom w:val="0"/>
          <w:divBdr>
            <w:top w:val="none" w:sz="0" w:space="0" w:color="auto"/>
            <w:left w:val="none" w:sz="0" w:space="0" w:color="auto"/>
            <w:bottom w:val="none" w:sz="0" w:space="0" w:color="auto"/>
            <w:right w:val="none" w:sz="0" w:space="0" w:color="auto"/>
          </w:divBdr>
        </w:div>
      </w:divsChild>
    </w:div>
    <w:div w:id="1523010355">
      <w:bodyDiv w:val="1"/>
      <w:marLeft w:val="0"/>
      <w:marRight w:val="0"/>
      <w:marTop w:val="0"/>
      <w:marBottom w:val="0"/>
      <w:divBdr>
        <w:top w:val="none" w:sz="0" w:space="0" w:color="auto"/>
        <w:left w:val="none" w:sz="0" w:space="0" w:color="auto"/>
        <w:bottom w:val="none" w:sz="0" w:space="0" w:color="auto"/>
        <w:right w:val="none" w:sz="0" w:space="0" w:color="auto"/>
      </w:divBdr>
    </w:div>
    <w:div w:id="1529759105">
      <w:bodyDiv w:val="1"/>
      <w:marLeft w:val="0"/>
      <w:marRight w:val="0"/>
      <w:marTop w:val="0"/>
      <w:marBottom w:val="0"/>
      <w:divBdr>
        <w:top w:val="none" w:sz="0" w:space="0" w:color="auto"/>
        <w:left w:val="none" w:sz="0" w:space="0" w:color="auto"/>
        <w:bottom w:val="none" w:sz="0" w:space="0" w:color="auto"/>
        <w:right w:val="none" w:sz="0" w:space="0" w:color="auto"/>
      </w:divBdr>
    </w:div>
    <w:div w:id="1529952632">
      <w:bodyDiv w:val="1"/>
      <w:marLeft w:val="0"/>
      <w:marRight w:val="0"/>
      <w:marTop w:val="0"/>
      <w:marBottom w:val="0"/>
      <w:divBdr>
        <w:top w:val="none" w:sz="0" w:space="0" w:color="auto"/>
        <w:left w:val="none" w:sz="0" w:space="0" w:color="auto"/>
        <w:bottom w:val="none" w:sz="0" w:space="0" w:color="auto"/>
        <w:right w:val="none" w:sz="0" w:space="0" w:color="auto"/>
      </w:divBdr>
      <w:divsChild>
        <w:div w:id="1365444001">
          <w:marLeft w:val="1166"/>
          <w:marRight w:val="0"/>
          <w:marTop w:val="86"/>
          <w:marBottom w:val="0"/>
          <w:divBdr>
            <w:top w:val="none" w:sz="0" w:space="0" w:color="auto"/>
            <w:left w:val="none" w:sz="0" w:space="0" w:color="auto"/>
            <w:bottom w:val="none" w:sz="0" w:space="0" w:color="auto"/>
            <w:right w:val="none" w:sz="0" w:space="0" w:color="auto"/>
          </w:divBdr>
        </w:div>
        <w:div w:id="1384213320">
          <w:marLeft w:val="1166"/>
          <w:marRight w:val="0"/>
          <w:marTop w:val="86"/>
          <w:marBottom w:val="0"/>
          <w:divBdr>
            <w:top w:val="none" w:sz="0" w:space="0" w:color="auto"/>
            <w:left w:val="none" w:sz="0" w:space="0" w:color="auto"/>
            <w:bottom w:val="none" w:sz="0" w:space="0" w:color="auto"/>
            <w:right w:val="none" w:sz="0" w:space="0" w:color="auto"/>
          </w:divBdr>
        </w:div>
      </w:divsChild>
    </w:div>
    <w:div w:id="1553228242">
      <w:bodyDiv w:val="1"/>
      <w:marLeft w:val="0"/>
      <w:marRight w:val="0"/>
      <w:marTop w:val="0"/>
      <w:marBottom w:val="0"/>
      <w:divBdr>
        <w:top w:val="none" w:sz="0" w:space="0" w:color="auto"/>
        <w:left w:val="none" w:sz="0" w:space="0" w:color="auto"/>
        <w:bottom w:val="none" w:sz="0" w:space="0" w:color="auto"/>
        <w:right w:val="none" w:sz="0" w:space="0" w:color="auto"/>
      </w:divBdr>
    </w:div>
    <w:div w:id="1569224484">
      <w:bodyDiv w:val="1"/>
      <w:marLeft w:val="0"/>
      <w:marRight w:val="0"/>
      <w:marTop w:val="0"/>
      <w:marBottom w:val="0"/>
      <w:divBdr>
        <w:top w:val="none" w:sz="0" w:space="0" w:color="auto"/>
        <w:left w:val="none" w:sz="0" w:space="0" w:color="auto"/>
        <w:bottom w:val="none" w:sz="0" w:space="0" w:color="auto"/>
        <w:right w:val="none" w:sz="0" w:space="0" w:color="auto"/>
      </w:divBdr>
    </w:div>
    <w:div w:id="1602251801">
      <w:bodyDiv w:val="1"/>
      <w:marLeft w:val="0"/>
      <w:marRight w:val="0"/>
      <w:marTop w:val="0"/>
      <w:marBottom w:val="0"/>
      <w:divBdr>
        <w:top w:val="none" w:sz="0" w:space="0" w:color="auto"/>
        <w:left w:val="none" w:sz="0" w:space="0" w:color="auto"/>
        <w:bottom w:val="none" w:sz="0" w:space="0" w:color="auto"/>
        <w:right w:val="none" w:sz="0" w:space="0" w:color="auto"/>
      </w:divBdr>
    </w:div>
    <w:div w:id="1604073943">
      <w:bodyDiv w:val="1"/>
      <w:marLeft w:val="0"/>
      <w:marRight w:val="0"/>
      <w:marTop w:val="0"/>
      <w:marBottom w:val="0"/>
      <w:divBdr>
        <w:top w:val="none" w:sz="0" w:space="0" w:color="auto"/>
        <w:left w:val="none" w:sz="0" w:space="0" w:color="auto"/>
        <w:bottom w:val="none" w:sz="0" w:space="0" w:color="auto"/>
        <w:right w:val="none" w:sz="0" w:space="0" w:color="auto"/>
      </w:divBdr>
    </w:div>
    <w:div w:id="1616791411">
      <w:bodyDiv w:val="1"/>
      <w:marLeft w:val="0"/>
      <w:marRight w:val="0"/>
      <w:marTop w:val="0"/>
      <w:marBottom w:val="0"/>
      <w:divBdr>
        <w:top w:val="none" w:sz="0" w:space="0" w:color="auto"/>
        <w:left w:val="none" w:sz="0" w:space="0" w:color="auto"/>
        <w:bottom w:val="none" w:sz="0" w:space="0" w:color="auto"/>
        <w:right w:val="none" w:sz="0" w:space="0" w:color="auto"/>
      </w:divBdr>
    </w:div>
    <w:div w:id="1620184890">
      <w:bodyDiv w:val="1"/>
      <w:marLeft w:val="0"/>
      <w:marRight w:val="0"/>
      <w:marTop w:val="0"/>
      <w:marBottom w:val="0"/>
      <w:divBdr>
        <w:top w:val="none" w:sz="0" w:space="0" w:color="auto"/>
        <w:left w:val="none" w:sz="0" w:space="0" w:color="auto"/>
        <w:bottom w:val="none" w:sz="0" w:space="0" w:color="auto"/>
        <w:right w:val="none" w:sz="0" w:space="0" w:color="auto"/>
      </w:divBdr>
    </w:div>
    <w:div w:id="1654485800">
      <w:bodyDiv w:val="1"/>
      <w:marLeft w:val="0"/>
      <w:marRight w:val="0"/>
      <w:marTop w:val="0"/>
      <w:marBottom w:val="0"/>
      <w:divBdr>
        <w:top w:val="none" w:sz="0" w:space="0" w:color="auto"/>
        <w:left w:val="none" w:sz="0" w:space="0" w:color="auto"/>
        <w:bottom w:val="none" w:sz="0" w:space="0" w:color="auto"/>
        <w:right w:val="none" w:sz="0" w:space="0" w:color="auto"/>
      </w:divBdr>
    </w:div>
    <w:div w:id="1657105652">
      <w:bodyDiv w:val="1"/>
      <w:marLeft w:val="0"/>
      <w:marRight w:val="0"/>
      <w:marTop w:val="0"/>
      <w:marBottom w:val="0"/>
      <w:divBdr>
        <w:top w:val="none" w:sz="0" w:space="0" w:color="auto"/>
        <w:left w:val="none" w:sz="0" w:space="0" w:color="auto"/>
        <w:bottom w:val="none" w:sz="0" w:space="0" w:color="auto"/>
        <w:right w:val="none" w:sz="0" w:space="0" w:color="auto"/>
      </w:divBdr>
    </w:div>
    <w:div w:id="1663509981">
      <w:bodyDiv w:val="1"/>
      <w:marLeft w:val="0"/>
      <w:marRight w:val="0"/>
      <w:marTop w:val="0"/>
      <w:marBottom w:val="0"/>
      <w:divBdr>
        <w:top w:val="none" w:sz="0" w:space="0" w:color="auto"/>
        <w:left w:val="none" w:sz="0" w:space="0" w:color="auto"/>
        <w:bottom w:val="none" w:sz="0" w:space="0" w:color="auto"/>
        <w:right w:val="none" w:sz="0" w:space="0" w:color="auto"/>
      </w:divBdr>
    </w:div>
    <w:div w:id="1665669438">
      <w:bodyDiv w:val="1"/>
      <w:marLeft w:val="0"/>
      <w:marRight w:val="0"/>
      <w:marTop w:val="0"/>
      <w:marBottom w:val="0"/>
      <w:divBdr>
        <w:top w:val="none" w:sz="0" w:space="0" w:color="auto"/>
        <w:left w:val="none" w:sz="0" w:space="0" w:color="auto"/>
        <w:bottom w:val="none" w:sz="0" w:space="0" w:color="auto"/>
        <w:right w:val="none" w:sz="0" w:space="0" w:color="auto"/>
      </w:divBdr>
      <w:divsChild>
        <w:div w:id="944270156">
          <w:marLeft w:val="547"/>
          <w:marRight w:val="0"/>
          <w:marTop w:val="154"/>
          <w:marBottom w:val="0"/>
          <w:divBdr>
            <w:top w:val="none" w:sz="0" w:space="0" w:color="auto"/>
            <w:left w:val="none" w:sz="0" w:space="0" w:color="auto"/>
            <w:bottom w:val="none" w:sz="0" w:space="0" w:color="auto"/>
            <w:right w:val="none" w:sz="0" w:space="0" w:color="auto"/>
          </w:divBdr>
        </w:div>
      </w:divsChild>
    </w:div>
    <w:div w:id="1679112086">
      <w:bodyDiv w:val="1"/>
      <w:marLeft w:val="0"/>
      <w:marRight w:val="0"/>
      <w:marTop w:val="0"/>
      <w:marBottom w:val="0"/>
      <w:divBdr>
        <w:top w:val="none" w:sz="0" w:space="0" w:color="auto"/>
        <w:left w:val="none" w:sz="0" w:space="0" w:color="auto"/>
        <w:bottom w:val="none" w:sz="0" w:space="0" w:color="auto"/>
        <w:right w:val="none" w:sz="0" w:space="0" w:color="auto"/>
      </w:divBdr>
    </w:div>
    <w:div w:id="1686634837">
      <w:bodyDiv w:val="1"/>
      <w:marLeft w:val="0"/>
      <w:marRight w:val="0"/>
      <w:marTop w:val="0"/>
      <w:marBottom w:val="0"/>
      <w:divBdr>
        <w:top w:val="none" w:sz="0" w:space="0" w:color="auto"/>
        <w:left w:val="none" w:sz="0" w:space="0" w:color="auto"/>
        <w:bottom w:val="none" w:sz="0" w:space="0" w:color="auto"/>
        <w:right w:val="none" w:sz="0" w:space="0" w:color="auto"/>
      </w:divBdr>
    </w:div>
    <w:div w:id="1705060135">
      <w:bodyDiv w:val="1"/>
      <w:marLeft w:val="0"/>
      <w:marRight w:val="0"/>
      <w:marTop w:val="0"/>
      <w:marBottom w:val="0"/>
      <w:divBdr>
        <w:top w:val="none" w:sz="0" w:space="0" w:color="auto"/>
        <w:left w:val="none" w:sz="0" w:space="0" w:color="auto"/>
        <w:bottom w:val="none" w:sz="0" w:space="0" w:color="auto"/>
        <w:right w:val="none" w:sz="0" w:space="0" w:color="auto"/>
      </w:divBdr>
    </w:div>
    <w:div w:id="1705251925">
      <w:bodyDiv w:val="1"/>
      <w:marLeft w:val="0"/>
      <w:marRight w:val="0"/>
      <w:marTop w:val="0"/>
      <w:marBottom w:val="0"/>
      <w:divBdr>
        <w:top w:val="none" w:sz="0" w:space="0" w:color="auto"/>
        <w:left w:val="none" w:sz="0" w:space="0" w:color="auto"/>
        <w:bottom w:val="none" w:sz="0" w:space="0" w:color="auto"/>
        <w:right w:val="none" w:sz="0" w:space="0" w:color="auto"/>
      </w:divBdr>
    </w:div>
    <w:div w:id="1711687705">
      <w:bodyDiv w:val="1"/>
      <w:marLeft w:val="0"/>
      <w:marRight w:val="0"/>
      <w:marTop w:val="0"/>
      <w:marBottom w:val="0"/>
      <w:divBdr>
        <w:top w:val="none" w:sz="0" w:space="0" w:color="auto"/>
        <w:left w:val="none" w:sz="0" w:space="0" w:color="auto"/>
        <w:bottom w:val="none" w:sz="0" w:space="0" w:color="auto"/>
        <w:right w:val="none" w:sz="0" w:space="0" w:color="auto"/>
      </w:divBdr>
    </w:div>
    <w:div w:id="1711760997">
      <w:bodyDiv w:val="1"/>
      <w:marLeft w:val="0"/>
      <w:marRight w:val="0"/>
      <w:marTop w:val="0"/>
      <w:marBottom w:val="0"/>
      <w:divBdr>
        <w:top w:val="none" w:sz="0" w:space="0" w:color="auto"/>
        <w:left w:val="none" w:sz="0" w:space="0" w:color="auto"/>
        <w:bottom w:val="none" w:sz="0" w:space="0" w:color="auto"/>
        <w:right w:val="none" w:sz="0" w:space="0" w:color="auto"/>
      </w:divBdr>
    </w:div>
    <w:div w:id="1728189925">
      <w:bodyDiv w:val="1"/>
      <w:marLeft w:val="0"/>
      <w:marRight w:val="0"/>
      <w:marTop w:val="0"/>
      <w:marBottom w:val="0"/>
      <w:divBdr>
        <w:top w:val="none" w:sz="0" w:space="0" w:color="auto"/>
        <w:left w:val="none" w:sz="0" w:space="0" w:color="auto"/>
        <w:bottom w:val="none" w:sz="0" w:space="0" w:color="auto"/>
        <w:right w:val="none" w:sz="0" w:space="0" w:color="auto"/>
      </w:divBdr>
      <w:divsChild>
        <w:div w:id="1668048412">
          <w:marLeft w:val="806"/>
          <w:marRight w:val="0"/>
          <w:marTop w:val="100"/>
          <w:marBottom w:val="100"/>
          <w:divBdr>
            <w:top w:val="none" w:sz="0" w:space="0" w:color="auto"/>
            <w:left w:val="none" w:sz="0" w:space="0" w:color="auto"/>
            <w:bottom w:val="none" w:sz="0" w:space="0" w:color="auto"/>
            <w:right w:val="none" w:sz="0" w:space="0" w:color="auto"/>
          </w:divBdr>
        </w:div>
      </w:divsChild>
    </w:div>
    <w:div w:id="1730692439">
      <w:bodyDiv w:val="1"/>
      <w:marLeft w:val="0"/>
      <w:marRight w:val="0"/>
      <w:marTop w:val="0"/>
      <w:marBottom w:val="0"/>
      <w:divBdr>
        <w:top w:val="none" w:sz="0" w:space="0" w:color="auto"/>
        <w:left w:val="none" w:sz="0" w:space="0" w:color="auto"/>
        <w:bottom w:val="none" w:sz="0" w:space="0" w:color="auto"/>
        <w:right w:val="none" w:sz="0" w:space="0" w:color="auto"/>
      </w:divBdr>
    </w:div>
    <w:div w:id="1759789586">
      <w:bodyDiv w:val="1"/>
      <w:marLeft w:val="0"/>
      <w:marRight w:val="0"/>
      <w:marTop w:val="0"/>
      <w:marBottom w:val="0"/>
      <w:divBdr>
        <w:top w:val="none" w:sz="0" w:space="0" w:color="auto"/>
        <w:left w:val="none" w:sz="0" w:space="0" w:color="auto"/>
        <w:bottom w:val="none" w:sz="0" w:space="0" w:color="auto"/>
        <w:right w:val="none" w:sz="0" w:space="0" w:color="auto"/>
      </w:divBdr>
    </w:div>
    <w:div w:id="1781298648">
      <w:bodyDiv w:val="1"/>
      <w:marLeft w:val="0"/>
      <w:marRight w:val="0"/>
      <w:marTop w:val="0"/>
      <w:marBottom w:val="0"/>
      <w:divBdr>
        <w:top w:val="none" w:sz="0" w:space="0" w:color="auto"/>
        <w:left w:val="none" w:sz="0" w:space="0" w:color="auto"/>
        <w:bottom w:val="none" w:sz="0" w:space="0" w:color="auto"/>
        <w:right w:val="none" w:sz="0" w:space="0" w:color="auto"/>
      </w:divBdr>
    </w:div>
    <w:div w:id="1813406269">
      <w:bodyDiv w:val="1"/>
      <w:marLeft w:val="0"/>
      <w:marRight w:val="0"/>
      <w:marTop w:val="0"/>
      <w:marBottom w:val="0"/>
      <w:divBdr>
        <w:top w:val="none" w:sz="0" w:space="0" w:color="auto"/>
        <w:left w:val="none" w:sz="0" w:space="0" w:color="auto"/>
        <w:bottom w:val="none" w:sz="0" w:space="0" w:color="auto"/>
        <w:right w:val="none" w:sz="0" w:space="0" w:color="auto"/>
      </w:divBdr>
    </w:div>
    <w:div w:id="1839541585">
      <w:bodyDiv w:val="1"/>
      <w:marLeft w:val="0"/>
      <w:marRight w:val="0"/>
      <w:marTop w:val="0"/>
      <w:marBottom w:val="0"/>
      <w:divBdr>
        <w:top w:val="none" w:sz="0" w:space="0" w:color="auto"/>
        <w:left w:val="none" w:sz="0" w:space="0" w:color="auto"/>
        <w:bottom w:val="none" w:sz="0" w:space="0" w:color="auto"/>
        <w:right w:val="none" w:sz="0" w:space="0" w:color="auto"/>
      </w:divBdr>
    </w:div>
    <w:div w:id="1858352134">
      <w:bodyDiv w:val="1"/>
      <w:marLeft w:val="0"/>
      <w:marRight w:val="0"/>
      <w:marTop w:val="0"/>
      <w:marBottom w:val="0"/>
      <w:divBdr>
        <w:top w:val="none" w:sz="0" w:space="0" w:color="auto"/>
        <w:left w:val="none" w:sz="0" w:space="0" w:color="auto"/>
        <w:bottom w:val="none" w:sz="0" w:space="0" w:color="auto"/>
        <w:right w:val="none" w:sz="0" w:space="0" w:color="auto"/>
      </w:divBdr>
    </w:div>
    <w:div w:id="1858960340">
      <w:bodyDiv w:val="1"/>
      <w:marLeft w:val="0"/>
      <w:marRight w:val="0"/>
      <w:marTop w:val="0"/>
      <w:marBottom w:val="0"/>
      <w:divBdr>
        <w:top w:val="none" w:sz="0" w:space="0" w:color="auto"/>
        <w:left w:val="none" w:sz="0" w:space="0" w:color="auto"/>
        <w:bottom w:val="none" w:sz="0" w:space="0" w:color="auto"/>
        <w:right w:val="none" w:sz="0" w:space="0" w:color="auto"/>
      </w:divBdr>
    </w:div>
    <w:div w:id="1870530632">
      <w:bodyDiv w:val="1"/>
      <w:marLeft w:val="0"/>
      <w:marRight w:val="0"/>
      <w:marTop w:val="0"/>
      <w:marBottom w:val="0"/>
      <w:divBdr>
        <w:top w:val="none" w:sz="0" w:space="0" w:color="auto"/>
        <w:left w:val="none" w:sz="0" w:space="0" w:color="auto"/>
        <w:bottom w:val="none" w:sz="0" w:space="0" w:color="auto"/>
        <w:right w:val="none" w:sz="0" w:space="0" w:color="auto"/>
      </w:divBdr>
    </w:div>
    <w:div w:id="1875388901">
      <w:bodyDiv w:val="1"/>
      <w:marLeft w:val="0"/>
      <w:marRight w:val="0"/>
      <w:marTop w:val="0"/>
      <w:marBottom w:val="0"/>
      <w:divBdr>
        <w:top w:val="none" w:sz="0" w:space="0" w:color="auto"/>
        <w:left w:val="none" w:sz="0" w:space="0" w:color="auto"/>
        <w:bottom w:val="none" w:sz="0" w:space="0" w:color="auto"/>
        <w:right w:val="none" w:sz="0" w:space="0" w:color="auto"/>
      </w:divBdr>
    </w:div>
    <w:div w:id="1894849232">
      <w:bodyDiv w:val="1"/>
      <w:marLeft w:val="0"/>
      <w:marRight w:val="0"/>
      <w:marTop w:val="0"/>
      <w:marBottom w:val="0"/>
      <w:divBdr>
        <w:top w:val="none" w:sz="0" w:space="0" w:color="auto"/>
        <w:left w:val="none" w:sz="0" w:space="0" w:color="auto"/>
        <w:bottom w:val="none" w:sz="0" w:space="0" w:color="auto"/>
        <w:right w:val="none" w:sz="0" w:space="0" w:color="auto"/>
      </w:divBdr>
    </w:div>
    <w:div w:id="1909027922">
      <w:bodyDiv w:val="1"/>
      <w:marLeft w:val="0"/>
      <w:marRight w:val="0"/>
      <w:marTop w:val="0"/>
      <w:marBottom w:val="0"/>
      <w:divBdr>
        <w:top w:val="none" w:sz="0" w:space="0" w:color="auto"/>
        <w:left w:val="none" w:sz="0" w:space="0" w:color="auto"/>
        <w:bottom w:val="none" w:sz="0" w:space="0" w:color="auto"/>
        <w:right w:val="none" w:sz="0" w:space="0" w:color="auto"/>
      </w:divBdr>
    </w:div>
    <w:div w:id="1909681896">
      <w:bodyDiv w:val="1"/>
      <w:marLeft w:val="0"/>
      <w:marRight w:val="0"/>
      <w:marTop w:val="0"/>
      <w:marBottom w:val="0"/>
      <w:divBdr>
        <w:top w:val="none" w:sz="0" w:space="0" w:color="auto"/>
        <w:left w:val="none" w:sz="0" w:space="0" w:color="auto"/>
        <w:bottom w:val="none" w:sz="0" w:space="0" w:color="auto"/>
        <w:right w:val="none" w:sz="0" w:space="0" w:color="auto"/>
      </w:divBdr>
    </w:div>
    <w:div w:id="1923756456">
      <w:bodyDiv w:val="1"/>
      <w:marLeft w:val="0"/>
      <w:marRight w:val="0"/>
      <w:marTop w:val="0"/>
      <w:marBottom w:val="0"/>
      <w:divBdr>
        <w:top w:val="none" w:sz="0" w:space="0" w:color="auto"/>
        <w:left w:val="none" w:sz="0" w:space="0" w:color="auto"/>
        <w:bottom w:val="none" w:sz="0" w:space="0" w:color="auto"/>
        <w:right w:val="none" w:sz="0" w:space="0" w:color="auto"/>
      </w:divBdr>
    </w:div>
    <w:div w:id="1926182694">
      <w:bodyDiv w:val="1"/>
      <w:marLeft w:val="0"/>
      <w:marRight w:val="0"/>
      <w:marTop w:val="0"/>
      <w:marBottom w:val="0"/>
      <w:divBdr>
        <w:top w:val="none" w:sz="0" w:space="0" w:color="auto"/>
        <w:left w:val="none" w:sz="0" w:space="0" w:color="auto"/>
        <w:bottom w:val="none" w:sz="0" w:space="0" w:color="auto"/>
        <w:right w:val="none" w:sz="0" w:space="0" w:color="auto"/>
      </w:divBdr>
    </w:div>
    <w:div w:id="1943301405">
      <w:bodyDiv w:val="1"/>
      <w:marLeft w:val="0"/>
      <w:marRight w:val="0"/>
      <w:marTop w:val="0"/>
      <w:marBottom w:val="0"/>
      <w:divBdr>
        <w:top w:val="none" w:sz="0" w:space="0" w:color="auto"/>
        <w:left w:val="none" w:sz="0" w:space="0" w:color="auto"/>
        <w:bottom w:val="none" w:sz="0" w:space="0" w:color="auto"/>
        <w:right w:val="none" w:sz="0" w:space="0" w:color="auto"/>
      </w:divBdr>
      <w:divsChild>
        <w:div w:id="486168011">
          <w:marLeft w:val="1166"/>
          <w:marRight w:val="0"/>
          <w:marTop w:val="86"/>
          <w:marBottom w:val="0"/>
          <w:divBdr>
            <w:top w:val="none" w:sz="0" w:space="0" w:color="auto"/>
            <w:left w:val="none" w:sz="0" w:space="0" w:color="auto"/>
            <w:bottom w:val="none" w:sz="0" w:space="0" w:color="auto"/>
            <w:right w:val="none" w:sz="0" w:space="0" w:color="auto"/>
          </w:divBdr>
        </w:div>
        <w:div w:id="2098288122">
          <w:marLeft w:val="1166"/>
          <w:marRight w:val="0"/>
          <w:marTop w:val="86"/>
          <w:marBottom w:val="0"/>
          <w:divBdr>
            <w:top w:val="none" w:sz="0" w:space="0" w:color="auto"/>
            <w:left w:val="none" w:sz="0" w:space="0" w:color="auto"/>
            <w:bottom w:val="none" w:sz="0" w:space="0" w:color="auto"/>
            <w:right w:val="none" w:sz="0" w:space="0" w:color="auto"/>
          </w:divBdr>
        </w:div>
      </w:divsChild>
    </w:div>
    <w:div w:id="1977375882">
      <w:bodyDiv w:val="1"/>
      <w:marLeft w:val="0"/>
      <w:marRight w:val="0"/>
      <w:marTop w:val="0"/>
      <w:marBottom w:val="0"/>
      <w:divBdr>
        <w:top w:val="none" w:sz="0" w:space="0" w:color="auto"/>
        <w:left w:val="none" w:sz="0" w:space="0" w:color="auto"/>
        <w:bottom w:val="none" w:sz="0" w:space="0" w:color="auto"/>
        <w:right w:val="none" w:sz="0" w:space="0" w:color="auto"/>
      </w:divBdr>
    </w:div>
    <w:div w:id="1989480453">
      <w:bodyDiv w:val="1"/>
      <w:marLeft w:val="0"/>
      <w:marRight w:val="0"/>
      <w:marTop w:val="0"/>
      <w:marBottom w:val="0"/>
      <w:divBdr>
        <w:top w:val="none" w:sz="0" w:space="0" w:color="auto"/>
        <w:left w:val="none" w:sz="0" w:space="0" w:color="auto"/>
        <w:bottom w:val="none" w:sz="0" w:space="0" w:color="auto"/>
        <w:right w:val="none" w:sz="0" w:space="0" w:color="auto"/>
      </w:divBdr>
    </w:div>
    <w:div w:id="1998994754">
      <w:bodyDiv w:val="1"/>
      <w:marLeft w:val="0"/>
      <w:marRight w:val="0"/>
      <w:marTop w:val="0"/>
      <w:marBottom w:val="0"/>
      <w:divBdr>
        <w:top w:val="none" w:sz="0" w:space="0" w:color="auto"/>
        <w:left w:val="none" w:sz="0" w:space="0" w:color="auto"/>
        <w:bottom w:val="none" w:sz="0" w:space="0" w:color="auto"/>
        <w:right w:val="none" w:sz="0" w:space="0" w:color="auto"/>
      </w:divBdr>
    </w:div>
    <w:div w:id="2000302725">
      <w:bodyDiv w:val="1"/>
      <w:marLeft w:val="0"/>
      <w:marRight w:val="0"/>
      <w:marTop w:val="0"/>
      <w:marBottom w:val="0"/>
      <w:divBdr>
        <w:top w:val="none" w:sz="0" w:space="0" w:color="auto"/>
        <w:left w:val="none" w:sz="0" w:space="0" w:color="auto"/>
        <w:bottom w:val="none" w:sz="0" w:space="0" w:color="auto"/>
        <w:right w:val="none" w:sz="0" w:space="0" w:color="auto"/>
      </w:divBdr>
    </w:div>
    <w:div w:id="2031836665">
      <w:bodyDiv w:val="1"/>
      <w:marLeft w:val="0"/>
      <w:marRight w:val="0"/>
      <w:marTop w:val="0"/>
      <w:marBottom w:val="0"/>
      <w:divBdr>
        <w:top w:val="none" w:sz="0" w:space="0" w:color="auto"/>
        <w:left w:val="none" w:sz="0" w:space="0" w:color="auto"/>
        <w:bottom w:val="none" w:sz="0" w:space="0" w:color="auto"/>
        <w:right w:val="none" w:sz="0" w:space="0" w:color="auto"/>
      </w:divBdr>
    </w:div>
    <w:div w:id="2036689085">
      <w:bodyDiv w:val="1"/>
      <w:marLeft w:val="0"/>
      <w:marRight w:val="0"/>
      <w:marTop w:val="0"/>
      <w:marBottom w:val="0"/>
      <w:divBdr>
        <w:top w:val="none" w:sz="0" w:space="0" w:color="auto"/>
        <w:left w:val="none" w:sz="0" w:space="0" w:color="auto"/>
        <w:bottom w:val="none" w:sz="0" w:space="0" w:color="auto"/>
        <w:right w:val="none" w:sz="0" w:space="0" w:color="auto"/>
      </w:divBdr>
    </w:div>
    <w:div w:id="2041978576">
      <w:bodyDiv w:val="1"/>
      <w:marLeft w:val="0"/>
      <w:marRight w:val="0"/>
      <w:marTop w:val="0"/>
      <w:marBottom w:val="0"/>
      <w:divBdr>
        <w:top w:val="none" w:sz="0" w:space="0" w:color="auto"/>
        <w:left w:val="none" w:sz="0" w:space="0" w:color="auto"/>
        <w:bottom w:val="none" w:sz="0" w:space="0" w:color="auto"/>
        <w:right w:val="none" w:sz="0" w:space="0" w:color="auto"/>
      </w:divBdr>
    </w:div>
    <w:div w:id="2045903805">
      <w:bodyDiv w:val="1"/>
      <w:marLeft w:val="0"/>
      <w:marRight w:val="0"/>
      <w:marTop w:val="0"/>
      <w:marBottom w:val="0"/>
      <w:divBdr>
        <w:top w:val="none" w:sz="0" w:space="0" w:color="auto"/>
        <w:left w:val="none" w:sz="0" w:space="0" w:color="auto"/>
        <w:bottom w:val="none" w:sz="0" w:space="0" w:color="auto"/>
        <w:right w:val="none" w:sz="0" w:space="0" w:color="auto"/>
      </w:divBdr>
    </w:div>
    <w:div w:id="2047217734">
      <w:bodyDiv w:val="1"/>
      <w:marLeft w:val="0"/>
      <w:marRight w:val="0"/>
      <w:marTop w:val="0"/>
      <w:marBottom w:val="0"/>
      <w:divBdr>
        <w:top w:val="none" w:sz="0" w:space="0" w:color="auto"/>
        <w:left w:val="none" w:sz="0" w:space="0" w:color="auto"/>
        <w:bottom w:val="none" w:sz="0" w:space="0" w:color="auto"/>
        <w:right w:val="none" w:sz="0" w:space="0" w:color="auto"/>
      </w:divBdr>
    </w:div>
    <w:div w:id="2051685095">
      <w:bodyDiv w:val="1"/>
      <w:marLeft w:val="0"/>
      <w:marRight w:val="0"/>
      <w:marTop w:val="0"/>
      <w:marBottom w:val="0"/>
      <w:divBdr>
        <w:top w:val="none" w:sz="0" w:space="0" w:color="auto"/>
        <w:left w:val="none" w:sz="0" w:space="0" w:color="auto"/>
        <w:bottom w:val="none" w:sz="0" w:space="0" w:color="auto"/>
        <w:right w:val="none" w:sz="0" w:space="0" w:color="auto"/>
      </w:divBdr>
    </w:div>
    <w:div w:id="2052799053">
      <w:bodyDiv w:val="1"/>
      <w:marLeft w:val="0"/>
      <w:marRight w:val="0"/>
      <w:marTop w:val="0"/>
      <w:marBottom w:val="0"/>
      <w:divBdr>
        <w:top w:val="none" w:sz="0" w:space="0" w:color="auto"/>
        <w:left w:val="none" w:sz="0" w:space="0" w:color="auto"/>
        <w:bottom w:val="none" w:sz="0" w:space="0" w:color="auto"/>
        <w:right w:val="none" w:sz="0" w:space="0" w:color="auto"/>
      </w:divBdr>
    </w:div>
    <w:div w:id="2064863122">
      <w:bodyDiv w:val="1"/>
      <w:marLeft w:val="0"/>
      <w:marRight w:val="0"/>
      <w:marTop w:val="0"/>
      <w:marBottom w:val="0"/>
      <w:divBdr>
        <w:top w:val="none" w:sz="0" w:space="0" w:color="auto"/>
        <w:left w:val="none" w:sz="0" w:space="0" w:color="auto"/>
        <w:bottom w:val="none" w:sz="0" w:space="0" w:color="auto"/>
        <w:right w:val="none" w:sz="0" w:space="0" w:color="auto"/>
      </w:divBdr>
    </w:div>
    <w:div w:id="2072774464">
      <w:bodyDiv w:val="1"/>
      <w:marLeft w:val="0"/>
      <w:marRight w:val="0"/>
      <w:marTop w:val="0"/>
      <w:marBottom w:val="0"/>
      <w:divBdr>
        <w:top w:val="none" w:sz="0" w:space="0" w:color="auto"/>
        <w:left w:val="none" w:sz="0" w:space="0" w:color="auto"/>
        <w:bottom w:val="none" w:sz="0" w:space="0" w:color="auto"/>
        <w:right w:val="none" w:sz="0" w:space="0" w:color="auto"/>
      </w:divBdr>
    </w:div>
    <w:div w:id="2073651828">
      <w:bodyDiv w:val="1"/>
      <w:marLeft w:val="0"/>
      <w:marRight w:val="0"/>
      <w:marTop w:val="0"/>
      <w:marBottom w:val="0"/>
      <w:divBdr>
        <w:top w:val="none" w:sz="0" w:space="0" w:color="auto"/>
        <w:left w:val="none" w:sz="0" w:space="0" w:color="auto"/>
        <w:bottom w:val="none" w:sz="0" w:space="0" w:color="auto"/>
        <w:right w:val="none" w:sz="0" w:space="0" w:color="auto"/>
      </w:divBdr>
    </w:div>
    <w:div w:id="2088333372">
      <w:bodyDiv w:val="1"/>
      <w:marLeft w:val="0"/>
      <w:marRight w:val="0"/>
      <w:marTop w:val="0"/>
      <w:marBottom w:val="0"/>
      <w:divBdr>
        <w:top w:val="none" w:sz="0" w:space="0" w:color="auto"/>
        <w:left w:val="none" w:sz="0" w:space="0" w:color="auto"/>
        <w:bottom w:val="none" w:sz="0" w:space="0" w:color="auto"/>
        <w:right w:val="none" w:sz="0" w:space="0" w:color="auto"/>
      </w:divBdr>
    </w:div>
    <w:div w:id="2092893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apps.who.int/trialsearch/" TargetMode="External"/><Relationship Id="rId18" Type="http://schemas.openxmlformats.org/officeDocument/2006/relationships/header" Target="header1.xml"/><Relationship Id="rId26" Type="http://schemas.openxmlformats.org/officeDocument/2006/relationships/image" Target="media/image5.emf"/><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www.nihr.ac.uk/Pages/NRRArchive.aspx" TargetMode="External"/><Relationship Id="rId17" Type="http://schemas.openxmlformats.org/officeDocument/2006/relationships/hyperlink" Target="http://www.nice.org.uk/nicemedia/pdf/ADHDFullGuideline.pdf" TargetMode="External"/><Relationship Id="rId25"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hyperlink" Target="http://digitalcommons.uconn.edu/chip_docs/19"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public.ukcrn.org.uk/search/" TargetMode="External"/><Relationship Id="rId24" Type="http://schemas.openxmlformats.org/officeDocument/2006/relationships/image" Target="media/image3.emf"/><Relationship Id="rId5" Type="http://schemas.openxmlformats.org/officeDocument/2006/relationships/numbering" Target="numbering.xml"/><Relationship Id="rId15" Type="http://schemas.openxmlformats.org/officeDocument/2006/relationships/image" Target="media/image2.emf"/><Relationship Id="rId23" Type="http://schemas.openxmlformats.org/officeDocument/2006/relationships/footer" Target="footer3.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emf"/><Relationship Id="rId22" Type="http://schemas.openxmlformats.org/officeDocument/2006/relationships/header" Target="header3.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Word" ma:contentTypeID="0x010100FA0963FA69A646AA916D2E41284FC10000B96C3B3E0DFC684AB53C802D8E1E51EE" ma:contentTypeVersion="0" ma:contentTypeDescription="Create a new document." ma:contentTypeScope="" ma:versionID="211cb6316b0db78549b5768f3efec0c3">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CHICAGO.XSL" StyleName="Chicago">
  <b:Source>
    <b:Tag>Sig10</b:Tag>
    <b:SourceType>JournalArticle</b:SourceType>
    <b:Guid>{2B7F49F9-1F12-4675-AD92-EDFBD5066741}</b:Guid>
    <b:Author>
      <b:Author>
        <b:NameList>
          <b:Person>
            <b:Last>Signorovitch</b:Last>
            <b:First>JE</b:First>
          </b:Person>
          <b:Person>
            <b:Last>Wu</b:Last>
            <b:First>EQ</b:First>
          </b:Person>
          <b:Person>
            <b:Last>Yu</b:Last>
            <b:First>AP</b:First>
          </b:Person>
        </b:NameList>
      </b:Author>
    </b:Author>
    <b:Title>Comparative Effectiveness Without Head-to-Head Trials: A Method for Matching-Adjusted Indirect Comparisons Applied to Psoriasis Treatment with Adalimumab or Etanercept</b:Title>
    <b:JournalName>Pharmacoeconomics</b:JournalName>
    <b:Year>2010</b:Year>
    <b:Month>October</b:Month>
    <b:Day>1</b:Day>
    <b:Pages>935-45</b:Pages>
    <b:Volume>28</b:Volume>
    <b:Issue>10</b:Issue>
    <b:RefOrder>13</b:RefOrder>
  </b:Source>
</b:Sources>
</file>

<file path=customXml/itemProps1.xml><?xml version="1.0" encoding="utf-8"?>
<ds:datastoreItem xmlns:ds="http://schemas.openxmlformats.org/officeDocument/2006/customXml" ds:itemID="{7829A8ED-51DC-4B83-9C94-7F09707072E0}">
  <ds:schemaRefs>
    <ds:schemaRef ds:uri="http://schemas.microsoft.com/office/2006/documentManagement/types"/>
    <ds:schemaRef ds:uri="http://purl.org/dc/dcmitype/"/>
    <ds:schemaRef ds:uri="http://schemas.microsoft.com/office/2006/metadata/properties"/>
    <ds:schemaRef ds:uri="http://purl.org/dc/elements/1.1/"/>
    <ds:schemaRef ds:uri="http://purl.org/dc/terms/"/>
    <ds:schemaRef ds:uri="http://schemas.openxmlformats.org/package/2006/metadata/core-properties"/>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AFCC4850-3605-4884-BEDC-B6A52DACC8C0}">
  <ds:schemaRefs>
    <ds:schemaRef ds:uri="http://schemas.microsoft.com/sharepoint/v3/contenttype/forms"/>
  </ds:schemaRefs>
</ds:datastoreItem>
</file>

<file path=customXml/itemProps3.xml><?xml version="1.0" encoding="utf-8"?>
<ds:datastoreItem xmlns:ds="http://schemas.openxmlformats.org/officeDocument/2006/customXml" ds:itemID="{416BF3AB-C8AD-4052-8D82-6A219B61AD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0DE59A73-CFA0-4D70-A82D-340DD56586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59</Pages>
  <Words>14601</Words>
  <Characters>84657</Characters>
  <Application>Microsoft Office Word</Application>
  <DocSecurity>0</DocSecurity>
  <Lines>705</Lines>
  <Paragraphs>198</Paragraphs>
  <ScaleCrop>false</ScaleCrop>
  <HeadingPairs>
    <vt:vector size="2" baseType="variant">
      <vt:variant>
        <vt:lpstr>Title</vt:lpstr>
      </vt:variant>
      <vt:variant>
        <vt:i4>1</vt:i4>
      </vt:variant>
    </vt:vector>
  </HeadingPairs>
  <TitlesOfParts>
    <vt:vector size="1" baseType="lpstr">
      <vt:lpstr/>
    </vt:vector>
  </TitlesOfParts>
  <Company>Analysis Group</Company>
  <LinksUpToDate>false</LinksUpToDate>
  <CharactersWithSpaces>99060</CharactersWithSpaces>
  <SharedDoc>false</SharedDoc>
  <HLinks>
    <vt:vector size="228" baseType="variant">
      <vt:variant>
        <vt:i4>1966167</vt:i4>
      </vt:variant>
      <vt:variant>
        <vt:i4>273</vt:i4>
      </vt:variant>
      <vt:variant>
        <vt:i4>0</vt:i4>
      </vt:variant>
      <vt:variant>
        <vt:i4>5</vt:i4>
      </vt:variant>
      <vt:variant>
        <vt:lpwstr>C:\Users\jstevens\AppData\Local\Microsoft\Windows\Temporary Internet Files\Content.MSO\FEED64D4.xlsx</vt:lpwstr>
      </vt:variant>
      <vt:variant>
        <vt:lpwstr>RANGE!_ftn1</vt:lpwstr>
      </vt:variant>
      <vt:variant>
        <vt:i4>1966167</vt:i4>
      </vt:variant>
      <vt:variant>
        <vt:i4>270</vt:i4>
      </vt:variant>
      <vt:variant>
        <vt:i4>0</vt:i4>
      </vt:variant>
      <vt:variant>
        <vt:i4>5</vt:i4>
      </vt:variant>
      <vt:variant>
        <vt:lpwstr>C:\Users\jstevens\AppData\Local\Microsoft\Windows\Temporary Internet Files\Content.MSO\FEED64D4.xlsx</vt:lpwstr>
      </vt:variant>
      <vt:variant>
        <vt:lpwstr>RANGE!_ftn1</vt:lpwstr>
      </vt:variant>
      <vt:variant>
        <vt:i4>1310784</vt:i4>
      </vt:variant>
      <vt:variant>
        <vt:i4>264</vt:i4>
      </vt:variant>
      <vt:variant>
        <vt:i4>0</vt:i4>
      </vt:variant>
      <vt:variant>
        <vt:i4>5</vt:i4>
      </vt:variant>
      <vt:variant>
        <vt:lpwstr>http://clinicaltrials.gov/ct2/results?term=NCT00937040&amp;Search=Search</vt:lpwstr>
      </vt:variant>
      <vt:variant>
        <vt:lpwstr/>
      </vt:variant>
      <vt:variant>
        <vt:i4>2228349</vt:i4>
      </vt:variant>
      <vt:variant>
        <vt:i4>261</vt:i4>
      </vt:variant>
      <vt:variant>
        <vt:i4>0</vt:i4>
      </vt:variant>
      <vt:variant>
        <vt:i4>5</vt:i4>
      </vt:variant>
      <vt:variant>
        <vt:lpwstr/>
      </vt:variant>
      <vt:variant>
        <vt:lpwstr>tab8_12_orig</vt:lpwstr>
      </vt:variant>
      <vt:variant>
        <vt:i4>5636194</vt:i4>
      </vt:variant>
      <vt:variant>
        <vt:i4>255</vt:i4>
      </vt:variant>
      <vt:variant>
        <vt:i4>0</vt:i4>
      </vt:variant>
      <vt:variant>
        <vt:i4>5</vt:i4>
      </vt:variant>
      <vt:variant>
        <vt:lpwstr/>
      </vt:variant>
      <vt:variant>
        <vt:lpwstr>back_to_text_F1</vt:lpwstr>
      </vt:variant>
      <vt:variant>
        <vt:i4>5242939</vt:i4>
      </vt:variant>
      <vt:variant>
        <vt:i4>252</vt:i4>
      </vt:variant>
      <vt:variant>
        <vt:i4>0</vt:i4>
      </vt:variant>
      <vt:variant>
        <vt:i4>5</vt:i4>
      </vt:variant>
      <vt:variant>
        <vt:lpwstr/>
      </vt:variant>
      <vt:variant>
        <vt:lpwstr>tab7_orig</vt:lpwstr>
      </vt:variant>
      <vt:variant>
        <vt:i4>7077937</vt:i4>
      </vt:variant>
      <vt:variant>
        <vt:i4>249</vt:i4>
      </vt:variant>
      <vt:variant>
        <vt:i4>0</vt:i4>
      </vt:variant>
      <vt:variant>
        <vt:i4>5</vt:i4>
      </vt:variant>
      <vt:variant>
        <vt:lpwstr/>
      </vt:variant>
      <vt:variant>
        <vt:lpwstr>fig104</vt:lpwstr>
      </vt:variant>
      <vt:variant>
        <vt:i4>7077937</vt:i4>
      </vt:variant>
      <vt:variant>
        <vt:i4>246</vt:i4>
      </vt:variant>
      <vt:variant>
        <vt:i4>0</vt:i4>
      </vt:variant>
      <vt:variant>
        <vt:i4>5</vt:i4>
      </vt:variant>
      <vt:variant>
        <vt:lpwstr/>
      </vt:variant>
      <vt:variant>
        <vt:lpwstr>fig104</vt:lpwstr>
      </vt:variant>
      <vt:variant>
        <vt:i4>7012401</vt:i4>
      </vt:variant>
      <vt:variant>
        <vt:i4>243</vt:i4>
      </vt:variant>
      <vt:variant>
        <vt:i4>0</vt:i4>
      </vt:variant>
      <vt:variant>
        <vt:i4>5</vt:i4>
      </vt:variant>
      <vt:variant>
        <vt:lpwstr/>
      </vt:variant>
      <vt:variant>
        <vt:lpwstr>fig103</vt:lpwstr>
      </vt:variant>
      <vt:variant>
        <vt:i4>7012401</vt:i4>
      </vt:variant>
      <vt:variant>
        <vt:i4>240</vt:i4>
      </vt:variant>
      <vt:variant>
        <vt:i4>0</vt:i4>
      </vt:variant>
      <vt:variant>
        <vt:i4>5</vt:i4>
      </vt:variant>
      <vt:variant>
        <vt:lpwstr/>
      </vt:variant>
      <vt:variant>
        <vt:lpwstr>fig103</vt:lpwstr>
      </vt:variant>
      <vt:variant>
        <vt:i4>6946865</vt:i4>
      </vt:variant>
      <vt:variant>
        <vt:i4>237</vt:i4>
      </vt:variant>
      <vt:variant>
        <vt:i4>0</vt:i4>
      </vt:variant>
      <vt:variant>
        <vt:i4>5</vt:i4>
      </vt:variant>
      <vt:variant>
        <vt:lpwstr/>
      </vt:variant>
      <vt:variant>
        <vt:lpwstr>fig102</vt:lpwstr>
      </vt:variant>
      <vt:variant>
        <vt:i4>6946865</vt:i4>
      </vt:variant>
      <vt:variant>
        <vt:i4>234</vt:i4>
      </vt:variant>
      <vt:variant>
        <vt:i4>0</vt:i4>
      </vt:variant>
      <vt:variant>
        <vt:i4>5</vt:i4>
      </vt:variant>
      <vt:variant>
        <vt:lpwstr/>
      </vt:variant>
      <vt:variant>
        <vt:lpwstr>fig102</vt:lpwstr>
      </vt:variant>
      <vt:variant>
        <vt:i4>5832705</vt:i4>
      </vt:variant>
      <vt:variant>
        <vt:i4>183</vt:i4>
      </vt:variant>
      <vt:variant>
        <vt:i4>0</vt:i4>
      </vt:variant>
      <vt:variant>
        <vt:i4>5</vt:i4>
      </vt:variant>
      <vt:variant>
        <vt:lpwstr/>
      </vt:variant>
      <vt:variant>
        <vt:lpwstr>fig01</vt:lpwstr>
      </vt:variant>
      <vt:variant>
        <vt:i4>6160385</vt:i4>
      </vt:variant>
      <vt:variant>
        <vt:i4>174</vt:i4>
      </vt:variant>
      <vt:variant>
        <vt:i4>0</vt:i4>
      </vt:variant>
      <vt:variant>
        <vt:i4>5</vt:i4>
      </vt:variant>
      <vt:variant>
        <vt:lpwstr>http://apps.who.int/trialsearch/</vt:lpwstr>
      </vt:variant>
      <vt:variant>
        <vt:lpwstr/>
      </vt:variant>
      <vt:variant>
        <vt:i4>8126502</vt:i4>
      </vt:variant>
      <vt:variant>
        <vt:i4>171</vt:i4>
      </vt:variant>
      <vt:variant>
        <vt:i4>0</vt:i4>
      </vt:variant>
      <vt:variant>
        <vt:i4>5</vt:i4>
      </vt:variant>
      <vt:variant>
        <vt:lpwstr>http://www.nihr.ac.uk/Pages/NRRArchive.aspx</vt:lpwstr>
      </vt:variant>
      <vt:variant>
        <vt:lpwstr/>
      </vt:variant>
      <vt:variant>
        <vt:i4>2097190</vt:i4>
      </vt:variant>
      <vt:variant>
        <vt:i4>168</vt:i4>
      </vt:variant>
      <vt:variant>
        <vt:i4>0</vt:i4>
      </vt:variant>
      <vt:variant>
        <vt:i4>5</vt:i4>
      </vt:variant>
      <vt:variant>
        <vt:lpwstr>http://public.ukcrn.org.uk/search/</vt:lpwstr>
      </vt:variant>
      <vt:variant>
        <vt:lpwstr/>
      </vt:variant>
      <vt:variant>
        <vt:i4>6291529</vt:i4>
      </vt:variant>
      <vt:variant>
        <vt:i4>165</vt:i4>
      </vt:variant>
      <vt:variant>
        <vt:i4>0</vt:i4>
      </vt:variant>
      <vt:variant>
        <vt:i4>5</vt:i4>
      </vt:variant>
      <vt:variant>
        <vt:lpwstr/>
      </vt:variant>
      <vt:variant>
        <vt:lpwstr>Appendix_II</vt:lpwstr>
      </vt:variant>
      <vt:variant>
        <vt:i4>1507383</vt:i4>
      </vt:variant>
      <vt:variant>
        <vt:i4>122</vt:i4>
      </vt:variant>
      <vt:variant>
        <vt:i4>0</vt:i4>
      </vt:variant>
      <vt:variant>
        <vt:i4>5</vt:i4>
      </vt:variant>
      <vt:variant>
        <vt:lpwstr/>
      </vt:variant>
      <vt:variant>
        <vt:lpwstr>_Toc376524060</vt:lpwstr>
      </vt:variant>
      <vt:variant>
        <vt:i4>1310775</vt:i4>
      </vt:variant>
      <vt:variant>
        <vt:i4>116</vt:i4>
      </vt:variant>
      <vt:variant>
        <vt:i4>0</vt:i4>
      </vt:variant>
      <vt:variant>
        <vt:i4>5</vt:i4>
      </vt:variant>
      <vt:variant>
        <vt:lpwstr/>
      </vt:variant>
      <vt:variant>
        <vt:lpwstr>_Toc376524059</vt:lpwstr>
      </vt:variant>
      <vt:variant>
        <vt:i4>1310775</vt:i4>
      </vt:variant>
      <vt:variant>
        <vt:i4>110</vt:i4>
      </vt:variant>
      <vt:variant>
        <vt:i4>0</vt:i4>
      </vt:variant>
      <vt:variant>
        <vt:i4>5</vt:i4>
      </vt:variant>
      <vt:variant>
        <vt:lpwstr/>
      </vt:variant>
      <vt:variant>
        <vt:lpwstr>_Toc376524058</vt:lpwstr>
      </vt:variant>
      <vt:variant>
        <vt:i4>1310775</vt:i4>
      </vt:variant>
      <vt:variant>
        <vt:i4>104</vt:i4>
      </vt:variant>
      <vt:variant>
        <vt:i4>0</vt:i4>
      </vt:variant>
      <vt:variant>
        <vt:i4>5</vt:i4>
      </vt:variant>
      <vt:variant>
        <vt:lpwstr/>
      </vt:variant>
      <vt:variant>
        <vt:lpwstr>_Toc376524057</vt:lpwstr>
      </vt:variant>
      <vt:variant>
        <vt:i4>1310775</vt:i4>
      </vt:variant>
      <vt:variant>
        <vt:i4>98</vt:i4>
      </vt:variant>
      <vt:variant>
        <vt:i4>0</vt:i4>
      </vt:variant>
      <vt:variant>
        <vt:i4>5</vt:i4>
      </vt:variant>
      <vt:variant>
        <vt:lpwstr/>
      </vt:variant>
      <vt:variant>
        <vt:lpwstr>_Toc376524056</vt:lpwstr>
      </vt:variant>
      <vt:variant>
        <vt:i4>1310775</vt:i4>
      </vt:variant>
      <vt:variant>
        <vt:i4>92</vt:i4>
      </vt:variant>
      <vt:variant>
        <vt:i4>0</vt:i4>
      </vt:variant>
      <vt:variant>
        <vt:i4>5</vt:i4>
      </vt:variant>
      <vt:variant>
        <vt:lpwstr/>
      </vt:variant>
      <vt:variant>
        <vt:lpwstr>_Toc376524055</vt:lpwstr>
      </vt:variant>
      <vt:variant>
        <vt:i4>1310775</vt:i4>
      </vt:variant>
      <vt:variant>
        <vt:i4>86</vt:i4>
      </vt:variant>
      <vt:variant>
        <vt:i4>0</vt:i4>
      </vt:variant>
      <vt:variant>
        <vt:i4>5</vt:i4>
      </vt:variant>
      <vt:variant>
        <vt:lpwstr/>
      </vt:variant>
      <vt:variant>
        <vt:lpwstr>_Toc376524054</vt:lpwstr>
      </vt:variant>
      <vt:variant>
        <vt:i4>1310775</vt:i4>
      </vt:variant>
      <vt:variant>
        <vt:i4>80</vt:i4>
      </vt:variant>
      <vt:variant>
        <vt:i4>0</vt:i4>
      </vt:variant>
      <vt:variant>
        <vt:i4>5</vt:i4>
      </vt:variant>
      <vt:variant>
        <vt:lpwstr/>
      </vt:variant>
      <vt:variant>
        <vt:lpwstr>_Toc376524053</vt:lpwstr>
      </vt:variant>
      <vt:variant>
        <vt:i4>1310775</vt:i4>
      </vt:variant>
      <vt:variant>
        <vt:i4>74</vt:i4>
      </vt:variant>
      <vt:variant>
        <vt:i4>0</vt:i4>
      </vt:variant>
      <vt:variant>
        <vt:i4>5</vt:i4>
      </vt:variant>
      <vt:variant>
        <vt:lpwstr/>
      </vt:variant>
      <vt:variant>
        <vt:lpwstr>_Toc376524052</vt:lpwstr>
      </vt:variant>
      <vt:variant>
        <vt:i4>1310775</vt:i4>
      </vt:variant>
      <vt:variant>
        <vt:i4>68</vt:i4>
      </vt:variant>
      <vt:variant>
        <vt:i4>0</vt:i4>
      </vt:variant>
      <vt:variant>
        <vt:i4>5</vt:i4>
      </vt:variant>
      <vt:variant>
        <vt:lpwstr/>
      </vt:variant>
      <vt:variant>
        <vt:lpwstr>_Toc376524051</vt:lpwstr>
      </vt:variant>
      <vt:variant>
        <vt:i4>1310775</vt:i4>
      </vt:variant>
      <vt:variant>
        <vt:i4>62</vt:i4>
      </vt:variant>
      <vt:variant>
        <vt:i4>0</vt:i4>
      </vt:variant>
      <vt:variant>
        <vt:i4>5</vt:i4>
      </vt:variant>
      <vt:variant>
        <vt:lpwstr/>
      </vt:variant>
      <vt:variant>
        <vt:lpwstr>_Toc376524050</vt:lpwstr>
      </vt:variant>
      <vt:variant>
        <vt:i4>1376311</vt:i4>
      </vt:variant>
      <vt:variant>
        <vt:i4>56</vt:i4>
      </vt:variant>
      <vt:variant>
        <vt:i4>0</vt:i4>
      </vt:variant>
      <vt:variant>
        <vt:i4>5</vt:i4>
      </vt:variant>
      <vt:variant>
        <vt:lpwstr/>
      </vt:variant>
      <vt:variant>
        <vt:lpwstr>_Toc376524049</vt:lpwstr>
      </vt:variant>
      <vt:variant>
        <vt:i4>1376311</vt:i4>
      </vt:variant>
      <vt:variant>
        <vt:i4>50</vt:i4>
      </vt:variant>
      <vt:variant>
        <vt:i4>0</vt:i4>
      </vt:variant>
      <vt:variant>
        <vt:i4>5</vt:i4>
      </vt:variant>
      <vt:variant>
        <vt:lpwstr/>
      </vt:variant>
      <vt:variant>
        <vt:lpwstr>_Toc376524048</vt:lpwstr>
      </vt:variant>
      <vt:variant>
        <vt:i4>1376311</vt:i4>
      </vt:variant>
      <vt:variant>
        <vt:i4>44</vt:i4>
      </vt:variant>
      <vt:variant>
        <vt:i4>0</vt:i4>
      </vt:variant>
      <vt:variant>
        <vt:i4>5</vt:i4>
      </vt:variant>
      <vt:variant>
        <vt:lpwstr/>
      </vt:variant>
      <vt:variant>
        <vt:lpwstr>_Toc376524047</vt:lpwstr>
      </vt:variant>
      <vt:variant>
        <vt:i4>1376311</vt:i4>
      </vt:variant>
      <vt:variant>
        <vt:i4>38</vt:i4>
      </vt:variant>
      <vt:variant>
        <vt:i4>0</vt:i4>
      </vt:variant>
      <vt:variant>
        <vt:i4>5</vt:i4>
      </vt:variant>
      <vt:variant>
        <vt:lpwstr/>
      </vt:variant>
      <vt:variant>
        <vt:lpwstr>_Toc376524046</vt:lpwstr>
      </vt:variant>
      <vt:variant>
        <vt:i4>1376311</vt:i4>
      </vt:variant>
      <vt:variant>
        <vt:i4>32</vt:i4>
      </vt:variant>
      <vt:variant>
        <vt:i4>0</vt:i4>
      </vt:variant>
      <vt:variant>
        <vt:i4>5</vt:i4>
      </vt:variant>
      <vt:variant>
        <vt:lpwstr/>
      </vt:variant>
      <vt:variant>
        <vt:lpwstr>_Toc376524045</vt:lpwstr>
      </vt:variant>
      <vt:variant>
        <vt:i4>1376311</vt:i4>
      </vt:variant>
      <vt:variant>
        <vt:i4>26</vt:i4>
      </vt:variant>
      <vt:variant>
        <vt:i4>0</vt:i4>
      </vt:variant>
      <vt:variant>
        <vt:i4>5</vt:i4>
      </vt:variant>
      <vt:variant>
        <vt:lpwstr/>
      </vt:variant>
      <vt:variant>
        <vt:lpwstr>_Toc376524044</vt:lpwstr>
      </vt:variant>
      <vt:variant>
        <vt:i4>1376311</vt:i4>
      </vt:variant>
      <vt:variant>
        <vt:i4>20</vt:i4>
      </vt:variant>
      <vt:variant>
        <vt:i4>0</vt:i4>
      </vt:variant>
      <vt:variant>
        <vt:i4>5</vt:i4>
      </vt:variant>
      <vt:variant>
        <vt:lpwstr/>
      </vt:variant>
      <vt:variant>
        <vt:lpwstr>_Toc376524043</vt:lpwstr>
      </vt:variant>
      <vt:variant>
        <vt:i4>1376311</vt:i4>
      </vt:variant>
      <vt:variant>
        <vt:i4>14</vt:i4>
      </vt:variant>
      <vt:variant>
        <vt:i4>0</vt:i4>
      </vt:variant>
      <vt:variant>
        <vt:i4>5</vt:i4>
      </vt:variant>
      <vt:variant>
        <vt:lpwstr/>
      </vt:variant>
      <vt:variant>
        <vt:lpwstr>_Toc376524042</vt:lpwstr>
      </vt:variant>
      <vt:variant>
        <vt:i4>1376311</vt:i4>
      </vt:variant>
      <vt:variant>
        <vt:i4>8</vt:i4>
      </vt:variant>
      <vt:variant>
        <vt:i4>0</vt:i4>
      </vt:variant>
      <vt:variant>
        <vt:i4>5</vt:i4>
      </vt:variant>
      <vt:variant>
        <vt:lpwstr/>
      </vt:variant>
      <vt:variant>
        <vt:lpwstr>_Toc376524041</vt:lpwstr>
      </vt:variant>
      <vt:variant>
        <vt:i4>1376311</vt:i4>
      </vt:variant>
      <vt:variant>
        <vt:i4>2</vt:i4>
      </vt:variant>
      <vt:variant>
        <vt:i4>0</vt:i4>
      </vt:variant>
      <vt:variant>
        <vt:i4>5</vt:i4>
      </vt:variant>
      <vt:variant>
        <vt:lpwstr/>
      </vt:variant>
      <vt:variant>
        <vt:lpwstr>_Toc376524040</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Mei Lu</dc:creator>
  <cp:lastModifiedBy>Cooper, Carol (OXF-CDX)</cp:lastModifiedBy>
  <cp:revision>2</cp:revision>
  <cp:lastPrinted>2014-06-26T22:43:00Z</cp:lastPrinted>
  <dcterms:created xsi:type="dcterms:W3CDTF">2016-10-28T16:16:00Z</dcterms:created>
  <dcterms:modified xsi:type="dcterms:W3CDTF">2016-10-28T16:16:00Z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zotero-version="4.0.11"&gt;&lt;session id="k3jpmr56"/&gt;&lt;style id="http://www.zotero.org/styles/american-medical-association" hasBibliography="1" bibliographyStyleHasBeenSet="0"/&gt;&lt;prefs&gt;&lt;pref name="fieldType" value="Field"/&gt;&lt;pref name="stor</vt:lpwstr>
  </property>
  <property fmtid="{D5CDD505-2E9C-101B-9397-08002B2CF9AE}" pid="3" name="ZOTERO_PREF_2">
    <vt:lpwstr>eReferences" value="true"/&gt;&lt;pref name="automaticJournalAbbreviations" value="true"/&gt;&lt;pref name="noteType" value="0"/&gt;&lt;/prefs&gt;&lt;/data&gt;</vt:lpwstr>
  </property>
  <property fmtid="{D5CDD505-2E9C-101B-9397-08002B2CF9AE}" pid="4" name="ContentTypeId">
    <vt:lpwstr>0x010100FA0963FA69A646AA916D2E41284FC10000B96C3B3E0DFC684AB53C802D8E1E51EE</vt:lpwstr>
  </property>
</Properties>
</file>