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103" w:type="dxa"/>
        <w:tblLook w:val="04A0" w:firstRow="1" w:lastRow="0" w:firstColumn="1" w:lastColumn="0" w:noHBand="0" w:noVBand="1"/>
      </w:tblPr>
      <w:tblGrid>
        <w:gridCol w:w="3889"/>
        <w:gridCol w:w="1369"/>
        <w:gridCol w:w="1369"/>
        <w:gridCol w:w="1369"/>
        <w:gridCol w:w="1369"/>
        <w:gridCol w:w="1369"/>
        <w:gridCol w:w="1369"/>
      </w:tblGrid>
      <w:tr w:rsidR="00666E7A" w:rsidRPr="00666E7A" w:rsidTr="00666E7A">
        <w:trPr>
          <w:trHeight w:val="315"/>
        </w:trPr>
        <w:tc>
          <w:tcPr>
            <w:tcW w:w="12103" w:type="dxa"/>
            <w:gridSpan w:val="7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Table A1: Descriptive Statistics - Attrition Sample</w:t>
            </w:r>
          </w:p>
        </w:tc>
      </w:tr>
      <w:tr w:rsidR="00666E7A" w:rsidRPr="00666E7A" w:rsidTr="00666E7A">
        <w:trPr>
          <w:trHeight w:val="315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38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5-Year Sample</w:t>
            </w:r>
          </w:p>
        </w:tc>
        <w:tc>
          <w:tcPr>
            <w:tcW w:w="2738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7-Year Sample</w:t>
            </w:r>
          </w:p>
        </w:tc>
        <w:tc>
          <w:tcPr>
            <w:tcW w:w="2738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9-Year Sample</w:t>
            </w:r>
          </w:p>
        </w:tc>
      </w:tr>
      <w:tr w:rsidR="00666E7A" w:rsidRPr="00666E7A" w:rsidTr="00666E7A">
        <w:trPr>
          <w:trHeight w:val="600"/>
        </w:trPr>
        <w:tc>
          <w:tcPr>
            <w:tcW w:w="3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Dropped out of sample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Remained in sample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Dropped out of sample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Remained in sample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Dropped out of sample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Remained in sample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Health Status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Excellent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0.3684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0.3563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0.3856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0.3832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0.4142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0.3975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(0.4824)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(0.4789)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(0.4868)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(0.4858)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(0.4926)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(0.4894)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Good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0.5921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0.5681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0.5702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0.5574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0.5495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0.5494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(0.4915)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(0.4953)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(0.4952)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(0.4965)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(0.4976)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(0.4976)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Fair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0.0333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0.0617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0.0350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0.0484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0.0288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0.0435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(0.1795)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(0.2406)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(0.1834)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(0.2142)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(0.1672)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(0.2039)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Poor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0.0050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0.0122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0.0076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0.0092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0.0056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0.0082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(0.0705)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(0.1096)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(0.0867)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(0.0945)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(0.0746)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(0.0902)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Very Poor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0.0012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0.0017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0.0017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0.0018)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0.0020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0.0014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(0.0345)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(0.0413)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(0.0407)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(0.0447)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(0.0447)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(0.0375)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Employed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0.7780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0.8258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0.8273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0.8425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0.8369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0.8643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(0.4157)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(0.3793)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(0.3780)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(0.3643)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(0.3695)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(0.3425)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Total Annual Labor Income (in £)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16,135.07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18,483.95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18,353.51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19,918.16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20,055.19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21,055.19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(14,619.31)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(16,782.78)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(13,255.28)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(17,237.20)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(18,342.15)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(18,342.15)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Total Annual Household Income (in £)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33,030.26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37,649.83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37,364.41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40,192.18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39,884.20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42,172.82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(22.371.34)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(24.942.26)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(21,988.04)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(25,817.28)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(24,516.43)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(27,586.53)</w:t>
            </w: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6E7A" w:rsidRPr="00666E7A" w:rsidTr="00666E7A">
        <w:trPr>
          <w:trHeight w:val="300"/>
        </w:trPr>
        <w:tc>
          <w:tcPr>
            <w:tcW w:w="3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% dropped out of sample</w:t>
            </w:r>
          </w:p>
        </w:tc>
        <w:tc>
          <w:tcPr>
            <w:tcW w:w="2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14.58%</w:t>
            </w:r>
          </w:p>
        </w:tc>
        <w:tc>
          <w:tcPr>
            <w:tcW w:w="2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13.93%</w:t>
            </w:r>
          </w:p>
        </w:tc>
        <w:tc>
          <w:tcPr>
            <w:tcW w:w="2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15.30%</w:t>
            </w:r>
          </w:p>
        </w:tc>
      </w:tr>
      <w:tr w:rsidR="00666E7A" w:rsidRPr="00666E7A" w:rsidTr="00666E7A">
        <w:trPr>
          <w:trHeight w:val="315"/>
        </w:trPr>
        <w:tc>
          <w:tcPr>
            <w:tcW w:w="38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666E7A" w:rsidRDefault="00666E7A" w:rsidP="00666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E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666E7A" w:rsidRDefault="00666E7A" w:rsidP="00666E7A">
      <w:pPr>
        <w:spacing w:after="0" w:line="480" w:lineRule="auto"/>
        <w:rPr>
          <w:rFonts w:ascii="Times New Roman" w:hAnsi="Times New Roman" w:cs="Times New Roman"/>
          <w:sz w:val="20"/>
          <w:szCs w:val="21"/>
        </w:rPr>
        <w:sectPr w:rsidR="00666E7A" w:rsidSect="00666E7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9201" w:type="dxa"/>
        <w:tblLook w:val="04A0" w:firstRow="1" w:lastRow="0" w:firstColumn="1" w:lastColumn="0" w:noHBand="0" w:noVBand="1"/>
      </w:tblPr>
      <w:tblGrid>
        <w:gridCol w:w="1802"/>
        <w:gridCol w:w="1853"/>
        <w:gridCol w:w="1853"/>
        <w:gridCol w:w="1840"/>
        <w:gridCol w:w="1853"/>
      </w:tblGrid>
      <w:tr w:rsidR="00666E7A" w:rsidRPr="00A26254" w:rsidTr="002838EB">
        <w:trPr>
          <w:trHeight w:val="315"/>
        </w:trPr>
        <w:tc>
          <w:tcPr>
            <w:tcW w:w="9201" w:type="dxa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Table A2: Effects of Health Shocks on Log of Income</w:t>
            </w:r>
          </w:p>
        </w:tc>
      </w:tr>
      <w:tr w:rsidR="00666E7A" w:rsidRPr="00A26254" w:rsidTr="002838EB">
        <w:trPr>
          <w:trHeight w:val="330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06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Log (Total Labor Income)</w:t>
            </w:r>
          </w:p>
        </w:tc>
        <w:tc>
          <w:tcPr>
            <w:tcW w:w="3693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Log (Total HH Income)</w:t>
            </w:r>
          </w:p>
        </w:tc>
      </w:tr>
      <w:tr w:rsidR="00666E7A" w:rsidRPr="00A26254" w:rsidTr="002838EB">
        <w:trPr>
          <w:trHeight w:val="300"/>
        </w:trPr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62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NN matching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Kernel matching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NN matching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Kernel matching</w:t>
            </w:r>
          </w:p>
        </w:tc>
      </w:tr>
      <w:tr w:rsidR="00666E7A" w:rsidRPr="00A26254" w:rsidTr="002838EB">
        <w:trPr>
          <w:trHeight w:val="300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6E7A" w:rsidRPr="00A26254" w:rsidTr="002838EB">
        <w:trPr>
          <w:trHeight w:val="300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3 Year Sample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-0.0599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-0.0676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-0.0689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-0.0644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</w:t>
            </w:r>
          </w:p>
        </w:tc>
      </w:tr>
      <w:tr w:rsidR="00666E7A" w:rsidRPr="00A26254" w:rsidTr="002838EB">
        <w:trPr>
          <w:trHeight w:val="300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(0.0250)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(0.0341)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(0.0200)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(0.0300)</w:t>
            </w:r>
          </w:p>
        </w:tc>
      </w:tr>
      <w:tr w:rsidR="00666E7A" w:rsidRPr="00A26254" w:rsidTr="002838EB">
        <w:trPr>
          <w:trHeight w:val="300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6E7A" w:rsidRPr="00A26254" w:rsidTr="002838EB">
        <w:trPr>
          <w:trHeight w:val="300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5-Year Sample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-0.0890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408***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-0.086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0***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-0.1025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</w:tr>
      <w:tr w:rsidR="00666E7A" w:rsidRPr="00A26254" w:rsidTr="002838EB">
        <w:trPr>
          <w:trHeight w:val="300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(0.0339)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425</w:t>
            </w: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(0.0305)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(0.0197)</w:t>
            </w:r>
          </w:p>
        </w:tc>
      </w:tr>
      <w:tr w:rsidR="00666E7A" w:rsidRPr="00A26254" w:rsidTr="002838EB">
        <w:trPr>
          <w:trHeight w:val="300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6E7A" w:rsidRPr="00A26254" w:rsidTr="002838EB">
        <w:trPr>
          <w:trHeight w:val="300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7-Year Sample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-0.0407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-0.0707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-0.0552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-0.0500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666E7A" w:rsidRPr="00A26254" w:rsidTr="002838EB">
        <w:trPr>
          <w:trHeight w:val="300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(0.0293)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(0.0388)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(0.0185)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(0.0296)</w:t>
            </w:r>
          </w:p>
        </w:tc>
      </w:tr>
      <w:tr w:rsidR="00666E7A" w:rsidRPr="00A26254" w:rsidTr="002838EB">
        <w:trPr>
          <w:trHeight w:val="300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6E7A" w:rsidRPr="00A26254" w:rsidTr="002838EB">
        <w:trPr>
          <w:trHeight w:val="300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9-Year Sample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-0.1776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-0.0522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-0.1041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-0.1435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</w:tr>
      <w:tr w:rsidR="00666E7A" w:rsidRPr="00A26254" w:rsidTr="002838EB">
        <w:trPr>
          <w:trHeight w:val="300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(0.1019)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(0.0588)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(0.0297)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A26254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6254">
              <w:rPr>
                <w:rFonts w:ascii="Times New Roman" w:eastAsia="Times New Roman" w:hAnsi="Times New Roman" w:cs="Times New Roman"/>
                <w:color w:val="000000"/>
              </w:rPr>
              <w:t>(0.0430)</w:t>
            </w:r>
          </w:p>
        </w:tc>
      </w:tr>
      <w:tr w:rsidR="00666E7A" w:rsidRPr="00A26254" w:rsidTr="002838EB">
        <w:trPr>
          <w:trHeight w:val="315"/>
        </w:trPr>
        <w:tc>
          <w:tcPr>
            <w:tcW w:w="180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62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62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62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62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A26254" w:rsidRDefault="00666E7A" w:rsidP="002838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62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666E7A" w:rsidRPr="006F4AEA" w:rsidRDefault="00666E7A" w:rsidP="00666E7A">
      <w:pPr>
        <w:spacing w:after="0" w:line="240" w:lineRule="auto"/>
        <w:rPr>
          <w:rFonts w:ascii="Times New Roman" w:eastAsiaTheme="minorEastAsia" w:hAnsi="Times New Roman" w:cs="Times New Roman"/>
          <w:sz w:val="18"/>
          <w:szCs w:val="18"/>
        </w:rPr>
      </w:pPr>
      <w:r w:rsidRPr="006F4AEA">
        <w:rPr>
          <w:rFonts w:ascii="Times New Roman" w:hAnsi="Times New Roman" w:cs="Times New Roman"/>
          <w:i/>
          <w:sz w:val="18"/>
          <w:szCs w:val="18"/>
        </w:rPr>
        <w:t>Notes</w:t>
      </w:r>
      <w:r w:rsidRPr="006F4AEA">
        <w:rPr>
          <w:rFonts w:ascii="Times New Roman" w:hAnsi="Times New Roman" w:cs="Times New Roman"/>
          <w:sz w:val="18"/>
          <w:szCs w:val="18"/>
        </w:rPr>
        <w:t xml:space="preserve">: Robust standard errors, </w:t>
      </w:r>
      <w:r>
        <w:rPr>
          <w:rFonts w:ascii="Times New Roman" w:hAnsi="Times New Roman" w:cs="Times New Roman"/>
          <w:sz w:val="18"/>
          <w:szCs w:val="18"/>
        </w:rPr>
        <w:t xml:space="preserve">clustered by individuals and </w:t>
      </w:r>
      <w:r w:rsidRPr="006F4AEA">
        <w:rPr>
          <w:rFonts w:ascii="Times New Roman" w:hAnsi="Times New Roman" w:cs="Times New Roman"/>
          <w:sz w:val="18"/>
          <w:szCs w:val="18"/>
        </w:rPr>
        <w:t xml:space="preserve">based on </w:t>
      </w:r>
      <w:proofErr w:type="spellStart"/>
      <w:r w:rsidRPr="006F4AEA">
        <w:rPr>
          <w:rFonts w:ascii="Times New Roman" w:hAnsi="Times New Roman" w:cs="Times New Roman"/>
          <w:sz w:val="18"/>
          <w:szCs w:val="18"/>
        </w:rPr>
        <w:t>Abadie</w:t>
      </w:r>
      <w:proofErr w:type="spellEnd"/>
      <w:r w:rsidRPr="006F4AEA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6F4AEA">
        <w:rPr>
          <w:rFonts w:ascii="Times New Roman" w:hAnsi="Times New Roman" w:cs="Times New Roman"/>
          <w:sz w:val="18"/>
          <w:szCs w:val="18"/>
        </w:rPr>
        <w:t>Imbens</w:t>
      </w:r>
      <w:proofErr w:type="spellEnd"/>
      <w:r w:rsidRPr="006F4AEA">
        <w:rPr>
          <w:rFonts w:ascii="Times New Roman" w:hAnsi="Times New Roman" w:cs="Times New Roman"/>
          <w:sz w:val="18"/>
          <w:szCs w:val="18"/>
        </w:rPr>
        <w:t xml:space="preserve"> (2006), </w:t>
      </w:r>
      <w:proofErr w:type="gramStart"/>
      <w:r w:rsidRPr="006F4AEA">
        <w:rPr>
          <w:rFonts w:ascii="Times New Roman" w:hAnsi="Times New Roman" w:cs="Times New Roman"/>
          <w:sz w:val="18"/>
          <w:szCs w:val="18"/>
        </w:rPr>
        <w:t>are shown</w:t>
      </w:r>
      <w:proofErr w:type="gramEnd"/>
      <w:r w:rsidRPr="006F4AEA">
        <w:rPr>
          <w:rFonts w:ascii="Times New Roman" w:hAnsi="Times New Roman" w:cs="Times New Roman"/>
          <w:sz w:val="18"/>
          <w:szCs w:val="18"/>
        </w:rPr>
        <w:t xml:space="preserve"> in parentheses. Income </w:t>
      </w:r>
      <w:proofErr w:type="gramStart"/>
      <w:r w:rsidRPr="006F4AEA">
        <w:rPr>
          <w:rFonts w:ascii="Times New Roman" w:hAnsi="Times New Roman" w:cs="Times New Roman"/>
          <w:sz w:val="18"/>
          <w:szCs w:val="18"/>
        </w:rPr>
        <w:t>is adjusted</w:t>
      </w:r>
      <w:proofErr w:type="gramEnd"/>
      <w:r w:rsidRPr="006F4AEA">
        <w:rPr>
          <w:rFonts w:ascii="Times New Roman" w:hAnsi="Times New Roman" w:cs="Times New Roman"/>
          <w:sz w:val="18"/>
          <w:szCs w:val="18"/>
        </w:rPr>
        <w:t xml:space="preserve"> for inflation, using the U.K. Consumer price Index and 2000 as the base year. </w:t>
      </w:r>
      <w:r w:rsidRPr="006F4AEA">
        <w:rPr>
          <w:rFonts w:ascii="Times New Roman" w:eastAsiaTheme="minorEastAsia" w:hAnsi="Times New Roman" w:cs="Times New Roman"/>
          <w:sz w:val="18"/>
          <w:szCs w:val="18"/>
          <w:vertAlign w:val="superscript"/>
        </w:rPr>
        <w:t>*</w:t>
      </w:r>
      <w:r w:rsidRPr="006F4AEA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proofErr w:type="gramStart"/>
      <w:r w:rsidRPr="006F4AEA">
        <w:rPr>
          <w:rFonts w:ascii="Times New Roman" w:eastAsiaTheme="minorEastAsia" w:hAnsi="Times New Roman" w:cs="Times New Roman"/>
          <w:i/>
          <w:iCs/>
          <w:sz w:val="18"/>
          <w:szCs w:val="18"/>
        </w:rPr>
        <w:t>p</w:t>
      </w:r>
      <w:proofErr w:type="gramEnd"/>
      <w:r w:rsidRPr="006F4AEA">
        <w:rPr>
          <w:rFonts w:ascii="Times New Roman" w:eastAsiaTheme="minorEastAsia" w:hAnsi="Times New Roman" w:cs="Times New Roman"/>
          <w:sz w:val="18"/>
          <w:szCs w:val="18"/>
        </w:rPr>
        <w:t xml:space="preserve"> &lt; 0.10, </w:t>
      </w:r>
      <w:r w:rsidRPr="006F4AEA">
        <w:rPr>
          <w:rFonts w:ascii="Times New Roman" w:eastAsiaTheme="minorEastAsia" w:hAnsi="Times New Roman" w:cs="Times New Roman"/>
          <w:sz w:val="18"/>
          <w:szCs w:val="18"/>
          <w:vertAlign w:val="superscript"/>
        </w:rPr>
        <w:t>**</w:t>
      </w:r>
      <w:r w:rsidRPr="006F4AEA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r w:rsidRPr="006F4AEA">
        <w:rPr>
          <w:rFonts w:ascii="Times New Roman" w:eastAsiaTheme="minorEastAsia" w:hAnsi="Times New Roman" w:cs="Times New Roman"/>
          <w:i/>
          <w:iCs/>
          <w:sz w:val="18"/>
          <w:szCs w:val="18"/>
        </w:rPr>
        <w:t>p</w:t>
      </w:r>
      <w:r w:rsidRPr="006F4AEA">
        <w:rPr>
          <w:rFonts w:ascii="Times New Roman" w:eastAsiaTheme="minorEastAsia" w:hAnsi="Times New Roman" w:cs="Times New Roman"/>
          <w:sz w:val="18"/>
          <w:szCs w:val="18"/>
        </w:rPr>
        <w:t xml:space="preserve"> &lt; 0.05, </w:t>
      </w:r>
      <w:r w:rsidRPr="006F4AEA">
        <w:rPr>
          <w:rFonts w:ascii="Times New Roman" w:eastAsiaTheme="minorEastAsia" w:hAnsi="Times New Roman" w:cs="Times New Roman"/>
          <w:sz w:val="18"/>
          <w:szCs w:val="18"/>
          <w:vertAlign w:val="superscript"/>
        </w:rPr>
        <w:t>***</w:t>
      </w:r>
      <w:r w:rsidRPr="006F4AEA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r w:rsidRPr="006F4AEA">
        <w:rPr>
          <w:rFonts w:ascii="Times New Roman" w:eastAsiaTheme="minorEastAsia" w:hAnsi="Times New Roman" w:cs="Times New Roman"/>
          <w:i/>
          <w:iCs/>
          <w:sz w:val="18"/>
          <w:szCs w:val="18"/>
        </w:rPr>
        <w:t>p</w:t>
      </w:r>
      <w:r w:rsidRPr="006F4AEA">
        <w:rPr>
          <w:rFonts w:ascii="Times New Roman" w:eastAsiaTheme="minorEastAsia" w:hAnsi="Times New Roman" w:cs="Times New Roman"/>
          <w:sz w:val="18"/>
          <w:szCs w:val="18"/>
        </w:rPr>
        <w:t xml:space="preserve"> &lt; 0.01.</w:t>
      </w:r>
    </w:p>
    <w:p w:rsidR="00666E7A" w:rsidRDefault="00666E7A" w:rsidP="00666E7A">
      <w:pPr>
        <w:spacing w:after="0" w:line="480" w:lineRule="auto"/>
        <w:rPr>
          <w:rFonts w:ascii="Times New Roman" w:hAnsi="Times New Roman" w:cs="Times New Roman"/>
          <w:sz w:val="20"/>
          <w:szCs w:val="21"/>
        </w:rPr>
      </w:pPr>
    </w:p>
    <w:p w:rsidR="00666E7A" w:rsidRDefault="00666E7A" w:rsidP="00666E7A">
      <w:pPr>
        <w:spacing w:after="0" w:line="480" w:lineRule="auto"/>
        <w:rPr>
          <w:rFonts w:ascii="Times New Roman" w:hAnsi="Times New Roman" w:cs="Times New Roman"/>
          <w:sz w:val="20"/>
          <w:szCs w:val="21"/>
        </w:rPr>
      </w:pPr>
    </w:p>
    <w:p w:rsidR="00666E7A" w:rsidRDefault="00666E7A" w:rsidP="00666E7A">
      <w:pPr>
        <w:spacing w:after="0" w:line="480" w:lineRule="auto"/>
        <w:rPr>
          <w:rFonts w:ascii="Times New Roman" w:hAnsi="Times New Roman" w:cs="Times New Roman"/>
          <w:sz w:val="20"/>
          <w:szCs w:val="21"/>
        </w:rPr>
      </w:pPr>
    </w:p>
    <w:tbl>
      <w:tblPr>
        <w:tblW w:w="9200" w:type="dxa"/>
        <w:tblLook w:val="04A0" w:firstRow="1" w:lastRow="0" w:firstColumn="1" w:lastColumn="0" w:noHBand="0" w:noVBand="1"/>
      </w:tblPr>
      <w:tblGrid>
        <w:gridCol w:w="1795"/>
        <w:gridCol w:w="1863"/>
        <w:gridCol w:w="1863"/>
        <w:gridCol w:w="1833"/>
        <w:gridCol w:w="1846"/>
      </w:tblGrid>
      <w:tr w:rsidR="00666E7A" w:rsidRPr="001C4EEB" w:rsidTr="002838EB">
        <w:trPr>
          <w:trHeight w:val="315"/>
        </w:trPr>
        <w:tc>
          <w:tcPr>
            <w:tcW w:w="9200" w:type="dxa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 xml:space="preserve">Table A3: Effects of Health Shocks on Labor Market Outcomes </w:t>
            </w:r>
          </w:p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controlling</w:t>
            </w:r>
            <w:r w:rsidRPr="001C4EEB">
              <w:rPr>
                <w:rFonts w:ascii="Times New Roman" w:eastAsia="Times New Roman" w:hAnsi="Times New Roman" w:cs="Times New Roman"/>
                <w:color w:val="000000"/>
              </w:rPr>
              <w:t xml:space="preserve"> for lagged health status)</w:t>
            </w:r>
          </w:p>
        </w:tc>
      </w:tr>
      <w:tr w:rsidR="00666E7A" w:rsidRPr="001C4EEB" w:rsidTr="002838EB">
        <w:trPr>
          <w:trHeight w:val="33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26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 Labor Income (£ per year)</w:t>
            </w:r>
          </w:p>
        </w:tc>
        <w:tc>
          <w:tcPr>
            <w:tcW w:w="3679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Employed</w:t>
            </w:r>
          </w:p>
        </w:tc>
      </w:tr>
      <w:tr w:rsidR="00666E7A" w:rsidRPr="001C4EEB" w:rsidTr="002838EB">
        <w:trPr>
          <w:trHeight w:val="300"/>
        </w:trPr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4E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NN matching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Kernel matching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NN matching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Kernel matching</w:t>
            </w:r>
          </w:p>
        </w:tc>
      </w:tr>
      <w:tr w:rsidR="00666E7A" w:rsidRPr="001C4EEB" w:rsidTr="002838EB">
        <w:trPr>
          <w:trHeight w:val="30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6E7A" w:rsidRPr="001C4EEB" w:rsidTr="002838EB">
        <w:trPr>
          <w:trHeight w:val="30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5-Year Sample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-1,741.57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-1,889.37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-0.0297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-0.0171</w:t>
            </w:r>
          </w:p>
        </w:tc>
      </w:tr>
      <w:tr w:rsidR="00666E7A" w:rsidRPr="001C4EEB" w:rsidTr="002838EB">
        <w:trPr>
          <w:trHeight w:val="30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(610.89)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(639.60)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(0.0155)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(0.0126)</w:t>
            </w:r>
          </w:p>
        </w:tc>
      </w:tr>
      <w:tr w:rsidR="00666E7A" w:rsidRPr="001C4EEB" w:rsidTr="002838EB">
        <w:trPr>
          <w:trHeight w:val="30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6E7A" w:rsidRPr="001C4EEB" w:rsidTr="002838EB">
        <w:trPr>
          <w:trHeight w:val="30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7-Year Sample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-1,817.65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70.79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-0.0579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-0.0357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</w:tr>
      <w:tr w:rsidR="00666E7A" w:rsidRPr="001C4EEB" w:rsidTr="002838EB">
        <w:trPr>
          <w:trHeight w:val="30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(574.80)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(801.74)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(0.0449)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(0.0136)</w:t>
            </w:r>
          </w:p>
        </w:tc>
      </w:tr>
      <w:tr w:rsidR="00666E7A" w:rsidRPr="001C4EEB" w:rsidTr="002838EB">
        <w:trPr>
          <w:trHeight w:val="30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6E7A" w:rsidRPr="001C4EEB" w:rsidTr="002838EB">
        <w:trPr>
          <w:trHeight w:val="30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9-Year Sample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-5,186.15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-5,120.58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***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-0.0157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0.0032</w:t>
            </w:r>
          </w:p>
        </w:tc>
      </w:tr>
      <w:tr w:rsidR="00666E7A" w:rsidRPr="001C4EEB" w:rsidTr="002838EB">
        <w:trPr>
          <w:trHeight w:val="30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(793.72)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(986.17)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(0.0213)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6E7A" w:rsidRPr="001C4EEB" w:rsidRDefault="00666E7A" w:rsidP="00283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C4EEB">
              <w:rPr>
                <w:rFonts w:ascii="Times New Roman" w:eastAsia="Times New Roman" w:hAnsi="Times New Roman" w:cs="Times New Roman"/>
                <w:color w:val="000000"/>
              </w:rPr>
              <w:t>(0.0192)</w:t>
            </w:r>
          </w:p>
        </w:tc>
      </w:tr>
      <w:tr w:rsidR="00666E7A" w:rsidRPr="001C4EEB" w:rsidTr="002838EB">
        <w:trPr>
          <w:trHeight w:val="315"/>
        </w:trPr>
        <w:tc>
          <w:tcPr>
            <w:tcW w:w="179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4E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4E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4E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4E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6E7A" w:rsidRPr="001C4EEB" w:rsidRDefault="00666E7A" w:rsidP="002838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4E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666E7A" w:rsidRPr="006F4AEA" w:rsidRDefault="00666E7A" w:rsidP="00666E7A">
      <w:pPr>
        <w:spacing w:after="0" w:line="240" w:lineRule="auto"/>
        <w:rPr>
          <w:rFonts w:ascii="Times New Roman" w:eastAsiaTheme="minorEastAsia" w:hAnsi="Times New Roman" w:cs="Times New Roman"/>
          <w:sz w:val="18"/>
          <w:szCs w:val="18"/>
        </w:rPr>
      </w:pPr>
      <w:r w:rsidRPr="006F4AEA">
        <w:rPr>
          <w:rFonts w:ascii="Times New Roman" w:hAnsi="Times New Roman" w:cs="Times New Roman"/>
          <w:i/>
          <w:sz w:val="18"/>
          <w:szCs w:val="18"/>
        </w:rPr>
        <w:t>Notes</w:t>
      </w:r>
      <w:r w:rsidRPr="006F4AEA">
        <w:rPr>
          <w:rFonts w:ascii="Times New Roman" w:hAnsi="Times New Roman" w:cs="Times New Roman"/>
          <w:sz w:val="18"/>
          <w:szCs w:val="18"/>
        </w:rPr>
        <w:t>: Robust standard errors,</w:t>
      </w:r>
      <w:r>
        <w:rPr>
          <w:rFonts w:ascii="Times New Roman" w:hAnsi="Times New Roman" w:cs="Times New Roman"/>
          <w:sz w:val="18"/>
          <w:szCs w:val="18"/>
        </w:rPr>
        <w:t xml:space="preserve"> clustered by individuals and</w:t>
      </w:r>
      <w:r w:rsidRPr="006F4AEA">
        <w:rPr>
          <w:rFonts w:ascii="Times New Roman" w:hAnsi="Times New Roman" w:cs="Times New Roman"/>
          <w:sz w:val="18"/>
          <w:szCs w:val="18"/>
        </w:rPr>
        <w:t xml:space="preserve"> based on </w:t>
      </w:r>
      <w:proofErr w:type="spellStart"/>
      <w:r w:rsidRPr="006F4AEA">
        <w:rPr>
          <w:rFonts w:ascii="Times New Roman" w:hAnsi="Times New Roman" w:cs="Times New Roman"/>
          <w:sz w:val="18"/>
          <w:szCs w:val="18"/>
        </w:rPr>
        <w:t>Abadie</w:t>
      </w:r>
      <w:proofErr w:type="spellEnd"/>
      <w:r w:rsidRPr="006F4AEA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6F4AEA">
        <w:rPr>
          <w:rFonts w:ascii="Times New Roman" w:hAnsi="Times New Roman" w:cs="Times New Roman"/>
          <w:sz w:val="18"/>
          <w:szCs w:val="18"/>
        </w:rPr>
        <w:t>Imbens</w:t>
      </w:r>
      <w:proofErr w:type="spellEnd"/>
      <w:r w:rsidRPr="006F4AEA">
        <w:rPr>
          <w:rFonts w:ascii="Times New Roman" w:hAnsi="Times New Roman" w:cs="Times New Roman"/>
          <w:sz w:val="18"/>
          <w:szCs w:val="18"/>
        </w:rPr>
        <w:t xml:space="preserve"> (2006), </w:t>
      </w:r>
      <w:proofErr w:type="gramStart"/>
      <w:r w:rsidRPr="006F4AEA">
        <w:rPr>
          <w:rFonts w:ascii="Times New Roman" w:hAnsi="Times New Roman" w:cs="Times New Roman"/>
          <w:sz w:val="18"/>
          <w:szCs w:val="18"/>
        </w:rPr>
        <w:t>are shown</w:t>
      </w:r>
      <w:proofErr w:type="gramEnd"/>
      <w:r w:rsidRPr="006F4AEA">
        <w:rPr>
          <w:rFonts w:ascii="Times New Roman" w:hAnsi="Times New Roman" w:cs="Times New Roman"/>
          <w:sz w:val="18"/>
          <w:szCs w:val="18"/>
        </w:rPr>
        <w:t xml:space="preserve"> in parentheses. Income </w:t>
      </w:r>
      <w:proofErr w:type="gramStart"/>
      <w:r w:rsidRPr="006F4AEA">
        <w:rPr>
          <w:rFonts w:ascii="Times New Roman" w:hAnsi="Times New Roman" w:cs="Times New Roman"/>
          <w:sz w:val="18"/>
          <w:szCs w:val="18"/>
        </w:rPr>
        <w:t>is adjusted</w:t>
      </w:r>
      <w:proofErr w:type="gramEnd"/>
      <w:r w:rsidRPr="006F4AEA">
        <w:rPr>
          <w:rFonts w:ascii="Times New Roman" w:hAnsi="Times New Roman" w:cs="Times New Roman"/>
          <w:sz w:val="18"/>
          <w:szCs w:val="18"/>
        </w:rPr>
        <w:t xml:space="preserve"> for inflation, using the U.K. Consumer price Index and 2000 as the base year. </w:t>
      </w:r>
      <w:r w:rsidRPr="006F4AEA">
        <w:rPr>
          <w:rFonts w:ascii="Times New Roman" w:eastAsiaTheme="minorEastAsia" w:hAnsi="Times New Roman" w:cs="Times New Roman"/>
          <w:sz w:val="18"/>
          <w:szCs w:val="18"/>
          <w:vertAlign w:val="superscript"/>
        </w:rPr>
        <w:t>*</w:t>
      </w:r>
      <w:r w:rsidRPr="006F4AEA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proofErr w:type="gramStart"/>
      <w:r w:rsidRPr="006F4AEA">
        <w:rPr>
          <w:rFonts w:ascii="Times New Roman" w:eastAsiaTheme="minorEastAsia" w:hAnsi="Times New Roman" w:cs="Times New Roman"/>
          <w:i/>
          <w:iCs/>
          <w:sz w:val="18"/>
          <w:szCs w:val="18"/>
        </w:rPr>
        <w:t>p</w:t>
      </w:r>
      <w:proofErr w:type="gramEnd"/>
      <w:r w:rsidRPr="006F4AEA">
        <w:rPr>
          <w:rFonts w:ascii="Times New Roman" w:eastAsiaTheme="minorEastAsia" w:hAnsi="Times New Roman" w:cs="Times New Roman"/>
          <w:sz w:val="18"/>
          <w:szCs w:val="18"/>
        </w:rPr>
        <w:t xml:space="preserve"> &lt; 0.10, </w:t>
      </w:r>
      <w:r w:rsidRPr="006F4AEA">
        <w:rPr>
          <w:rFonts w:ascii="Times New Roman" w:eastAsiaTheme="minorEastAsia" w:hAnsi="Times New Roman" w:cs="Times New Roman"/>
          <w:sz w:val="18"/>
          <w:szCs w:val="18"/>
          <w:vertAlign w:val="superscript"/>
        </w:rPr>
        <w:t>**</w:t>
      </w:r>
      <w:r w:rsidRPr="006F4AEA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r w:rsidRPr="006F4AEA">
        <w:rPr>
          <w:rFonts w:ascii="Times New Roman" w:eastAsiaTheme="minorEastAsia" w:hAnsi="Times New Roman" w:cs="Times New Roman"/>
          <w:i/>
          <w:iCs/>
          <w:sz w:val="18"/>
          <w:szCs w:val="18"/>
        </w:rPr>
        <w:t>p</w:t>
      </w:r>
      <w:r w:rsidRPr="006F4AEA">
        <w:rPr>
          <w:rFonts w:ascii="Times New Roman" w:eastAsiaTheme="minorEastAsia" w:hAnsi="Times New Roman" w:cs="Times New Roman"/>
          <w:sz w:val="18"/>
          <w:szCs w:val="18"/>
        </w:rPr>
        <w:t xml:space="preserve"> &lt; 0.05, </w:t>
      </w:r>
      <w:r w:rsidRPr="006F4AEA">
        <w:rPr>
          <w:rFonts w:ascii="Times New Roman" w:eastAsiaTheme="minorEastAsia" w:hAnsi="Times New Roman" w:cs="Times New Roman"/>
          <w:sz w:val="18"/>
          <w:szCs w:val="18"/>
          <w:vertAlign w:val="superscript"/>
        </w:rPr>
        <w:t>***</w:t>
      </w:r>
      <w:r w:rsidRPr="006F4AEA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r w:rsidRPr="006F4AEA">
        <w:rPr>
          <w:rFonts w:ascii="Times New Roman" w:eastAsiaTheme="minorEastAsia" w:hAnsi="Times New Roman" w:cs="Times New Roman"/>
          <w:i/>
          <w:iCs/>
          <w:sz w:val="18"/>
          <w:szCs w:val="18"/>
        </w:rPr>
        <w:t>p</w:t>
      </w:r>
      <w:r w:rsidRPr="006F4AEA">
        <w:rPr>
          <w:rFonts w:ascii="Times New Roman" w:eastAsiaTheme="minorEastAsia" w:hAnsi="Times New Roman" w:cs="Times New Roman"/>
          <w:sz w:val="18"/>
          <w:szCs w:val="18"/>
        </w:rPr>
        <w:t xml:space="preserve"> &lt; 0.01.</w:t>
      </w:r>
    </w:p>
    <w:p w:rsidR="00666E7A" w:rsidRDefault="00666E7A" w:rsidP="00666E7A">
      <w:pPr>
        <w:spacing w:after="0" w:line="480" w:lineRule="auto"/>
        <w:rPr>
          <w:rFonts w:ascii="Times New Roman" w:hAnsi="Times New Roman" w:cs="Times New Roman"/>
          <w:sz w:val="20"/>
          <w:szCs w:val="21"/>
        </w:rPr>
      </w:pPr>
    </w:p>
    <w:p w:rsidR="00666E7A" w:rsidRDefault="00666E7A" w:rsidP="00666E7A">
      <w:pPr>
        <w:spacing w:after="0" w:line="480" w:lineRule="auto"/>
        <w:rPr>
          <w:rFonts w:ascii="Times New Roman" w:hAnsi="Times New Roman" w:cs="Times New Roman"/>
          <w:sz w:val="20"/>
          <w:szCs w:val="21"/>
        </w:rPr>
      </w:pPr>
    </w:p>
    <w:p w:rsidR="00121A93" w:rsidRPr="00666E7A" w:rsidRDefault="00666E7A" w:rsidP="00666E7A">
      <w:pPr>
        <w:spacing w:after="0" w:line="480" w:lineRule="auto"/>
        <w:rPr>
          <w:rFonts w:ascii="Times New Roman" w:hAnsi="Times New Roman" w:cs="Times New Roman"/>
          <w:sz w:val="20"/>
          <w:szCs w:val="21"/>
        </w:rPr>
      </w:pPr>
      <w:r w:rsidRPr="00C506F3">
        <w:rPr>
          <w:rFonts w:ascii="Times New Roman" w:hAnsi="Times New Roman" w:cs="Times New Roman"/>
          <w:sz w:val="20"/>
          <w:szCs w:val="21"/>
        </w:rPr>
        <w:lastRenderedPageBreak/>
        <w:t xml:space="preserve">Figure </w:t>
      </w:r>
      <w:proofErr w:type="gramStart"/>
      <w:r>
        <w:rPr>
          <w:rFonts w:ascii="Times New Roman" w:hAnsi="Times New Roman" w:cs="Times New Roman"/>
          <w:sz w:val="20"/>
          <w:szCs w:val="21"/>
        </w:rPr>
        <w:t>A</w:t>
      </w:r>
      <w:r w:rsidRPr="00C506F3">
        <w:rPr>
          <w:rFonts w:ascii="Times New Roman" w:hAnsi="Times New Roman" w:cs="Times New Roman"/>
          <w:sz w:val="20"/>
          <w:szCs w:val="21"/>
        </w:rPr>
        <w:t>1(</w:t>
      </w:r>
      <w:proofErr w:type="gramEnd"/>
      <w:r w:rsidRPr="00C506F3">
        <w:rPr>
          <w:rFonts w:ascii="Times New Roman" w:hAnsi="Times New Roman" w:cs="Times New Roman"/>
          <w:sz w:val="20"/>
          <w:szCs w:val="21"/>
        </w:rPr>
        <w:t>a): Density of Propensity Scores</w:t>
      </w:r>
      <w:r>
        <w:rPr>
          <w:rFonts w:ascii="Times New Roman" w:hAnsi="Times New Roman" w:cs="Times New Roman"/>
          <w:sz w:val="20"/>
          <w:szCs w:val="21"/>
        </w:rPr>
        <w:t xml:space="preserve"> with Controls for Lagged Health</w:t>
      </w:r>
      <w:r w:rsidRPr="00C506F3">
        <w:rPr>
          <w:rFonts w:ascii="Times New Roman" w:hAnsi="Times New Roman" w:cs="Times New Roman"/>
          <w:sz w:val="20"/>
          <w:szCs w:val="21"/>
        </w:rPr>
        <w:t xml:space="preserve">, </w:t>
      </w:r>
      <w:r>
        <w:rPr>
          <w:rFonts w:ascii="Times New Roman" w:hAnsi="Times New Roman" w:cs="Times New Roman"/>
          <w:sz w:val="20"/>
          <w:szCs w:val="21"/>
        </w:rPr>
        <w:t>5</w:t>
      </w:r>
      <w:r w:rsidRPr="00C506F3">
        <w:rPr>
          <w:rFonts w:ascii="Times New Roman" w:hAnsi="Times New Roman" w:cs="Times New Roman"/>
          <w:sz w:val="20"/>
          <w:szCs w:val="21"/>
        </w:rPr>
        <w:t>-Year Sample</w:t>
      </w:r>
    </w:p>
    <w:p w:rsidR="00666E7A" w:rsidRDefault="00666E7A">
      <w:pPr>
        <w:rPr>
          <w:noProof/>
        </w:rPr>
      </w:pPr>
      <w:r w:rsidRPr="00666E7A">
        <w:rPr>
          <w:noProof/>
        </w:rPr>
        <w:drawing>
          <wp:inline distT="0" distB="0" distL="0" distR="0">
            <wp:extent cx="5347315" cy="3562350"/>
            <wp:effectExtent l="0" t="0" r="6350" b="0"/>
            <wp:docPr id="2" name="Picture 2" descr="E:\BHPS\Health - Income\New Graphs - Lagged Health\5-Ye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BHPS\Health - Income\New Graphs - Lagged Health\5-Yea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562" cy="3573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E7A" w:rsidRDefault="00666E7A">
      <w:pPr>
        <w:rPr>
          <w:noProof/>
        </w:rPr>
      </w:pPr>
    </w:p>
    <w:p w:rsidR="00666E7A" w:rsidRPr="00666E7A" w:rsidRDefault="00666E7A" w:rsidP="00666E7A">
      <w:pPr>
        <w:spacing w:after="0" w:line="480" w:lineRule="auto"/>
        <w:rPr>
          <w:rFonts w:ascii="Times New Roman" w:hAnsi="Times New Roman" w:cs="Times New Roman"/>
          <w:sz w:val="20"/>
          <w:szCs w:val="21"/>
        </w:rPr>
      </w:pPr>
      <w:r w:rsidRPr="00C506F3">
        <w:rPr>
          <w:rFonts w:ascii="Times New Roman" w:hAnsi="Times New Roman" w:cs="Times New Roman"/>
          <w:sz w:val="20"/>
          <w:szCs w:val="21"/>
        </w:rPr>
        <w:t xml:space="preserve">Figure </w:t>
      </w:r>
      <w:r>
        <w:rPr>
          <w:rFonts w:ascii="Times New Roman" w:hAnsi="Times New Roman" w:cs="Times New Roman"/>
          <w:sz w:val="20"/>
          <w:szCs w:val="21"/>
        </w:rPr>
        <w:t>A</w:t>
      </w:r>
      <w:r w:rsidRPr="00C506F3">
        <w:rPr>
          <w:rFonts w:ascii="Times New Roman" w:hAnsi="Times New Roman" w:cs="Times New Roman"/>
          <w:sz w:val="20"/>
          <w:szCs w:val="21"/>
        </w:rPr>
        <w:t>1</w:t>
      </w:r>
      <w:r>
        <w:rPr>
          <w:rFonts w:ascii="Times New Roman" w:hAnsi="Times New Roman" w:cs="Times New Roman"/>
          <w:sz w:val="20"/>
          <w:szCs w:val="21"/>
        </w:rPr>
        <w:t>b</w:t>
      </w:r>
      <w:r w:rsidRPr="00C506F3">
        <w:rPr>
          <w:rFonts w:ascii="Times New Roman" w:hAnsi="Times New Roman" w:cs="Times New Roman"/>
          <w:sz w:val="20"/>
          <w:szCs w:val="21"/>
        </w:rPr>
        <w:t>): Density of Propensity Scores</w:t>
      </w:r>
      <w:r>
        <w:rPr>
          <w:rFonts w:ascii="Times New Roman" w:hAnsi="Times New Roman" w:cs="Times New Roman"/>
          <w:sz w:val="20"/>
          <w:szCs w:val="21"/>
        </w:rPr>
        <w:t xml:space="preserve"> with Controls for Lagged Health</w:t>
      </w:r>
      <w:r w:rsidRPr="00C506F3">
        <w:rPr>
          <w:rFonts w:ascii="Times New Roman" w:hAnsi="Times New Roman" w:cs="Times New Roman"/>
          <w:sz w:val="20"/>
          <w:szCs w:val="21"/>
        </w:rPr>
        <w:t xml:space="preserve">, </w:t>
      </w:r>
      <w:r>
        <w:rPr>
          <w:rFonts w:ascii="Times New Roman" w:hAnsi="Times New Roman" w:cs="Times New Roman"/>
          <w:sz w:val="20"/>
          <w:szCs w:val="21"/>
        </w:rPr>
        <w:t>7</w:t>
      </w:r>
      <w:r w:rsidRPr="00C506F3">
        <w:rPr>
          <w:rFonts w:ascii="Times New Roman" w:hAnsi="Times New Roman" w:cs="Times New Roman"/>
          <w:sz w:val="20"/>
          <w:szCs w:val="21"/>
        </w:rPr>
        <w:t>-Year Sample</w:t>
      </w:r>
    </w:p>
    <w:p w:rsidR="00666E7A" w:rsidRDefault="00666E7A">
      <w:pPr>
        <w:rPr>
          <w:noProof/>
        </w:rPr>
      </w:pPr>
      <w:r w:rsidRPr="00666E7A">
        <w:rPr>
          <w:noProof/>
        </w:rPr>
        <w:drawing>
          <wp:inline distT="0" distB="0" distL="0" distR="0">
            <wp:extent cx="5391150" cy="3591553"/>
            <wp:effectExtent l="0" t="0" r="0" b="9525"/>
            <wp:docPr id="3" name="Picture 3" descr="E:\BHPS\Health - Income\New Graphs - Lagged Health\7-Ye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BHPS\Health - Income\New Graphs - Lagged Health\7-Yea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801" cy="360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E7A" w:rsidRPr="00666E7A" w:rsidRDefault="00666E7A" w:rsidP="00666E7A">
      <w:pPr>
        <w:spacing w:after="0" w:line="480" w:lineRule="auto"/>
        <w:rPr>
          <w:rFonts w:ascii="Times New Roman" w:hAnsi="Times New Roman" w:cs="Times New Roman"/>
          <w:sz w:val="20"/>
          <w:szCs w:val="21"/>
        </w:rPr>
      </w:pPr>
      <w:r w:rsidRPr="00C506F3">
        <w:rPr>
          <w:rFonts w:ascii="Times New Roman" w:hAnsi="Times New Roman" w:cs="Times New Roman"/>
          <w:sz w:val="20"/>
          <w:szCs w:val="21"/>
        </w:rPr>
        <w:lastRenderedPageBreak/>
        <w:t xml:space="preserve">Figure </w:t>
      </w:r>
      <w:r>
        <w:rPr>
          <w:rFonts w:ascii="Times New Roman" w:hAnsi="Times New Roman" w:cs="Times New Roman"/>
          <w:sz w:val="20"/>
          <w:szCs w:val="21"/>
        </w:rPr>
        <w:t>A</w:t>
      </w:r>
      <w:r w:rsidRPr="00C506F3">
        <w:rPr>
          <w:rFonts w:ascii="Times New Roman" w:hAnsi="Times New Roman" w:cs="Times New Roman"/>
          <w:sz w:val="20"/>
          <w:szCs w:val="21"/>
        </w:rPr>
        <w:t>1(</w:t>
      </w:r>
      <w:r>
        <w:rPr>
          <w:rFonts w:ascii="Times New Roman" w:hAnsi="Times New Roman" w:cs="Times New Roman"/>
          <w:sz w:val="20"/>
          <w:szCs w:val="21"/>
        </w:rPr>
        <w:t>c</w:t>
      </w:r>
      <w:r w:rsidRPr="00C506F3">
        <w:rPr>
          <w:rFonts w:ascii="Times New Roman" w:hAnsi="Times New Roman" w:cs="Times New Roman"/>
          <w:sz w:val="20"/>
          <w:szCs w:val="21"/>
        </w:rPr>
        <w:t>): Density of Propensity Scores</w:t>
      </w:r>
      <w:r>
        <w:rPr>
          <w:rFonts w:ascii="Times New Roman" w:hAnsi="Times New Roman" w:cs="Times New Roman"/>
          <w:sz w:val="20"/>
          <w:szCs w:val="21"/>
        </w:rPr>
        <w:t xml:space="preserve"> with Controls for Lagged Health</w:t>
      </w:r>
      <w:r w:rsidRPr="00C506F3">
        <w:rPr>
          <w:rFonts w:ascii="Times New Roman" w:hAnsi="Times New Roman" w:cs="Times New Roman"/>
          <w:sz w:val="20"/>
          <w:szCs w:val="21"/>
        </w:rPr>
        <w:t xml:space="preserve">, </w:t>
      </w:r>
      <w:r>
        <w:rPr>
          <w:rFonts w:ascii="Times New Roman" w:hAnsi="Times New Roman" w:cs="Times New Roman"/>
          <w:sz w:val="20"/>
          <w:szCs w:val="21"/>
        </w:rPr>
        <w:t>9</w:t>
      </w:r>
      <w:r w:rsidRPr="00C506F3">
        <w:rPr>
          <w:rFonts w:ascii="Times New Roman" w:hAnsi="Times New Roman" w:cs="Times New Roman"/>
          <w:sz w:val="20"/>
          <w:szCs w:val="21"/>
        </w:rPr>
        <w:t>-Year Sample</w:t>
      </w:r>
    </w:p>
    <w:p w:rsidR="00666E7A" w:rsidRDefault="00666E7A">
      <w:pPr>
        <w:rPr>
          <w:noProof/>
        </w:rPr>
      </w:pPr>
      <w:r w:rsidRPr="00666E7A">
        <w:rPr>
          <w:noProof/>
        </w:rPr>
        <w:drawing>
          <wp:inline distT="0" distB="0" distL="0" distR="0">
            <wp:extent cx="5943600" cy="3959592"/>
            <wp:effectExtent l="0" t="0" r="0" b="3175"/>
            <wp:docPr id="4" name="Picture 4" descr="E:\BHPS\Health - Income\New Graphs - Lagged Health\9-Ye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BHPS\Health - Income\New Graphs - Lagged Health\9-Year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9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E7A" w:rsidRDefault="00666E7A">
      <w:pPr>
        <w:rPr>
          <w:noProof/>
        </w:rPr>
      </w:pPr>
    </w:p>
    <w:p w:rsidR="00666E7A" w:rsidRDefault="00666E7A">
      <w:pPr>
        <w:rPr>
          <w:noProof/>
        </w:rPr>
      </w:pPr>
    </w:p>
    <w:p w:rsidR="00666E7A" w:rsidRDefault="00666E7A">
      <w:pPr>
        <w:rPr>
          <w:noProof/>
        </w:rPr>
      </w:pPr>
    </w:p>
    <w:p w:rsidR="00666E7A" w:rsidRDefault="00666E7A">
      <w:pPr>
        <w:rPr>
          <w:noProof/>
        </w:rPr>
      </w:pPr>
      <w:bookmarkStart w:id="0" w:name="_GoBack"/>
      <w:bookmarkEnd w:id="0"/>
    </w:p>
    <w:p w:rsidR="00666E7A" w:rsidRDefault="00666E7A"/>
    <w:sectPr w:rsidR="00666E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7A"/>
    <w:rsid w:val="00121A93"/>
    <w:rsid w:val="0066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C0A1D"/>
  <w15:chartTrackingRefBased/>
  <w15:docId w15:val="{408D441F-397E-49A6-AE6B-C77A98112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E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9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olenhart</dc:creator>
  <cp:keywords/>
  <dc:description/>
  <cp:lastModifiedBy>olenhart</cp:lastModifiedBy>
  <cp:revision>1</cp:revision>
  <dcterms:created xsi:type="dcterms:W3CDTF">2018-04-05T14:47:00Z</dcterms:created>
  <dcterms:modified xsi:type="dcterms:W3CDTF">2018-04-05T14:56:00Z</dcterms:modified>
</cp:coreProperties>
</file>