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051" w:rsidRPr="00C93720" w:rsidRDefault="00F76051" w:rsidP="00F76051">
      <w:pPr>
        <w:spacing w:after="0" w:line="240" w:lineRule="auto"/>
        <w:rPr>
          <w:rFonts w:cs="Arial"/>
          <w:lang w:val="en-US"/>
        </w:rPr>
      </w:pPr>
      <w:r w:rsidRPr="00C93720">
        <w:rPr>
          <w:rFonts w:cs="Arial"/>
          <w:b/>
          <w:lang w:val="en-US"/>
        </w:rPr>
        <w:t>Title:</w:t>
      </w:r>
      <w:r w:rsidRPr="00B6053C">
        <w:rPr>
          <w:rFonts w:ascii="Arial" w:hAnsi="Arial" w:cs="Arial"/>
          <w:b/>
        </w:rPr>
        <w:t xml:space="preserve"> </w:t>
      </w:r>
      <w:r w:rsidRPr="00C93720">
        <w:rPr>
          <w:rFonts w:cs="Arial"/>
          <w:lang w:val="en-US"/>
        </w:rPr>
        <w:t xml:space="preserve">Determinants of time to </w:t>
      </w:r>
      <w:proofErr w:type="spellStart"/>
      <w:r w:rsidRPr="00C93720">
        <w:rPr>
          <w:rFonts w:cs="Arial"/>
          <w:lang w:val="en-US"/>
        </w:rPr>
        <w:t>institutionalisation</w:t>
      </w:r>
      <w:proofErr w:type="spellEnd"/>
      <w:r w:rsidRPr="00C93720">
        <w:rPr>
          <w:rFonts w:cs="Arial"/>
          <w:lang w:val="en-US"/>
        </w:rPr>
        <w:t xml:space="preserve"> and related healthcare and societal costs in a community-based cohort of patients with Alzheimer’s disease dementia</w:t>
      </w:r>
    </w:p>
    <w:p w:rsidR="00F76051" w:rsidRPr="00C93720" w:rsidRDefault="00F76051" w:rsidP="00F76051">
      <w:pPr>
        <w:spacing w:after="0" w:line="240" w:lineRule="auto"/>
        <w:rPr>
          <w:rFonts w:cs="Arial"/>
          <w:lang w:val="en-US"/>
        </w:rPr>
      </w:pPr>
      <w:r w:rsidRPr="00C93720">
        <w:rPr>
          <w:rFonts w:cs="Arial"/>
          <w:b/>
          <w:lang w:val="en-US"/>
        </w:rPr>
        <w:t>Authors:</w:t>
      </w:r>
      <w:r w:rsidRPr="00B6053C">
        <w:rPr>
          <w:rFonts w:ascii="Arial" w:hAnsi="Arial" w:cs="Arial"/>
          <w:i/>
        </w:rPr>
        <w:t xml:space="preserve"> </w:t>
      </w:r>
      <w:r w:rsidRPr="00C93720">
        <w:rPr>
          <w:rFonts w:cs="Arial"/>
          <w:lang w:val="en-US"/>
        </w:rPr>
        <w:t xml:space="preserve">Mark Belger, Josep Maria </w:t>
      </w:r>
      <w:proofErr w:type="spellStart"/>
      <w:r w:rsidRPr="00C93720">
        <w:rPr>
          <w:rFonts w:cs="Arial"/>
          <w:lang w:val="en-US"/>
        </w:rPr>
        <w:t>Haro</w:t>
      </w:r>
      <w:proofErr w:type="spellEnd"/>
      <w:r w:rsidRPr="00C93720">
        <w:rPr>
          <w:rFonts w:cs="Arial"/>
          <w:lang w:val="en-US"/>
        </w:rPr>
        <w:t>, Catherine Reed, Michael Happich, Josep Maria Argimon, Giuseppe Bruno, Richard Dodel, Roy W. Jones, Bruno Vellas, Anders Wimo</w:t>
      </w:r>
    </w:p>
    <w:p w:rsidR="00F76051" w:rsidRDefault="00F76051" w:rsidP="00F76051">
      <w:pPr>
        <w:spacing w:after="0" w:line="240" w:lineRule="auto"/>
      </w:pPr>
      <w:r>
        <w:rPr>
          <w:rFonts w:cs="Arial"/>
          <w:b/>
          <w:lang w:val="en-US"/>
        </w:rPr>
        <w:t xml:space="preserve">Corresponding author: </w:t>
      </w:r>
      <w:r w:rsidRPr="00C93720">
        <w:rPr>
          <w:rFonts w:cs="Arial"/>
          <w:lang w:val="en-US"/>
        </w:rPr>
        <w:t xml:space="preserve">Mark Belger, </w:t>
      </w:r>
      <w:proofErr w:type="spellStart"/>
      <w:r w:rsidRPr="00C93720">
        <w:rPr>
          <w:rFonts w:cs="Arial"/>
          <w:lang w:val="en-US"/>
        </w:rPr>
        <w:t>Erl</w:t>
      </w:r>
      <w:proofErr w:type="spellEnd"/>
      <w:r w:rsidRPr="00C93720">
        <w:rPr>
          <w:rFonts w:cs="Arial"/>
          <w:lang w:val="en-US"/>
        </w:rPr>
        <w:t xml:space="preserve"> Wood Manor, </w:t>
      </w:r>
      <w:proofErr w:type="spellStart"/>
      <w:r w:rsidRPr="00C93720">
        <w:rPr>
          <w:rFonts w:cs="Arial"/>
          <w:lang w:val="en-US"/>
        </w:rPr>
        <w:t>Sunninghill</w:t>
      </w:r>
      <w:proofErr w:type="spellEnd"/>
      <w:r w:rsidRPr="00C93720">
        <w:rPr>
          <w:rFonts w:cs="Arial"/>
          <w:lang w:val="en-US"/>
        </w:rPr>
        <w:t xml:space="preserve"> Road, </w:t>
      </w:r>
      <w:proofErr w:type="spellStart"/>
      <w:r w:rsidRPr="00C93720">
        <w:rPr>
          <w:rFonts w:cs="Arial"/>
          <w:lang w:val="en-US"/>
        </w:rPr>
        <w:t>Windlesham</w:t>
      </w:r>
      <w:proofErr w:type="spellEnd"/>
      <w:r w:rsidRPr="00C93720">
        <w:rPr>
          <w:rFonts w:cs="Arial"/>
          <w:lang w:val="en-US"/>
        </w:rPr>
        <w:t>, Surrey, GU</w:t>
      </w:r>
      <w:r w:rsidRPr="00C93720">
        <w:t>20 6PH</w:t>
      </w:r>
      <w:r>
        <w:t xml:space="preserve">, email: </w:t>
      </w:r>
      <w:hyperlink r:id="rId4" w:history="1">
        <w:r w:rsidRPr="00C12075">
          <w:rPr>
            <w:rStyle w:val="Hyperlink"/>
          </w:rPr>
          <w:t>belger_mark@lilly.com</w:t>
        </w:r>
      </w:hyperlink>
    </w:p>
    <w:p w:rsidR="00F76051" w:rsidRPr="00C93720" w:rsidRDefault="00F76051" w:rsidP="00F76051">
      <w:pPr>
        <w:spacing w:after="0" w:line="240" w:lineRule="auto"/>
        <w:rPr>
          <w:rFonts w:cs="Arial"/>
          <w:b/>
          <w:lang w:val="en-US"/>
        </w:rPr>
      </w:pPr>
    </w:p>
    <w:p w:rsidR="00F76051" w:rsidRPr="00D00FA3" w:rsidRDefault="00F76051" w:rsidP="00F76051">
      <w:pPr>
        <w:pStyle w:val="Legend"/>
      </w:pPr>
      <w:r>
        <w:rPr>
          <w:b/>
        </w:rPr>
        <w:t>Online Resource 3</w:t>
      </w:r>
      <w:r w:rsidRPr="00D00FA3">
        <w:tab/>
      </w:r>
      <w:r>
        <w:t>Cost e</w:t>
      </w:r>
      <w:r w:rsidRPr="00D00FA3">
        <w:t xml:space="preserve">stimates </w:t>
      </w:r>
      <w:r>
        <w:t xml:space="preserve">(in </w:t>
      </w:r>
      <w:r>
        <w:rPr>
          <w:rFonts w:cs="Arial"/>
        </w:rPr>
        <w:t>€</w:t>
      </w:r>
      <w:r>
        <w:t xml:space="preserve">) </w:t>
      </w:r>
      <w:r w:rsidRPr="00D00FA3">
        <w:t>from log-normal regression model</w:t>
      </w:r>
      <w:r>
        <w:t>s</w:t>
      </w:r>
      <w:r w:rsidRPr="00D00FA3">
        <w:t xml:space="preserve"> of the association between costs and time to institutionalisation</w:t>
      </w:r>
      <w:r>
        <w:t xml:space="preserve"> in Germany</w:t>
      </w:r>
      <w:r w:rsidRPr="00D00FA3">
        <w:t xml:space="preserve"> </w:t>
      </w: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1560"/>
        <w:gridCol w:w="1890"/>
        <w:gridCol w:w="2330"/>
      </w:tblGrid>
      <w:tr w:rsidR="00F76051" w:rsidRPr="008743FF" w:rsidTr="00D0756C">
        <w:trPr>
          <w:cantSplit/>
          <w:tblHeader/>
          <w:jc w:val="center"/>
        </w:trPr>
        <w:tc>
          <w:tcPr>
            <w:tcW w:w="2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keepNext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b/>
                <w:color w:val="000000" w:themeColor="text1"/>
              </w:rPr>
            </w:pPr>
            <w:r w:rsidRPr="00437689">
              <w:rPr>
                <w:b/>
                <w:color w:val="000000" w:themeColor="text1"/>
              </w:rPr>
              <w:t>Estimate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b/>
                <w:color w:val="000000" w:themeColor="text1"/>
              </w:rPr>
            </w:pPr>
            <w:r w:rsidRPr="00437689">
              <w:rPr>
                <w:b/>
                <w:color w:val="000000" w:themeColor="text1"/>
              </w:rPr>
              <w:t>Standard error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b/>
                <w:color w:val="000000" w:themeColor="text1"/>
              </w:rPr>
            </w:pPr>
            <w:r w:rsidRPr="00437689">
              <w:rPr>
                <w:b/>
                <w:i/>
                <w:color w:val="000000" w:themeColor="text1"/>
              </w:rPr>
              <w:t>p</w:t>
            </w:r>
            <w:r w:rsidRPr="00437689">
              <w:rPr>
                <w:b/>
                <w:color w:val="000000" w:themeColor="text1"/>
              </w:rPr>
              <w:t xml:space="preserve"> value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rPr>
                <w:b/>
                <w:i/>
                <w:color w:val="000000" w:themeColor="text1"/>
              </w:rPr>
            </w:pPr>
            <w:r w:rsidRPr="00437689">
              <w:rPr>
                <w:b/>
                <w:i/>
                <w:color w:val="000000" w:themeColor="text1"/>
              </w:rPr>
              <w:t xml:space="preserve">Total societal </w:t>
            </w:r>
            <w:proofErr w:type="spellStart"/>
            <w:r w:rsidRPr="00437689">
              <w:rPr>
                <w:b/>
                <w:i/>
                <w:color w:val="000000" w:themeColor="text1"/>
              </w:rPr>
              <w:t>costs</w:t>
            </w:r>
            <w:r w:rsidRPr="00B61B7A">
              <w:rPr>
                <w:b/>
                <w:i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keepNext/>
              <w:jc w:val="center"/>
              <w:rPr>
                <w:color w:val="FF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keepNext/>
              <w:jc w:val="center"/>
              <w:rPr>
                <w:color w:val="FF0000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keepNext/>
              <w:jc w:val="center"/>
              <w:rPr>
                <w:color w:val="FF0000"/>
              </w:rPr>
            </w:pP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rPr>
                <w:color w:val="000000" w:themeColor="text1"/>
              </w:rPr>
            </w:pPr>
            <w:r w:rsidRPr="00437689">
              <w:rPr>
                <w:color w:val="000000" w:themeColor="text1"/>
              </w:rPr>
              <w:t>Intercept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3743.01</w:t>
            </w:r>
          </w:p>
        </w:tc>
        <w:tc>
          <w:tcPr>
            <w:tcW w:w="189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147.34</w:t>
            </w:r>
          </w:p>
        </w:tc>
        <w:tc>
          <w:tcPr>
            <w:tcW w:w="233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keepNext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rPr>
                <w:color w:val="000000" w:themeColor="text1"/>
              </w:rPr>
            </w:pPr>
            <w:r w:rsidRPr="00437689">
              <w:rPr>
                <w:color w:val="000000" w:themeColor="text1"/>
              </w:rPr>
              <w:t>Time to institutionalisation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-193.47</w:t>
            </w:r>
          </w:p>
        </w:tc>
        <w:tc>
          <w:tcPr>
            <w:tcW w:w="189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28.84</w:t>
            </w:r>
          </w:p>
        </w:tc>
        <w:tc>
          <w:tcPr>
            <w:tcW w:w="233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113E79" w:rsidRDefault="00F76051" w:rsidP="00D0756C">
            <w:pPr>
              <w:pStyle w:val="Tabletext"/>
              <w:rPr>
                <w:color w:val="000000" w:themeColor="text1"/>
              </w:rPr>
            </w:pPr>
            <w:r w:rsidRPr="00113E79">
              <w:rPr>
                <w:color w:val="000000" w:themeColor="text1"/>
              </w:rPr>
              <w:t>Time to institutionalisation</w:t>
            </w:r>
            <w:r w:rsidRPr="00113E79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3.21</w:t>
            </w:r>
          </w:p>
        </w:tc>
        <w:tc>
          <w:tcPr>
            <w:tcW w:w="189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1.18</w:t>
            </w:r>
          </w:p>
        </w:tc>
        <w:tc>
          <w:tcPr>
            <w:tcW w:w="2330" w:type="dxa"/>
            <w:shd w:val="clear" w:color="auto" w:fill="auto"/>
          </w:tcPr>
          <w:p w:rsidR="00F76051" w:rsidRPr="00437689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0.007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rPr>
                <w:b/>
                <w:i/>
                <w:color w:val="FF0000"/>
              </w:rPr>
            </w:pPr>
            <w:r w:rsidRPr="00E8345B">
              <w:rPr>
                <w:b/>
                <w:i/>
                <w:color w:val="000000" w:themeColor="text1"/>
              </w:rPr>
              <w:t xml:space="preserve">Total patient </w:t>
            </w:r>
            <w:proofErr w:type="spellStart"/>
            <w:r w:rsidRPr="00E8345B">
              <w:rPr>
                <w:b/>
                <w:i/>
                <w:color w:val="000000" w:themeColor="text1"/>
              </w:rPr>
              <w:t>costs</w:t>
            </w:r>
            <w:r w:rsidRPr="00B61B7A">
              <w:rPr>
                <w:b/>
                <w:i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  <w:tc>
          <w:tcPr>
            <w:tcW w:w="1890" w:type="dxa"/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  <w:tc>
          <w:tcPr>
            <w:tcW w:w="2330" w:type="dxa"/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rPr>
                <w:color w:val="000000" w:themeColor="text1"/>
              </w:rPr>
            </w:pPr>
            <w:r w:rsidRPr="000413ED">
              <w:rPr>
                <w:color w:val="000000" w:themeColor="text1"/>
              </w:rPr>
              <w:t>Intercept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2036.63</w:t>
            </w:r>
          </w:p>
        </w:tc>
        <w:tc>
          <w:tcPr>
            <w:tcW w:w="189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124.73</w:t>
            </w:r>
          </w:p>
        </w:tc>
        <w:tc>
          <w:tcPr>
            <w:tcW w:w="233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rPr>
                <w:color w:val="000000" w:themeColor="text1"/>
              </w:rPr>
            </w:pPr>
            <w:r w:rsidRPr="000413ED">
              <w:rPr>
                <w:color w:val="000000" w:themeColor="text1"/>
              </w:rPr>
              <w:t>Time to institutionalisation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-286.40</w:t>
            </w:r>
          </w:p>
        </w:tc>
        <w:tc>
          <w:tcPr>
            <w:tcW w:w="189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40.27</w:t>
            </w:r>
          </w:p>
        </w:tc>
        <w:tc>
          <w:tcPr>
            <w:tcW w:w="233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rPr>
                <w:color w:val="000000" w:themeColor="text1"/>
              </w:rPr>
            </w:pPr>
            <w:r w:rsidRPr="000413ED">
              <w:rPr>
                <w:color w:val="000000" w:themeColor="text1"/>
              </w:rPr>
              <w:t>Time to institutionalisation</w:t>
            </w:r>
            <w:r w:rsidRPr="000413ED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18.34</w:t>
            </w:r>
          </w:p>
        </w:tc>
        <w:tc>
          <w:tcPr>
            <w:tcW w:w="189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3.67</w:t>
            </w:r>
          </w:p>
        </w:tc>
        <w:tc>
          <w:tcPr>
            <w:tcW w:w="233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rPr>
                <w:color w:val="000000" w:themeColor="text1"/>
              </w:rPr>
            </w:pPr>
            <w:r w:rsidRPr="000413ED">
              <w:rPr>
                <w:color w:val="000000" w:themeColor="text1"/>
              </w:rPr>
              <w:t>Time to institutionalisation</w:t>
            </w:r>
            <w:r w:rsidRPr="000413ED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-0.40</w:t>
            </w:r>
          </w:p>
        </w:tc>
        <w:tc>
          <w:tcPr>
            <w:tcW w:w="189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0.09</w:t>
            </w:r>
          </w:p>
        </w:tc>
        <w:tc>
          <w:tcPr>
            <w:tcW w:w="2330" w:type="dxa"/>
            <w:shd w:val="clear" w:color="auto" w:fill="auto"/>
          </w:tcPr>
          <w:p w:rsidR="00F76051" w:rsidRPr="000413E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rPr>
                <w:b/>
                <w:i/>
                <w:color w:val="FF0000"/>
              </w:rPr>
            </w:pPr>
            <w:r w:rsidRPr="00367241">
              <w:rPr>
                <w:b/>
                <w:i/>
                <w:color w:val="000000" w:themeColor="text1"/>
              </w:rPr>
              <w:t xml:space="preserve">Patient healthcare </w:t>
            </w:r>
            <w:proofErr w:type="spellStart"/>
            <w:r w:rsidRPr="00367241">
              <w:rPr>
                <w:b/>
                <w:i/>
                <w:color w:val="000000" w:themeColor="text1"/>
              </w:rPr>
              <w:t>costs</w:t>
            </w:r>
            <w:r w:rsidRPr="00B61B7A">
              <w:rPr>
                <w:b/>
                <w:i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  <w:tc>
          <w:tcPr>
            <w:tcW w:w="1890" w:type="dxa"/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  <w:tc>
          <w:tcPr>
            <w:tcW w:w="2330" w:type="dxa"/>
            <w:shd w:val="clear" w:color="auto" w:fill="auto"/>
          </w:tcPr>
          <w:p w:rsidR="00F76051" w:rsidRPr="008743FF" w:rsidRDefault="00F76051" w:rsidP="00D0756C">
            <w:pPr>
              <w:pStyle w:val="Tabletext"/>
              <w:jc w:val="center"/>
              <w:rPr>
                <w:color w:val="FF0000"/>
              </w:rPr>
            </w:pP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rPr>
                <w:color w:val="000000" w:themeColor="text1"/>
              </w:rPr>
            </w:pPr>
            <w:r w:rsidRPr="00623B4D">
              <w:rPr>
                <w:color w:val="000000" w:themeColor="text1"/>
              </w:rPr>
              <w:t>Intercept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472.57</w:t>
            </w:r>
          </w:p>
        </w:tc>
        <w:tc>
          <w:tcPr>
            <w:tcW w:w="189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62.79</w:t>
            </w:r>
          </w:p>
        </w:tc>
        <w:tc>
          <w:tcPr>
            <w:tcW w:w="233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&lt;0.0001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rPr>
                <w:color w:val="000000" w:themeColor="text1"/>
              </w:rPr>
            </w:pPr>
            <w:r w:rsidRPr="00623B4D">
              <w:rPr>
                <w:color w:val="000000" w:themeColor="text1"/>
              </w:rPr>
              <w:t>Time to institutionalisation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-11.69</w:t>
            </w:r>
          </w:p>
        </w:tc>
        <w:tc>
          <w:tcPr>
            <w:tcW w:w="189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12.29</w:t>
            </w:r>
          </w:p>
        </w:tc>
        <w:tc>
          <w:tcPr>
            <w:tcW w:w="233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0.34</w:t>
            </w:r>
          </w:p>
        </w:tc>
      </w:tr>
      <w:tr w:rsidR="00F76051" w:rsidRPr="008743FF" w:rsidTr="00D0756C">
        <w:trPr>
          <w:cantSplit/>
          <w:jc w:val="center"/>
        </w:trPr>
        <w:tc>
          <w:tcPr>
            <w:tcW w:w="2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rPr>
                <w:color w:val="000000" w:themeColor="text1"/>
              </w:rPr>
            </w:pPr>
            <w:r w:rsidRPr="00623B4D">
              <w:rPr>
                <w:color w:val="000000" w:themeColor="text1"/>
              </w:rPr>
              <w:t>Time to institutionalisation</w:t>
            </w:r>
            <w:r w:rsidRPr="00623B4D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0.20</w:t>
            </w:r>
          </w:p>
        </w:tc>
        <w:tc>
          <w:tcPr>
            <w:tcW w:w="189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0.50</w:t>
            </w:r>
          </w:p>
        </w:tc>
        <w:tc>
          <w:tcPr>
            <w:tcW w:w="2330" w:type="dxa"/>
            <w:shd w:val="clear" w:color="auto" w:fill="auto"/>
          </w:tcPr>
          <w:p w:rsidR="00F76051" w:rsidRPr="00623B4D" w:rsidRDefault="00F76051" w:rsidP="00D0756C">
            <w:pPr>
              <w:pStyle w:val="Table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0.69</w:t>
            </w:r>
          </w:p>
        </w:tc>
      </w:tr>
    </w:tbl>
    <w:p w:rsidR="00F76051" w:rsidRDefault="00F76051" w:rsidP="00F76051">
      <w:pPr>
        <w:pStyle w:val="Footnote"/>
        <w:rPr>
          <w:color w:val="000000" w:themeColor="text1"/>
        </w:rPr>
      </w:pPr>
      <w:r w:rsidRPr="00A43581">
        <w:rPr>
          <w:color w:val="000000" w:themeColor="text1"/>
        </w:rPr>
        <w:t>Time to institutionalisation</w:t>
      </w:r>
      <w:r>
        <w:rPr>
          <w:color w:val="000000" w:themeColor="text1"/>
        </w:rPr>
        <w:t xml:space="preserve"> (Pre-Inst in equations below)</w:t>
      </w:r>
      <w:r w:rsidRPr="00A43581">
        <w:rPr>
          <w:color w:val="000000" w:themeColor="text1"/>
        </w:rPr>
        <w:t xml:space="preserve"> is in years</w:t>
      </w:r>
    </w:p>
    <w:p w:rsidR="00F76051" w:rsidRPr="00A43581" w:rsidRDefault="00F76051" w:rsidP="00F76051">
      <w:pPr>
        <w:pStyle w:val="Footnote"/>
        <w:rPr>
          <w:color w:val="000000" w:themeColor="text1"/>
        </w:rPr>
      </w:pPr>
      <w:proofErr w:type="spellStart"/>
      <w:proofErr w:type="gramStart"/>
      <w:r w:rsidRPr="00B61B7A">
        <w:rPr>
          <w:color w:val="000000" w:themeColor="text1"/>
          <w:vertAlign w:val="superscript"/>
        </w:rPr>
        <w:t>a</w:t>
      </w:r>
      <w:r>
        <w:rPr>
          <w:color w:val="000000" w:themeColor="text1"/>
        </w:rPr>
        <w:t>The</w:t>
      </w:r>
      <w:proofErr w:type="spellEnd"/>
      <w:proofErr w:type="gramEnd"/>
      <w:r>
        <w:rPr>
          <w:color w:val="000000" w:themeColor="text1"/>
        </w:rPr>
        <w:t xml:space="preserve"> superscripts 2 and 3 refer to the quadratic and cubic terms, respectively, of the variable ‘time to institutionalisation’</w:t>
      </w:r>
    </w:p>
    <w:p w:rsidR="00F76051" w:rsidRPr="00F9687B" w:rsidRDefault="00F76051" w:rsidP="00F76051">
      <w:pPr>
        <w:pStyle w:val="Footnote"/>
        <w:rPr>
          <w:color w:val="000000" w:themeColor="text1"/>
        </w:rPr>
      </w:pPr>
      <w:r w:rsidRPr="00F9687B">
        <w:rPr>
          <w:color w:val="000000" w:themeColor="text1"/>
        </w:rPr>
        <w:t>Estimates can be converted into the following equations:</w:t>
      </w:r>
    </w:p>
    <w:p w:rsidR="00F76051" w:rsidRPr="00F9687B" w:rsidRDefault="00F76051" w:rsidP="00F76051">
      <w:pPr>
        <w:pStyle w:val="Footnote"/>
        <w:rPr>
          <w:color w:val="000000" w:themeColor="text1"/>
        </w:rPr>
      </w:pPr>
      <w:r w:rsidRPr="00F9687B">
        <w:rPr>
          <w:color w:val="000000" w:themeColor="text1"/>
        </w:rPr>
        <w:t>EQ1: Total societal costs (</w:t>
      </w:r>
      <w:r>
        <w:rPr>
          <w:rFonts w:cs="Arial"/>
          <w:color w:val="000000" w:themeColor="text1"/>
        </w:rPr>
        <w:t>€</w:t>
      </w:r>
      <w:r w:rsidRPr="00F9687B">
        <w:rPr>
          <w:color w:val="000000" w:themeColor="text1"/>
        </w:rPr>
        <w:t>) =</w:t>
      </w:r>
      <w:r>
        <w:rPr>
          <w:color w:val="000000" w:themeColor="text1"/>
        </w:rPr>
        <w:t xml:space="preserve"> 3743.01 </w:t>
      </w:r>
      <w:r w:rsidRPr="00F9687B">
        <w:rPr>
          <w:color w:val="000000" w:themeColor="text1"/>
        </w:rPr>
        <w:t>– (</w:t>
      </w:r>
      <w:r>
        <w:rPr>
          <w:color w:val="000000" w:themeColor="text1"/>
        </w:rPr>
        <w:t>193.47</w:t>
      </w:r>
      <w:r w:rsidRPr="00F9687B">
        <w:rPr>
          <w:color w:val="000000" w:themeColor="text1"/>
        </w:rPr>
        <w:t xml:space="preserve"> Pre-Inst) + (</w:t>
      </w:r>
      <w:r>
        <w:rPr>
          <w:color w:val="000000" w:themeColor="text1"/>
        </w:rPr>
        <w:t>3.21</w:t>
      </w:r>
      <w:r w:rsidRPr="00F9687B">
        <w:rPr>
          <w:color w:val="000000" w:themeColor="text1"/>
        </w:rPr>
        <w:t xml:space="preserve"> Pre-Inst</w:t>
      </w:r>
      <w:r w:rsidRPr="00F9687B">
        <w:rPr>
          <w:color w:val="000000" w:themeColor="text1"/>
          <w:vertAlign w:val="superscript"/>
        </w:rPr>
        <w:t>2</w:t>
      </w:r>
      <w:r w:rsidRPr="00F9687B">
        <w:rPr>
          <w:color w:val="000000" w:themeColor="text1"/>
        </w:rPr>
        <w:t xml:space="preserve">) </w:t>
      </w:r>
    </w:p>
    <w:p w:rsidR="00F76051" w:rsidRPr="00F9687B" w:rsidRDefault="00F76051" w:rsidP="00F76051">
      <w:pPr>
        <w:pStyle w:val="Footnote"/>
        <w:rPr>
          <w:color w:val="000000" w:themeColor="text1"/>
        </w:rPr>
      </w:pPr>
      <w:r w:rsidRPr="00F9687B">
        <w:rPr>
          <w:color w:val="000000" w:themeColor="text1"/>
        </w:rPr>
        <w:t>EQ2: Total patient costs (</w:t>
      </w:r>
      <w:r>
        <w:rPr>
          <w:rFonts w:cs="Arial"/>
          <w:color w:val="000000" w:themeColor="text1"/>
        </w:rPr>
        <w:t>€</w:t>
      </w:r>
      <w:r w:rsidRPr="00F9687B">
        <w:rPr>
          <w:color w:val="000000" w:themeColor="text1"/>
        </w:rPr>
        <w:t xml:space="preserve">) = </w:t>
      </w:r>
      <w:r>
        <w:rPr>
          <w:color w:val="000000" w:themeColor="text1"/>
        </w:rPr>
        <w:t>2036.63</w:t>
      </w:r>
      <w:r w:rsidRPr="00F9687B">
        <w:rPr>
          <w:color w:val="000000" w:themeColor="text1"/>
        </w:rPr>
        <w:t xml:space="preserve"> – (</w:t>
      </w:r>
      <w:r>
        <w:rPr>
          <w:color w:val="000000" w:themeColor="text1"/>
        </w:rPr>
        <w:t>286.40</w:t>
      </w:r>
      <w:r w:rsidRPr="00F9687B">
        <w:rPr>
          <w:color w:val="000000" w:themeColor="text1"/>
        </w:rPr>
        <w:t xml:space="preserve"> Pre-Inst) + (</w:t>
      </w:r>
      <w:r>
        <w:rPr>
          <w:color w:val="000000" w:themeColor="text1"/>
        </w:rPr>
        <w:t>18.34</w:t>
      </w:r>
      <w:r w:rsidRPr="00F9687B">
        <w:rPr>
          <w:color w:val="000000" w:themeColor="text1"/>
        </w:rPr>
        <w:t xml:space="preserve"> Pre-Inst</w:t>
      </w:r>
      <w:r w:rsidRPr="00F9687B">
        <w:rPr>
          <w:color w:val="000000" w:themeColor="text1"/>
          <w:vertAlign w:val="superscript"/>
        </w:rPr>
        <w:t>2</w:t>
      </w:r>
      <w:r w:rsidRPr="00F9687B">
        <w:rPr>
          <w:color w:val="000000" w:themeColor="text1"/>
        </w:rPr>
        <w:t>) – (</w:t>
      </w:r>
      <w:r>
        <w:rPr>
          <w:color w:val="000000" w:themeColor="text1"/>
        </w:rPr>
        <w:t>0.40</w:t>
      </w:r>
      <w:r w:rsidRPr="00F9687B">
        <w:rPr>
          <w:color w:val="000000" w:themeColor="text1"/>
        </w:rPr>
        <w:t xml:space="preserve"> Pre-Inst</w:t>
      </w:r>
      <w:r w:rsidRPr="00F9687B">
        <w:rPr>
          <w:color w:val="000000" w:themeColor="text1"/>
          <w:vertAlign w:val="superscript"/>
        </w:rPr>
        <w:t>3</w:t>
      </w:r>
      <w:r w:rsidRPr="00F9687B">
        <w:rPr>
          <w:color w:val="000000" w:themeColor="text1"/>
        </w:rPr>
        <w:t>)</w:t>
      </w:r>
    </w:p>
    <w:p w:rsidR="00F76051" w:rsidRPr="008743FF" w:rsidRDefault="00F76051" w:rsidP="00F76051">
      <w:pPr>
        <w:pStyle w:val="Footnote"/>
        <w:rPr>
          <w:color w:val="FF0000"/>
        </w:rPr>
      </w:pPr>
      <w:r w:rsidRPr="00F9687B">
        <w:rPr>
          <w:color w:val="000000" w:themeColor="text1"/>
        </w:rPr>
        <w:t xml:space="preserve">EQ3: Patient healthcare costs </w:t>
      </w:r>
      <w:r>
        <w:rPr>
          <w:rFonts w:cs="Arial"/>
          <w:color w:val="000000" w:themeColor="text1"/>
        </w:rPr>
        <w:t>€</w:t>
      </w:r>
      <w:r w:rsidRPr="00F9687B">
        <w:rPr>
          <w:color w:val="000000" w:themeColor="text1"/>
        </w:rPr>
        <w:t xml:space="preserve">) = </w:t>
      </w:r>
      <w:r>
        <w:rPr>
          <w:color w:val="000000" w:themeColor="text1"/>
        </w:rPr>
        <w:t>472.57</w:t>
      </w:r>
      <w:r w:rsidRPr="00F9687B">
        <w:rPr>
          <w:color w:val="000000" w:themeColor="text1"/>
        </w:rPr>
        <w:t xml:space="preserve"> – (</w:t>
      </w:r>
      <w:r>
        <w:rPr>
          <w:color w:val="000000" w:themeColor="text1"/>
        </w:rPr>
        <w:t>11.69</w:t>
      </w:r>
      <w:r w:rsidRPr="00F9687B">
        <w:rPr>
          <w:color w:val="000000" w:themeColor="text1"/>
        </w:rPr>
        <w:t xml:space="preserve"> Pre-Inst) + (</w:t>
      </w:r>
      <w:r>
        <w:rPr>
          <w:color w:val="000000" w:themeColor="text1"/>
        </w:rPr>
        <w:t>0.20</w:t>
      </w:r>
      <w:r w:rsidRPr="00F9687B">
        <w:rPr>
          <w:color w:val="000000" w:themeColor="text1"/>
        </w:rPr>
        <w:t xml:space="preserve"> Pre-Inst</w:t>
      </w:r>
      <w:r w:rsidRPr="00F9687B">
        <w:rPr>
          <w:color w:val="000000" w:themeColor="text1"/>
          <w:vertAlign w:val="superscript"/>
        </w:rPr>
        <w:t>2</w:t>
      </w:r>
      <w:r w:rsidRPr="00F9687B">
        <w:rPr>
          <w:color w:val="000000" w:themeColor="text1"/>
        </w:rPr>
        <w:t>)</w:t>
      </w:r>
    </w:p>
    <w:p w:rsidR="00F76051" w:rsidRPr="008743FF" w:rsidRDefault="00F76051" w:rsidP="00F76051">
      <w:pPr>
        <w:pStyle w:val="Footnote"/>
        <w:rPr>
          <w:color w:val="FF0000"/>
        </w:rPr>
      </w:pPr>
    </w:p>
    <w:p w:rsidR="00F76051" w:rsidRDefault="00F76051" w:rsidP="00F76051">
      <w:pPr>
        <w:pStyle w:val="Legend"/>
        <w:ind w:left="0" w:firstLine="0"/>
      </w:pPr>
      <w:bookmarkStart w:id="0" w:name="_GoBack"/>
      <w:bookmarkEnd w:id="0"/>
    </w:p>
    <w:p w:rsidR="00513F55" w:rsidRDefault="00513F55"/>
    <w:sectPr w:rsidR="0051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51"/>
    <w:rsid w:val="00513F55"/>
    <w:rsid w:val="00F7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3BB89-D3F5-4B83-81C2-54F32847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end">
    <w:name w:val="Legend"/>
    <w:next w:val="Normal"/>
    <w:rsid w:val="00F76051"/>
    <w:pPr>
      <w:keepNext/>
      <w:spacing w:after="120" w:line="480" w:lineRule="auto"/>
      <w:ind w:left="1134" w:hanging="1134"/>
    </w:pPr>
    <w:rPr>
      <w:rFonts w:ascii="Arial" w:eastAsia="Times New Roman" w:hAnsi="Arial" w:cs="Times New Roman"/>
      <w:szCs w:val="24"/>
    </w:rPr>
  </w:style>
  <w:style w:type="paragraph" w:customStyle="1" w:styleId="Tabletext">
    <w:name w:val="Table text"/>
    <w:rsid w:val="00F76051"/>
    <w:pPr>
      <w:spacing w:before="40" w:after="40" w:line="36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ootnote">
    <w:name w:val="Footnote"/>
    <w:rsid w:val="00F76051"/>
    <w:pPr>
      <w:spacing w:before="120"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styleId="Hyperlink">
    <w:name w:val="Hyperlink"/>
    <w:uiPriority w:val="99"/>
    <w:rsid w:val="00F76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ger_mark@lil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1</cp:revision>
  <dcterms:created xsi:type="dcterms:W3CDTF">2018-07-10T08:26:00Z</dcterms:created>
  <dcterms:modified xsi:type="dcterms:W3CDTF">2018-07-10T08:29:00Z</dcterms:modified>
</cp:coreProperties>
</file>