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F2B" w:rsidRPr="008860CB" w:rsidRDefault="00541F2B" w:rsidP="00541F2B">
      <w:pPr>
        <w:spacing w:line="360" w:lineRule="auto"/>
        <w:rPr>
          <w:rFonts w:ascii="Times New Roman"/>
          <w:sz w:val="20"/>
          <w:szCs w:val="20"/>
          <w:lang w:eastAsia="nl-NL"/>
        </w:rPr>
      </w:pPr>
      <w:r w:rsidRPr="008860CB">
        <w:rPr>
          <w:rFonts w:ascii="Times New Roman"/>
          <w:sz w:val="20"/>
          <w:szCs w:val="20"/>
          <w:lang w:eastAsia="nl-NL"/>
        </w:rPr>
        <w:t xml:space="preserve">Supplemental Table 1: </w:t>
      </w:r>
      <w:r w:rsidRPr="008860CB">
        <w:rPr>
          <w:rFonts w:ascii="Times New Roman"/>
          <w:sz w:val="20"/>
          <w:szCs w:val="20"/>
        </w:rPr>
        <w:t>list of included products in the training set and validation set.</w:t>
      </w:r>
    </w:p>
    <w:tbl>
      <w:tblPr>
        <w:tblW w:w="8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2400"/>
        <w:gridCol w:w="1840"/>
        <w:gridCol w:w="2335"/>
      </w:tblGrid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b/>
                <w:bCs/>
                <w:color w:val="000000"/>
                <w:sz w:val="20"/>
                <w:szCs w:val="20"/>
                <w:lang w:val="nl-NL" w:eastAsia="nl-NL"/>
              </w:rPr>
            </w:pPr>
            <w:r w:rsidRPr="008860CB">
              <w:rPr>
                <w:rFonts w:ascii="Times New Roman"/>
                <w:b/>
                <w:bCs/>
                <w:color w:val="000000"/>
                <w:sz w:val="20"/>
                <w:szCs w:val="20"/>
                <w:lang w:val="nl-NL" w:eastAsia="nl-NL"/>
              </w:rPr>
              <w:t>Training set product name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8860CB">
              <w:rPr>
                <w:rFonts w:ascii="Times New Roman"/>
                <w:b/>
                <w:bCs/>
                <w:color w:val="000000"/>
                <w:sz w:val="20"/>
                <w:szCs w:val="20"/>
                <w:lang w:eastAsia="nl-NL"/>
              </w:rPr>
              <w:t>Training set active substance name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b/>
                <w:bCs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b/>
                <w:bCs/>
                <w:color w:val="000000"/>
                <w:sz w:val="20"/>
                <w:szCs w:val="20"/>
                <w:lang w:val="nl-NL" w:eastAsia="nl-NL"/>
              </w:rPr>
              <w:t>Validation</w:t>
            </w:r>
            <w:proofErr w:type="spellEnd"/>
            <w:r w:rsidRPr="008860CB">
              <w:rPr>
                <w:rFonts w:ascii="Times New Roman"/>
                <w:b/>
                <w:bCs/>
                <w:color w:val="000000"/>
                <w:sz w:val="20"/>
                <w:szCs w:val="20"/>
                <w:lang w:val="nl-NL" w:eastAsia="nl-NL"/>
              </w:rPr>
              <w:t xml:space="preserve"> set product name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8860CB">
              <w:rPr>
                <w:rFonts w:ascii="Times New Roman"/>
                <w:b/>
                <w:bCs/>
                <w:color w:val="000000"/>
                <w:sz w:val="20"/>
                <w:szCs w:val="20"/>
                <w:lang w:eastAsia="nl-NL"/>
              </w:rPr>
              <w:t>Validation set active substance name</w:t>
            </w:r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Xeloda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capecitabine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Adcetris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Brentuximab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Avastin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bevacizumab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Zaltrap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aflibercept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Vectibix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panitumumab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Tagrisso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osimertinib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Erbitux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cetuximab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Inlyta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axitinib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Tyverb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lapatinib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Perjeta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pertuzumab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Glivec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imatinib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Venclyxto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venetoclax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Halaven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eribulin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Zykadia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ceritinib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Iressa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gefitinib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Erivedge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vismodegib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Votrient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pazopanib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Ibrance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palbociclib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MabCampath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alemtuzumab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Lartruvo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olaratumab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Nexavar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sorafenib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Pixuvri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pixantrone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Jevtana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cabazitaxel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Imbruvica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ibrutinib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Arzerra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ofatumumab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Teysuno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tegafur</w:t>
            </w:r>
            <w:proofErr w:type="spellEnd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 xml:space="preserve"> / </w:t>
            </w: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gimeracil</w:t>
            </w:r>
            <w:proofErr w:type="spellEnd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 xml:space="preserve"> / </w:t>
            </w: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oteracil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Tarceva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erlotinib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Jakavi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ruxolitinib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Sutent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sunitinib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Portrazza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necitumumab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Tasigna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nilotinib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Kadcyla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trastuzumab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Torisel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temsirolimus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Alecensa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alectinib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Alimta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pemetrexed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Lynparza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olaparib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Sprycel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dasatinib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Imlygic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talimogene</w:t>
            </w:r>
            <w:proofErr w:type="spellEnd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 xml:space="preserve"> </w:t>
            </w: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laherparepvec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Velcade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bortezomib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Caprelsa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vandetanib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Vidaza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azacitidine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Mekinist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trametinib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Yervoy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ipilimumab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Keytruda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pembrolizumab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Zelboraf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vemurafenib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Yondelis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trabectedin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Herceptin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trastuzumab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Zydelig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idelalisib</w:t>
            </w:r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Targretin</w:t>
            </w:r>
            <w:proofErr w:type="spellEnd"/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bexarotene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Opdivo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nivolumab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Kyprolis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carfilzomib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Cyramza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ramucirumab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Darzalex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daratumumab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Dacogen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decitabine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Cotellic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cobimetinib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Vargatef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nintedanib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Ninlaro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ixazomib</w:t>
            </w:r>
            <w:proofErr w:type="spellEnd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 xml:space="preserve"> </w:t>
            </w: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citrate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Xalkori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crizotinib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Atriance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nelarabine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Gazyvaro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obinutuzumab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Blincyto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blinatumomab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Lonsurf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trifluridine</w:t>
            </w:r>
            <w:proofErr w:type="spellEnd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 xml:space="preserve"> / </w:t>
            </w: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tipiracil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Giotrif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afatinib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Stivarga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regorafenib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Tafinlar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dabrafenib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Bosulif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bosutinib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Lenvima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lenvatinib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Farydak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panobinostat</w:t>
            </w:r>
            <w:proofErr w:type="spellEnd"/>
          </w:p>
        </w:tc>
      </w:tr>
      <w:tr w:rsidR="00541F2B" w:rsidRPr="008860CB" w:rsidTr="00DA30BB">
        <w:trPr>
          <w:trHeight w:val="300"/>
        </w:trPr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Evoltra</w:t>
            </w:r>
            <w:proofErr w:type="spellEnd"/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:rsidR="00541F2B" w:rsidRPr="008860CB" w:rsidRDefault="00541F2B" w:rsidP="00DA30BB">
            <w:pPr>
              <w:spacing w:after="0" w:line="360" w:lineRule="auto"/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860CB">
              <w:rPr>
                <w:rFonts w:ascii="Times New Roman"/>
                <w:color w:val="000000"/>
                <w:sz w:val="20"/>
                <w:szCs w:val="20"/>
                <w:lang w:val="nl-NL" w:eastAsia="nl-NL"/>
              </w:rPr>
              <w:t>clofarabine</w:t>
            </w:r>
            <w:proofErr w:type="spellEnd"/>
          </w:p>
        </w:tc>
      </w:tr>
    </w:tbl>
    <w:p w:rsidR="00541F2B" w:rsidRPr="008860CB" w:rsidRDefault="00541F2B" w:rsidP="00541F2B">
      <w:pPr>
        <w:spacing w:line="360" w:lineRule="auto"/>
        <w:rPr>
          <w:rFonts w:ascii="Times New Roman"/>
          <w:sz w:val="20"/>
          <w:szCs w:val="20"/>
        </w:rPr>
      </w:pPr>
      <w:r w:rsidRPr="008860CB">
        <w:rPr>
          <w:rFonts w:ascii="Times New Roman"/>
          <w:sz w:val="20"/>
          <w:szCs w:val="20"/>
        </w:rPr>
        <w:t xml:space="preserve"> </w:t>
      </w:r>
    </w:p>
    <w:p w:rsidR="00D21FE9" w:rsidRPr="008860CB" w:rsidRDefault="00D21FE9">
      <w:pPr>
        <w:rPr>
          <w:rFonts w:ascii="Times New Roman"/>
          <w:sz w:val="20"/>
          <w:szCs w:val="20"/>
        </w:rPr>
      </w:pPr>
      <w:bookmarkStart w:id="0" w:name="_GoBack"/>
      <w:bookmarkEnd w:id="0"/>
    </w:p>
    <w:sectPr w:rsidR="00D21FE9" w:rsidRPr="008860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B"/>
    <w:rsid w:val="00541F2B"/>
    <w:rsid w:val="006509CA"/>
    <w:rsid w:val="008860CB"/>
    <w:rsid w:val="008C6179"/>
    <w:rsid w:val="00CC18B9"/>
    <w:rsid w:val="00D2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D3DB372D-D695-4306-8617-7F6FE9730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1F2B"/>
    <w:pPr>
      <w:spacing w:after="160" w:line="259" w:lineRule="auto"/>
    </w:pPr>
    <w:rPr>
      <w:rFonts w:ascii="Verdana" w:eastAsia="Times New Roman" w:hAnsi="Times New Roman" w:cs="Times New Roman"/>
      <w:sz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AA85F6FD.dotm</Template>
  <TotalTime>0</TotalTime>
  <Pages>2</Pages>
  <Words>261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Geenen, J.W. (Joost)</dc:creator>
  <cp:keywords/>
  <dc:description/>
  <cp:lastModifiedBy>Geenen, J.W. (Joost)</cp:lastModifiedBy>
  <cp:revision>2</cp:revision>
  <dcterms:created xsi:type="dcterms:W3CDTF">2019-07-31T08:16:00Z</dcterms:created>
  <dcterms:modified xsi:type="dcterms:W3CDTF">2019-07-31T08:17:00Z</dcterms:modified>
</cp:coreProperties>
</file>