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B74971" w14:textId="77777777" w:rsidR="00CB6D66" w:rsidRDefault="00CB6D66" w:rsidP="00CB6D66">
      <w:pPr>
        <w:rPr>
          <w:rFonts w:ascii="Times New Roman" w:hAnsi="Times New Roman" w:cs="Times New Roman"/>
          <w:b/>
          <w:sz w:val="20"/>
          <w:szCs w:val="20"/>
          <w:lang w:val="en-GB"/>
        </w:rPr>
      </w:pPr>
    </w:p>
    <w:p w14:paraId="27893B02" w14:textId="77777777" w:rsidR="00CB6D66" w:rsidRDefault="00CB6D66" w:rsidP="00CB6D66">
      <w:pPr>
        <w:rPr>
          <w:rFonts w:ascii="Times New Roman" w:hAnsi="Times New Roman" w:cs="Times New Roman"/>
          <w:b/>
          <w:sz w:val="20"/>
          <w:szCs w:val="20"/>
          <w:lang w:val="en-GB"/>
        </w:rPr>
      </w:pPr>
    </w:p>
    <w:p w14:paraId="56A99617" w14:textId="77777777" w:rsidR="00CB6D66" w:rsidRPr="00DC6222" w:rsidRDefault="00CB6D66" w:rsidP="00CB6D66">
      <w:pPr>
        <w:rPr>
          <w:rFonts w:ascii="Times New Roman" w:hAnsi="Times New Roman" w:cs="Times New Roman"/>
          <w:b/>
          <w:sz w:val="20"/>
          <w:szCs w:val="20"/>
          <w:lang w:val="en-GB"/>
        </w:rPr>
      </w:pPr>
      <w:r>
        <w:rPr>
          <w:rFonts w:ascii="Times New Roman" w:hAnsi="Times New Roman" w:cs="Times New Roman"/>
          <w:b/>
          <w:sz w:val="20"/>
          <w:szCs w:val="20"/>
          <w:lang w:val="en-GB"/>
        </w:rPr>
        <w:t>Electronic supplementary material</w:t>
      </w:r>
    </w:p>
    <w:p w14:paraId="42EFCC71" w14:textId="77777777" w:rsidR="00CB6D66" w:rsidRDefault="00CB6D66" w:rsidP="00CB6D66">
      <w:pPr>
        <w:rPr>
          <w:rFonts w:ascii="Times New Roman" w:hAnsi="Times New Roman" w:cs="Times New Roman"/>
          <w:i/>
          <w:sz w:val="20"/>
          <w:szCs w:val="20"/>
          <w:lang w:val="en-GB"/>
        </w:rPr>
      </w:pPr>
    </w:p>
    <w:p w14:paraId="0482EDF6" w14:textId="77777777" w:rsidR="00CB6D66" w:rsidRPr="008C537B" w:rsidRDefault="00CB6D66" w:rsidP="00CB6D66">
      <w:pPr>
        <w:rPr>
          <w:rFonts w:ascii="Times New Roman" w:hAnsi="Times New Roman" w:cs="Times New Roman"/>
          <w:i/>
          <w:sz w:val="20"/>
          <w:szCs w:val="20"/>
          <w:lang w:val="en-GB"/>
        </w:rPr>
      </w:pPr>
      <w:r w:rsidRPr="008C537B">
        <w:rPr>
          <w:rFonts w:ascii="Times New Roman" w:hAnsi="Times New Roman" w:cs="Times New Roman"/>
          <w:i/>
          <w:sz w:val="20"/>
          <w:szCs w:val="20"/>
          <w:lang w:val="en-GB"/>
        </w:rPr>
        <w:t>The clinical trial</w:t>
      </w:r>
    </w:p>
    <w:p w14:paraId="2DEFA0DA" w14:textId="77777777" w:rsidR="00CB6D66" w:rsidRPr="008C537B" w:rsidRDefault="00CB6D66" w:rsidP="00CB6D66">
      <w:pPr>
        <w:rPr>
          <w:rFonts w:ascii="Times New Roman" w:hAnsi="Times New Roman" w:cs="Times New Roman"/>
          <w:sz w:val="20"/>
          <w:szCs w:val="20"/>
          <w:lang w:val="en-GB"/>
        </w:rPr>
      </w:pPr>
    </w:p>
    <w:p w14:paraId="5CFAA4A9" w14:textId="77777777" w:rsidR="00CB6D66" w:rsidRPr="008C537B" w:rsidRDefault="00CB6D66" w:rsidP="00CB6D66">
      <w:pPr>
        <w:spacing w:line="360" w:lineRule="auto"/>
        <w:rPr>
          <w:rFonts w:ascii="Times New Roman" w:hAnsi="Times New Roman" w:cs="Times New Roman"/>
          <w:sz w:val="20"/>
          <w:szCs w:val="20"/>
          <w:lang w:val="en-GB"/>
        </w:rPr>
      </w:pPr>
      <w:r w:rsidRPr="008C537B">
        <w:rPr>
          <w:rFonts w:ascii="Times New Roman" w:hAnsi="Times New Roman" w:cs="Times New Roman"/>
          <w:sz w:val="20"/>
          <w:szCs w:val="20"/>
          <w:lang w:val="en-GB"/>
        </w:rPr>
        <w:t xml:space="preserve">During the trial, the patients in the intervention group received person-centred care in addition to usual cardiac care </w:t>
      </w:r>
      <w:r w:rsidRPr="008C537B">
        <w:rPr>
          <w:rFonts w:ascii="Times New Roman" w:hAnsi="Times New Roman" w:cs="Times New Roman"/>
          <w:sz w:val="20"/>
          <w:szCs w:val="20"/>
          <w:lang w:val="en-GB"/>
        </w:rPr>
        <w:fldChar w:fldCharType="begin"/>
      </w:r>
      <w:r w:rsidRPr="008C537B">
        <w:rPr>
          <w:rFonts w:ascii="Times New Roman" w:hAnsi="Times New Roman" w:cs="Times New Roman"/>
          <w:sz w:val="20"/>
          <w:szCs w:val="20"/>
          <w:lang w:val="en-GB"/>
        </w:rPr>
        <w:instrText xml:space="preserve"> ADDIN EN.CITE &lt;EndNote&gt;&lt;Cite&gt;&lt;Author&gt;The National Board of Health and Welfare&lt;/Author&gt;&lt;RecNum&gt;383&lt;/RecNum&gt;&lt;DisplayText&gt;[50]&lt;/DisplayText&gt;&lt;record&gt;&lt;rec-number&gt;383&lt;/rec-number&gt;&lt;foreign-keys&gt;&lt;key app="EN" db-id="psrz55dw3d92doe29dp5ptp1d2dpreap009d" timestamp="1520244613"&gt;383&lt;/key&gt;&lt;/foreign-keys&gt;&lt;ref-type name="Web Page"&gt;12&lt;/ref-type&gt;&lt;contributors&gt;&lt;authors&gt;&lt;author&gt;The National Board of Health and Welfare, 2008/2011. &lt;/author&gt;&lt;/authors&gt;&lt;/contributors&gt;&lt;titles&gt;&lt;title&gt;National Guidelines for Cardiac Care&lt;/title&gt;&lt;/titles&gt;&lt;dates&gt;&lt;/dates&gt;&lt;pub-location&gt;https://www.socialstyrelsen.se/nationalguidelines/nationalguidelinesforcardiaccare&lt;/pub-location&gt;&lt;urls&gt;&lt;related-urls&gt;&lt;url&gt;https://www.socialstyrelsen.se/nationalguidelines/nationalguidelinesforcardiaccare&lt;/url&gt;&lt;/related-urls&gt;&lt;/urls&gt;&lt;/record&gt;&lt;/Cite&gt;&lt;/EndNote&gt;</w:instrText>
      </w:r>
      <w:r w:rsidRPr="008C537B">
        <w:rPr>
          <w:rFonts w:ascii="Times New Roman" w:hAnsi="Times New Roman" w:cs="Times New Roman"/>
          <w:sz w:val="20"/>
          <w:szCs w:val="20"/>
          <w:lang w:val="en-GB"/>
        </w:rPr>
        <w:fldChar w:fldCharType="separate"/>
      </w:r>
      <w:r w:rsidRPr="008C537B">
        <w:rPr>
          <w:rFonts w:ascii="Times New Roman" w:hAnsi="Times New Roman" w:cs="Times New Roman"/>
          <w:noProof/>
          <w:sz w:val="20"/>
          <w:szCs w:val="20"/>
          <w:lang w:val="en-GB"/>
        </w:rPr>
        <w:t>[50]</w:t>
      </w:r>
      <w:r w:rsidRPr="008C537B">
        <w:rPr>
          <w:rFonts w:ascii="Times New Roman" w:hAnsi="Times New Roman" w:cs="Times New Roman"/>
          <w:sz w:val="20"/>
          <w:szCs w:val="20"/>
          <w:lang w:val="en-GB"/>
        </w:rPr>
        <w:fldChar w:fldCharType="end"/>
      </w:r>
      <w:r w:rsidRPr="008C537B">
        <w:rPr>
          <w:rFonts w:ascii="Times New Roman" w:hAnsi="Times New Roman" w:cs="Times New Roman"/>
          <w:sz w:val="20"/>
          <w:szCs w:val="20"/>
          <w:lang w:val="en-GB"/>
        </w:rPr>
        <w:t xml:space="preserve"> during hospitalization, outpatient care and primary care. The control group received usual cardiac care alone at all three healthcare levels. Patients were randomized to either the intervention or the control group between June 2011 and February 2014. Patients were recruited from two hospitals in Gothenburg, Sweden. Inclusion criteria at the time of randomization were: 1) age under 75 years, and</w:t>
      </w:r>
      <w:bookmarkStart w:id="0" w:name="_GoBack"/>
      <w:bookmarkEnd w:id="0"/>
      <w:r w:rsidRPr="008C537B">
        <w:rPr>
          <w:rFonts w:ascii="Times New Roman" w:hAnsi="Times New Roman" w:cs="Times New Roman"/>
          <w:sz w:val="20"/>
          <w:szCs w:val="20"/>
          <w:lang w:val="en-GB"/>
        </w:rPr>
        <w:t xml:space="preserve"> 2) hospitalized for ACS (ICD-10 I21, I20.0 or I20.9). Exclusion criteria at the time of randomization were: 1) expected survival less than 1 year; 2) severe disability; 3) ongoing alcohol and/or drug abuse; 4) planned heart surgery; 5) no current address; 6) attendance to private primary care; 7) participation in a conflicting study </w:t>
      </w:r>
      <w:r w:rsidRPr="008C537B">
        <w:rPr>
          <w:rFonts w:ascii="Times New Roman" w:hAnsi="Times New Roman" w:cs="Times New Roman"/>
          <w:sz w:val="20"/>
          <w:szCs w:val="20"/>
          <w:lang w:val="en-GB"/>
        </w:rPr>
        <w:fldChar w:fldCharType="begin">
          <w:fldData xml:space="preserve">PEVuZE5vdGU+PENpdGU+PEF1dGhvcj5Gb3JzPC9BdXRob3I+PFllYXI+MjAxNTwvWWVhcj48UmVj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</w:fldData>
        </w:fldChar>
      </w:r>
      <w:r w:rsidRPr="008C537B">
        <w:rPr>
          <w:rFonts w:ascii="Times New Roman" w:hAnsi="Times New Roman" w:cs="Times New Roman"/>
          <w:sz w:val="20"/>
          <w:szCs w:val="20"/>
          <w:lang w:val="en-GB"/>
        </w:rPr>
        <w:instrText xml:space="preserve"> ADDIN EN.CITE </w:instrText>
      </w:r>
      <w:r w:rsidRPr="008C537B">
        <w:rPr>
          <w:rFonts w:ascii="Times New Roman" w:hAnsi="Times New Roman" w:cs="Times New Roman"/>
          <w:sz w:val="20"/>
          <w:szCs w:val="20"/>
          <w:lang w:val="en-GB"/>
        </w:rPr>
        <w:fldChar w:fldCharType="begin">
          <w:fldData xml:space="preserve">PEVuZE5vdGU+PENpdGU+PEF1dGhvcj5Gb3JzPC9BdXRob3I+PFllYXI+MjAxNTwvWWVhcj48UmVj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</w:fldData>
        </w:fldChar>
      </w:r>
      <w:r w:rsidRPr="008C537B">
        <w:rPr>
          <w:rFonts w:ascii="Times New Roman" w:hAnsi="Times New Roman" w:cs="Times New Roman"/>
          <w:sz w:val="20"/>
          <w:szCs w:val="20"/>
          <w:lang w:val="en-GB"/>
        </w:rPr>
        <w:instrText xml:space="preserve"> ADDIN EN.CITE.DATA </w:instrText>
      </w:r>
      <w:r w:rsidRPr="008C537B">
        <w:rPr>
          <w:rFonts w:ascii="Times New Roman" w:hAnsi="Times New Roman" w:cs="Times New Roman"/>
          <w:sz w:val="20"/>
          <w:szCs w:val="20"/>
          <w:lang w:val="en-GB"/>
        </w:rPr>
      </w:r>
      <w:r w:rsidRPr="008C537B">
        <w:rPr>
          <w:rFonts w:ascii="Times New Roman" w:hAnsi="Times New Roman" w:cs="Times New Roman"/>
          <w:sz w:val="20"/>
          <w:szCs w:val="20"/>
          <w:lang w:val="en-GB"/>
        </w:rPr>
        <w:fldChar w:fldCharType="end"/>
      </w:r>
      <w:r w:rsidRPr="008C537B">
        <w:rPr>
          <w:rFonts w:ascii="Times New Roman" w:hAnsi="Times New Roman" w:cs="Times New Roman"/>
          <w:sz w:val="20"/>
          <w:szCs w:val="20"/>
          <w:lang w:val="en-GB"/>
        </w:rPr>
      </w:r>
      <w:r w:rsidRPr="008C537B">
        <w:rPr>
          <w:rFonts w:ascii="Times New Roman" w:hAnsi="Times New Roman" w:cs="Times New Roman"/>
          <w:sz w:val="20"/>
          <w:szCs w:val="20"/>
          <w:lang w:val="en-GB"/>
        </w:rPr>
        <w:fldChar w:fldCharType="separate"/>
      </w:r>
      <w:r w:rsidRPr="008C537B">
        <w:rPr>
          <w:rFonts w:ascii="Times New Roman" w:hAnsi="Times New Roman" w:cs="Times New Roman"/>
          <w:noProof/>
          <w:sz w:val="20"/>
          <w:szCs w:val="20"/>
          <w:lang w:val="en-GB"/>
        </w:rPr>
        <w:t>[33]</w:t>
      </w:r>
      <w:r w:rsidRPr="008C537B">
        <w:rPr>
          <w:rFonts w:ascii="Times New Roman" w:hAnsi="Times New Roman" w:cs="Times New Roman"/>
          <w:sz w:val="20"/>
          <w:szCs w:val="20"/>
          <w:lang w:val="en-GB"/>
        </w:rPr>
        <w:fldChar w:fldCharType="end"/>
      </w:r>
      <w:r w:rsidRPr="008C537B">
        <w:rPr>
          <w:rFonts w:ascii="Times New Roman" w:hAnsi="Times New Roman" w:cs="Times New Roman"/>
          <w:sz w:val="20"/>
          <w:szCs w:val="20"/>
          <w:lang w:val="en-GB"/>
        </w:rPr>
        <w:t>. Data on disease-specific and socio-economic characteristics were distributed at baseline (during randomization), 4 weeks, 8 weeks, 6 months, 1 year and 2 years after randomization. The collected trial-</w:t>
      </w:r>
      <w:r w:rsidRPr="00312E48">
        <w:rPr>
          <w:rFonts w:ascii="Times New Roman" w:hAnsi="Times New Roman" w:cs="Times New Roman"/>
          <w:sz w:val="20"/>
          <w:szCs w:val="20"/>
          <w:lang w:val="en-GB"/>
        </w:rPr>
        <w:t>data</w:t>
      </w:r>
      <w:r w:rsidRPr="008C537B">
        <w:rPr>
          <w:rFonts w:ascii="Times New Roman" w:hAnsi="Times New Roman" w:cs="Times New Roman"/>
          <w:sz w:val="20"/>
          <w:szCs w:val="20"/>
          <w:lang w:val="en-GB"/>
        </w:rPr>
        <w:t xml:space="preserve"> was complemented with register data on individual healthcare utilization, prescribed drugs, sick leave and cause of death for both the intervention and control group.</w:t>
      </w:r>
    </w:p>
    <w:p w14:paraId="168BBC97" w14:textId="77777777" w:rsidR="00CB6D66" w:rsidRPr="008C537B" w:rsidRDefault="00CB6D66" w:rsidP="00CB6D66">
      <w:pPr>
        <w:spacing w:line="360" w:lineRule="auto"/>
        <w:rPr>
          <w:rFonts w:ascii="Times New Roman" w:hAnsi="Times New Roman" w:cs="Times New Roman"/>
          <w:sz w:val="20"/>
          <w:szCs w:val="20"/>
          <w:lang w:val="en-GB"/>
        </w:rPr>
      </w:pPr>
    </w:p>
    <w:p w14:paraId="09CEB47E" w14:textId="77777777" w:rsidR="00CB6D66" w:rsidRPr="008C537B" w:rsidRDefault="00CB6D66" w:rsidP="00CB6D66">
      <w:pPr>
        <w:spacing w:line="360" w:lineRule="auto"/>
        <w:rPr>
          <w:rFonts w:ascii="Times New Roman" w:hAnsi="Times New Roman" w:cs="Times New Roman"/>
          <w:i/>
          <w:sz w:val="20"/>
          <w:szCs w:val="20"/>
          <w:lang w:val="en-GB"/>
        </w:rPr>
      </w:pPr>
      <w:r w:rsidRPr="008C537B">
        <w:rPr>
          <w:rFonts w:ascii="Times New Roman" w:hAnsi="Times New Roman" w:cs="Times New Roman"/>
          <w:i/>
          <w:sz w:val="20"/>
          <w:szCs w:val="20"/>
          <w:lang w:val="en-GB"/>
        </w:rPr>
        <w:t>ATC-codes used for heart-related pharmaceuticals</w:t>
      </w:r>
    </w:p>
    <w:p w14:paraId="59EEEBC3" w14:textId="77777777" w:rsidR="00CB6D66" w:rsidRPr="008C537B" w:rsidRDefault="00CB6D66" w:rsidP="00CB6D66">
      <w:pPr>
        <w:spacing w:line="360" w:lineRule="auto"/>
        <w:rPr>
          <w:rFonts w:ascii="Times New Roman" w:hAnsi="Times New Roman" w:cs="Times New Roman"/>
          <w:sz w:val="20"/>
          <w:szCs w:val="20"/>
          <w:lang w:val="en-GB"/>
        </w:rPr>
      </w:pPr>
      <w:r w:rsidRPr="008C537B">
        <w:rPr>
          <w:rFonts w:ascii="Times New Roman" w:hAnsi="Times New Roman" w:cs="Times New Roman"/>
          <w:sz w:val="20"/>
          <w:szCs w:val="20"/>
          <w:lang w:val="en-GB"/>
        </w:rPr>
        <w:t>C07, C09, C09, C10, C10AC01, B01AA03, B01AB04, B01AE07, B01AF02, C01AA05, C01BD01, C01CA24, C01DA02, C01DA14, B01AC.</w:t>
      </w:r>
    </w:p>
    <w:p w14:paraId="3DD77533" w14:textId="77777777" w:rsidR="00CB6D66" w:rsidRPr="008C537B" w:rsidRDefault="00CB6D66" w:rsidP="00CB6D66">
      <w:pPr>
        <w:rPr>
          <w:rFonts w:ascii="Times New Roman" w:hAnsi="Times New Roman" w:cs="Times New Roman"/>
          <w:sz w:val="20"/>
          <w:szCs w:val="20"/>
          <w:lang w:val="en-GB"/>
        </w:rPr>
      </w:pPr>
      <w:r w:rsidRPr="008C537B">
        <w:rPr>
          <w:rFonts w:ascii="Times New Roman" w:hAnsi="Times New Roman" w:cs="Times New Roman"/>
          <w:sz w:val="20"/>
          <w:szCs w:val="20"/>
          <w:lang w:val="en-GB"/>
        </w:rPr>
        <w:br w:type="page"/>
      </w:r>
    </w:p>
    <w:p w14:paraId="0DB80BCF" w14:textId="77777777" w:rsidR="00CB6D66" w:rsidRPr="008C537B" w:rsidRDefault="00CB6D66" w:rsidP="00CB6D66">
      <w:pPr>
        <w:spacing w:line="360" w:lineRule="auto"/>
        <w:rPr>
          <w:rFonts w:ascii="Times New Roman" w:hAnsi="Times New Roman" w:cs="Times New Roman"/>
          <w:i/>
          <w:sz w:val="20"/>
          <w:szCs w:val="20"/>
          <w:lang w:val="en-GB"/>
        </w:rPr>
      </w:pPr>
      <w:r w:rsidRPr="008C537B">
        <w:rPr>
          <w:rFonts w:ascii="Times New Roman" w:hAnsi="Times New Roman" w:cs="Times New Roman"/>
          <w:i/>
          <w:sz w:val="20"/>
          <w:szCs w:val="20"/>
          <w:lang w:val="en-GB"/>
        </w:rPr>
        <w:lastRenderedPageBreak/>
        <w:t>Alternative probabilistic sensitivity analyses</w:t>
      </w:r>
    </w:p>
    <w:p w14:paraId="68A9B55A" w14:textId="77777777" w:rsidR="00CB6D66" w:rsidRPr="008C537B" w:rsidRDefault="00CB6D66" w:rsidP="00CB6D66">
      <w:pPr>
        <w:spacing w:line="276" w:lineRule="auto"/>
        <w:rPr>
          <w:rFonts w:ascii="Times New Roman" w:hAnsi="Times New Roman" w:cs="Times New Roman"/>
          <w:sz w:val="20"/>
          <w:szCs w:val="20"/>
          <w:lang w:val="en-GB"/>
        </w:rPr>
      </w:pPr>
      <w:r w:rsidRPr="008C537B">
        <w:rPr>
          <w:rFonts w:ascii="Times New Roman" w:hAnsi="Times New Roman" w:cs="Times New Roman"/>
          <w:sz w:val="20"/>
          <w:szCs w:val="20"/>
          <w:lang w:val="en-GB"/>
        </w:rPr>
        <w:t>The results from probabilistic sensitivity analyses excluding mortality-related indirect costs and for direct costs on</w:t>
      </w:r>
      <w:r>
        <w:rPr>
          <w:rFonts w:ascii="Times New Roman" w:hAnsi="Times New Roman" w:cs="Times New Roman"/>
          <w:sz w:val="20"/>
          <w:szCs w:val="20"/>
          <w:lang w:val="en-GB"/>
        </w:rPr>
        <w:t>ly are illustrated in Figures S1-S</w:t>
      </w:r>
      <w:r w:rsidRPr="008C537B">
        <w:rPr>
          <w:rFonts w:ascii="Times New Roman" w:hAnsi="Times New Roman" w:cs="Times New Roman"/>
          <w:sz w:val="20"/>
          <w:szCs w:val="20"/>
          <w:lang w:val="en-GB"/>
        </w:rPr>
        <w:t>8.</w:t>
      </w:r>
    </w:p>
    <w:p w14:paraId="519F1D87" w14:textId="77777777" w:rsidR="00CB6D66" w:rsidRPr="008C537B" w:rsidRDefault="00CB6D66" w:rsidP="00CB6D66">
      <w:pPr>
        <w:rPr>
          <w:rFonts w:ascii="Times New Roman" w:hAnsi="Times New Roman" w:cs="Times New Roman"/>
          <w:b/>
          <w:sz w:val="20"/>
          <w:szCs w:val="20"/>
          <w:lang w:val="en-GB"/>
        </w:rPr>
      </w:pPr>
    </w:p>
    <w:p w14:paraId="603CAA18" w14:textId="77777777" w:rsidR="00CB6D66" w:rsidRPr="008C537B" w:rsidRDefault="00CB6D66" w:rsidP="00CB6D66">
      <w:pPr>
        <w:rPr>
          <w:rFonts w:ascii="Times New Roman" w:hAnsi="Times New Roman" w:cs="Times New Roman"/>
          <w:b/>
          <w:sz w:val="20"/>
          <w:szCs w:val="20"/>
          <w:lang w:val="en-GB"/>
        </w:rPr>
      </w:pPr>
    </w:p>
    <w:p w14:paraId="125643B2" w14:textId="77777777" w:rsidR="00CB6D66" w:rsidRPr="008C537B" w:rsidRDefault="00CB6D66" w:rsidP="00CB6D66">
      <w:pPr>
        <w:rPr>
          <w:rFonts w:ascii="Times New Roman" w:hAnsi="Times New Roman" w:cs="Times New Roman"/>
          <w:sz w:val="20"/>
          <w:szCs w:val="20"/>
          <w:lang w:val="en-US"/>
        </w:rPr>
      </w:pPr>
      <w:r>
        <w:rPr>
          <w:rFonts w:ascii="Times New Roman" w:hAnsi="Times New Roman" w:cs="Times New Roman"/>
          <w:b/>
          <w:sz w:val="20"/>
          <w:szCs w:val="20"/>
          <w:lang w:val="en-GB"/>
        </w:rPr>
        <w:t>Fig. S</w:t>
      </w:r>
      <w:r w:rsidRPr="008C537B">
        <w:rPr>
          <w:rFonts w:ascii="Times New Roman" w:hAnsi="Times New Roman" w:cs="Times New Roman"/>
          <w:b/>
          <w:sz w:val="20"/>
          <w:szCs w:val="20"/>
          <w:lang w:val="en-GB"/>
        </w:rPr>
        <w:t>1</w:t>
      </w:r>
      <w:r w:rsidRPr="008C537B">
        <w:rPr>
          <w:rFonts w:ascii="Times New Roman" w:hAnsi="Times New Roman" w:cs="Times New Roman"/>
          <w:sz w:val="20"/>
          <w:szCs w:val="20"/>
          <w:lang w:val="en-GB"/>
        </w:rPr>
        <w:t xml:space="preserve"> Cost-effectiveness plane (CE-plane), illustrating the incremental cost-effectiveness pairs resulting from the two-year time perspective Monte-Carlo simulation. A societal perspective (excluding productivity losses due to mortality). </w:t>
      </w:r>
      <w:r w:rsidRPr="008C537B">
        <w:rPr>
          <w:rFonts w:ascii="Times New Roman" w:hAnsi="Times New Roman" w:cs="Times New Roman"/>
          <w:sz w:val="20"/>
          <w:szCs w:val="20"/>
          <w:lang w:val="en-US"/>
        </w:rPr>
        <w:t>1 000 random draws</w:t>
      </w:r>
    </w:p>
    <w:p w14:paraId="126FC980" w14:textId="77777777" w:rsidR="00CB6D66" w:rsidRPr="008C537B" w:rsidRDefault="00CB6D66" w:rsidP="00CB6D66">
      <w:pPr>
        <w:rPr>
          <w:rFonts w:ascii="Times New Roman" w:hAnsi="Times New Roman" w:cs="Times New Roman"/>
          <w:sz w:val="20"/>
          <w:szCs w:val="20"/>
          <w:lang w:val="en-GB"/>
        </w:rPr>
      </w:pPr>
    </w:p>
    <w:p w14:paraId="6591F210" w14:textId="77777777" w:rsidR="00CB6D66" w:rsidRPr="008C537B" w:rsidRDefault="00CB6D66" w:rsidP="00CB6D66">
      <w:pPr>
        <w:spacing w:line="360" w:lineRule="auto"/>
        <w:rPr>
          <w:rFonts w:ascii="Times New Roman" w:hAnsi="Times New Roman" w:cs="Times New Roman"/>
          <w:sz w:val="20"/>
          <w:szCs w:val="20"/>
          <w:lang w:val="en-GB"/>
        </w:rPr>
      </w:pPr>
      <w:r w:rsidRPr="008C537B">
        <w:rPr>
          <w:rFonts w:ascii="Times New Roman" w:hAnsi="Times New Roman" w:cs="Times New Roman"/>
          <w:noProof/>
          <w:sz w:val="20"/>
          <w:szCs w:val="20"/>
          <w:lang w:eastAsia="sv-SE"/>
        </w:rPr>
        <w:drawing>
          <wp:inline distT="0" distB="0" distL="0" distR="0" wp14:anchorId="163E0E20" wp14:editId="65B09CBE">
            <wp:extent cx="5956935" cy="2975188"/>
            <wp:effectExtent l="0" t="0" r="12065" b="0"/>
            <wp:docPr id="27" name="Bildobjekt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957776" cy="2975608"/>
                    </a:xfrm>
                    <a:prstGeom prst="rect">
                      <a:avLst/>
                    </a:prstGeom>
                    <a:noFill/>
                    <a:ln>
                      <a:noFill/>
                    </a:ln>
                  </pic:spPr>
                </pic:pic>
              </a:graphicData>
            </a:graphic>
          </wp:inline>
        </w:drawing>
      </w:r>
    </w:p>
    <w:p w14:paraId="2B00435B" w14:textId="77777777" w:rsidR="00CB6D66" w:rsidRPr="008C537B" w:rsidRDefault="00CB6D66" w:rsidP="00CB6D66">
      <w:pPr>
        <w:spacing w:line="360" w:lineRule="auto"/>
        <w:rPr>
          <w:rFonts w:ascii="Times New Roman" w:hAnsi="Times New Roman" w:cs="Times New Roman"/>
          <w:sz w:val="20"/>
          <w:szCs w:val="20"/>
          <w:lang w:val="en-GB"/>
        </w:rPr>
      </w:pPr>
    </w:p>
    <w:p w14:paraId="4424B0FB" w14:textId="77777777" w:rsidR="00CB6D66" w:rsidRPr="008C537B" w:rsidRDefault="00CB6D66" w:rsidP="00CB6D66">
      <w:pPr>
        <w:spacing w:line="360" w:lineRule="auto"/>
        <w:rPr>
          <w:rFonts w:ascii="Times New Roman" w:hAnsi="Times New Roman" w:cs="Times New Roman"/>
          <w:sz w:val="20"/>
          <w:szCs w:val="20"/>
          <w:lang w:val="en-GB"/>
        </w:rPr>
      </w:pPr>
    </w:p>
    <w:p w14:paraId="4EA66C7E" w14:textId="77777777" w:rsidR="00CB6D66" w:rsidRPr="008C537B" w:rsidRDefault="00CB6D66" w:rsidP="00CB6D66">
      <w:pPr>
        <w:rPr>
          <w:rFonts w:ascii="Times New Roman" w:hAnsi="Times New Roman" w:cs="Times New Roman"/>
          <w:sz w:val="20"/>
          <w:szCs w:val="20"/>
          <w:lang w:val="en-GB"/>
        </w:rPr>
      </w:pPr>
      <w:r>
        <w:rPr>
          <w:rFonts w:ascii="Times New Roman" w:hAnsi="Times New Roman" w:cs="Times New Roman"/>
          <w:b/>
          <w:sz w:val="20"/>
          <w:szCs w:val="20"/>
          <w:lang w:val="en-GB"/>
        </w:rPr>
        <w:t>Fig. S</w:t>
      </w:r>
      <w:r w:rsidRPr="008C537B">
        <w:rPr>
          <w:rFonts w:ascii="Times New Roman" w:hAnsi="Times New Roman" w:cs="Times New Roman"/>
          <w:b/>
          <w:sz w:val="20"/>
          <w:szCs w:val="20"/>
          <w:lang w:val="en-GB"/>
        </w:rPr>
        <w:t>2</w:t>
      </w:r>
      <w:r w:rsidRPr="008C537B">
        <w:rPr>
          <w:rFonts w:ascii="Times New Roman" w:hAnsi="Times New Roman" w:cs="Times New Roman"/>
          <w:sz w:val="20"/>
          <w:szCs w:val="20"/>
          <w:lang w:val="en-GB"/>
        </w:rPr>
        <w:t xml:space="preserve"> Cost-effectiveness acceptability curve (</w:t>
      </w:r>
      <w:proofErr w:type="spellStart"/>
      <w:r w:rsidRPr="008C537B">
        <w:rPr>
          <w:rFonts w:ascii="Times New Roman" w:hAnsi="Times New Roman" w:cs="Times New Roman"/>
          <w:sz w:val="20"/>
          <w:szCs w:val="20"/>
          <w:lang w:val="en-GB"/>
        </w:rPr>
        <w:t>CEAC</w:t>
      </w:r>
      <w:proofErr w:type="spellEnd"/>
      <w:r w:rsidRPr="008C537B">
        <w:rPr>
          <w:rFonts w:ascii="Times New Roman" w:hAnsi="Times New Roman" w:cs="Times New Roman"/>
          <w:sz w:val="20"/>
          <w:szCs w:val="20"/>
          <w:lang w:val="en-GB"/>
        </w:rPr>
        <w:t xml:space="preserve">) </w:t>
      </w:r>
      <w:r w:rsidRPr="008C537B">
        <w:rPr>
          <w:rFonts w:ascii="Times New Roman" w:hAnsi="Times New Roman" w:cs="Times New Roman"/>
          <w:sz w:val="20"/>
          <w:szCs w:val="20"/>
          <w:lang w:val="en-US"/>
        </w:rPr>
        <w:t xml:space="preserve">illustrating the likelihood that the incremental cost-effectiveness ratio falls below a given threshold. A </w:t>
      </w:r>
      <w:r w:rsidRPr="008C537B">
        <w:rPr>
          <w:rFonts w:ascii="Times New Roman" w:hAnsi="Times New Roman" w:cs="Times New Roman"/>
          <w:sz w:val="20"/>
          <w:szCs w:val="20"/>
          <w:lang w:val="en-GB"/>
        </w:rPr>
        <w:t>two-year time perspective and a societal perspective (excluding productivity losses due to mortality</w:t>
      </w:r>
      <w:r>
        <w:rPr>
          <w:rFonts w:ascii="Times New Roman" w:hAnsi="Times New Roman" w:cs="Times New Roman"/>
          <w:sz w:val="20"/>
          <w:szCs w:val="20"/>
          <w:lang w:val="en-GB"/>
        </w:rPr>
        <w:t>)</w:t>
      </w:r>
    </w:p>
    <w:p w14:paraId="619CF969" w14:textId="77777777" w:rsidR="00CB6D66" w:rsidRPr="008C537B" w:rsidRDefault="00CB6D66" w:rsidP="00CB6D66">
      <w:pPr>
        <w:spacing w:line="276" w:lineRule="auto"/>
        <w:rPr>
          <w:rFonts w:ascii="Times New Roman" w:hAnsi="Times New Roman" w:cs="Times New Roman"/>
          <w:sz w:val="20"/>
          <w:szCs w:val="20"/>
          <w:lang w:val="en-GB"/>
        </w:rPr>
      </w:pPr>
    </w:p>
    <w:p w14:paraId="5E19109A" w14:textId="77777777" w:rsidR="00CB6D66" w:rsidRPr="008C537B" w:rsidRDefault="00CB6D66" w:rsidP="00CB6D66">
      <w:pPr>
        <w:spacing w:line="360" w:lineRule="auto"/>
        <w:rPr>
          <w:rFonts w:ascii="Times New Roman" w:hAnsi="Times New Roman" w:cs="Times New Roman"/>
          <w:sz w:val="20"/>
          <w:szCs w:val="20"/>
          <w:lang w:val="en-GB"/>
        </w:rPr>
      </w:pPr>
      <w:r w:rsidRPr="008C537B">
        <w:rPr>
          <w:rFonts w:ascii="Times New Roman" w:hAnsi="Times New Roman" w:cs="Times New Roman"/>
          <w:noProof/>
          <w:sz w:val="20"/>
          <w:szCs w:val="20"/>
          <w:lang w:eastAsia="sv-SE"/>
        </w:rPr>
        <w:drawing>
          <wp:inline distT="0" distB="0" distL="0" distR="0" wp14:anchorId="437A0AED" wp14:editId="3C020123">
            <wp:extent cx="6033135" cy="2611347"/>
            <wp:effectExtent l="0" t="0" r="12065" b="5080"/>
            <wp:docPr id="28" name="Bildobjekt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42546" cy="2615420"/>
                    </a:xfrm>
                    <a:prstGeom prst="rect">
                      <a:avLst/>
                    </a:prstGeom>
                    <a:noFill/>
                    <a:ln>
                      <a:noFill/>
                    </a:ln>
                  </pic:spPr>
                </pic:pic>
              </a:graphicData>
            </a:graphic>
          </wp:inline>
        </w:drawing>
      </w:r>
    </w:p>
    <w:p w14:paraId="029ECD86" w14:textId="77777777" w:rsidR="00CB6D66" w:rsidRPr="008C537B" w:rsidRDefault="00CB6D66" w:rsidP="00CB6D66">
      <w:pPr>
        <w:spacing w:line="360" w:lineRule="auto"/>
        <w:rPr>
          <w:rFonts w:ascii="Times New Roman" w:hAnsi="Times New Roman" w:cs="Times New Roman"/>
          <w:sz w:val="20"/>
          <w:szCs w:val="20"/>
          <w:lang w:val="en-GB"/>
        </w:rPr>
      </w:pPr>
    </w:p>
    <w:p w14:paraId="213F3E89" w14:textId="77777777" w:rsidR="00B10F07" w:rsidRDefault="00B10F07" w:rsidP="00CB6D66">
      <w:pPr>
        <w:rPr>
          <w:rFonts w:ascii="Times New Roman" w:hAnsi="Times New Roman" w:cs="Times New Roman"/>
          <w:b/>
          <w:sz w:val="20"/>
          <w:szCs w:val="20"/>
          <w:lang w:val="en-GB"/>
        </w:rPr>
      </w:pPr>
    </w:p>
    <w:p w14:paraId="124ED1BC" w14:textId="77777777" w:rsidR="00B10F07" w:rsidRDefault="00B10F07" w:rsidP="00CB6D66">
      <w:pPr>
        <w:rPr>
          <w:rFonts w:ascii="Times New Roman" w:hAnsi="Times New Roman" w:cs="Times New Roman"/>
          <w:b/>
          <w:sz w:val="20"/>
          <w:szCs w:val="20"/>
          <w:lang w:val="en-GB"/>
        </w:rPr>
      </w:pPr>
    </w:p>
    <w:p w14:paraId="74D0DA1B" w14:textId="77777777" w:rsidR="00CB6D66" w:rsidRPr="008C537B" w:rsidRDefault="00CB6D66" w:rsidP="00CB6D66">
      <w:pPr>
        <w:rPr>
          <w:rFonts w:ascii="Times New Roman" w:hAnsi="Times New Roman" w:cs="Times New Roman"/>
          <w:sz w:val="20"/>
          <w:szCs w:val="20"/>
          <w:lang w:val="en-GB"/>
        </w:rPr>
      </w:pPr>
      <w:r>
        <w:rPr>
          <w:rFonts w:ascii="Times New Roman" w:hAnsi="Times New Roman" w:cs="Times New Roman"/>
          <w:b/>
          <w:sz w:val="20"/>
          <w:szCs w:val="20"/>
          <w:lang w:val="en-GB"/>
        </w:rPr>
        <w:lastRenderedPageBreak/>
        <w:t>Fig. S</w:t>
      </w:r>
      <w:r w:rsidRPr="008C537B">
        <w:rPr>
          <w:rFonts w:ascii="Times New Roman" w:hAnsi="Times New Roman" w:cs="Times New Roman"/>
          <w:b/>
          <w:sz w:val="20"/>
          <w:szCs w:val="20"/>
          <w:lang w:val="en-GB"/>
        </w:rPr>
        <w:t>3</w:t>
      </w:r>
      <w:r w:rsidRPr="008C537B">
        <w:rPr>
          <w:rFonts w:ascii="Times New Roman" w:hAnsi="Times New Roman" w:cs="Times New Roman"/>
          <w:sz w:val="20"/>
          <w:szCs w:val="20"/>
          <w:lang w:val="en-GB"/>
        </w:rPr>
        <w:t xml:space="preserve"> Cost-effectiveness plane (CE-plane), illustrating the incremental cost-effectiveness pairs resulting from the five-year time perspective Monte-Carlo simulation. A societal perspective (excluding productivity losses due to mortality). </w:t>
      </w:r>
      <w:r w:rsidRPr="008C537B">
        <w:rPr>
          <w:rFonts w:ascii="Times New Roman" w:hAnsi="Times New Roman" w:cs="Times New Roman"/>
          <w:sz w:val="20"/>
          <w:szCs w:val="20"/>
          <w:lang w:val="en-US"/>
        </w:rPr>
        <w:t>1 000 random draws</w:t>
      </w:r>
    </w:p>
    <w:p w14:paraId="0B4C4296" w14:textId="77777777" w:rsidR="00CB6D66" w:rsidRPr="008C537B" w:rsidRDefault="00CB6D66" w:rsidP="00CB6D66">
      <w:pPr>
        <w:spacing w:line="360" w:lineRule="auto"/>
        <w:rPr>
          <w:rFonts w:ascii="Times New Roman" w:hAnsi="Times New Roman" w:cs="Times New Roman"/>
          <w:sz w:val="20"/>
          <w:szCs w:val="20"/>
          <w:lang w:val="en-GB"/>
        </w:rPr>
      </w:pPr>
    </w:p>
    <w:p w14:paraId="07A322E0" w14:textId="77777777" w:rsidR="00CB6D66" w:rsidRPr="008C537B" w:rsidRDefault="00CB6D66" w:rsidP="00CB6D66">
      <w:pPr>
        <w:spacing w:line="360" w:lineRule="auto"/>
        <w:rPr>
          <w:rFonts w:ascii="Times New Roman" w:hAnsi="Times New Roman" w:cs="Times New Roman"/>
          <w:sz w:val="20"/>
          <w:szCs w:val="20"/>
          <w:lang w:val="en-GB"/>
        </w:rPr>
      </w:pPr>
      <w:r w:rsidRPr="008C537B">
        <w:rPr>
          <w:rFonts w:ascii="Times New Roman" w:hAnsi="Times New Roman" w:cs="Times New Roman"/>
          <w:noProof/>
          <w:sz w:val="20"/>
          <w:szCs w:val="20"/>
          <w:lang w:eastAsia="sv-SE"/>
        </w:rPr>
        <w:drawing>
          <wp:inline distT="0" distB="0" distL="0" distR="0" wp14:anchorId="33F269CB" wp14:editId="75D14E8F">
            <wp:extent cx="6033135" cy="3319486"/>
            <wp:effectExtent l="0" t="0" r="12065" b="8255"/>
            <wp:docPr id="29" name="Bildobjekt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35529" cy="3320803"/>
                    </a:xfrm>
                    <a:prstGeom prst="rect">
                      <a:avLst/>
                    </a:prstGeom>
                    <a:noFill/>
                    <a:ln>
                      <a:noFill/>
                    </a:ln>
                  </pic:spPr>
                </pic:pic>
              </a:graphicData>
            </a:graphic>
          </wp:inline>
        </w:drawing>
      </w:r>
    </w:p>
    <w:p w14:paraId="187DAF90" w14:textId="77777777" w:rsidR="00CB6D66" w:rsidRPr="008C537B" w:rsidRDefault="00CB6D66" w:rsidP="00CB6D66">
      <w:pPr>
        <w:spacing w:line="360" w:lineRule="auto"/>
        <w:rPr>
          <w:rFonts w:ascii="Times New Roman" w:hAnsi="Times New Roman" w:cs="Times New Roman"/>
          <w:sz w:val="20"/>
          <w:szCs w:val="20"/>
          <w:lang w:val="en-GB"/>
        </w:rPr>
      </w:pPr>
    </w:p>
    <w:p w14:paraId="28C4E607" w14:textId="77777777" w:rsidR="00CB6D66" w:rsidRPr="008C537B" w:rsidRDefault="00CB6D66" w:rsidP="00CB6D66">
      <w:pPr>
        <w:rPr>
          <w:rFonts w:ascii="Times New Roman" w:hAnsi="Times New Roman" w:cs="Times New Roman"/>
          <w:sz w:val="20"/>
          <w:szCs w:val="20"/>
          <w:lang w:val="en-GB"/>
        </w:rPr>
      </w:pPr>
      <w:r>
        <w:rPr>
          <w:rFonts w:ascii="Times New Roman" w:hAnsi="Times New Roman" w:cs="Times New Roman"/>
          <w:b/>
          <w:sz w:val="20"/>
          <w:szCs w:val="20"/>
          <w:lang w:val="en-GB"/>
        </w:rPr>
        <w:t>Fig. S</w:t>
      </w:r>
      <w:r w:rsidRPr="008C537B">
        <w:rPr>
          <w:rFonts w:ascii="Times New Roman" w:hAnsi="Times New Roman" w:cs="Times New Roman"/>
          <w:b/>
          <w:sz w:val="20"/>
          <w:szCs w:val="20"/>
          <w:lang w:val="en-GB"/>
        </w:rPr>
        <w:t>4</w:t>
      </w:r>
      <w:r w:rsidRPr="008C537B">
        <w:rPr>
          <w:rFonts w:ascii="Times New Roman" w:hAnsi="Times New Roman" w:cs="Times New Roman"/>
          <w:sz w:val="20"/>
          <w:szCs w:val="20"/>
          <w:lang w:val="en-GB"/>
        </w:rPr>
        <w:t xml:space="preserve"> Cost-effectiveness acceptability curve (</w:t>
      </w:r>
      <w:proofErr w:type="spellStart"/>
      <w:r w:rsidRPr="008C537B">
        <w:rPr>
          <w:rFonts w:ascii="Times New Roman" w:hAnsi="Times New Roman" w:cs="Times New Roman"/>
          <w:sz w:val="20"/>
          <w:szCs w:val="20"/>
          <w:lang w:val="en-GB"/>
        </w:rPr>
        <w:t>CEAC</w:t>
      </w:r>
      <w:proofErr w:type="spellEnd"/>
      <w:r w:rsidRPr="008C537B">
        <w:rPr>
          <w:rFonts w:ascii="Times New Roman" w:hAnsi="Times New Roman" w:cs="Times New Roman"/>
          <w:sz w:val="20"/>
          <w:szCs w:val="20"/>
          <w:lang w:val="en-GB"/>
        </w:rPr>
        <w:t xml:space="preserve">) </w:t>
      </w:r>
      <w:r w:rsidRPr="008C537B">
        <w:rPr>
          <w:rFonts w:ascii="Times New Roman" w:hAnsi="Times New Roman" w:cs="Times New Roman"/>
          <w:sz w:val="20"/>
          <w:szCs w:val="20"/>
          <w:lang w:val="en-US"/>
        </w:rPr>
        <w:t xml:space="preserve">illustrating the likelihood that the incremental cost-effectiveness ratio falls below a given threshold. A </w:t>
      </w:r>
      <w:r w:rsidRPr="008C537B">
        <w:rPr>
          <w:rFonts w:ascii="Times New Roman" w:hAnsi="Times New Roman" w:cs="Times New Roman"/>
          <w:sz w:val="20"/>
          <w:szCs w:val="20"/>
          <w:lang w:val="en-GB"/>
        </w:rPr>
        <w:t>five-year time perspective and a societal perspective (excluding produc</w:t>
      </w:r>
      <w:r>
        <w:rPr>
          <w:rFonts w:ascii="Times New Roman" w:hAnsi="Times New Roman" w:cs="Times New Roman"/>
          <w:sz w:val="20"/>
          <w:szCs w:val="20"/>
          <w:lang w:val="en-GB"/>
        </w:rPr>
        <w:t>tivity losses due to mortality)</w:t>
      </w:r>
    </w:p>
    <w:p w14:paraId="24B975A8" w14:textId="77777777" w:rsidR="00CB6D66" w:rsidRPr="008C537B" w:rsidRDefault="00CB6D66" w:rsidP="00CB6D66">
      <w:pPr>
        <w:spacing w:line="360" w:lineRule="auto"/>
        <w:rPr>
          <w:rFonts w:ascii="Times New Roman" w:hAnsi="Times New Roman" w:cs="Times New Roman"/>
          <w:sz w:val="20"/>
          <w:szCs w:val="20"/>
          <w:lang w:val="en-GB"/>
        </w:rPr>
      </w:pPr>
    </w:p>
    <w:p w14:paraId="79E38312" w14:textId="77777777" w:rsidR="00CB6D66" w:rsidRPr="008C537B" w:rsidRDefault="00CB6D66" w:rsidP="00CB6D66">
      <w:pPr>
        <w:spacing w:line="360" w:lineRule="auto"/>
        <w:rPr>
          <w:rFonts w:ascii="Times New Roman" w:hAnsi="Times New Roman" w:cs="Times New Roman"/>
          <w:sz w:val="20"/>
          <w:szCs w:val="20"/>
          <w:lang w:val="en-GB"/>
        </w:rPr>
      </w:pPr>
      <w:r w:rsidRPr="008C537B">
        <w:rPr>
          <w:rFonts w:ascii="Times New Roman" w:hAnsi="Times New Roman" w:cs="Times New Roman"/>
          <w:noProof/>
          <w:sz w:val="20"/>
          <w:szCs w:val="20"/>
          <w:lang w:eastAsia="sv-SE"/>
        </w:rPr>
        <w:drawing>
          <wp:inline distT="0" distB="0" distL="0" distR="0" wp14:anchorId="79BFBE87" wp14:editId="4BFD478A">
            <wp:extent cx="6231054" cy="2720340"/>
            <wp:effectExtent l="0" t="0" r="0" b="0"/>
            <wp:docPr id="30" name="Bildobjekt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32434" cy="2720943"/>
                    </a:xfrm>
                    <a:prstGeom prst="rect">
                      <a:avLst/>
                    </a:prstGeom>
                    <a:noFill/>
                    <a:ln>
                      <a:noFill/>
                    </a:ln>
                  </pic:spPr>
                </pic:pic>
              </a:graphicData>
            </a:graphic>
          </wp:inline>
        </w:drawing>
      </w:r>
    </w:p>
    <w:p w14:paraId="28284FF6" w14:textId="77777777" w:rsidR="00CB6D66" w:rsidRDefault="00CB6D66" w:rsidP="00CB6D66">
      <w:pPr>
        <w:spacing w:line="360" w:lineRule="auto"/>
        <w:rPr>
          <w:rFonts w:ascii="Times New Roman" w:hAnsi="Times New Roman" w:cs="Times New Roman"/>
          <w:sz w:val="20"/>
          <w:szCs w:val="20"/>
          <w:lang w:val="en-GB"/>
        </w:rPr>
      </w:pPr>
    </w:p>
    <w:p w14:paraId="2D90651D" w14:textId="77777777" w:rsidR="00CB6D66" w:rsidRDefault="00CB6D66" w:rsidP="00CB6D66">
      <w:pPr>
        <w:spacing w:line="360" w:lineRule="auto"/>
        <w:rPr>
          <w:rFonts w:ascii="Times New Roman" w:hAnsi="Times New Roman" w:cs="Times New Roman"/>
          <w:sz w:val="20"/>
          <w:szCs w:val="20"/>
          <w:lang w:val="en-GB"/>
        </w:rPr>
      </w:pPr>
    </w:p>
    <w:p w14:paraId="1783CDB9" w14:textId="77777777" w:rsidR="00CB6D66" w:rsidRDefault="00CB6D66" w:rsidP="00CB6D66">
      <w:pPr>
        <w:spacing w:line="360" w:lineRule="auto"/>
        <w:rPr>
          <w:rFonts w:ascii="Times New Roman" w:hAnsi="Times New Roman" w:cs="Times New Roman"/>
          <w:sz w:val="20"/>
          <w:szCs w:val="20"/>
          <w:lang w:val="en-GB"/>
        </w:rPr>
      </w:pPr>
    </w:p>
    <w:p w14:paraId="3677F0EC" w14:textId="77777777" w:rsidR="00CB6D66" w:rsidRPr="008C537B" w:rsidRDefault="00CB6D66" w:rsidP="00CB6D66">
      <w:pPr>
        <w:spacing w:line="360" w:lineRule="auto"/>
        <w:rPr>
          <w:rFonts w:ascii="Times New Roman" w:hAnsi="Times New Roman" w:cs="Times New Roman"/>
          <w:sz w:val="20"/>
          <w:szCs w:val="20"/>
          <w:lang w:val="en-GB"/>
        </w:rPr>
      </w:pPr>
    </w:p>
    <w:p w14:paraId="326268D9" w14:textId="77777777" w:rsidR="00CB6D66" w:rsidRPr="008C537B" w:rsidRDefault="00CB6D66" w:rsidP="00CB6D66">
      <w:pPr>
        <w:rPr>
          <w:rFonts w:ascii="Times New Roman" w:hAnsi="Times New Roman" w:cs="Times New Roman"/>
          <w:sz w:val="20"/>
          <w:szCs w:val="20"/>
          <w:lang w:val="en-GB"/>
        </w:rPr>
      </w:pPr>
      <w:r>
        <w:rPr>
          <w:rFonts w:ascii="Times New Roman" w:hAnsi="Times New Roman" w:cs="Times New Roman"/>
          <w:b/>
          <w:sz w:val="20"/>
          <w:szCs w:val="20"/>
          <w:lang w:val="en-GB"/>
        </w:rPr>
        <w:lastRenderedPageBreak/>
        <w:t>Fig. S</w:t>
      </w:r>
      <w:r w:rsidRPr="008C537B">
        <w:rPr>
          <w:rFonts w:ascii="Times New Roman" w:hAnsi="Times New Roman" w:cs="Times New Roman"/>
          <w:b/>
          <w:sz w:val="20"/>
          <w:szCs w:val="20"/>
          <w:lang w:val="en-GB"/>
        </w:rPr>
        <w:t>5</w:t>
      </w:r>
      <w:r w:rsidRPr="008C537B">
        <w:rPr>
          <w:rFonts w:ascii="Times New Roman" w:hAnsi="Times New Roman" w:cs="Times New Roman"/>
          <w:sz w:val="20"/>
          <w:szCs w:val="20"/>
          <w:lang w:val="en-GB"/>
        </w:rPr>
        <w:t xml:space="preserve"> Cost-effectiveness plane (CE-plane), illustrating the incremental cost-effectiveness pairs resulting from the two-year time perspective Monte-Carlo simulation. A healthcare perspective. </w:t>
      </w:r>
      <w:r w:rsidRPr="008C537B">
        <w:rPr>
          <w:rFonts w:ascii="Times New Roman" w:hAnsi="Times New Roman" w:cs="Times New Roman"/>
          <w:sz w:val="20"/>
          <w:szCs w:val="20"/>
          <w:lang w:val="en-US"/>
        </w:rPr>
        <w:t>1 000 random draws</w:t>
      </w:r>
    </w:p>
    <w:p w14:paraId="045D21E1" w14:textId="77777777" w:rsidR="00CB6D66" w:rsidRPr="008C537B" w:rsidRDefault="00CB6D66" w:rsidP="00CB6D66">
      <w:pPr>
        <w:spacing w:line="360" w:lineRule="auto"/>
        <w:rPr>
          <w:rFonts w:ascii="Times New Roman" w:hAnsi="Times New Roman" w:cs="Times New Roman"/>
          <w:sz w:val="20"/>
          <w:szCs w:val="20"/>
          <w:lang w:val="en-GB"/>
        </w:rPr>
      </w:pPr>
    </w:p>
    <w:p w14:paraId="03E96E70" w14:textId="77777777" w:rsidR="00CB6D66" w:rsidRPr="008C537B" w:rsidRDefault="00CB6D66" w:rsidP="00CB6D66">
      <w:pPr>
        <w:spacing w:line="360" w:lineRule="auto"/>
        <w:rPr>
          <w:rFonts w:ascii="Times New Roman" w:hAnsi="Times New Roman" w:cs="Times New Roman"/>
          <w:sz w:val="20"/>
          <w:szCs w:val="20"/>
          <w:lang w:val="en-GB"/>
        </w:rPr>
      </w:pPr>
      <w:r w:rsidRPr="008C537B">
        <w:rPr>
          <w:rFonts w:ascii="Times New Roman" w:hAnsi="Times New Roman" w:cs="Times New Roman"/>
          <w:noProof/>
          <w:sz w:val="20"/>
          <w:szCs w:val="20"/>
          <w:lang w:eastAsia="sv-SE"/>
        </w:rPr>
        <w:drawing>
          <wp:inline distT="0" distB="0" distL="0" distR="0" wp14:anchorId="4EAE54C5" wp14:editId="10F6E907">
            <wp:extent cx="5980665" cy="2987040"/>
            <wp:effectExtent l="0" t="0" r="0" b="10160"/>
            <wp:docPr id="33" name="Bildobjekt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83066" cy="2988239"/>
                    </a:xfrm>
                    <a:prstGeom prst="rect">
                      <a:avLst/>
                    </a:prstGeom>
                    <a:noFill/>
                    <a:ln>
                      <a:noFill/>
                    </a:ln>
                  </pic:spPr>
                </pic:pic>
              </a:graphicData>
            </a:graphic>
          </wp:inline>
        </w:drawing>
      </w:r>
    </w:p>
    <w:p w14:paraId="2D3E6CEB" w14:textId="77777777" w:rsidR="00CB6D66" w:rsidRPr="008C537B" w:rsidRDefault="00CB6D66" w:rsidP="00CB6D66">
      <w:pPr>
        <w:spacing w:line="360" w:lineRule="auto"/>
        <w:rPr>
          <w:rFonts w:ascii="Times New Roman" w:hAnsi="Times New Roman" w:cs="Times New Roman"/>
          <w:sz w:val="20"/>
          <w:szCs w:val="20"/>
          <w:lang w:val="en-GB"/>
        </w:rPr>
      </w:pPr>
    </w:p>
    <w:p w14:paraId="4EE54FFB" w14:textId="77777777" w:rsidR="00CB6D66" w:rsidRPr="008C537B" w:rsidRDefault="00CB6D66" w:rsidP="00CB6D66">
      <w:pPr>
        <w:rPr>
          <w:rFonts w:ascii="Times New Roman" w:hAnsi="Times New Roman" w:cs="Times New Roman"/>
          <w:sz w:val="20"/>
          <w:szCs w:val="20"/>
          <w:lang w:val="en-GB"/>
        </w:rPr>
      </w:pPr>
      <w:r>
        <w:rPr>
          <w:rFonts w:ascii="Times New Roman" w:hAnsi="Times New Roman" w:cs="Times New Roman"/>
          <w:b/>
          <w:sz w:val="20"/>
          <w:szCs w:val="20"/>
          <w:lang w:val="en-GB"/>
        </w:rPr>
        <w:t>Fig. S</w:t>
      </w:r>
      <w:r w:rsidRPr="008C537B">
        <w:rPr>
          <w:rFonts w:ascii="Times New Roman" w:hAnsi="Times New Roman" w:cs="Times New Roman"/>
          <w:b/>
          <w:sz w:val="20"/>
          <w:szCs w:val="20"/>
          <w:lang w:val="en-GB"/>
        </w:rPr>
        <w:t>6</w:t>
      </w:r>
      <w:r w:rsidRPr="008C537B">
        <w:rPr>
          <w:rFonts w:ascii="Times New Roman" w:hAnsi="Times New Roman" w:cs="Times New Roman"/>
          <w:sz w:val="20"/>
          <w:szCs w:val="20"/>
          <w:lang w:val="en-GB"/>
        </w:rPr>
        <w:t xml:space="preserve"> Cost-effectiveness acceptability curve (</w:t>
      </w:r>
      <w:proofErr w:type="spellStart"/>
      <w:r w:rsidRPr="008C537B">
        <w:rPr>
          <w:rFonts w:ascii="Times New Roman" w:hAnsi="Times New Roman" w:cs="Times New Roman"/>
          <w:sz w:val="20"/>
          <w:szCs w:val="20"/>
          <w:lang w:val="en-GB"/>
        </w:rPr>
        <w:t>CEAC</w:t>
      </w:r>
      <w:proofErr w:type="spellEnd"/>
      <w:r w:rsidRPr="008C537B">
        <w:rPr>
          <w:rFonts w:ascii="Times New Roman" w:hAnsi="Times New Roman" w:cs="Times New Roman"/>
          <w:sz w:val="20"/>
          <w:szCs w:val="20"/>
          <w:lang w:val="en-GB"/>
        </w:rPr>
        <w:t xml:space="preserve">) </w:t>
      </w:r>
      <w:r w:rsidRPr="008C537B">
        <w:rPr>
          <w:rFonts w:ascii="Times New Roman" w:hAnsi="Times New Roman" w:cs="Times New Roman"/>
          <w:sz w:val="20"/>
          <w:szCs w:val="20"/>
          <w:lang w:val="en-US"/>
        </w:rPr>
        <w:t xml:space="preserve">illustrating the likelihood that the incremental cost-effectiveness ratio falls below a given threshold. A </w:t>
      </w:r>
      <w:r w:rsidRPr="008C537B">
        <w:rPr>
          <w:rFonts w:ascii="Times New Roman" w:hAnsi="Times New Roman" w:cs="Times New Roman"/>
          <w:sz w:val="20"/>
          <w:szCs w:val="20"/>
          <w:lang w:val="en-GB"/>
        </w:rPr>
        <w:t>two-year time perspective and healthcare perspective</w:t>
      </w:r>
    </w:p>
    <w:p w14:paraId="4E3A3D81" w14:textId="77777777" w:rsidR="00CB6D66" w:rsidRPr="008C537B" w:rsidRDefault="00CB6D66" w:rsidP="00CB6D66">
      <w:pPr>
        <w:spacing w:line="360" w:lineRule="auto"/>
        <w:rPr>
          <w:rFonts w:ascii="Times New Roman" w:hAnsi="Times New Roman" w:cs="Times New Roman"/>
          <w:sz w:val="20"/>
          <w:szCs w:val="20"/>
          <w:lang w:val="en-GB"/>
        </w:rPr>
      </w:pPr>
    </w:p>
    <w:p w14:paraId="2B56583A" w14:textId="77777777" w:rsidR="00CB6D66" w:rsidRPr="008C537B" w:rsidRDefault="00CB6D66" w:rsidP="00CB6D66">
      <w:pPr>
        <w:spacing w:line="360" w:lineRule="auto"/>
        <w:rPr>
          <w:rFonts w:ascii="Times New Roman" w:hAnsi="Times New Roman" w:cs="Times New Roman"/>
          <w:sz w:val="20"/>
          <w:szCs w:val="20"/>
          <w:lang w:val="en-GB"/>
        </w:rPr>
      </w:pPr>
      <w:r w:rsidRPr="008C537B">
        <w:rPr>
          <w:rFonts w:ascii="Times New Roman" w:hAnsi="Times New Roman" w:cs="Times New Roman"/>
          <w:noProof/>
          <w:sz w:val="20"/>
          <w:szCs w:val="20"/>
          <w:lang w:eastAsia="sv-SE"/>
        </w:rPr>
        <w:drawing>
          <wp:inline distT="0" distB="0" distL="0" distR="0" wp14:anchorId="6B5674C0" wp14:editId="6EC9E754">
            <wp:extent cx="6314289" cy="2733040"/>
            <wp:effectExtent l="0" t="0" r="10795" b="10160"/>
            <wp:docPr id="34" name="Bildobjekt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7637" cy="2734489"/>
                    </a:xfrm>
                    <a:prstGeom prst="rect">
                      <a:avLst/>
                    </a:prstGeom>
                    <a:noFill/>
                    <a:ln>
                      <a:noFill/>
                    </a:ln>
                  </pic:spPr>
                </pic:pic>
              </a:graphicData>
            </a:graphic>
          </wp:inline>
        </w:drawing>
      </w:r>
    </w:p>
    <w:p w14:paraId="2A838529" w14:textId="77777777" w:rsidR="00CB6D66" w:rsidRPr="008C537B" w:rsidRDefault="00CB6D66" w:rsidP="00CB6D66">
      <w:pPr>
        <w:spacing w:line="360" w:lineRule="auto"/>
        <w:rPr>
          <w:rFonts w:ascii="Times New Roman" w:hAnsi="Times New Roman" w:cs="Times New Roman"/>
          <w:sz w:val="20"/>
          <w:szCs w:val="20"/>
          <w:lang w:val="en-GB"/>
        </w:rPr>
      </w:pPr>
    </w:p>
    <w:p w14:paraId="12983271" w14:textId="77777777" w:rsidR="00CB6D66" w:rsidRPr="008C537B" w:rsidRDefault="00CB6D66" w:rsidP="00CB6D66">
      <w:pPr>
        <w:rPr>
          <w:rFonts w:ascii="Times New Roman" w:hAnsi="Times New Roman" w:cs="Times New Roman"/>
          <w:b/>
          <w:sz w:val="20"/>
          <w:szCs w:val="20"/>
          <w:lang w:val="en-GB"/>
        </w:rPr>
      </w:pPr>
    </w:p>
    <w:p w14:paraId="73D3C388" w14:textId="77777777" w:rsidR="00CB6D66" w:rsidRPr="008C537B" w:rsidRDefault="00CB6D66" w:rsidP="00CB6D66">
      <w:pPr>
        <w:rPr>
          <w:rFonts w:ascii="Times New Roman" w:hAnsi="Times New Roman" w:cs="Times New Roman"/>
          <w:b/>
          <w:sz w:val="20"/>
          <w:szCs w:val="20"/>
          <w:lang w:val="en-GB"/>
        </w:rPr>
      </w:pPr>
    </w:p>
    <w:p w14:paraId="1E01383C" w14:textId="77777777" w:rsidR="00CB6D66" w:rsidRPr="008C537B" w:rsidRDefault="00CB6D66" w:rsidP="00CB6D66">
      <w:pPr>
        <w:rPr>
          <w:rFonts w:ascii="Times New Roman" w:hAnsi="Times New Roman" w:cs="Times New Roman"/>
          <w:b/>
          <w:sz w:val="20"/>
          <w:szCs w:val="20"/>
          <w:lang w:val="en-GB"/>
        </w:rPr>
      </w:pPr>
    </w:p>
    <w:p w14:paraId="2FD72B24" w14:textId="77777777" w:rsidR="00CB6D66" w:rsidRDefault="00CB6D66" w:rsidP="00CB6D66">
      <w:pPr>
        <w:rPr>
          <w:rFonts w:ascii="Times New Roman" w:hAnsi="Times New Roman" w:cs="Times New Roman"/>
          <w:b/>
          <w:sz w:val="20"/>
          <w:szCs w:val="20"/>
          <w:lang w:val="en-GB"/>
        </w:rPr>
      </w:pPr>
    </w:p>
    <w:p w14:paraId="6C9ED9A5" w14:textId="77777777" w:rsidR="00CB6D66" w:rsidRDefault="00CB6D66" w:rsidP="00CB6D66">
      <w:pPr>
        <w:rPr>
          <w:rFonts w:ascii="Times New Roman" w:hAnsi="Times New Roman" w:cs="Times New Roman"/>
          <w:b/>
          <w:sz w:val="20"/>
          <w:szCs w:val="20"/>
          <w:lang w:val="en-GB"/>
        </w:rPr>
      </w:pPr>
    </w:p>
    <w:p w14:paraId="2510796B" w14:textId="77777777" w:rsidR="00CB6D66" w:rsidRDefault="00CB6D66" w:rsidP="00CB6D66">
      <w:pPr>
        <w:rPr>
          <w:rFonts w:ascii="Times New Roman" w:hAnsi="Times New Roman" w:cs="Times New Roman"/>
          <w:b/>
          <w:sz w:val="20"/>
          <w:szCs w:val="20"/>
          <w:lang w:val="en-GB"/>
        </w:rPr>
      </w:pPr>
    </w:p>
    <w:p w14:paraId="040EB5B2" w14:textId="77777777" w:rsidR="00CB6D66" w:rsidRDefault="00CB6D66" w:rsidP="00CB6D66">
      <w:pPr>
        <w:rPr>
          <w:rFonts w:ascii="Times New Roman" w:hAnsi="Times New Roman" w:cs="Times New Roman"/>
          <w:b/>
          <w:sz w:val="20"/>
          <w:szCs w:val="20"/>
          <w:lang w:val="en-GB"/>
        </w:rPr>
      </w:pPr>
    </w:p>
    <w:p w14:paraId="435D2D81" w14:textId="77777777" w:rsidR="00CB6D66" w:rsidRPr="008C537B" w:rsidRDefault="00CB6D66" w:rsidP="00CB6D66">
      <w:pPr>
        <w:rPr>
          <w:rFonts w:ascii="Times New Roman" w:hAnsi="Times New Roman" w:cs="Times New Roman"/>
          <w:b/>
          <w:sz w:val="20"/>
          <w:szCs w:val="20"/>
          <w:lang w:val="en-GB"/>
        </w:rPr>
      </w:pPr>
    </w:p>
    <w:p w14:paraId="68A77E69" w14:textId="77777777" w:rsidR="00CB6D66" w:rsidRPr="008C537B" w:rsidRDefault="00CB6D66" w:rsidP="00CB6D66">
      <w:pPr>
        <w:rPr>
          <w:rFonts w:ascii="Times New Roman" w:hAnsi="Times New Roman" w:cs="Times New Roman"/>
          <w:b/>
          <w:sz w:val="20"/>
          <w:szCs w:val="20"/>
          <w:lang w:val="en-GB"/>
        </w:rPr>
      </w:pPr>
    </w:p>
    <w:p w14:paraId="7CA96618" w14:textId="77777777" w:rsidR="00CB6D66" w:rsidRPr="008C537B" w:rsidRDefault="00CB6D66" w:rsidP="00CB6D66">
      <w:pPr>
        <w:rPr>
          <w:rFonts w:ascii="Times New Roman" w:hAnsi="Times New Roman" w:cs="Times New Roman"/>
          <w:sz w:val="20"/>
          <w:szCs w:val="20"/>
          <w:lang w:val="en-GB"/>
        </w:rPr>
      </w:pPr>
      <w:r>
        <w:rPr>
          <w:rFonts w:ascii="Times New Roman" w:hAnsi="Times New Roman" w:cs="Times New Roman"/>
          <w:b/>
          <w:sz w:val="20"/>
          <w:szCs w:val="20"/>
          <w:lang w:val="en-GB"/>
        </w:rPr>
        <w:lastRenderedPageBreak/>
        <w:t>Fig. S</w:t>
      </w:r>
      <w:r w:rsidRPr="008C537B">
        <w:rPr>
          <w:rFonts w:ascii="Times New Roman" w:hAnsi="Times New Roman" w:cs="Times New Roman"/>
          <w:b/>
          <w:sz w:val="20"/>
          <w:szCs w:val="20"/>
          <w:lang w:val="en-GB"/>
        </w:rPr>
        <w:t>7</w:t>
      </w:r>
      <w:r w:rsidRPr="008C537B">
        <w:rPr>
          <w:rFonts w:ascii="Times New Roman" w:hAnsi="Times New Roman" w:cs="Times New Roman"/>
          <w:sz w:val="20"/>
          <w:szCs w:val="20"/>
          <w:lang w:val="en-GB"/>
        </w:rPr>
        <w:t xml:space="preserve"> Cost-effectiveness plane (CE-plane), illustrating the incremental cost-effectiveness pairs resulting from the five-year time perspective Monte-Carlo simulation. A healthcare perspective. </w:t>
      </w:r>
      <w:r w:rsidRPr="008C537B">
        <w:rPr>
          <w:rFonts w:ascii="Times New Roman" w:hAnsi="Times New Roman" w:cs="Times New Roman"/>
          <w:sz w:val="20"/>
          <w:szCs w:val="20"/>
          <w:lang w:val="en-US"/>
        </w:rPr>
        <w:t>1 000 random draws</w:t>
      </w:r>
    </w:p>
    <w:p w14:paraId="09BEB2C3" w14:textId="77777777" w:rsidR="00CB6D66" w:rsidRPr="008C537B" w:rsidRDefault="00CB6D66" w:rsidP="00CB6D66">
      <w:pPr>
        <w:rPr>
          <w:rFonts w:ascii="Times New Roman" w:hAnsi="Times New Roman" w:cs="Times New Roman"/>
          <w:sz w:val="20"/>
          <w:szCs w:val="20"/>
          <w:lang w:val="en-GB"/>
        </w:rPr>
      </w:pPr>
    </w:p>
    <w:p w14:paraId="73DCA90B" w14:textId="77777777" w:rsidR="00CB6D66" w:rsidRPr="008C537B" w:rsidRDefault="00CB6D66" w:rsidP="00CB6D66">
      <w:pPr>
        <w:spacing w:line="276" w:lineRule="auto"/>
        <w:rPr>
          <w:rFonts w:ascii="Times New Roman" w:hAnsi="Times New Roman" w:cs="Times New Roman"/>
          <w:sz w:val="20"/>
          <w:szCs w:val="20"/>
          <w:lang w:val="en-GB"/>
        </w:rPr>
      </w:pPr>
      <w:r w:rsidRPr="008C537B">
        <w:rPr>
          <w:rFonts w:ascii="Times New Roman" w:hAnsi="Times New Roman" w:cs="Times New Roman"/>
          <w:noProof/>
          <w:sz w:val="20"/>
          <w:szCs w:val="20"/>
          <w:lang w:eastAsia="sv-SE"/>
        </w:rPr>
        <w:drawing>
          <wp:inline distT="0" distB="0" distL="0" distR="0" wp14:anchorId="52BC6BD7" wp14:editId="2181E75B">
            <wp:extent cx="6098299" cy="3355340"/>
            <wp:effectExtent l="0" t="0" r="0" b="0"/>
            <wp:docPr id="35" name="Bildobjekt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100185" cy="3356378"/>
                    </a:xfrm>
                    <a:prstGeom prst="rect">
                      <a:avLst/>
                    </a:prstGeom>
                    <a:noFill/>
                    <a:ln>
                      <a:noFill/>
                    </a:ln>
                  </pic:spPr>
                </pic:pic>
              </a:graphicData>
            </a:graphic>
          </wp:inline>
        </w:drawing>
      </w:r>
    </w:p>
    <w:p w14:paraId="734E12C3" w14:textId="77777777" w:rsidR="00CB6D66" w:rsidRPr="008C537B" w:rsidRDefault="00CB6D66" w:rsidP="00CB6D66">
      <w:pPr>
        <w:spacing w:line="276" w:lineRule="auto"/>
        <w:rPr>
          <w:rFonts w:ascii="Times New Roman" w:hAnsi="Times New Roman" w:cs="Times New Roman"/>
          <w:sz w:val="20"/>
          <w:szCs w:val="20"/>
          <w:lang w:val="en-GB"/>
        </w:rPr>
      </w:pPr>
    </w:p>
    <w:p w14:paraId="1532C824" w14:textId="77777777" w:rsidR="00CB6D66" w:rsidRPr="008C537B" w:rsidRDefault="00CB6D66" w:rsidP="00CB6D66">
      <w:pPr>
        <w:rPr>
          <w:rFonts w:ascii="Times New Roman" w:hAnsi="Times New Roman" w:cs="Times New Roman"/>
          <w:sz w:val="20"/>
          <w:szCs w:val="20"/>
          <w:lang w:val="en-GB"/>
        </w:rPr>
      </w:pPr>
      <w:r w:rsidRPr="008C537B">
        <w:rPr>
          <w:rFonts w:ascii="Times New Roman" w:hAnsi="Times New Roman" w:cs="Times New Roman"/>
          <w:b/>
          <w:sz w:val="20"/>
          <w:szCs w:val="20"/>
          <w:lang w:val="en-GB"/>
        </w:rPr>
        <w:t>Fi</w:t>
      </w:r>
      <w:r>
        <w:rPr>
          <w:rFonts w:ascii="Times New Roman" w:hAnsi="Times New Roman" w:cs="Times New Roman"/>
          <w:b/>
          <w:sz w:val="20"/>
          <w:szCs w:val="20"/>
          <w:lang w:val="en-GB"/>
        </w:rPr>
        <w:t>g. S</w:t>
      </w:r>
      <w:r w:rsidRPr="008C537B">
        <w:rPr>
          <w:rFonts w:ascii="Times New Roman" w:hAnsi="Times New Roman" w:cs="Times New Roman"/>
          <w:b/>
          <w:sz w:val="20"/>
          <w:szCs w:val="20"/>
          <w:lang w:val="en-GB"/>
        </w:rPr>
        <w:t>8</w:t>
      </w:r>
      <w:r w:rsidRPr="008C537B">
        <w:rPr>
          <w:rFonts w:ascii="Times New Roman" w:hAnsi="Times New Roman" w:cs="Times New Roman"/>
          <w:sz w:val="20"/>
          <w:szCs w:val="20"/>
          <w:lang w:val="en-GB"/>
        </w:rPr>
        <w:t xml:space="preserve"> Cost-effectiveness acceptability curve (</w:t>
      </w:r>
      <w:proofErr w:type="spellStart"/>
      <w:r w:rsidRPr="008C537B">
        <w:rPr>
          <w:rFonts w:ascii="Times New Roman" w:hAnsi="Times New Roman" w:cs="Times New Roman"/>
          <w:sz w:val="20"/>
          <w:szCs w:val="20"/>
          <w:lang w:val="en-GB"/>
        </w:rPr>
        <w:t>CEAC</w:t>
      </w:r>
      <w:proofErr w:type="spellEnd"/>
      <w:r w:rsidRPr="008C537B">
        <w:rPr>
          <w:rFonts w:ascii="Times New Roman" w:hAnsi="Times New Roman" w:cs="Times New Roman"/>
          <w:sz w:val="20"/>
          <w:szCs w:val="20"/>
          <w:lang w:val="en-GB"/>
        </w:rPr>
        <w:t xml:space="preserve">) </w:t>
      </w:r>
      <w:r w:rsidRPr="008C537B">
        <w:rPr>
          <w:rFonts w:ascii="Times New Roman" w:hAnsi="Times New Roman" w:cs="Times New Roman"/>
          <w:sz w:val="20"/>
          <w:szCs w:val="20"/>
          <w:lang w:val="en-US"/>
        </w:rPr>
        <w:t xml:space="preserve">illustrating the likelihood that the incremental cost-effectiveness ratio falls below a given threshold. A </w:t>
      </w:r>
      <w:r w:rsidRPr="008C537B">
        <w:rPr>
          <w:rFonts w:ascii="Times New Roman" w:hAnsi="Times New Roman" w:cs="Times New Roman"/>
          <w:sz w:val="20"/>
          <w:szCs w:val="20"/>
          <w:lang w:val="en-GB"/>
        </w:rPr>
        <w:t>five-year time perspective and healthcare perspective</w:t>
      </w:r>
    </w:p>
    <w:p w14:paraId="5834C5F3" w14:textId="77777777" w:rsidR="00CB6D66" w:rsidRPr="008C537B" w:rsidRDefault="00CB6D66" w:rsidP="00CB6D66">
      <w:pPr>
        <w:rPr>
          <w:rFonts w:ascii="Times New Roman" w:hAnsi="Times New Roman" w:cs="Times New Roman"/>
          <w:sz w:val="20"/>
          <w:szCs w:val="20"/>
          <w:lang w:val="en-GB"/>
        </w:rPr>
      </w:pPr>
    </w:p>
    <w:p w14:paraId="7B9ACFF1" w14:textId="77777777" w:rsidR="00CB6D66" w:rsidRPr="008C537B" w:rsidRDefault="00CB6D66" w:rsidP="00CB6D66">
      <w:pPr>
        <w:spacing w:line="276" w:lineRule="auto"/>
        <w:rPr>
          <w:rFonts w:ascii="Times New Roman" w:hAnsi="Times New Roman" w:cs="Times New Roman"/>
          <w:sz w:val="20"/>
          <w:szCs w:val="20"/>
          <w:lang w:val="en-GB"/>
        </w:rPr>
      </w:pPr>
      <w:r w:rsidRPr="008C537B">
        <w:rPr>
          <w:rFonts w:ascii="Times New Roman" w:hAnsi="Times New Roman" w:cs="Times New Roman"/>
          <w:noProof/>
          <w:sz w:val="20"/>
          <w:szCs w:val="20"/>
          <w:lang w:eastAsia="sv-SE"/>
        </w:rPr>
        <w:drawing>
          <wp:inline distT="0" distB="0" distL="0" distR="0" wp14:anchorId="0F955625" wp14:editId="6F1672E0">
            <wp:extent cx="6260144" cy="2733040"/>
            <wp:effectExtent l="0" t="0" r="0" b="10160"/>
            <wp:docPr id="36" name="Bildobjekt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261033" cy="2733428"/>
                    </a:xfrm>
                    <a:prstGeom prst="rect">
                      <a:avLst/>
                    </a:prstGeom>
                    <a:noFill/>
                    <a:ln>
                      <a:noFill/>
                    </a:ln>
                  </pic:spPr>
                </pic:pic>
              </a:graphicData>
            </a:graphic>
          </wp:inline>
        </w:drawing>
      </w:r>
    </w:p>
    <w:p w14:paraId="7D285A7E" w14:textId="77777777" w:rsidR="00CB6D66" w:rsidRPr="008C537B" w:rsidRDefault="00CB6D66" w:rsidP="00CB6D66">
      <w:pPr>
        <w:spacing w:line="360" w:lineRule="auto"/>
        <w:rPr>
          <w:rFonts w:ascii="Times New Roman" w:hAnsi="Times New Roman" w:cs="Times New Roman"/>
          <w:sz w:val="20"/>
          <w:szCs w:val="20"/>
          <w:lang w:val="en-GB"/>
        </w:rPr>
      </w:pPr>
    </w:p>
    <w:p w14:paraId="10247D0D" w14:textId="77777777" w:rsidR="00CB6D66" w:rsidRPr="008C537B" w:rsidRDefault="00CB6D66" w:rsidP="00CB6D66">
      <w:pPr>
        <w:spacing w:line="360" w:lineRule="auto"/>
        <w:rPr>
          <w:rFonts w:ascii="Times New Roman" w:hAnsi="Times New Roman" w:cs="Times New Roman"/>
          <w:sz w:val="20"/>
          <w:szCs w:val="20"/>
          <w:lang w:val="en-GB"/>
        </w:rPr>
      </w:pPr>
    </w:p>
    <w:p w14:paraId="62DE1724" w14:textId="61F4A572" w:rsidR="00CB6D66" w:rsidRPr="008C537B" w:rsidRDefault="00E24D7E" w:rsidP="00CB6D66">
      <w:pPr>
        <w:spacing w:line="360" w:lineRule="auto"/>
        <w:rPr>
          <w:rFonts w:ascii="Times New Roman" w:hAnsi="Times New Roman" w:cs="Times New Roman"/>
          <w:i/>
          <w:sz w:val="20"/>
          <w:szCs w:val="20"/>
          <w:lang w:val="en-US"/>
        </w:rPr>
      </w:pPr>
      <w:r>
        <w:rPr>
          <w:rFonts w:ascii="Times New Roman" w:hAnsi="Times New Roman" w:cs="Times New Roman"/>
          <w:i/>
          <w:sz w:val="20"/>
          <w:szCs w:val="20"/>
          <w:lang w:val="en-US"/>
        </w:rPr>
        <w:t>Deterministic sensitivity analysis</w:t>
      </w:r>
    </w:p>
    <w:p w14:paraId="7D2A9B7D" w14:textId="017BE008" w:rsidR="00CB6D66" w:rsidRPr="008C537B" w:rsidRDefault="00CB6D66" w:rsidP="00CB6D66">
      <w:pPr>
        <w:spacing w:line="276" w:lineRule="auto"/>
        <w:rPr>
          <w:rFonts w:ascii="Times New Roman" w:hAnsi="Times New Roman" w:cs="Times New Roman"/>
          <w:sz w:val="20"/>
          <w:szCs w:val="20"/>
          <w:lang w:val="en-US"/>
        </w:rPr>
      </w:pPr>
      <w:r w:rsidRPr="008C537B">
        <w:rPr>
          <w:rFonts w:ascii="Times New Roman" w:hAnsi="Times New Roman" w:cs="Times New Roman"/>
          <w:sz w:val="20"/>
          <w:szCs w:val="20"/>
          <w:lang w:val="en-US"/>
        </w:rPr>
        <w:t xml:space="preserve">Results from the </w:t>
      </w:r>
      <w:r w:rsidR="00E24D7E">
        <w:rPr>
          <w:rFonts w:ascii="Times New Roman" w:hAnsi="Times New Roman" w:cs="Times New Roman"/>
          <w:sz w:val="20"/>
          <w:szCs w:val="20"/>
          <w:lang w:val="en-US"/>
        </w:rPr>
        <w:t>deterministic sensitivity analysis (2) - (6)</w:t>
      </w:r>
      <w:r w:rsidRPr="008C537B">
        <w:rPr>
          <w:rFonts w:ascii="Times New Roman" w:hAnsi="Times New Roman" w:cs="Times New Roman"/>
          <w:sz w:val="20"/>
          <w:szCs w:val="20"/>
          <w:lang w:val="en-US"/>
        </w:rPr>
        <w:t xml:space="preserve"> described in the main text a</w:t>
      </w:r>
      <w:r>
        <w:rPr>
          <w:rFonts w:ascii="Times New Roman" w:hAnsi="Times New Roman" w:cs="Times New Roman"/>
          <w:sz w:val="20"/>
          <w:szCs w:val="20"/>
          <w:lang w:val="en-US"/>
        </w:rPr>
        <w:t>re illustrated in the figures S9-S</w:t>
      </w:r>
      <w:r w:rsidRPr="008C537B">
        <w:rPr>
          <w:rFonts w:ascii="Times New Roman" w:hAnsi="Times New Roman" w:cs="Times New Roman"/>
          <w:sz w:val="20"/>
          <w:szCs w:val="20"/>
          <w:lang w:val="en-US"/>
        </w:rPr>
        <w:t xml:space="preserve">13 below. Each parameter is allowed to increase from the base-case value to values where the </w:t>
      </w:r>
      <w:proofErr w:type="spellStart"/>
      <w:r w:rsidRPr="008C537B">
        <w:rPr>
          <w:rFonts w:ascii="Times New Roman" w:hAnsi="Times New Roman" w:cs="Times New Roman"/>
          <w:sz w:val="20"/>
          <w:szCs w:val="20"/>
          <w:lang w:val="en-US"/>
        </w:rPr>
        <w:t>ICER</w:t>
      </w:r>
      <w:proofErr w:type="spellEnd"/>
      <w:r w:rsidRPr="008C537B">
        <w:rPr>
          <w:rFonts w:ascii="Times New Roman" w:hAnsi="Times New Roman" w:cs="Times New Roman"/>
          <w:sz w:val="20"/>
          <w:szCs w:val="20"/>
          <w:lang w:val="en-US"/>
        </w:rPr>
        <w:t xml:space="preserve"> is both under and over the informal willingness-to-pay threshold per QALY in Sweden (500 000 SEK/QALY). </w:t>
      </w:r>
    </w:p>
    <w:p w14:paraId="669BFB53" w14:textId="77777777" w:rsidR="00CB6D66" w:rsidRPr="008C537B" w:rsidRDefault="00CB6D66" w:rsidP="00CB6D66">
      <w:pPr>
        <w:spacing w:line="360" w:lineRule="auto"/>
        <w:rPr>
          <w:rFonts w:ascii="Times New Roman" w:hAnsi="Times New Roman" w:cs="Times New Roman"/>
          <w:sz w:val="20"/>
          <w:szCs w:val="20"/>
          <w:lang w:val="en-GB"/>
        </w:rPr>
      </w:pPr>
    </w:p>
    <w:p w14:paraId="0905952B" w14:textId="77777777" w:rsidR="00B10F07" w:rsidRDefault="00B10F07" w:rsidP="00CB6D66">
      <w:pPr>
        <w:rPr>
          <w:rFonts w:ascii="Times New Roman" w:hAnsi="Times New Roman" w:cs="Times New Roman"/>
          <w:b/>
          <w:sz w:val="20"/>
          <w:szCs w:val="20"/>
          <w:lang w:val="en-GB"/>
        </w:rPr>
      </w:pPr>
    </w:p>
    <w:p w14:paraId="36384952" w14:textId="084E4FAD" w:rsidR="00CB6D66" w:rsidRDefault="00CB6D66" w:rsidP="00CB6D66">
      <w:pPr>
        <w:rPr>
          <w:rFonts w:ascii="Times New Roman" w:hAnsi="Times New Roman" w:cs="Times New Roman"/>
          <w:sz w:val="20"/>
          <w:szCs w:val="20"/>
          <w:lang w:val="en-GB"/>
        </w:rPr>
      </w:pPr>
      <w:r>
        <w:rPr>
          <w:rFonts w:ascii="Times New Roman" w:hAnsi="Times New Roman" w:cs="Times New Roman"/>
          <w:b/>
          <w:sz w:val="20"/>
          <w:szCs w:val="20"/>
          <w:lang w:val="en-GB"/>
        </w:rPr>
        <w:lastRenderedPageBreak/>
        <w:t>Fig. S9</w:t>
      </w:r>
      <w:r w:rsidRPr="008C537B">
        <w:rPr>
          <w:rFonts w:ascii="Times New Roman" w:hAnsi="Times New Roman" w:cs="Times New Roman"/>
          <w:sz w:val="20"/>
          <w:szCs w:val="20"/>
          <w:lang w:val="en-GB"/>
        </w:rPr>
        <w:t xml:space="preserve"> </w:t>
      </w:r>
      <w:r w:rsidR="00E24D7E">
        <w:rPr>
          <w:rFonts w:ascii="Times New Roman" w:hAnsi="Times New Roman" w:cs="Times New Roman"/>
          <w:sz w:val="20"/>
          <w:szCs w:val="20"/>
          <w:lang w:val="en-GB"/>
        </w:rPr>
        <w:t>Sensitivity</w:t>
      </w:r>
      <w:r w:rsidR="00E24D7E" w:rsidRPr="008C537B">
        <w:rPr>
          <w:rFonts w:ascii="Times New Roman" w:hAnsi="Times New Roman" w:cs="Times New Roman"/>
          <w:sz w:val="20"/>
          <w:szCs w:val="20"/>
          <w:lang w:val="en-GB"/>
        </w:rPr>
        <w:t xml:space="preserve"> </w:t>
      </w:r>
      <w:r w:rsidRPr="008C537B">
        <w:rPr>
          <w:rFonts w:ascii="Times New Roman" w:hAnsi="Times New Roman" w:cs="Times New Roman"/>
          <w:sz w:val="20"/>
          <w:szCs w:val="20"/>
          <w:lang w:val="en-GB"/>
        </w:rPr>
        <w:t>analysis for risk of first relapse in the person-centred care group. The figure plots the incremental cost-effectiveness ratio against the risk, for a range of risks enclosing the SEK 500 000 per additional QALY willingness to pay. The lowest risk (red data point) is the risk use</w:t>
      </w:r>
      <w:r>
        <w:rPr>
          <w:rFonts w:ascii="Times New Roman" w:hAnsi="Times New Roman" w:cs="Times New Roman"/>
          <w:sz w:val="20"/>
          <w:szCs w:val="20"/>
          <w:lang w:val="en-GB"/>
        </w:rPr>
        <w:t>d in the base-case calculations</w:t>
      </w:r>
    </w:p>
    <w:p w14:paraId="28619932" w14:textId="77777777" w:rsidR="00B10F07" w:rsidRPr="008C537B" w:rsidRDefault="00B10F07" w:rsidP="00CB6D66">
      <w:pPr>
        <w:rPr>
          <w:rFonts w:ascii="Times New Roman" w:hAnsi="Times New Roman" w:cs="Times New Roman"/>
          <w:sz w:val="20"/>
          <w:szCs w:val="20"/>
          <w:lang w:val="en-GB"/>
        </w:rPr>
      </w:pPr>
    </w:p>
    <w:p w14:paraId="0A1A7321" w14:textId="77777777" w:rsidR="00CB6D66" w:rsidRPr="008C537B" w:rsidRDefault="00B10F07" w:rsidP="00CB6D66">
      <w:pPr>
        <w:rPr>
          <w:rFonts w:ascii="Times New Roman" w:hAnsi="Times New Roman" w:cs="Times New Roman"/>
          <w:b/>
          <w:sz w:val="20"/>
          <w:szCs w:val="20"/>
          <w:lang w:val="en-GB"/>
        </w:rPr>
      </w:pPr>
      <w:r w:rsidRPr="002047B5">
        <w:rPr>
          <w:rFonts w:ascii="Times New Roman" w:hAnsi="Times New Roman" w:cs="Times New Roman"/>
          <w:b/>
          <w:noProof/>
          <w:sz w:val="20"/>
          <w:szCs w:val="20"/>
          <w:lang w:eastAsia="sv-SE"/>
        </w:rPr>
        <w:drawing>
          <wp:inline distT="0" distB="0" distL="0" distR="0" wp14:anchorId="52F44905" wp14:editId="00A21C1D">
            <wp:extent cx="5206967" cy="3127069"/>
            <wp:effectExtent l="0" t="0" r="635" b="0"/>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14175" cy="3131398"/>
                    </a:xfrm>
                    <a:prstGeom prst="rect">
                      <a:avLst/>
                    </a:prstGeom>
                    <a:noFill/>
                    <a:ln>
                      <a:noFill/>
                    </a:ln>
                  </pic:spPr>
                </pic:pic>
              </a:graphicData>
            </a:graphic>
          </wp:inline>
        </w:drawing>
      </w:r>
    </w:p>
    <w:p w14:paraId="33BF7754" w14:textId="77777777" w:rsidR="00CB6D66" w:rsidRPr="008C537B" w:rsidRDefault="00CB6D66" w:rsidP="00CB6D66">
      <w:pPr>
        <w:rPr>
          <w:rFonts w:ascii="Times New Roman" w:hAnsi="Times New Roman" w:cs="Times New Roman"/>
          <w:b/>
          <w:sz w:val="20"/>
          <w:szCs w:val="20"/>
          <w:lang w:val="en-GB"/>
        </w:rPr>
      </w:pPr>
    </w:p>
    <w:p w14:paraId="5351B026" w14:textId="77777777" w:rsidR="00CB6D66" w:rsidRPr="008C537B" w:rsidRDefault="00CB6D66" w:rsidP="00CB6D66">
      <w:pPr>
        <w:rPr>
          <w:rFonts w:ascii="Times New Roman" w:hAnsi="Times New Roman" w:cs="Times New Roman"/>
          <w:b/>
          <w:sz w:val="20"/>
          <w:szCs w:val="20"/>
          <w:lang w:val="en-GB"/>
        </w:rPr>
      </w:pPr>
    </w:p>
    <w:p w14:paraId="7FDF8B73" w14:textId="77777777" w:rsidR="00CB6D66" w:rsidRPr="008C537B" w:rsidRDefault="00CB6D66" w:rsidP="00CB6D66">
      <w:pPr>
        <w:rPr>
          <w:rFonts w:ascii="Times New Roman" w:hAnsi="Times New Roman" w:cs="Times New Roman"/>
          <w:b/>
          <w:sz w:val="20"/>
          <w:szCs w:val="20"/>
          <w:lang w:val="en-GB"/>
        </w:rPr>
      </w:pPr>
    </w:p>
    <w:p w14:paraId="3DF5BF53" w14:textId="67D7EC38" w:rsidR="00CB6D66" w:rsidRPr="008C537B" w:rsidRDefault="00CB6D66" w:rsidP="00CB6D66">
      <w:pPr>
        <w:rPr>
          <w:rFonts w:ascii="Times New Roman" w:hAnsi="Times New Roman" w:cs="Times New Roman"/>
          <w:sz w:val="20"/>
          <w:szCs w:val="20"/>
          <w:lang w:val="en-GB"/>
        </w:rPr>
      </w:pPr>
      <w:r>
        <w:rPr>
          <w:rFonts w:ascii="Times New Roman" w:hAnsi="Times New Roman" w:cs="Times New Roman"/>
          <w:b/>
          <w:sz w:val="20"/>
          <w:szCs w:val="20"/>
          <w:lang w:val="en-GB"/>
        </w:rPr>
        <w:t>Fig. S</w:t>
      </w:r>
      <w:r w:rsidRPr="008C537B">
        <w:rPr>
          <w:rFonts w:ascii="Times New Roman" w:hAnsi="Times New Roman" w:cs="Times New Roman"/>
          <w:b/>
          <w:sz w:val="20"/>
          <w:szCs w:val="20"/>
          <w:lang w:val="en-GB"/>
        </w:rPr>
        <w:t>10</w:t>
      </w:r>
      <w:r w:rsidRPr="008C537B">
        <w:rPr>
          <w:rFonts w:ascii="Times New Roman" w:hAnsi="Times New Roman" w:cs="Times New Roman"/>
          <w:sz w:val="20"/>
          <w:szCs w:val="20"/>
          <w:lang w:val="en-GB"/>
        </w:rPr>
        <w:t xml:space="preserve"> </w:t>
      </w:r>
      <w:r w:rsidR="00E24D7E">
        <w:rPr>
          <w:rFonts w:ascii="Times New Roman" w:hAnsi="Times New Roman" w:cs="Times New Roman"/>
          <w:sz w:val="20"/>
          <w:szCs w:val="20"/>
          <w:lang w:val="en-GB"/>
        </w:rPr>
        <w:t>Sensitivity</w:t>
      </w:r>
      <w:r w:rsidR="00E24D7E" w:rsidRPr="008C537B">
        <w:rPr>
          <w:rFonts w:ascii="Times New Roman" w:hAnsi="Times New Roman" w:cs="Times New Roman"/>
          <w:sz w:val="20"/>
          <w:szCs w:val="20"/>
          <w:lang w:val="en-GB"/>
        </w:rPr>
        <w:t xml:space="preserve"> </w:t>
      </w:r>
      <w:r w:rsidRPr="008C537B">
        <w:rPr>
          <w:rFonts w:ascii="Times New Roman" w:hAnsi="Times New Roman" w:cs="Times New Roman"/>
          <w:sz w:val="20"/>
          <w:szCs w:val="20"/>
          <w:lang w:val="en-GB"/>
        </w:rPr>
        <w:t>analysis for risk of second relapse in the person-centred care group. The figure plots the incremental cost-effectiveness ratio against the risk, for a range of risks enclosing the SEK 500 000 per additional QALY willingness to pay. The lowest risk (red data point) is the risk use</w:t>
      </w:r>
      <w:r>
        <w:rPr>
          <w:rFonts w:ascii="Times New Roman" w:hAnsi="Times New Roman" w:cs="Times New Roman"/>
          <w:sz w:val="20"/>
          <w:szCs w:val="20"/>
          <w:lang w:val="en-GB"/>
        </w:rPr>
        <w:t>d in the base-case calculations</w:t>
      </w:r>
    </w:p>
    <w:p w14:paraId="17B9B96F" w14:textId="77777777" w:rsidR="00CB6D66" w:rsidRPr="008C537B" w:rsidRDefault="00CB6D66" w:rsidP="00CB6D66">
      <w:pPr>
        <w:rPr>
          <w:rFonts w:ascii="Times New Roman" w:hAnsi="Times New Roman" w:cs="Times New Roman"/>
          <w:sz w:val="20"/>
          <w:szCs w:val="20"/>
          <w:lang w:val="en-GB"/>
        </w:rPr>
      </w:pPr>
    </w:p>
    <w:p w14:paraId="4B0B887A" w14:textId="618E16BB" w:rsidR="00CB6D66" w:rsidRPr="008C537B" w:rsidRDefault="00CB6D66" w:rsidP="00CB6D66">
      <w:pPr>
        <w:spacing w:line="360" w:lineRule="auto"/>
        <w:rPr>
          <w:rFonts w:ascii="Times New Roman" w:hAnsi="Times New Roman" w:cs="Times New Roman"/>
          <w:sz w:val="20"/>
          <w:szCs w:val="20"/>
          <w:lang w:val="en-GB"/>
        </w:rPr>
      </w:pPr>
    </w:p>
    <w:p w14:paraId="147F9028" w14:textId="77777777" w:rsidR="00CB6D66" w:rsidRPr="008C537B" w:rsidRDefault="00B10F07" w:rsidP="00CB6D66">
      <w:pPr>
        <w:spacing w:line="360" w:lineRule="auto"/>
        <w:rPr>
          <w:rFonts w:ascii="Times New Roman" w:hAnsi="Times New Roman" w:cs="Times New Roman"/>
          <w:b/>
          <w:sz w:val="20"/>
          <w:szCs w:val="20"/>
          <w:lang w:val="en-GB"/>
        </w:rPr>
      </w:pPr>
      <w:r w:rsidRPr="002047B5">
        <w:rPr>
          <w:rFonts w:ascii="Times New Roman" w:hAnsi="Times New Roman" w:cs="Times New Roman"/>
          <w:b/>
          <w:noProof/>
          <w:sz w:val="20"/>
          <w:szCs w:val="20"/>
          <w:lang w:eastAsia="sv-SE"/>
        </w:rPr>
        <w:drawing>
          <wp:inline distT="0" distB="0" distL="0" distR="0" wp14:anchorId="35A07974" wp14:editId="68601F85">
            <wp:extent cx="5321267" cy="3195712"/>
            <wp:effectExtent l="0" t="0" r="0" b="5080"/>
            <wp:docPr id="3"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328530" cy="3200074"/>
                    </a:xfrm>
                    <a:prstGeom prst="rect">
                      <a:avLst/>
                    </a:prstGeom>
                    <a:noFill/>
                    <a:ln>
                      <a:noFill/>
                    </a:ln>
                  </pic:spPr>
                </pic:pic>
              </a:graphicData>
            </a:graphic>
          </wp:inline>
        </w:drawing>
      </w:r>
    </w:p>
    <w:p w14:paraId="7CCA0E38" w14:textId="77777777" w:rsidR="00B10F07" w:rsidRDefault="00B10F07" w:rsidP="00CB6D66">
      <w:pPr>
        <w:rPr>
          <w:rFonts w:ascii="Times New Roman" w:hAnsi="Times New Roman" w:cs="Times New Roman"/>
          <w:b/>
          <w:sz w:val="20"/>
          <w:szCs w:val="20"/>
          <w:lang w:val="en-GB"/>
        </w:rPr>
      </w:pPr>
    </w:p>
    <w:p w14:paraId="6E906351" w14:textId="2468D12F" w:rsidR="00CB6D66" w:rsidRPr="008C537B" w:rsidRDefault="00CB6D66" w:rsidP="00CB6D66">
      <w:pPr>
        <w:rPr>
          <w:rFonts w:ascii="Times New Roman" w:hAnsi="Times New Roman" w:cs="Times New Roman"/>
          <w:sz w:val="20"/>
          <w:szCs w:val="20"/>
          <w:lang w:val="en-GB"/>
        </w:rPr>
      </w:pPr>
      <w:r>
        <w:rPr>
          <w:rFonts w:ascii="Times New Roman" w:hAnsi="Times New Roman" w:cs="Times New Roman"/>
          <w:b/>
          <w:sz w:val="20"/>
          <w:szCs w:val="20"/>
          <w:lang w:val="en-GB"/>
        </w:rPr>
        <w:lastRenderedPageBreak/>
        <w:t>Fig. S</w:t>
      </w:r>
      <w:r w:rsidRPr="008C537B">
        <w:rPr>
          <w:rFonts w:ascii="Times New Roman" w:hAnsi="Times New Roman" w:cs="Times New Roman"/>
          <w:b/>
          <w:sz w:val="20"/>
          <w:szCs w:val="20"/>
          <w:lang w:val="en-GB"/>
        </w:rPr>
        <w:t>11</w:t>
      </w:r>
      <w:r w:rsidRPr="008C537B">
        <w:rPr>
          <w:rFonts w:ascii="Times New Roman" w:hAnsi="Times New Roman" w:cs="Times New Roman"/>
          <w:sz w:val="20"/>
          <w:szCs w:val="20"/>
          <w:lang w:val="en-GB"/>
        </w:rPr>
        <w:t xml:space="preserve"> </w:t>
      </w:r>
      <w:r w:rsidR="00E24D7E">
        <w:rPr>
          <w:rFonts w:ascii="Times New Roman" w:hAnsi="Times New Roman" w:cs="Times New Roman"/>
          <w:sz w:val="20"/>
          <w:szCs w:val="20"/>
          <w:lang w:val="en-GB"/>
        </w:rPr>
        <w:t>Sensitivity</w:t>
      </w:r>
      <w:r w:rsidR="00E24D7E" w:rsidRPr="008C537B">
        <w:rPr>
          <w:rFonts w:ascii="Times New Roman" w:hAnsi="Times New Roman" w:cs="Times New Roman"/>
          <w:sz w:val="20"/>
          <w:szCs w:val="20"/>
          <w:lang w:val="en-GB"/>
        </w:rPr>
        <w:t xml:space="preserve"> </w:t>
      </w:r>
      <w:r w:rsidRPr="008C537B">
        <w:rPr>
          <w:rFonts w:ascii="Times New Roman" w:hAnsi="Times New Roman" w:cs="Times New Roman"/>
          <w:sz w:val="20"/>
          <w:szCs w:val="20"/>
          <w:lang w:val="en-GB"/>
        </w:rPr>
        <w:t>analysis for monthly indirect costs due to sickness absenteeism in the person-centred care group. The figure plots the incremental cost-effectiveness ratio against the indirect costs, for a range of costs enclosing the SEK 500 000 per additional QALY willingness to pay. The lowest cost (red data point) is the cost use</w:t>
      </w:r>
      <w:r>
        <w:rPr>
          <w:rFonts w:ascii="Times New Roman" w:hAnsi="Times New Roman" w:cs="Times New Roman"/>
          <w:sz w:val="20"/>
          <w:szCs w:val="20"/>
          <w:lang w:val="en-GB"/>
        </w:rPr>
        <w:t>d in the base-case calculations</w:t>
      </w:r>
    </w:p>
    <w:p w14:paraId="70F0C6A2" w14:textId="642DBF41" w:rsidR="00CB6D66" w:rsidRPr="008C537B" w:rsidRDefault="00CB6D66" w:rsidP="00CB6D66">
      <w:pPr>
        <w:spacing w:line="360" w:lineRule="auto"/>
        <w:rPr>
          <w:rFonts w:ascii="Times New Roman" w:hAnsi="Times New Roman" w:cs="Times New Roman"/>
          <w:sz w:val="20"/>
          <w:szCs w:val="20"/>
          <w:lang w:val="en-GB"/>
        </w:rPr>
      </w:pPr>
    </w:p>
    <w:p w14:paraId="60012B3D" w14:textId="77777777" w:rsidR="00CB6D66" w:rsidRDefault="00B10F07" w:rsidP="00CB6D66">
      <w:pPr>
        <w:spacing w:line="360" w:lineRule="auto"/>
        <w:rPr>
          <w:rFonts w:ascii="Times New Roman" w:hAnsi="Times New Roman" w:cs="Times New Roman"/>
          <w:sz w:val="20"/>
          <w:szCs w:val="20"/>
          <w:lang w:val="en-GB"/>
        </w:rPr>
      </w:pPr>
      <w:r w:rsidRPr="002047B5">
        <w:rPr>
          <w:rFonts w:ascii="Times New Roman" w:hAnsi="Times New Roman" w:cs="Times New Roman"/>
          <w:noProof/>
          <w:sz w:val="20"/>
          <w:szCs w:val="20"/>
          <w:lang w:eastAsia="sv-SE"/>
        </w:rPr>
        <w:drawing>
          <wp:inline distT="0" distB="0" distL="0" distR="0" wp14:anchorId="28BE4942" wp14:editId="270D43A4">
            <wp:extent cx="5321267" cy="3195712"/>
            <wp:effectExtent l="0" t="0" r="0" b="5080"/>
            <wp:docPr id="4" name="Bildobjek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26415" cy="3198803"/>
                    </a:xfrm>
                    <a:prstGeom prst="rect">
                      <a:avLst/>
                    </a:prstGeom>
                    <a:noFill/>
                    <a:ln>
                      <a:noFill/>
                    </a:ln>
                  </pic:spPr>
                </pic:pic>
              </a:graphicData>
            </a:graphic>
          </wp:inline>
        </w:drawing>
      </w:r>
    </w:p>
    <w:p w14:paraId="27E49CB4" w14:textId="77777777" w:rsidR="00B10F07" w:rsidRPr="008C537B" w:rsidRDefault="00B10F07" w:rsidP="00CB6D66">
      <w:pPr>
        <w:spacing w:line="360" w:lineRule="auto"/>
        <w:rPr>
          <w:rFonts w:ascii="Times New Roman" w:hAnsi="Times New Roman" w:cs="Times New Roman"/>
          <w:sz w:val="20"/>
          <w:szCs w:val="20"/>
          <w:lang w:val="en-GB"/>
        </w:rPr>
      </w:pPr>
    </w:p>
    <w:p w14:paraId="085C5B31" w14:textId="7AE7C16C" w:rsidR="00CB6D66" w:rsidRDefault="00CB6D66" w:rsidP="00CB6D66">
      <w:pPr>
        <w:rPr>
          <w:rFonts w:ascii="Times New Roman" w:hAnsi="Times New Roman" w:cs="Times New Roman"/>
          <w:sz w:val="20"/>
          <w:szCs w:val="20"/>
          <w:lang w:val="en-GB"/>
        </w:rPr>
      </w:pPr>
      <w:r>
        <w:rPr>
          <w:rFonts w:ascii="Times New Roman" w:hAnsi="Times New Roman" w:cs="Times New Roman"/>
          <w:b/>
          <w:sz w:val="20"/>
          <w:szCs w:val="20"/>
          <w:lang w:val="en-GB"/>
        </w:rPr>
        <w:t>Fig. S</w:t>
      </w:r>
      <w:r w:rsidRPr="008C537B">
        <w:rPr>
          <w:rFonts w:ascii="Times New Roman" w:hAnsi="Times New Roman" w:cs="Times New Roman"/>
          <w:b/>
          <w:sz w:val="20"/>
          <w:szCs w:val="20"/>
          <w:lang w:val="en-GB"/>
        </w:rPr>
        <w:t>12</w:t>
      </w:r>
      <w:r>
        <w:rPr>
          <w:rFonts w:ascii="Times New Roman" w:hAnsi="Times New Roman" w:cs="Times New Roman"/>
          <w:b/>
          <w:sz w:val="20"/>
          <w:szCs w:val="20"/>
          <w:lang w:val="en-GB"/>
        </w:rPr>
        <w:t xml:space="preserve"> </w:t>
      </w:r>
      <w:r w:rsidR="00E24D7E">
        <w:rPr>
          <w:rFonts w:ascii="Times New Roman" w:hAnsi="Times New Roman" w:cs="Times New Roman"/>
          <w:sz w:val="20"/>
          <w:szCs w:val="20"/>
          <w:lang w:val="en-GB"/>
        </w:rPr>
        <w:t>Sensitivity</w:t>
      </w:r>
      <w:r w:rsidRPr="008C537B">
        <w:rPr>
          <w:rFonts w:ascii="Times New Roman" w:hAnsi="Times New Roman" w:cs="Times New Roman"/>
          <w:sz w:val="20"/>
          <w:szCs w:val="20"/>
          <w:lang w:val="en-GB"/>
        </w:rPr>
        <w:t xml:space="preserve"> analysis for costs in remission in the person-centred care group. The figure plots the incremental cost-effectiveness ratio against the monthly healthcare cost in remission, for a range of costs enclosing the SEK 500 000 per additional QALY willingness to pay. The lowest cost (red data point) is the cost use</w:t>
      </w:r>
      <w:r>
        <w:rPr>
          <w:rFonts w:ascii="Times New Roman" w:hAnsi="Times New Roman" w:cs="Times New Roman"/>
          <w:sz w:val="20"/>
          <w:szCs w:val="20"/>
          <w:lang w:val="en-GB"/>
        </w:rPr>
        <w:t>d in the base-case calculations</w:t>
      </w:r>
    </w:p>
    <w:p w14:paraId="5A232A4F" w14:textId="77777777" w:rsidR="00B10F07" w:rsidRPr="008C537B" w:rsidRDefault="00B10F07" w:rsidP="00CB6D66">
      <w:pPr>
        <w:rPr>
          <w:rFonts w:ascii="Times New Roman" w:hAnsi="Times New Roman" w:cs="Times New Roman"/>
          <w:sz w:val="20"/>
          <w:szCs w:val="20"/>
          <w:lang w:val="en-GB"/>
        </w:rPr>
      </w:pPr>
    </w:p>
    <w:p w14:paraId="121B0BCB" w14:textId="77777777" w:rsidR="00CB6D66" w:rsidRPr="008C537B" w:rsidRDefault="00B10F07" w:rsidP="00CB6D66">
      <w:pPr>
        <w:spacing w:line="360" w:lineRule="auto"/>
        <w:rPr>
          <w:rFonts w:ascii="Times New Roman" w:hAnsi="Times New Roman" w:cs="Times New Roman"/>
          <w:sz w:val="20"/>
          <w:szCs w:val="20"/>
          <w:lang w:val="en-GB"/>
        </w:rPr>
      </w:pPr>
      <w:r w:rsidRPr="002047B5">
        <w:rPr>
          <w:rFonts w:ascii="Times New Roman" w:hAnsi="Times New Roman" w:cs="Times New Roman"/>
          <w:noProof/>
          <w:sz w:val="20"/>
          <w:szCs w:val="20"/>
          <w:lang w:eastAsia="sv-SE"/>
        </w:rPr>
        <w:drawing>
          <wp:inline distT="0" distB="0" distL="0" distR="0" wp14:anchorId="42E8BC2D" wp14:editId="7587DCC4">
            <wp:extent cx="5393405" cy="3239035"/>
            <wp:effectExtent l="0" t="0" r="0" b="12700"/>
            <wp:docPr id="5" name="Bildobjekt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412784" cy="3250673"/>
                    </a:xfrm>
                    <a:prstGeom prst="rect">
                      <a:avLst/>
                    </a:prstGeom>
                    <a:noFill/>
                    <a:ln>
                      <a:noFill/>
                    </a:ln>
                  </pic:spPr>
                </pic:pic>
              </a:graphicData>
            </a:graphic>
          </wp:inline>
        </w:drawing>
      </w:r>
    </w:p>
    <w:p w14:paraId="32A01E39" w14:textId="41523E28" w:rsidR="00CB6D66" w:rsidRPr="008C537B" w:rsidRDefault="00CB6D66" w:rsidP="00CB6D66">
      <w:pPr>
        <w:rPr>
          <w:rFonts w:ascii="Times New Roman" w:hAnsi="Times New Roman" w:cs="Times New Roman"/>
          <w:sz w:val="20"/>
          <w:szCs w:val="20"/>
          <w:lang w:val="en-GB"/>
        </w:rPr>
      </w:pPr>
    </w:p>
    <w:p w14:paraId="43B44261" w14:textId="77777777" w:rsidR="00CB6D66" w:rsidRPr="008C537B" w:rsidRDefault="00CB6D66" w:rsidP="00CB6D66">
      <w:pPr>
        <w:rPr>
          <w:rFonts w:ascii="Times New Roman" w:hAnsi="Times New Roman" w:cs="Times New Roman"/>
          <w:sz w:val="20"/>
          <w:szCs w:val="20"/>
          <w:lang w:val="en-GB"/>
        </w:rPr>
      </w:pPr>
    </w:p>
    <w:p w14:paraId="75635CA0" w14:textId="77777777" w:rsidR="00CB6D66" w:rsidRPr="008C537B" w:rsidRDefault="00CB6D66" w:rsidP="00CB6D66">
      <w:pPr>
        <w:rPr>
          <w:rFonts w:ascii="Times New Roman" w:hAnsi="Times New Roman" w:cs="Times New Roman"/>
          <w:sz w:val="20"/>
          <w:szCs w:val="20"/>
          <w:lang w:val="en-GB"/>
        </w:rPr>
      </w:pPr>
    </w:p>
    <w:p w14:paraId="7FE55AB6" w14:textId="77777777" w:rsidR="00CB6D66" w:rsidRPr="008C537B" w:rsidRDefault="00CB6D66" w:rsidP="00CB6D66">
      <w:pPr>
        <w:rPr>
          <w:rFonts w:ascii="Times New Roman" w:hAnsi="Times New Roman" w:cs="Times New Roman"/>
          <w:sz w:val="20"/>
          <w:szCs w:val="20"/>
          <w:lang w:val="en-GB"/>
        </w:rPr>
      </w:pPr>
    </w:p>
    <w:p w14:paraId="1CD5EA3C" w14:textId="77777777" w:rsidR="00CB6D66" w:rsidRPr="008C537B" w:rsidRDefault="00CB6D66" w:rsidP="00CB6D66">
      <w:pPr>
        <w:rPr>
          <w:rFonts w:ascii="Times New Roman" w:hAnsi="Times New Roman" w:cs="Times New Roman"/>
          <w:sz w:val="20"/>
          <w:szCs w:val="20"/>
          <w:lang w:val="en-GB"/>
        </w:rPr>
      </w:pPr>
    </w:p>
    <w:p w14:paraId="5587CBD9" w14:textId="3CF030F1" w:rsidR="00CB6D66" w:rsidRPr="008C537B" w:rsidRDefault="00CB6D66" w:rsidP="00CB6D66">
      <w:pPr>
        <w:rPr>
          <w:rFonts w:ascii="Times New Roman" w:hAnsi="Times New Roman" w:cs="Times New Roman"/>
          <w:sz w:val="20"/>
          <w:szCs w:val="20"/>
          <w:lang w:val="en-GB"/>
        </w:rPr>
      </w:pPr>
      <w:r>
        <w:rPr>
          <w:rFonts w:ascii="Times New Roman" w:hAnsi="Times New Roman" w:cs="Times New Roman"/>
          <w:b/>
          <w:sz w:val="20"/>
          <w:szCs w:val="20"/>
          <w:lang w:val="en-GB"/>
        </w:rPr>
        <w:t>Fig. S</w:t>
      </w:r>
      <w:r w:rsidRPr="008C537B">
        <w:rPr>
          <w:rFonts w:ascii="Times New Roman" w:hAnsi="Times New Roman" w:cs="Times New Roman"/>
          <w:b/>
          <w:sz w:val="20"/>
          <w:szCs w:val="20"/>
          <w:lang w:val="en-GB"/>
        </w:rPr>
        <w:t>13</w:t>
      </w:r>
      <w:r w:rsidRPr="008C537B">
        <w:rPr>
          <w:rFonts w:ascii="Times New Roman" w:hAnsi="Times New Roman" w:cs="Times New Roman"/>
          <w:sz w:val="20"/>
          <w:szCs w:val="20"/>
          <w:lang w:val="en-GB"/>
        </w:rPr>
        <w:t xml:space="preserve"> </w:t>
      </w:r>
      <w:r w:rsidR="00E24D7E" w:rsidRPr="008C537B">
        <w:rPr>
          <w:rFonts w:ascii="Times New Roman" w:hAnsi="Times New Roman" w:cs="Times New Roman"/>
          <w:sz w:val="20"/>
          <w:szCs w:val="20"/>
          <w:lang w:val="en-GB"/>
        </w:rPr>
        <w:t>S</w:t>
      </w:r>
      <w:r w:rsidR="00E24D7E">
        <w:rPr>
          <w:rFonts w:ascii="Times New Roman" w:hAnsi="Times New Roman" w:cs="Times New Roman"/>
          <w:sz w:val="20"/>
          <w:szCs w:val="20"/>
          <w:lang w:val="en-GB"/>
        </w:rPr>
        <w:t>ensitivity</w:t>
      </w:r>
      <w:r w:rsidRPr="008C537B">
        <w:rPr>
          <w:rFonts w:ascii="Times New Roman" w:hAnsi="Times New Roman" w:cs="Times New Roman"/>
          <w:sz w:val="20"/>
          <w:szCs w:val="20"/>
          <w:lang w:val="en-GB"/>
        </w:rPr>
        <w:t xml:space="preserve"> analysis for costs in relapse in the person-centred care group. The figure plots the incremental cost-effectiveness ratio against the cost in relapse, for a range of costs enclosing the SEK 500 000 per additional QALY willingness to pay. The lowest cost (red data point) is the cost used i</w:t>
      </w:r>
      <w:r>
        <w:rPr>
          <w:rFonts w:ascii="Times New Roman" w:hAnsi="Times New Roman" w:cs="Times New Roman"/>
          <w:sz w:val="20"/>
          <w:szCs w:val="20"/>
          <w:lang w:val="en-GB"/>
        </w:rPr>
        <w:t>n the base-case calculations</w:t>
      </w:r>
    </w:p>
    <w:p w14:paraId="55A42BAF" w14:textId="77777777" w:rsidR="00CB6D66" w:rsidRPr="008C537B" w:rsidRDefault="00CB6D66" w:rsidP="00CB6D66">
      <w:pPr>
        <w:rPr>
          <w:rFonts w:ascii="Times New Roman" w:hAnsi="Times New Roman" w:cs="Times New Roman"/>
          <w:sz w:val="20"/>
          <w:szCs w:val="20"/>
          <w:lang w:val="en-GB"/>
        </w:rPr>
      </w:pPr>
    </w:p>
    <w:p w14:paraId="162CA8FA" w14:textId="77777777" w:rsidR="00CB6D66" w:rsidRPr="008C537B" w:rsidRDefault="00B10F07" w:rsidP="00CB6D66">
      <w:pPr>
        <w:rPr>
          <w:rFonts w:ascii="Times New Roman" w:hAnsi="Times New Roman" w:cs="Times New Roman"/>
          <w:sz w:val="20"/>
          <w:szCs w:val="20"/>
          <w:lang w:val="en-GB"/>
        </w:rPr>
      </w:pPr>
      <w:r w:rsidRPr="002047B5">
        <w:rPr>
          <w:rFonts w:ascii="Times New Roman" w:hAnsi="Times New Roman" w:cs="Times New Roman"/>
          <w:noProof/>
          <w:sz w:val="20"/>
          <w:szCs w:val="20"/>
          <w:lang w:eastAsia="sv-SE"/>
        </w:rPr>
        <w:drawing>
          <wp:inline distT="0" distB="0" distL="0" distR="0" wp14:anchorId="592A0C68" wp14:editId="3D2AEA31">
            <wp:extent cx="5321267" cy="3195712"/>
            <wp:effectExtent l="0" t="0" r="0" b="5080"/>
            <wp:docPr id="8" name="Bildobjekt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326116" cy="3198624"/>
                    </a:xfrm>
                    <a:prstGeom prst="rect">
                      <a:avLst/>
                    </a:prstGeom>
                    <a:noFill/>
                    <a:ln>
                      <a:noFill/>
                    </a:ln>
                  </pic:spPr>
                </pic:pic>
              </a:graphicData>
            </a:graphic>
          </wp:inline>
        </w:drawing>
      </w:r>
    </w:p>
    <w:p w14:paraId="4A5B2E79" w14:textId="1C1B3086" w:rsidR="00CB6D66" w:rsidRPr="00E25928" w:rsidRDefault="00CB6D66" w:rsidP="00CB6D66">
      <w:pPr>
        <w:rPr>
          <w:rFonts w:ascii="Times New Roman" w:hAnsi="Times New Roman" w:cs="Times New Roman"/>
          <w:sz w:val="16"/>
          <w:szCs w:val="16"/>
          <w:lang w:val="en-GB"/>
        </w:rPr>
      </w:pPr>
    </w:p>
    <w:p w14:paraId="2712C5E1" w14:textId="77777777" w:rsidR="00CB6D66" w:rsidRDefault="00CB6D66"/>
    <w:sectPr w:rsidR="00CB6D66" w:rsidSect="00BA4159">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Segoe UI">
    <w:altName w:val="Calibri"/>
    <w:charset w:val="00"/>
    <w:family w:val="swiss"/>
    <w:pitch w:val="variable"/>
    <w:sig w:usb0="E4002EFF" w:usb1="C000E47F"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6"/>
  <w:removePersonalInformation/>
  <w:removeDateAndTime/>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6D66"/>
    <w:rsid w:val="00000520"/>
    <w:rsid w:val="00144057"/>
    <w:rsid w:val="00147FC1"/>
    <w:rsid w:val="001B630D"/>
    <w:rsid w:val="001F3D36"/>
    <w:rsid w:val="002047B5"/>
    <w:rsid w:val="00247BA0"/>
    <w:rsid w:val="00293856"/>
    <w:rsid w:val="002C11DA"/>
    <w:rsid w:val="00312E48"/>
    <w:rsid w:val="003210EB"/>
    <w:rsid w:val="00396761"/>
    <w:rsid w:val="003B7E4B"/>
    <w:rsid w:val="00406AB6"/>
    <w:rsid w:val="00486679"/>
    <w:rsid w:val="004923FA"/>
    <w:rsid w:val="005E229F"/>
    <w:rsid w:val="006224D2"/>
    <w:rsid w:val="006914B5"/>
    <w:rsid w:val="006E3F9E"/>
    <w:rsid w:val="006F306D"/>
    <w:rsid w:val="007537C7"/>
    <w:rsid w:val="007C6F8F"/>
    <w:rsid w:val="007E07BA"/>
    <w:rsid w:val="007E2DFC"/>
    <w:rsid w:val="00835100"/>
    <w:rsid w:val="008428E6"/>
    <w:rsid w:val="00847A8B"/>
    <w:rsid w:val="00860EB4"/>
    <w:rsid w:val="008E15B6"/>
    <w:rsid w:val="009F5BBE"/>
    <w:rsid w:val="00AA6AAE"/>
    <w:rsid w:val="00AA6C0A"/>
    <w:rsid w:val="00B10F07"/>
    <w:rsid w:val="00B166B1"/>
    <w:rsid w:val="00B3645C"/>
    <w:rsid w:val="00B437F0"/>
    <w:rsid w:val="00B447B8"/>
    <w:rsid w:val="00B97464"/>
    <w:rsid w:val="00BA4159"/>
    <w:rsid w:val="00BD2D2E"/>
    <w:rsid w:val="00BD42FF"/>
    <w:rsid w:val="00C40C63"/>
    <w:rsid w:val="00C5214D"/>
    <w:rsid w:val="00CB5F93"/>
    <w:rsid w:val="00CB6D66"/>
    <w:rsid w:val="00CD511C"/>
    <w:rsid w:val="00D375EB"/>
    <w:rsid w:val="00D43640"/>
    <w:rsid w:val="00D6047D"/>
    <w:rsid w:val="00D73687"/>
    <w:rsid w:val="00D82269"/>
    <w:rsid w:val="00DB07CD"/>
    <w:rsid w:val="00DC3010"/>
    <w:rsid w:val="00DC6DCC"/>
    <w:rsid w:val="00DD325C"/>
    <w:rsid w:val="00E24D7E"/>
    <w:rsid w:val="00E32B16"/>
    <w:rsid w:val="00F21E66"/>
    <w:rsid w:val="00F2488D"/>
    <w:rsid w:val="00F7384C"/>
    <w:rsid w:val="00F90046"/>
    <w:rsid w:val="00FE6F30"/>
    <w:rsid w:val="00FF3040"/>
  </w:rsids>
  <m:mathPr>
    <m:mathFont m:val="Cambria Math"/>
    <m:brkBin m:val="before"/>
    <m:brkBinSub m:val="--"/>
    <m:smallFrac m:val="0"/>
    <m:dispDef/>
    <m:lMargin m:val="0"/>
    <m:rMargin m:val="0"/>
    <m:defJc m:val="centerGroup"/>
    <m:wrapIndent m:val="1440"/>
    <m:intLim m:val="subSup"/>
    <m:naryLim m:val="undOvr"/>
  </m:mathPr>
  <w:themeFontLang w:val="sv-SE"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A6E59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sv-SE"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B6D66"/>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eckensnitt"/>
    <w:uiPriority w:val="99"/>
    <w:unhideWhenUsed/>
    <w:rsid w:val="00CB6D66"/>
    <w:rPr>
      <w:color w:val="0563C1" w:themeColor="hyperlink"/>
      <w:u w:val="single"/>
    </w:rPr>
  </w:style>
  <w:style w:type="paragraph" w:styleId="Ballongtext">
    <w:name w:val="Balloon Text"/>
    <w:basedOn w:val="Normal"/>
    <w:link w:val="BallongtextChar"/>
    <w:uiPriority w:val="99"/>
    <w:semiHidden/>
    <w:unhideWhenUsed/>
    <w:rsid w:val="003210EB"/>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3210EB"/>
    <w:rPr>
      <w:rFonts w:ascii="Segoe UI" w:hAnsi="Segoe UI" w:cs="Segoe UI"/>
      <w:sz w:val="18"/>
      <w:szCs w:val="18"/>
    </w:rPr>
  </w:style>
  <w:style w:type="character" w:styleId="Kommentarsreferens">
    <w:name w:val="annotation reference"/>
    <w:basedOn w:val="Standardstycketeckensnitt"/>
    <w:uiPriority w:val="99"/>
    <w:semiHidden/>
    <w:unhideWhenUsed/>
    <w:rsid w:val="007C6F8F"/>
    <w:rPr>
      <w:sz w:val="16"/>
      <w:szCs w:val="16"/>
    </w:rPr>
  </w:style>
  <w:style w:type="paragraph" w:styleId="Kommentarer">
    <w:name w:val="annotation text"/>
    <w:basedOn w:val="Normal"/>
    <w:link w:val="KommentarerChar"/>
    <w:uiPriority w:val="99"/>
    <w:semiHidden/>
    <w:unhideWhenUsed/>
    <w:rsid w:val="007C6F8F"/>
    <w:rPr>
      <w:sz w:val="20"/>
      <w:szCs w:val="20"/>
    </w:rPr>
  </w:style>
  <w:style w:type="character" w:customStyle="1" w:styleId="KommentarerChar">
    <w:name w:val="Kommentarer Char"/>
    <w:basedOn w:val="Standardstycketeckensnitt"/>
    <w:link w:val="Kommentarer"/>
    <w:uiPriority w:val="99"/>
    <w:semiHidden/>
    <w:rsid w:val="007C6F8F"/>
    <w:rPr>
      <w:sz w:val="20"/>
      <w:szCs w:val="20"/>
    </w:rPr>
  </w:style>
  <w:style w:type="paragraph" w:styleId="Kommentarsmne">
    <w:name w:val="annotation subject"/>
    <w:basedOn w:val="Kommentarer"/>
    <w:next w:val="Kommentarer"/>
    <w:link w:val="KommentarsmneChar"/>
    <w:uiPriority w:val="99"/>
    <w:semiHidden/>
    <w:unhideWhenUsed/>
    <w:rsid w:val="007C6F8F"/>
    <w:rPr>
      <w:b/>
      <w:bCs/>
    </w:rPr>
  </w:style>
  <w:style w:type="character" w:customStyle="1" w:styleId="KommentarsmneChar">
    <w:name w:val="Kommentarsämne Char"/>
    <w:basedOn w:val="KommentarerChar"/>
    <w:link w:val="Kommentarsmne"/>
    <w:uiPriority w:val="99"/>
    <w:semiHidden/>
    <w:rsid w:val="007C6F8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8.png"/><Relationship Id="rId12" Type="http://schemas.openxmlformats.org/officeDocument/2006/relationships/image" Target="media/image9.png"/><Relationship Id="rId13" Type="http://schemas.openxmlformats.org/officeDocument/2006/relationships/image" Target="media/image10.png"/><Relationship Id="rId14" Type="http://schemas.openxmlformats.org/officeDocument/2006/relationships/image" Target="media/image11.png"/><Relationship Id="rId15" Type="http://schemas.openxmlformats.org/officeDocument/2006/relationships/image" Target="media/image12.png"/><Relationship Id="rId16" Type="http://schemas.openxmlformats.org/officeDocument/2006/relationships/image" Target="media/image13.png"/><Relationship Id="rId17" Type="http://schemas.openxmlformats.org/officeDocument/2006/relationships/fontTable" Target="fontTable.xml"/><Relationship Id="rId18"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4" Type="http://schemas.openxmlformats.org/officeDocument/2006/relationships/image" Target="media/image1.png"/><Relationship Id="rId5" Type="http://schemas.openxmlformats.org/officeDocument/2006/relationships/image" Target="media/image2.png"/><Relationship Id="rId6" Type="http://schemas.openxmlformats.org/officeDocument/2006/relationships/image" Target="media/image3.png"/><Relationship Id="rId7" Type="http://schemas.openxmlformats.org/officeDocument/2006/relationships/image" Target="media/image4.png"/><Relationship Id="rId8" Type="http://schemas.openxmlformats.org/officeDocument/2006/relationships/image" Target="media/image5.png"/><Relationship Id="rId9" Type="http://schemas.openxmlformats.org/officeDocument/2006/relationships/image" Target="media/image6.png"/><Relationship Id="rId10" Type="http://schemas.openxmlformats.org/officeDocument/2006/relationships/image" Target="media/image7.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1004</Words>
  <Characters>5598</Characters>
  <Application>Microsoft Macintosh Word</Application>
  <DocSecurity>0</DocSecurity>
  <Lines>136</Lines>
  <Paragraphs>57</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6545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2020-08-18T11:56:00Z</dcterms:created>
  <dcterms:modified xsi:type="dcterms:W3CDTF">2020-08-18T11:56:00Z</dcterms:modified>
</cp:coreProperties>
</file>